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429256" w14:textId="77777777" w:rsidR="008621B6" w:rsidRDefault="008621B6" w:rsidP="008621B6">
      <w:pPr>
        <w:pStyle w:val="Header"/>
        <w:jc w:val="center"/>
        <w:rPr>
          <w:rFonts w:ascii="Calibri Light" w:hAnsi="Calibri Light"/>
          <w:lang w:val="es-PE"/>
        </w:rPr>
      </w:pPr>
      <w:r w:rsidRPr="00C80A19">
        <w:rPr>
          <w:rFonts w:ascii="Calibri Light" w:hAnsi="Calibri Light"/>
          <w:noProof/>
          <w:lang w:val="es-PE"/>
        </w:rPr>
        <w:drawing>
          <wp:anchor distT="0" distB="0" distL="114300" distR="114300" simplePos="0" relativeHeight="251661312" behindDoc="1" locked="0" layoutInCell="1" allowOverlap="1" wp14:anchorId="6CA597E7" wp14:editId="27C15D8C">
            <wp:simplePos x="0" y="0"/>
            <wp:positionH relativeFrom="margin">
              <wp:posOffset>4020820</wp:posOffset>
            </wp:positionH>
            <wp:positionV relativeFrom="margin">
              <wp:posOffset>-271145</wp:posOffset>
            </wp:positionV>
            <wp:extent cx="1849755" cy="789940"/>
            <wp:effectExtent l="0" t="0" r="4445" b="0"/>
            <wp:wrapTight wrapText="bothSides">
              <wp:wrapPolygon edited="0">
                <wp:start x="0" y="0"/>
                <wp:lineTo x="0" y="21183"/>
                <wp:lineTo x="21504" y="21183"/>
                <wp:lineTo x="21504" y="0"/>
                <wp:lineTo x="0" y="0"/>
              </wp:wrapPolygon>
            </wp:wrapTight>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rotWithShape="1">
                    <a:blip r:embed="rId8" r:link="rId9" cstate="print">
                      <a:extLst>
                        <a:ext uri="{28A0092B-C50C-407E-A947-70E740481C1C}">
                          <a14:useLocalDpi xmlns:a14="http://schemas.microsoft.com/office/drawing/2010/main" val="0"/>
                        </a:ext>
                      </a:extLst>
                    </a:blip>
                    <a:srcRect l="5442" t="27352" r="6449" b="25571"/>
                    <a:stretch/>
                  </pic:blipFill>
                  <pic:spPr bwMode="auto">
                    <a:xfrm>
                      <a:off x="0" y="0"/>
                      <a:ext cx="1849755" cy="789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0A19">
        <w:rPr>
          <w:rFonts w:ascii="Calibri Light" w:hAnsi="Calibri Light"/>
          <w:noProof/>
          <w:lang w:val="es-PE"/>
        </w:rPr>
        <w:drawing>
          <wp:anchor distT="0" distB="0" distL="114300" distR="114300" simplePos="0" relativeHeight="251660288" behindDoc="1" locked="0" layoutInCell="1" allowOverlap="1" wp14:anchorId="402E9B9A" wp14:editId="57143152">
            <wp:simplePos x="0" y="0"/>
            <wp:positionH relativeFrom="column">
              <wp:posOffset>1399540</wp:posOffset>
            </wp:positionH>
            <wp:positionV relativeFrom="paragraph">
              <wp:posOffset>-107950</wp:posOffset>
            </wp:positionV>
            <wp:extent cx="2564130" cy="626110"/>
            <wp:effectExtent l="0" t="0" r="1270" b="0"/>
            <wp:wrapTight wrapText="bothSides">
              <wp:wrapPolygon edited="0">
                <wp:start x="1605" y="2629"/>
                <wp:lineTo x="1070" y="5258"/>
                <wp:lineTo x="642" y="7886"/>
                <wp:lineTo x="642" y="11830"/>
                <wp:lineTo x="1284" y="17087"/>
                <wp:lineTo x="1498" y="17963"/>
                <wp:lineTo x="21397" y="17963"/>
                <wp:lineTo x="21504" y="16649"/>
                <wp:lineTo x="21183" y="9639"/>
                <wp:lineTo x="15406" y="2629"/>
                <wp:lineTo x="1605" y="2629"/>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rotWithShape="1">
                    <a:blip r:embed="rId10"/>
                    <a:srcRect r="3349"/>
                    <a:stretch/>
                  </pic:blipFill>
                  <pic:spPr bwMode="auto">
                    <a:xfrm>
                      <a:off x="0" y="0"/>
                      <a:ext cx="2564130" cy="626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80A19">
        <w:rPr>
          <w:rFonts w:ascii="Calibri Light" w:hAnsi="Calibri Light"/>
          <w:noProof/>
          <w:lang w:val="es-PE"/>
        </w:rPr>
        <w:drawing>
          <wp:anchor distT="0" distB="0" distL="114300" distR="114300" simplePos="0" relativeHeight="251659264" behindDoc="1" locked="0" layoutInCell="1" allowOverlap="1" wp14:anchorId="3CB4F07B" wp14:editId="047A626C">
            <wp:simplePos x="0" y="0"/>
            <wp:positionH relativeFrom="column">
              <wp:posOffset>-407474</wp:posOffset>
            </wp:positionH>
            <wp:positionV relativeFrom="paragraph">
              <wp:posOffset>-200514</wp:posOffset>
            </wp:positionV>
            <wp:extent cx="1735455" cy="727710"/>
            <wp:effectExtent l="0" t="0" r="0" b="0"/>
            <wp:wrapTight wrapText="bothSides">
              <wp:wrapPolygon edited="0">
                <wp:start x="316" y="754"/>
                <wp:lineTo x="316" y="18094"/>
                <wp:lineTo x="632" y="19602"/>
                <wp:lineTo x="1739" y="20356"/>
                <wp:lineTo x="13436" y="20356"/>
                <wp:lineTo x="21181" y="19602"/>
                <wp:lineTo x="21339" y="14325"/>
                <wp:lineTo x="20075" y="13571"/>
                <wp:lineTo x="21181" y="10178"/>
                <wp:lineTo x="21181" y="7539"/>
                <wp:lineTo x="18652" y="3393"/>
                <wp:lineTo x="17546" y="754"/>
                <wp:lineTo x="316" y="754"/>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1"/>
                    <a:srcRect l="11357" t="20875" r="13129" b="18785"/>
                    <a:stretch/>
                  </pic:blipFill>
                  <pic:spPr bwMode="auto">
                    <a:xfrm>
                      <a:off x="0" y="0"/>
                      <a:ext cx="1735455" cy="7277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AF4E368" w14:textId="77777777" w:rsidR="008621B6" w:rsidRPr="00411A74" w:rsidRDefault="008621B6" w:rsidP="008621B6">
      <w:pPr>
        <w:pStyle w:val="Header"/>
        <w:jc w:val="center"/>
        <w:rPr>
          <w:rFonts w:ascii="Calibri Light" w:hAnsi="Calibri Light"/>
          <w:lang w:val="es-PE"/>
        </w:rPr>
      </w:pPr>
      <w:r w:rsidRPr="00411A74">
        <w:rPr>
          <w:rFonts w:ascii="Calibri Light" w:hAnsi="Calibri Light"/>
          <w:lang w:val="es-PE"/>
        </w:rPr>
        <w:t>Difundiendo los estándares para la protección de los DDHH de la CIDH</w:t>
      </w:r>
    </w:p>
    <w:p w14:paraId="1771D407" w14:textId="4F36703E" w:rsidR="00193C1F" w:rsidRDefault="008621B6" w:rsidP="008621B6">
      <w:pPr>
        <w:spacing w:after="0" w:line="240" w:lineRule="auto"/>
        <w:jc w:val="center"/>
        <w:outlineLvl w:val="0"/>
        <w:rPr>
          <w:rFonts w:ascii="Calibri Light" w:hAnsi="Calibri Light"/>
          <w:b/>
          <w:i/>
          <w:lang w:val="es-PE"/>
        </w:rPr>
      </w:pPr>
      <w:r>
        <w:rPr>
          <w:rFonts w:ascii="Calibri Light" w:hAnsi="Calibri Light"/>
          <w:b/>
          <w:i/>
          <w:lang w:val="es-PE"/>
        </w:rPr>
        <w:t>Ficha de R</w:t>
      </w:r>
      <w:r w:rsidRPr="00411A74">
        <w:rPr>
          <w:rFonts w:ascii="Calibri Light" w:hAnsi="Calibri Light"/>
          <w:b/>
          <w:i/>
          <w:lang w:val="es-PE"/>
        </w:rPr>
        <w:t xml:space="preserve">esumen </w:t>
      </w:r>
    </w:p>
    <w:p w14:paraId="767CD7A8" w14:textId="77777777" w:rsidR="008621B6" w:rsidRPr="008621B6" w:rsidRDefault="008621B6" w:rsidP="008621B6">
      <w:pPr>
        <w:spacing w:after="0" w:line="240" w:lineRule="auto"/>
        <w:jc w:val="center"/>
        <w:outlineLvl w:val="0"/>
        <w:rPr>
          <w:rFonts w:ascii="Calibri Light" w:hAnsi="Calibri Light"/>
          <w:b/>
          <w:i/>
          <w:lang w:val="es-PE"/>
        </w:rPr>
      </w:pPr>
    </w:p>
    <w:tbl>
      <w:tblPr>
        <w:tblStyle w:val="Tabladelista2-nfasis11"/>
        <w:tblW w:w="0" w:type="auto"/>
        <w:tblLook w:val="04A0" w:firstRow="1" w:lastRow="0" w:firstColumn="1" w:lastColumn="0" w:noHBand="0" w:noVBand="1"/>
      </w:tblPr>
      <w:tblGrid>
        <w:gridCol w:w="3678"/>
        <w:gridCol w:w="2400"/>
        <w:gridCol w:w="2643"/>
      </w:tblGrid>
      <w:tr w:rsidR="005173CF" w:rsidRPr="004533E5" w14:paraId="01A2F61A" w14:textId="77777777" w:rsidTr="006F1245">
        <w:trPr>
          <w:cnfStyle w:val="100000000000" w:firstRow="1" w:lastRow="0" w:firstColumn="0" w:lastColumn="0" w:oddVBand="0" w:evenVBand="0" w:oddHBand="0"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8721" w:type="dxa"/>
            <w:gridSpan w:val="3"/>
          </w:tcPr>
          <w:p w14:paraId="07609204" w14:textId="77777777" w:rsidR="00AC6F31" w:rsidRDefault="00AC6F31" w:rsidP="00AC6F31">
            <w:pPr>
              <w:pStyle w:val="ListParagraph"/>
              <w:rPr>
                <w:rFonts w:ascii="Calibri Light" w:hAnsi="Calibri Light"/>
              </w:rPr>
            </w:pPr>
          </w:p>
          <w:p w14:paraId="160CE2AC" w14:textId="77777777" w:rsidR="00212F62" w:rsidRDefault="007A6C56" w:rsidP="00AC6F31">
            <w:pPr>
              <w:pStyle w:val="ListParagraph"/>
              <w:numPr>
                <w:ilvl w:val="0"/>
                <w:numId w:val="2"/>
              </w:numPr>
              <w:jc w:val="center"/>
              <w:rPr>
                <w:rFonts w:ascii="Calibri Light" w:hAnsi="Calibri Light"/>
              </w:rPr>
            </w:pPr>
            <w:r w:rsidRPr="004533E5">
              <w:rPr>
                <w:rFonts w:ascii="Calibri Light" w:hAnsi="Calibri Light"/>
              </w:rPr>
              <w:t>Datos generales</w:t>
            </w:r>
          </w:p>
          <w:p w14:paraId="6C5B323B" w14:textId="6BA3A748" w:rsidR="00AC6F31" w:rsidRPr="00AC6F31" w:rsidRDefault="00AC6F31" w:rsidP="00AC6F31">
            <w:pPr>
              <w:pStyle w:val="ListParagraph"/>
              <w:rPr>
                <w:rFonts w:ascii="Calibri Light" w:hAnsi="Calibri Light"/>
              </w:rPr>
            </w:pPr>
          </w:p>
        </w:tc>
      </w:tr>
      <w:tr w:rsidR="004533E5" w:rsidRPr="004533E5" w14:paraId="275AD1EA" w14:textId="77777777" w:rsidTr="006F1245">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3678" w:type="dxa"/>
          </w:tcPr>
          <w:p w14:paraId="63C7EFE0" w14:textId="77777777" w:rsidR="005173CF" w:rsidRPr="004533E5" w:rsidRDefault="007A6C56" w:rsidP="00A65231">
            <w:pPr>
              <w:pStyle w:val="ListParagraph"/>
              <w:numPr>
                <w:ilvl w:val="0"/>
                <w:numId w:val="3"/>
              </w:numPr>
              <w:rPr>
                <w:rFonts w:ascii="Calibri Light" w:hAnsi="Calibri Light"/>
              </w:rPr>
            </w:pPr>
            <w:r w:rsidRPr="004533E5">
              <w:rPr>
                <w:rFonts w:ascii="Calibri Light" w:hAnsi="Calibri Light"/>
              </w:rPr>
              <w:t>Nombre del caso</w:t>
            </w:r>
          </w:p>
        </w:tc>
        <w:tc>
          <w:tcPr>
            <w:tcW w:w="5043" w:type="dxa"/>
            <w:gridSpan w:val="2"/>
          </w:tcPr>
          <w:p w14:paraId="084A5991" w14:textId="15AD91FE" w:rsidR="005173CF" w:rsidRPr="00567135" w:rsidRDefault="00D04613" w:rsidP="00567135">
            <w:pPr>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r w:rsidRPr="00567135">
              <w:rPr>
                <w:rFonts w:ascii="Calibri Light" w:hAnsi="Calibri Light"/>
              </w:rPr>
              <w:t xml:space="preserve">Trabajadores Indocumentados (Leopoldo Zumaya </w:t>
            </w:r>
            <w:r w:rsidR="005C5570">
              <w:rPr>
                <w:rFonts w:ascii="Calibri Light" w:hAnsi="Calibri Light"/>
              </w:rPr>
              <w:t xml:space="preserve">y Francisco Berumen Lizalde), </w:t>
            </w:r>
            <w:r w:rsidRPr="00567135">
              <w:rPr>
                <w:rFonts w:ascii="Calibri Light" w:hAnsi="Calibri Light"/>
              </w:rPr>
              <w:t>Estados Unidos</w:t>
            </w:r>
          </w:p>
        </w:tc>
      </w:tr>
      <w:tr w:rsidR="00F464EC" w:rsidRPr="004533E5" w14:paraId="59A6A8A1" w14:textId="77777777" w:rsidTr="006F1245">
        <w:trPr>
          <w:trHeight w:val="263"/>
        </w:trPr>
        <w:tc>
          <w:tcPr>
            <w:cnfStyle w:val="001000000000" w:firstRow="0" w:lastRow="0" w:firstColumn="1" w:lastColumn="0" w:oddVBand="0" w:evenVBand="0" w:oddHBand="0" w:evenHBand="0" w:firstRowFirstColumn="0" w:firstRowLastColumn="0" w:lastRowFirstColumn="0" w:lastRowLastColumn="0"/>
            <w:tcW w:w="3678" w:type="dxa"/>
          </w:tcPr>
          <w:p w14:paraId="7FA9FC90" w14:textId="605B8AD7" w:rsidR="00F464EC" w:rsidRPr="004533E5" w:rsidRDefault="005C5570" w:rsidP="00A65231">
            <w:pPr>
              <w:pStyle w:val="ListParagraph"/>
              <w:numPr>
                <w:ilvl w:val="0"/>
                <w:numId w:val="3"/>
              </w:numPr>
              <w:rPr>
                <w:rFonts w:ascii="Calibri Light" w:hAnsi="Calibri Light"/>
              </w:rPr>
            </w:pPr>
            <w:r>
              <w:rPr>
                <w:rFonts w:ascii="Calibri Light" w:hAnsi="Calibri Light"/>
              </w:rPr>
              <w:t>Parte peticionaria</w:t>
            </w:r>
          </w:p>
        </w:tc>
        <w:tc>
          <w:tcPr>
            <w:tcW w:w="5043" w:type="dxa"/>
            <w:gridSpan w:val="2"/>
          </w:tcPr>
          <w:p w14:paraId="43F0C6A6" w14:textId="5E90E212" w:rsidR="00193C1F" w:rsidRDefault="00567135" w:rsidP="00567135">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567135">
              <w:rPr>
                <w:rFonts w:ascii="Calibri Light" w:hAnsi="Calibri Light"/>
              </w:rPr>
              <w:t>Facultad de Derecho de la U</w:t>
            </w:r>
            <w:r w:rsidR="00D04613" w:rsidRPr="00567135">
              <w:rPr>
                <w:rFonts w:ascii="Calibri Light" w:hAnsi="Calibri Light"/>
              </w:rPr>
              <w:t>niversidad de Pensilvania</w:t>
            </w:r>
          </w:p>
          <w:p w14:paraId="2EB6FAE9" w14:textId="1407BEB2" w:rsidR="00193C1F" w:rsidRDefault="00D04613" w:rsidP="00567135">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567135">
              <w:rPr>
                <w:rFonts w:ascii="Calibri Light" w:hAnsi="Calibri Light"/>
              </w:rPr>
              <w:t xml:space="preserve">Fundación de la Unión Estadounidense por las Libertad Civiles </w:t>
            </w:r>
          </w:p>
          <w:p w14:paraId="374B2A68" w14:textId="3CC48181" w:rsidR="00F464EC" w:rsidRPr="00567135" w:rsidRDefault="00D04613" w:rsidP="00567135">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567135">
              <w:rPr>
                <w:rFonts w:ascii="Calibri Light" w:hAnsi="Calibri Light"/>
              </w:rPr>
              <w:t>Proyecto Nacional de Leyes del Empleo</w:t>
            </w:r>
          </w:p>
        </w:tc>
      </w:tr>
      <w:tr w:rsidR="005173CF" w:rsidRPr="004533E5" w14:paraId="3A483B4F" w14:textId="77777777" w:rsidTr="006F1245">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3678" w:type="dxa"/>
          </w:tcPr>
          <w:p w14:paraId="6233C75C" w14:textId="77777777" w:rsidR="005173CF" w:rsidRPr="004533E5" w:rsidRDefault="007A6C56" w:rsidP="00A65231">
            <w:pPr>
              <w:pStyle w:val="ListParagraph"/>
              <w:numPr>
                <w:ilvl w:val="0"/>
                <w:numId w:val="3"/>
              </w:numPr>
              <w:rPr>
                <w:rFonts w:ascii="Calibri Light" w:hAnsi="Calibri Light"/>
              </w:rPr>
            </w:pPr>
            <w:r w:rsidRPr="004533E5">
              <w:rPr>
                <w:rFonts w:ascii="Calibri Light" w:hAnsi="Calibri Light"/>
              </w:rPr>
              <w:t xml:space="preserve">Número de Informe </w:t>
            </w:r>
          </w:p>
        </w:tc>
        <w:tc>
          <w:tcPr>
            <w:tcW w:w="5043" w:type="dxa"/>
            <w:gridSpan w:val="2"/>
          </w:tcPr>
          <w:p w14:paraId="77740DF4" w14:textId="082B797A" w:rsidR="005173CF" w:rsidRPr="00567135" w:rsidRDefault="00E63422" w:rsidP="00567135">
            <w:pPr>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hyperlink r:id="rId12" w:history="1">
              <w:r w:rsidR="00193C1F">
                <w:rPr>
                  <w:rStyle w:val="Hyperlink"/>
                  <w:rFonts w:ascii="Calibri Light" w:hAnsi="Calibri Light"/>
                </w:rPr>
                <w:t>Informe No. 5</w:t>
              </w:r>
              <w:r w:rsidR="00D04613" w:rsidRPr="00567135">
                <w:rPr>
                  <w:rStyle w:val="Hyperlink"/>
                  <w:rFonts w:ascii="Calibri Light" w:hAnsi="Calibri Light"/>
                </w:rPr>
                <w:t>0/16</w:t>
              </w:r>
            </w:hyperlink>
          </w:p>
        </w:tc>
      </w:tr>
      <w:tr w:rsidR="004533E5" w:rsidRPr="004533E5" w14:paraId="5EC10F5F" w14:textId="77777777" w:rsidTr="006F1245">
        <w:trPr>
          <w:trHeight w:val="212"/>
        </w:trPr>
        <w:tc>
          <w:tcPr>
            <w:cnfStyle w:val="001000000000" w:firstRow="0" w:lastRow="0" w:firstColumn="1" w:lastColumn="0" w:oddVBand="0" w:evenVBand="0" w:oddHBand="0" w:evenHBand="0" w:firstRowFirstColumn="0" w:firstRowLastColumn="0" w:lastRowFirstColumn="0" w:lastRowLastColumn="0"/>
            <w:tcW w:w="3678" w:type="dxa"/>
          </w:tcPr>
          <w:p w14:paraId="00180E4F" w14:textId="77777777" w:rsidR="005173CF" w:rsidRPr="00F725A5" w:rsidRDefault="00954E20" w:rsidP="00954E20">
            <w:pPr>
              <w:pStyle w:val="ListParagraph"/>
              <w:numPr>
                <w:ilvl w:val="0"/>
                <w:numId w:val="3"/>
              </w:numPr>
            </w:pPr>
            <w:r w:rsidRPr="004533E5">
              <w:rPr>
                <w:rFonts w:ascii="Calibri Light" w:hAnsi="Calibri Light"/>
              </w:rPr>
              <w:t xml:space="preserve">Tipo de informe </w:t>
            </w:r>
          </w:p>
        </w:tc>
        <w:tc>
          <w:tcPr>
            <w:tcW w:w="5043" w:type="dxa"/>
            <w:gridSpan w:val="2"/>
            <w:vAlign w:val="center"/>
          </w:tcPr>
          <w:p w14:paraId="35E9A08D" w14:textId="01AD0C1A" w:rsidR="005173CF" w:rsidRPr="00567135" w:rsidRDefault="00D04613" w:rsidP="006F1245">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567135">
              <w:rPr>
                <w:rFonts w:ascii="Calibri Light" w:hAnsi="Calibri Light"/>
              </w:rPr>
              <w:t>Informe de Fondo</w:t>
            </w:r>
            <w:r w:rsidR="006E5BA4">
              <w:rPr>
                <w:rFonts w:ascii="Calibri Light" w:hAnsi="Calibri Light"/>
              </w:rPr>
              <w:t xml:space="preserve"> (Publicación)</w:t>
            </w:r>
          </w:p>
        </w:tc>
      </w:tr>
      <w:tr w:rsidR="005173CF" w:rsidRPr="004533E5" w14:paraId="7ED5AB61" w14:textId="77777777" w:rsidTr="006F1245">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3678" w:type="dxa"/>
          </w:tcPr>
          <w:p w14:paraId="2F77A84C" w14:textId="77777777" w:rsidR="005173CF" w:rsidRPr="004533E5" w:rsidRDefault="00954E20" w:rsidP="00A65231">
            <w:pPr>
              <w:pStyle w:val="ListParagraph"/>
              <w:numPr>
                <w:ilvl w:val="0"/>
                <w:numId w:val="3"/>
              </w:numPr>
              <w:rPr>
                <w:rFonts w:ascii="Calibri Light" w:hAnsi="Calibri Light"/>
              </w:rPr>
            </w:pPr>
            <w:r>
              <w:rPr>
                <w:rFonts w:ascii="Calibri Light" w:hAnsi="Calibri Light"/>
              </w:rPr>
              <w:t>Fecha</w:t>
            </w:r>
            <w:r w:rsidR="007A6C56" w:rsidRPr="004533E5">
              <w:rPr>
                <w:rFonts w:ascii="Calibri Light" w:hAnsi="Calibri Light"/>
              </w:rPr>
              <w:t xml:space="preserve"> </w:t>
            </w:r>
          </w:p>
        </w:tc>
        <w:tc>
          <w:tcPr>
            <w:tcW w:w="5043" w:type="dxa"/>
            <w:gridSpan w:val="2"/>
            <w:vAlign w:val="center"/>
          </w:tcPr>
          <w:p w14:paraId="1C803DF5" w14:textId="3917B34F" w:rsidR="005173CF" w:rsidRPr="00567135" w:rsidRDefault="00D04613" w:rsidP="006F1245">
            <w:pPr>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r w:rsidRPr="00567135">
              <w:rPr>
                <w:rFonts w:ascii="Calibri Light" w:hAnsi="Calibri Light"/>
              </w:rPr>
              <w:t>30 de noviembre de 2016</w:t>
            </w:r>
          </w:p>
        </w:tc>
      </w:tr>
      <w:tr w:rsidR="004533E5" w:rsidRPr="004533E5" w14:paraId="1A0D058F" w14:textId="77777777" w:rsidTr="006F1245">
        <w:trPr>
          <w:trHeight w:val="602"/>
        </w:trPr>
        <w:tc>
          <w:tcPr>
            <w:cnfStyle w:val="001000000000" w:firstRow="0" w:lastRow="0" w:firstColumn="1" w:lastColumn="0" w:oddVBand="0" w:evenVBand="0" w:oddHBand="0" w:evenHBand="0" w:firstRowFirstColumn="0" w:firstRowLastColumn="0" w:lastRowFirstColumn="0" w:lastRowLastColumn="0"/>
            <w:tcW w:w="3678" w:type="dxa"/>
          </w:tcPr>
          <w:p w14:paraId="661C9E19" w14:textId="1119002C" w:rsidR="005173CF" w:rsidRPr="004533E5" w:rsidRDefault="00BB61C6" w:rsidP="00A65231">
            <w:pPr>
              <w:pStyle w:val="ListParagraph"/>
              <w:numPr>
                <w:ilvl w:val="0"/>
                <w:numId w:val="3"/>
              </w:numPr>
              <w:rPr>
                <w:rFonts w:ascii="Calibri Light" w:hAnsi="Calibri Light"/>
              </w:rPr>
            </w:pPr>
            <w:r>
              <w:rPr>
                <w:rFonts w:ascii="Calibri Light" w:hAnsi="Calibri Light"/>
              </w:rPr>
              <w:t>Decisiones de la CIDH</w:t>
            </w:r>
            <w:r w:rsidR="007A6C56" w:rsidRPr="004533E5">
              <w:rPr>
                <w:rFonts w:ascii="Calibri Light" w:hAnsi="Calibri Light"/>
              </w:rPr>
              <w:t xml:space="preserve"> </w:t>
            </w:r>
            <w:r w:rsidR="00DD3C7C">
              <w:rPr>
                <w:rFonts w:ascii="Calibri Light" w:hAnsi="Calibri Light"/>
              </w:rPr>
              <w:t xml:space="preserve">y/o la Corte IDH, </w:t>
            </w:r>
            <w:r w:rsidR="007A6C56" w:rsidRPr="004533E5">
              <w:rPr>
                <w:rFonts w:ascii="Calibri Light" w:hAnsi="Calibri Light"/>
              </w:rPr>
              <w:t>relacionadas</w:t>
            </w:r>
          </w:p>
        </w:tc>
        <w:tc>
          <w:tcPr>
            <w:tcW w:w="5043" w:type="dxa"/>
            <w:gridSpan w:val="2"/>
            <w:vAlign w:val="center"/>
          </w:tcPr>
          <w:p w14:paraId="1EF7FA34" w14:textId="43C74309" w:rsidR="00AC6F31" w:rsidRDefault="00CA7890" w:rsidP="006F1245">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sidRPr="008D694D">
              <w:rPr>
                <w:rFonts w:ascii="Calibri Light" w:hAnsi="Calibri Light"/>
              </w:rPr>
              <w:t>Informe No. 134/11</w:t>
            </w:r>
            <w:r w:rsidRPr="00567135">
              <w:rPr>
                <w:rFonts w:ascii="Calibri Light" w:hAnsi="Calibri Light"/>
              </w:rPr>
              <w:t xml:space="preserve"> </w:t>
            </w:r>
            <w:r w:rsidR="008D694D">
              <w:rPr>
                <w:rFonts w:ascii="Calibri Light" w:hAnsi="Calibri Light"/>
              </w:rPr>
              <w:t>(</w:t>
            </w:r>
            <w:hyperlink r:id="rId13" w:history="1">
              <w:r w:rsidR="008D694D" w:rsidRPr="008D694D">
                <w:rPr>
                  <w:rStyle w:val="Hyperlink"/>
                  <w:rFonts w:ascii="Calibri Light" w:hAnsi="Calibri Light"/>
                </w:rPr>
                <w:t>Admisibilidad</w:t>
              </w:r>
            </w:hyperlink>
            <w:r w:rsidR="008D694D">
              <w:rPr>
                <w:rFonts w:ascii="Calibri Light" w:hAnsi="Calibri Light"/>
              </w:rPr>
              <w:t>)</w:t>
            </w:r>
          </w:p>
          <w:p w14:paraId="72EA1AA4" w14:textId="2D52AC6C" w:rsidR="00D660A7" w:rsidRPr="00567135" w:rsidRDefault="00D660A7" w:rsidP="006F1245">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Informe No. 83/15 (Fondo)</w:t>
            </w:r>
          </w:p>
        </w:tc>
      </w:tr>
      <w:tr w:rsidR="006F1245" w:rsidRPr="004533E5" w14:paraId="570485B4" w14:textId="77777777" w:rsidTr="006F1245">
        <w:trPr>
          <w:cnfStyle w:val="000000100000" w:firstRow="0" w:lastRow="0" w:firstColumn="0" w:lastColumn="0" w:oddVBand="0" w:evenVBand="0" w:oddHBand="1" w:evenHBand="0" w:firstRowFirstColumn="0" w:firstRowLastColumn="0" w:lastRowFirstColumn="0" w:lastRowLastColumn="0"/>
          <w:trHeight w:val="600"/>
        </w:trPr>
        <w:tc>
          <w:tcPr>
            <w:cnfStyle w:val="001000000000" w:firstRow="0" w:lastRow="0" w:firstColumn="1" w:lastColumn="0" w:oddVBand="0" w:evenVBand="0" w:oddHBand="0" w:evenHBand="0" w:firstRowFirstColumn="0" w:firstRowLastColumn="0" w:lastRowFirstColumn="0" w:lastRowLastColumn="0"/>
            <w:tcW w:w="3678" w:type="dxa"/>
            <w:vMerge w:val="restart"/>
          </w:tcPr>
          <w:p w14:paraId="3FCF8D6E" w14:textId="02367CB6" w:rsidR="006F1245" w:rsidRDefault="006F1245" w:rsidP="00204509">
            <w:pPr>
              <w:pStyle w:val="ListParagraph"/>
              <w:numPr>
                <w:ilvl w:val="0"/>
                <w:numId w:val="3"/>
              </w:numPr>
              <w:jc w:val="both"/>
              <w:rPr>
                <w:rFonts w:ascii="Calibri Light" w:hAnsi="Calibri Light"/>
              </w:rPr>
            </w:pPr>
            <w:r>
              <w:rPr>
                <w:rFonts w:ascii="Calibri Light" w:hAnsi="Calibri Light"/>
              </w:rPr>
              <w:t xml:space="preserve">Artículos analizados </w:t>
            </w:r>
          </w:p>
        </w:tc>
        <w:tc>
          <w:tcPr>
            <w:tcW w:w="5043" w:type="dxa"/>
            <w:gridSpan w:val="2"/>
            <w:vAlign w:val="center"/>
          </w:tcPr>
          <w:p w14:paraId="18718B95" w14:textId="627DBFFF" w:rsidR="006F1245" w:rsidRPr="004533E5" w:rsidRDefault="006F1245" w:rsidP="007B699D">
            <w:pPr>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r>
              <w:rPr>
                <w:rFonts w:ascii="Calibri Light" w:hAnsi="Calibri Light"/>
              </w:rPr>
              <w:t>Declaración Americana de los Derechos y Deberes del Hombre</w:t>
            </w:r>
          </w:p>
        </w:tc>
      </w:tr>
      <w:tr w:rsidR="006F1245" w:rsidRPr="004533E5" w14:paraId="25F924CE" w14:textId="5E29F4F1" w:rsidTr="006F1245">
        <w:trPr>
          <w:trHeight w:val="610"/>
        </w:trPr>
        <w:tc>
          <w:tcPr>
            <w:cnfStyle w:val="001000000000" w:firstRow="0" w:lastRow="0" w:firstColumn="1" w:lastColumn="0" w:oddVBand="0" w:evenVBand="0" w:oddHBand="0" w:evenHBand="0" w:firstRowFirstColumn="0" w:firstRowLastColumn="0" w:lastRowFirstColumn="0" w:lastRowLastColumn="0"/>
            <w:tcW w:w="3678" w:type="dxa"/>
            <w:vMerge/>
          </w:tcPr>
          <w:p w14:paraId="57B18012" w14:textId="77777777" w:rsidR="006F1245" w:rsidRDefault="006F1245" w:rsidP="00204509">
            <w:pPr>
              <w:pStyle w:val="ListParagraph"/>
              <w:numPr>
                <w:ilvl w:val="0"/>
                <w:numId w:val="3"/>
              </w:numPr>
              <w:jc w:val="both"/>
              <w:rPr>
                <w:rFonts w:ascii="Calibri Light" w:hAnsi="Calibri Light"/>
              </w:rPr>
            </w:pPr>
          </w:p>
        </w:tc>
        <w:tc>
          <w:tcPr>
            <w:tcW w:w="2400" w:type="dxa"/>
            <w:vAlign w:val="center"/>
          </w:tcPr>
          <w:p w14:paraId="4F8B16DE" w14:textId="1AFAC128" w:rsidR="006F1245" w:rsidRDefault="006F1245" w:rsidP="00204509">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Artículos analizados declarados violados</w:t>
            </w:r>
          </w:p>
        </w:tc>
        <w:tc>
          <w:tcPr>
            <w:tcW w:w="2643" w:type="dxa"/>
            <w:vAlign w:val="center"/>
          </w:tcPr>
          <w:p w14:paraId="0AA6B864" w14:textId="7F4DB07C" w:rsidR="006F1245" w:rsidRDefault="006F1245" w:rsidP="00204509">
            <w:pPr>
              <w:jc w:val="both"/>
              <w:cnfStyle w:val="000000000000" w:firstRow="0" w:lastRow="0" w:firstColumn="0" w:lastColumn="0" w:oddVBand="0" w:evenVBand="0" w:oddHBand="0" w:evenHBand="0" w:firstRowFirstColumn="0" w:firstRowLastColumn="0" w:lastRowFirstColumn="0" w:lastRowLastColumn="0"/>
              <w:rPr>
                <w:rFonts w:ascii="Calibri Light" w:hAnsi="Calibri Light"/>
              </w:rPr>
            </w:pPr>
            <w:r>
              <w:rPr>
                <w:rFonts w:ascii="Calibri Light" w:hAnsi="Calibri Light"/>
              </w:rPr>
              <w:t>Artículos analizados no declarados violados</w:t>
            </w:r>
          </w:p>
        </w:tc>
      </w:tr>
      <w:tr w:rsidR="006F1245" w:rsidRPr="004533E5" w14:paraId="27F42B0A" w14:textId="77777777" w:rsidTr="006F1245">
        <w:trPr>
          <w:cnfStyle w:val="000000100000" w:firstRow="0" w:lastRow="0" w:firstColumn="0" w:lastColumn="0" w:oddVBand="0" w:evenVBand="0" w:oddHBand="1" w:evenHBand="0" w:firstRowFirstColumn="0" w:firstRowLastColumn="0" w:lastRowFirstColumn="0" w:lastRowLastColumn="0"/>
          <w:trHeight w:val="537"/>
        </w:trPr>
        <w:tc>
          <w:tcPr>
            <w:cnfStyle w:val="001000000000" w:firstRow="0" w:lastRow="0" w:firstColumn="1" w:lastColumn="0" w:oddVBand="0" w:evenVBand="0" w:oddHBand="0" w:evenHBand="0" w:firstRowFirstColumn="0" w:firstRowLastColumn="0" w:lastRowFirstColumn="0" w:lastRowLastColumn="0"/>
            <w:tcW w:w="3678" w:type="dxa"/>
            <w:vMerge/>
          </w:tcPr>
          <w:p w14:paraId="6168D843" w14:textId="77777777" w:rsidR="006F1245" w:rsidRDefault="006F1245" w:rsidP="00A65231">
            <w:pPr>
              <w:pStyle w:val="ListParagraph"/>
              <w:numPr>
                <w:ilvl w:val="0"/>
                <w:numId w:val="3"/>
              </w:numPr>
              <w:rPr>
                <w:rFonts w:ascii="Calibri Light" w:hAnsi="Calibri Light"/>
              </w:rPr>
            </w:pPr>
          </w:p>
        </w:tc>
        <w:tc>
          <w:tcPr>
            <w:tcW w:w="2400" w:type="dxa"/>
            <w:vAlign w:val="center"/>
          </w:tcPr>
          <w:p w14:paraId="0E3D7A4E" w14:textId="6E4CD426" w:rsidR="006F1245" w:rsidRPr="00204509" w:rsidRDefault="006F1245" w:rsidP="00204509">
            <w:pPr>
              <w:jc w:val="both"/>
              <w:cnfStyle w:val="000000100000" w:firstRow="0" w:lastRow="0" w:firstColumn="0" w:lastColumn="0" w:oddVBand="0" w:evenVBand="0" w:oddHBand="1" w:evenHBand="0" w:firstRowFirstColumn="0" w:firstRowLastColumn="0" w:lastRowFirstColumn="0" w:lastRowLastColumn="0"/>
              <w:rPr>
                <w:rFonts w:ascii="Calibri Light" w:hAnsi="Calibri Light"/>
                <w:lang w:val="en-US"/>
              </w:rPr>
            </w:pPr>
            <w:r w:rsidRPr="00C42C06">
              <w:rPr>
                <w:rFonts w:ascii="Calibri Light" w:hAnsi="Calibri Light"/>
                <w:lang w:val="en-US"/>
              </w:rPr>
              <w:t>Art. II</w:t>
            </w:r>
            <w:r w:rsidR="008D694D">
              <w:rPr>
                <w:rFonts w:ascii="Calibri Light" w:hAnsi="Calibri Light"/>
                <w:lang w:val="en-US"/>
              </w:rPr>
              <w:t>, a</w:t>
            </w:r>
            <w:r w:rsidRPr="00C42C06">
              <w:rPr>
                <w:rFonts w:ascii="Calibri Light" w:hAnsi="Calibri Light"/>
                <w:lang w:val="en-US"/>
              </w:rPr>
              <w:t>rt. XVI</w:t>
            </w:r>
            <w:r w:rsidR="008D694D">
              <w:rPr>
                <w:rFonts w:ascii="Calibri Light" w:hAnsi="Calibri Light"/>
                <w:lang w:val="en-US"/>
              </w:rPr>
              <w:t>, a</w:t>
            </w:r>
            <w:r w:rsidRPr="00C42C06">
              <w:rPr>
                <w:rFonts w:ascii="Calibri Light" w:hAnsi="Calibri Light"/>
                <w:lang w:val="en-US"/>
              </w:rPr>
              <w:t xml:space="preserve">rt. </w:t>
            </w:r>
            <w:r w:rsidRPr="00204509">
              <w:rPr>
                <w:rFonts w:ascii="Calibri Light" w:hAnsi="Calibri Light"/>
                <w:lang w:val="en-US"/>
              </w:rPr>
              <w:t>XVII</w:t>
            </w:r>
            <w:r w:rsidR="008D694D">
              <w:rPr>
                <w:rFonts w:ascii="Calibri Light" w:hAnsi="Calibri Light"/>
                <w:lang w:val="en-US"/>
              </w:rPr>
              <w:t>, a</w:t>
            </w:r>
            <w:r w:rsidRPr="00204509">
              <w:rPr>
                <w:rFonts w:ascii="Calibri Light" w:hAnsi="Calibri Light"/>
                <w:lang w:val="en-US"/>
              </w:rPr>
              <w:t>rt. XVIII.</w:t>
            </w:r>
          </w:p>
        </w:tc>
        <w:tc>
          <w:tcPr>
            <w:tcW w:w="2643" w:type="dxa"/>
            <w:vAlign w:val="center"/>
          </w:tcPr>
          <w:p w14:paraId="6789AE64" w14:textId="7BB54865" w:rsidR="00FE7970" w:rsidRDefault="00FE7970" w:rsidP="00FE7970">
            <w:pPr>
              <w:jc w:val="both"/>
              <w:cnfStyle w:val="000000100000" w:firstRow="0" w:lastRow="0" w:firstColumn="0" w:lastColumn="0" w:oddVBand="0" w:evenVBand="0" w:oddHBand="1" w:evenHBand="0" w:firstRowFirstColumn="0" w:firstRowLastColumn="0" w:lastRowFirstColumn="0" w:lastRowLastColumn="0"/>
              <w:rPr>
                <w:rFonts w:ascii="Calibri Light" w:hAnsi="Calibri Light"/>
              </w:rPr>
            </w:pPr>
            <w:r>
              <w:rPr>
                <w:rFonts w:ascii="Calibri Light" w:hAnsi="Calibri Light"/>
              </w:rPr>
              <w:t>Art. XVII (respecto del señor Zumaya)</w:t>
            </w:r>
            <w:r w:rsidR="008D694D">
              <w:rPr>
                <w:rFonts w:ascii="Calibri Light" w:hAnsi="Calibri Light"/>
              </w:rPr>
              <w:t>, a</w:t>
            </w:r>
            <w:r>
              <w:rPr>
                <w:rFonts w:ascii="Calibri Light" w:hAnsi="Calibri Light"/>
              </w:rPr>
              <w:t>rt. XVIII (respecto del señor Zumaya)</w:t>
            </w:r>
          </w:p>
        </w:tc>
      </w:tr>
      <w:tr w:rsidR="005173CF" w:rsidRPr="004533E5" w14:paraId="54B7813B" w14:textId="77777777" w:rsidTr="006F1245">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6D4895DD" w14:textId="0D3104B3" w:rsidR="00AC6F31" w:rsidRDefault="00AC6F31" w:rsidP="00AC6F31">
            <w:pPr>
              <w:pStyle w:val="ListParagraph"/>
              <w:rPr>
                <w:rFonts w:ascii="Calibri Light" w:hAnsi="Calibri Light"/>
              </w:rPr>
            </w:pPr>
          </w:p>
          <w:p w14:paraId="1ECE5967" w14:textId="77777777" w:rsidR="005173CF" w:rsidRDefault="007A6C56" w:rsidP="0029671B">
            <w:pPr>
              <w:pStyle w:val="ListParagraph"/>
              <w:numPr>
                <w:ilvl w:val="0"/>
                <w:numId w:val="2"/>
              </w:numPr>
              <w:jc w:val="center"/>
              <w:rPr>
                <w:rFonts w:ascii="Calibri Light" w:hAnsi="Calibri Light"/>
              </w:rPr>
            </w:pPr>
            <w:r w:rsidRPr="004533E5">
              <w:rPr>
                <w:rFonts w:ascii="Calibri Light" w:hAnsi="Calibri Light"/>
              </w:rPr>
              <w:t>Sumilla</w:t>
            </w:r>
          </w:p>
          <w:p w14:paraId="009AFBB8" w14:textId="77777777" w:rsidR="00AC6F31" w:rsidRPr="004533E5" w:rsidRDefault="00AC6F31" w:rsidP="00AC6F31">
            <w:pPr>
              <w:pStyle w:val="ListParagraph"/>
              <w:rPr>
                <w:rFonts w:ascii="Calibri Light" w:hAnsi="Calibri Light"/>
              </w:rPr>
            </w:pPr>
          </w:p>
        </w:tc>
      </w:tr>
      <w:tr w:rsidR="007A6C56" w:rsidRPr="004533E5" w14:paraId="6B670455" w14:textId="77777777" w:rsidTr="006F1245">
        <w:trPr>
          <w:cnfStyle w:val="000000100000" w:firstRow="0" w:lastRow="0" w:firstColumn="0" w:lastColumn="0" w:oddVBand="0" w:evenVBand="0" w:oddHBand="1" w:evenHBand="0" w:firstRowFirstColumn="0" w:firstRowLastColumn="0" w:lastRowFirstColumn="0" w:lastRowLastColumn="0"/>
          <w:trHeight w:val="220"/>
        </w:trPr>
        <w:tc>
          <w:tcPr>
            <w:cnfStyle w:val="001000000000" w:firstRow="0" w:lastRow="0" w:firstColumn="1" w:lastColumn="0" w:oddVBand="0" w:evenVBand="0" w:oddHBand="0" w:evenHBand="0" w:firstRowFirstColumn="0" w:firstRowLastColumn="0" w:lastRowFirstColumn="0" w:lastRowLastColumn="0"/>
            <w:tcW w:w="8721" w:type="dxa"/>
            <w:gridSpan w:val="3"/>
          </w:tcPr>
          <w:p w14:paraId="03C967CD" w14:textId="77777777" w:rsidR="00AC6F31" w:rsidRDefault="00AC6F31" w:rsidP="00931244">
            <w:pPr>
              <w:jc w:val="both"/>
              <w:rPr>
                <w:rFonts w:ascii="Calibri Light" w:hAnsi="Calibri Light"/>
                <w:b w:val="0"/>
              </w:rPr>
            </w:pPr>
          </w:p>
          <w:p w14:paraId="0D4D01C1" w14:textId="0A8FE38E" w:rsidR="00CE208B" w:rsidRDefault="00D11177" w:rsidP="00CE208B">
            <w:pPr>
              <w:jc w:val="both"/>
              <w:rPr>
                <w:rFonts w:ascii="Calibri Light" w:hAnsi="Calibri Light"/>
                <w:b w:val="0"/>
              </w:rPr>
            </w:pPr>
            <w:r>
              <w:rPr>
                <w:rFonts w:ascii="Calibri Light" w:hAnsi="Calibri Light"/>
                <w:b w:val="0"/>
              </w:rPr>
              <w:t xml:space="preserve">El caso versa sobre los obstáculos que enfrentaron los señores Zumaya y Lizalde para acceder a una indemnización por accidente de trabajo en Pensilvania y Kansas, debido a su situación migratoria irregular. En el caso del señor Zumaya, la compañía de seguros de su empleador se negó a pagar su indemnización y al demandar, se le aconsejo aceptar una indemnización por un monto inferior al que habría recibido un trabajador nacional. En el caso del señor Lizalde, tras iniciar un proceso judicial por indemnización, fue acusado de fraude documental y posteriormente, deportado. </w:t>
            </w:r>
          </w:p>
          <w:p w14:paraId="1EE5A7E7" w14:textId="5E491218" w:rsidR="00AC6F31" w:rsidRPr="004533E5" w:rsidRDefault="00CE208B" w:rsidP="00CE208B">
            <w:pPr>
              <w:jc w:val="both"/>
              <w:rPr>
                <w:rFonts w:ascii="Calibri Light" w:hAnsi="Calibri Light"/>
                <w:b w:val="0"/>
              </w:rPr>
            </w:pPr>
            <w:r>
              <w:rPr>
                <w:rFonts w:ascii="Calibri Light" w:hAnsi="Calibri Light"/>
                <w:b w:val="0"/>
              </w:rPr>
              <w:t xml:space="preserve"> </w:t>
            </w:r>
          </w:p>
        </w:tc>
      </w:tr>
      <w:tr w:rsidR="007A6C56" w:rsidRPr="004533E5" w14:paraId="238A2196" w14:textId="77777777" w:rsidTr="006F1245">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76D9AAF2" w14:textId="77777777" w:rsidR="00AC6F31" w:rsidRDefault="00AC6F31" w:rsidP="00AC6F31">
            <w:pPr>
              <w:pStyle w:val="ListParagraph"/>
              <w:rPr>
                <w:rFonts w:ascii="Calibri Light" w:hAnsi="Calibri Light"/>
              </w:rPr>
            </w:pPr>
          </w:p>
          <w:p w14:paraId="6E7AC4B8" w14:textId="77777777" w:rsidR="007A6C56" w:rsidRDefault="007A6C56" w:rsidP="0029671B">
            <w:pPr>
              <w:pStyle w:val="ListParagraph"/>
              <w:numPr>
                <w:ilvl w:val="0"/>
                <w:numId w:val="2"/>
              </w:numPr>
              <w:jc w:val="center"/>
              <w:rPr>
                <w:rFonts w:ascii="Calibri Light" w:hAnsi="Calibri Light"/>
              </w:rPr>
            </w:pPr>
            <w:r w:rsidRPr="004533E5">
              <w:rPr>
                <w:rFonts w:ascii="Calibri Light" w:hAnsi="Calibri Light"/>
              </w:rPr>
              <w:t>Palabras clave</w:t>
            </w:r>
          </w:p>
          <w:p w14:paraId="6A1E32A7" w14:textId="77777777" w:rsidR="00AC6F31" w:rsidRPr="004533E5" w:rsidRDefault="00AC6F31" w:rsidP="00AC6F31">
            <w:pPr>
              <w:pStyle w:val="ListParagraph"/>
              <w:rPr>
                <w:rFonts w:ascii="Calibri Light" w:hAnsi="Calibri Light"/>
              </w:rPr>
            </w:pPr>
          </w:p>
        </w:tc>
      </w:tr>
      <w:tr w:rsidR="007A6C56" w:rsidRPr="004533E5" w14:paraId="34AE2D45" w14:textId="77777777" w:rsidTr="006F1245">
        <w:trPr>
          <w:cnfStyle w:val="000000100000" w:firstRow="0" w:lastRow="0" w:firstColumn="0" w:lastColumn="0" w:oddVBand="0" w:evenVBand="0" w:oddHBand="1" w:evenHBand="0" w:firstRowFirstColumn="0" w:firstRowLastColumn="0" w:lastRowFirstColumn="0" w:lastRowLastColumn="0"/>
          <w:trHeight w:val="509"/>
        </w:trPr>
        <w:tc>
          <w:tcPr>
            <w:cnfStyle w:val="001000000000" w:firstRow="0" w:lastRow="0" w:firstColumn="1" w:lastColumn="0" w:oddVBand="0" w:evenVBand="0" w:oddHBand="0" w:evenHBand="0" w:firstRowFirstColumn="0" w:firstRowLastColumn="0" w:lastRowFirstColumn="0" w:lastRowLastColumn="0"/>
            <w:tcW w:w="8721" w:type="dxa"/>
            <w:gridSpan w:val="3"/>
          </w:tcPr>
          <w:p w14:paraId="726ECEB2" w14:textId="77777777" w:rsidR="00AD62EB" w:rsidRPr="00AD62EB" w:rsidRDefault="00AD62EB" w:rsidP="00AD62EB">
            <w:pPr>
              <w:jc w:val="both"/>
              <w:rPr>
                <w:rFonts w:ascii="Calibri Light" w:hAnsi="Calibri Light" w:cs="Calibri Light"/>
                <w:b w:val="0"/>
                <w:sz w:val="23"/>
                <w:szCs w:val="23"/>
              </w:rPr>
            </w:pPr>
          </w:p>
          <w:p w14:paraId="1FFC7A54" w14:textId="4D363849" w:rsidR="00AD62EB" w:rsidRDefault="00CA7890" w:rsidP="00AD62EB">
            <w:pPr>
              <w:jc w:val="both"/>
              <w:rPr>
                <w:rFonts w:ascii="Calibri Light" w:hAnsi="Calibri Light"/>
                <w:b w:val="0"/>
              </w:rPr>
            </w:pPr>
            <w:r w:rsidRPr="00AD62EB">
              <w:rPr>
                <w:rFonts w:ascii="Calibri Light" w:hAnsi="Calibri Light" w:cs="Calibri Light"/>
                <w:b w:val="0"/>
                <w:sz w:val="23"/>
                <w:szCs w:val="23"/>
              </w:rPr>
              <w:t xml:space="preserve">Derechos laborales, </w:t>
            </w:r>
            <w:r w:rsidR="00021BA6" w:rsidRPr="00AD62EB">
              <w:rPr>
                <w:rFonts w:ascii="Calibri Light" w:hAnsi="Calibri Light" w:cs="Calibri Light"/>
                <w:b w:val="0"/>
                <w:sz w:val="23"/>
                <w:szCs w:val="23"/>
              </w:rPr>
              <w:t>DESCA, DADDH</w:t>
            </w:r>
            <w:r w:rsidR="00021BA6">
              <w:rPr>
                <w:rFonts w:ascii="Calibri Light" w:hAnsi="Calibri Light" w:cs="Calibri Light"/>
                <w:b w:val="0"/>
                <w:sz w:val="23"/>
                <w:szCs w:val="23"/>
              </w:rPr>
              <w:t>,</w:t>
            </w:r>
            <w:r w:rsidR="00021BA6" w:rsidRPr="00CA7890">
              <w:rPr>
                <w:rFonts w:ascii="Calibri Light" w:hAnsi="Calibri Light"/>
                <w:b w:val="0"/>
              </w:rPr>
              <w:t xml:space="preserve"> </w:t>
            </w:r>
            <w:r w:rsidR="00021BA6" w:rsidRPr="00AD62EB">
              <w:rPr>
                <w:rFonts w:ascii="Calibri Light" w:hAnsi="Calibri Light" w:cs="Calibri Light"/>
                <w:b w:val="0"/>
                <w:sz w:val="23"/>
                <w:szCs w:val="23"/>
              </w:rPr>
              <w:t xml:space="preserve">Igualdad ante la ley, Migrantes, Trabajadores indocumentados, </w:t>
            </w:r>
            <w:r w:rsidR="00021BA6">
              <w:rPr>
                <w:rFonts w:ascii="Calibri Light" w:hAnsi="Calibri Light" w:cs="Calibri Light"/>
                <w:b w:val="0"/>
                <w:sz w:val="23"/>
                <w:szCs w:val="23"/>
              </w:rPr>
              <w:t>Seguridad social</w:t>
            </w:r>
            <w:r w:rsidRPr="00AD62EB">
              <w:rPr>
                <w:rFonts w:ascii="Calibri Light" w:hAnsi="Calibri Light" w:cs="Calibri Light"/>
                <w:b w:val="0"/>
                <w:sz w:val="23"/>
                <w:szCs w:val="23"/>
              </w:rPr>
              <w:t xml:space="preserve"> </w:t>
            </w:r>
          </w:p>
          <w:p w14:paraId="05374712" w14:textId="185E5804" w:rsidR="00AD62EB" w:rsidRPr="00CA7890" w:rsidRDefault="00AD62EB" w:rsidP="00AD62EB">
            <w:pPr>
              <w:jc w:val="both"/>
              <w:rPr>
                <w:rFonts w:ascii="Calibri Light" w:hAnsi="Calibri Light"/>
                <w:b w:val="0"/>
              </w:rPr>
            </w:pPr>
          </w:p>
        </w:tc>
      </w:tr>
      <w:tr w:rsidR="005173CF" w:rsidRPr="004533E5" w14:paraId="69044E7B" w14:textId="77777777" w:rsidTr="006F1245">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23949460" w14:textId="77777777" w:rsidR="00AC6F31" w:rsidRDefault="00AC6F31" w:rsidP="00AC6F31">
            <w:pPr>
              <w:pStyle w:val="ListParagraph"/>
              <w:rPr>
                <w:rFonts w:ascii="Calibri Light" w:hAnsi="Calibri Light"/>
              </w:rPr>
            </w:pPr>
          </w:p>
          <w:p w14:paraId="4E836B43" w14:textId="77777777" w:rsidR="007B699D" w:rsidRDefault="007B699D" w:rsidP="00204509">
            <w:pPr>
              <w:pStyle w:val="ListParagraph"/>
              <w:rPr>
                <w:rFonts w:ascii="Calibri Light" w:hAnsi="Calibri Light"/>
              </w:rPr>
            </w:pPr>
          </w:p>
          <w:p w14:paraId="177FF988" w14:textId="77777777" w:rsidR="005173CF" w:rsidRDefault="007A6C56" w:rsidP="0029671B">
            <w:pPr>
              <w:pStyle w:val="ListParagraph"/>
              <w:numPr>
                <w:ilvl w:val="0"/>
                <w:numId w:val="2"/>
              </w:numPr>
              <w:jc w:val="center"/>
              <w:rPr>
                <w:rFonts w:ascii="Calibri Light" w:hAnsi="Calibri Light"/>
              </w:rPr>
            </w:pPr>
            <w:r w:rsidRPr="004533E5">
              <w:rPr>
                <w:rFonts w:ascii="Calibri Light" w:hAnsi="Calibri Light"/>
              </w:rPr>
              <w:lastRenderedPageBreak/>
              <w:t>Hechos</w:t>
            </w:r>
          </w:p>
          <w:p w14:paraId="190B7E98" w14:textId="77777777" w:rsidR="00AC6F31" w:rsidRPr="004533E5" w:rsidRDefault="00AC6F31" w:rsidP="00AC6F31">
            <w:pPr>
              <w:pStyle w:val="ListParagraph"/>
              <w:rPr>
                <w:rFonts w:ascii="Calibri Light" w:hAnsi="Calibri Light"/>
              </w:rPr>
            </w:pPr>
          </w:p>
        </w:tc>
      </w:tr>
      <w:tr w:rsidR="005173CF" w:rsidRPr="004533E5" w14:paraId="6F58DE83" w14:textId="77777777" w:rsidTr="006F1245">
        <w:trPr>
          <w:cnfStyle w:val="000000100000" w:firstRow="0" w:lastRow="0" w:firstColumn="0" w:lastColumn="0" w:oddVBand="0" w:evenVBand="0" w:oddHBand="1" w:evenHBand="0" w:firstRowFirstColumn="0" w:firstRowLastColumn="0" w:lastRowFirstColumn="0" w:lastRowLastColumn="0"/>
          <w:trHeight w:val="662"/>
        </w:trPr>
        <w:tc>
          <w:tcPr>
            <w:cnfStyle w:val="001000000000" w:firstRow="0" w:lastRow="0" w:firstColumn="1" w:lastColumn="0" w:oddVBand="0" w:evenVBand="0" w:oddHBand="0" w:evenHBand="0" w:firstRowFirstColumn="0" w:firstRowLastColumn="0" w:lastRowFirstColumn="0" w:lastRowLastColumn="0"/>
            <w:tcW w:w="8721" w:type="dxa"/>
            <w:gridSpan w:val="3"/>
          </w:tcPr>
          <w:p w14:paraId="470EC13D" w14:textId="77777777" w:rsidR="00AC6F31" w:rsidRDefault="00AC6F31" w:rsidP="008036E7">
            <w:pPr>
              <w:jc w:val="both"/>
              <w:rPr>
                <w:rFonts w:ascii="Calibri Light" w:hAnsi="Calibri Light"/>
                <w:b w:val="0"/>
              </w:rPr>
            </w:pPr>
          </w:p>
          <w:p w14:paraId="43965855" w14:textId="54136232" w:rsidR="00AD62EB" w:rsidRDefault="00F06562" w:rsidP="00F06562">
            <w:pPr>
              <w:jc w:val="both"/>
              <w:rPr>
                <w:rFonts w:ascii="Calibri Light" w:hAnsi="Calibri Light"/>
                <w:b w:val="0"/>
              </w:rPr>
            </w:pPr>
            <w:r>
              <w:rPr>
                <w:rFonts w:ascii="Calibri Light" w:hAnsi="Calibri Light"/>
                <w:b w:val="0"/>
              </w:rPr>
              <w:t xml:space="preserve">En noviembre de 2004, el señor Zumaya se fracturó la pierna al caerse de un árbol, mientras trabajaba recogiendo manzanas en una finca en Pensilvania. Los gastos de atención médica fueron cubiertos, en un inicio, por </w:t>
            </w:r>
            <w:r w:rsidR="007B699D">
              <w:rPr>
                <w:rFonts w:ascii="Calibri Light" w:hAnsi="Calibri Light"/>
                <w:b w:val="0"/>
              </w:rPr>
              <w:t>su</w:t>
            </w:r>
            <w:r>
              <w:rPr>
                <w:rFonts w:ascii="Calibri Light" w:hAnsi="Calibri Light"/>
                <w:b w:val="0"/>
              </w:rPr>
              <w:t xml:space="preserve"> empleador hasta que se hizo evidente que no podía volver a trabajar. La compañía de seguros de su empleador se negó a pagarle una indemnización por accidente de trabajo debido a que era indocumentado. Cuando se dispuso a demandar a su empleador solicitando una indemnización, su abogado le aconsejó aceptar un arreglo por $35.000</w:t>
            </w:r>
            <w:r w:rsidR="00D71243">
              <w:rPr>
                <w:rFonts w:ascii="Calibri Light" w:hAnsi="Calibri Light"/>
                <w:b w:val="0"/>
              </w:rPr>
              <w:t xml:space="preserve">, monto menor al que </w:t>
            </w:r>
            <w:r w:rsidR="00CE208B">
              <w:rPr>
                <w:rFonts w:ascii="Calibri Light" w:hAnsi="Calibri Light"/>
                <w:b w:val="0"/>
              </w:rPr>
              <w:t>habría recibido un trabajador nacional</w:t>
            </w:r>
            <w:r>
              <w:rPr>
                <w:rFonts w:ascii="Calibri Light" w:hAnsi="Calibri Light"/>
                <w:b w:val="0"/>
              </w:rPr>
              <w:t xml:space="preserve">. </w:t>
            </w:r>
          </w:p>
          <w:p w14:paraId="79C797A2" w14:textId="77777777" w:rsidR="00F06562" w:rsidRDefault="00F06562" w:rsidP="00F06562">
            <w:pPr>
              <w:jc w:val="both"/>
              <w:rPr>
                <w:rFonts w:ascii="Calibri Light" w:hAnsi="Calibri Light"/>
                <w:b w:val="0"/>
              </w:rPr>
            </w:pPr>
          </w:p>
          <w:p w14:paraId="5330969E" w14:textId="1BA7F8E8" w:rsidR="00936978" w:rsidRDefault="00F06562" w:rsidP="00B40AD6">
            <w:pPr>
              <w:jc w:val="both"/>
              <w:rPr>
                <w:rFonts w:ascii="Calibri Light" w:hAnsi="Calibri Light"/>
                <w:b w:val="0"/>
              </w:rPr>
            </w:pPr>
            <w:r>
              <w:rPr>
                <w:rFonts w:ascii="Calibri Light" w:hAnsi="Calibri Light"/>
                <w:b w:val="0"/>
              </w:rPr>
              <w:t xml:space="preserve">De </w:t>
            </w:r>
            <w:r w:rsidR="007B699D">
              <w:rPr>
                <w:rFonts w:ascii="Calibri Light" w:hAnsi="Calibri Light"/>
                <w:b w:val="0"/>
              </w:rPr>
              <w:t>modo similar</w:t>
            </w:r>
            <w:r>
              <w:rPr>
                <w:rFonts w:ascii="Calibri Light" w:hAnsi="Calibri Light"/>
                <w:b w:val="0"/>
              </w:rPr>
              <w:t xml:space="preserve">, en noviembre de 2005, el señor Lizalde se fracturó la mano </w:t>
            </w:r>
            <w:r w:rsidR="00B40AD6">
              <w:rPr>
                <w:rFonts w:ascii="Calibri Light" w:hAnsi="Calibri Light"/>
                <w:b w:val="0"/>
              </w:rPr>
              <w:t xml:space="preserve">al caerse de un andamio, mientras trabajaba como pintor en Kansas. </w:t>
            </w:r>
            <w:r w:rsidR="007B699D">
              <w:rPr>
                <w:rFonts w:ascii="Calibri Light" w:hAnsi="Calibri Light"/>
                <w:b w:val="0"/>
              </w:rPr>
              <w:t>Inicialmente</w:t>
            </w:r>
            <w:r w:rsidR="00B40AD6">
              <w:rPr>
                <w:rFonts w:ascii="Calibri Light" w:hAnsi="Calibri Light"/>
                <w:b w:val="0"/>
              </w:rPr>
              <w:t xml:space="preserve">, el señor Lizalde recibió atención médica y cheques para cubrir sus gastos por parte de la compañía de seguros de su empleador. </w:t>
            </w:r>
            <w:r w:rsidR="007B699D">
              <w:rPr>
                <w:rFonts w:ascii="Calibri Light" w:hAnsi="Calibri Light"/>
                <w:b w:val="0"/>
              </w:rPr>
              <w:t>Sin embargo, e</w:t>
            </w:r>
            <w:r w:rsidR="00CE208B">
              <w:rPr>
                <w:rFonts w:ascii="Calibri Light" w:hAnsi="Calibri Light"/>
                <w:b w:val="0"/>
              </w:rPr>
              <w:t>n</w:t>
            </w:r>
            <w:r w:rsidR="00B40AD6">
              <w:rPr>
                <w:rFonts w:ascii="Calibri Light" w:hAnsi="Calibri Light"/>
                <w:b w:val="0"/>
              </w:rPr>
              <w:t xml:space="preserve"> diciembre de ese </w:t>
            </w:r>
            <w:r w:rsidR="007B699D">
              <w:rPr>
                <w:rFonts w:ascii="Calibri Light" w:hAnsi="Calibri Light"/>
                <w:b w:val="0"/>
              </w:rPr>
              <w:t xml:space="preserve">mismo </w:t>
            </w:r>
            <w:r w:rsidR="00B40AD6">
              <w:rPr>
                <w:rFonts w:ascii="Calibri Light" w:hAnsi="Calibri Light"/>
                <w:b w:val="0"/>
              </w:rPr>
              <w:t>año, poco tiempo después de interponer una demanda de indemnización por accidente de trabajo</w:t>
            </w:r>
            <w:r w:rsidR="007B699D">
              <w:rPr>
                <w:rFonts w:ascii="Calibri Light" w:hAnsi="Calibri Light"/>
                <w:b w:val="0"/>
              </w:rPr>
              <w:t xml:space="preserve"> en contra de su empleador</w:t>
            </w:r>
            <w:r w:rsidR="00B40AD6">
              <w:rPr>
                <w:rFonts w:ascii="Calibri Light" w:hAnsi="Calibri Light"/>
                <w:b w:val="0"/>
              </w:rPr>
              <w:t>, fue arrestado y acusado de fraude documental</w:t>
            </w:r>
            <w:r w:rsidR="000957EF">
              <w:rPr>
                <w:rFonts w:ascii="Calibri Light" w:hAnsi="Calibri Light"/>
                <w:b w:val="0"/>
              </w:rPr>
              <w:t xml:space="preserve"> por haber utilizado un número de seguridad social falso para conseguir trabajo</w:t>
            </w:r>
            <w:r w:rsidR="00B40AD6">
              <w:rPr>
                <w:rFonts w:ascii="Calibri Light" w:hAnsi="Calibri Light"/>
                <w:b w:val="0"/>
              </w:rPr>
              <w:t xml:space="preserve">. Durante el mes que estuvo preso no recibió atención médica. Posteriormente, fue hallado culpable y deportado a México. El señor Lizalde no pudo </w:t>
            </w:r>
            <w:r w:rsidR="00BE71AC">
              <w:rPr>
                <w:rFonts w:ascii="Calibri Light" w:hAnsi="Calibri Light"/>
                <w:b w:val="0"/>
              </w:rPr>
              <w:t>continuar su demanda de</w:t>
            </w:r>
            <w:r w:rsidR="00CE208B">
              <w:rPr>
                <w:rFonts w:ascii="Calibri Light" w:hAnsi="Calibri Light"/>
                <w:b w:val="0"/>
              </w:rPr>
              <w:t xml:space="preserve"> </w:t>
            </w:r>
            <w:r w:rsidR="00B40AD6">
              <w:rPr>
                <w:rFonts w:ascii="Calibri Light" w:hAnsi="Calibri Light"/>
                <w:b w:val="0"/>
              </w:rPr>
              <w:t>indemnización, pues su presencia era requerida en el proceso y su deportaci</w:t>
            </w:r>
            <w:r w:rsidR="00936978">
              <w:rPr>
                <w:rFonts w:ascii="Calibri Light" w:hAnsi="Calibri Light"/>
                <w:b w:val="0"/>
              </w:rPr>
              <w:t xml:space="preserve">ón </w:t>
            </w:r>
            <w:r w:rsidR="00F667C8">
              <w:rPr>
                <w:rFonts w:ascii="Calibri Light" w:hAnsi="Calibri Light"/>
                <w:b w:val="0"/>
              </w:rPr>
              <w:t>se lo</w:t>
            </w:r>
            <w:r w:rsidR="000957EF">
              <w:rPr>
                <w:rFonts w:ascii="Calibri Light" w:hAnsi="Calibri Light"/>
                <w:b w:val="0"/>
              </w:rPr>
              <w:t xml:space="preserve"> </w:t>
            </w:r>
            <w:r w:rsidR="00B40AD6">
              <w:rPr>
                <w:rFonts w:ascii="Calibri Light" w:hAnsi="Calibri Light"/>
                <w:b w:val="0"/>
              </w:rPr>
              <w:t>impedía.</w:t>
            </w:r>
          </w:p>
          <w:p w14:paraId="784A9CDB" w14:textId="77777777" w:rsidR="00936978" w:rsidRDefault="00936978" w:rsidP="00B40AD6">
            <w:pPr>
              <w:jc w:val="both"/>
              <w:rPr>
                <w:rFonts w:ascii="Calibri Light" w:hAnsi="Calibri Light"/>
                <w:b w:val="0"/>
              </w:rPr>
            </w:pPr>
          </w:p>
          <w:p w14:paraId="7A09A5A4" w14:textId="2B9BFDC5" w:rsidR="00936978" w:rsidRDefault="00936978" w:rsidP="00B40AD6">
            <w:pPr>
              <w:jc w:val="both"/>
              <w:rPr>
                <w:rFonts w:ascii="Calibri Light" w:hAnsi="Calibri Light"/>
                <w:b w:val="0"/>
              </w:rPr>
            </w:pPr>
            <w:r>
              <w:rPr>
                <w:rFonts w:ascii="Calibri Light" w:hAnsi="Calibri Light"/>
                <w:b w:val="0"/>
              </w:rPr>
              <w:t xml:space="preserve">En ambos casos, resultó relevante el fallo de la Corte Suprema de Estados Unidos en el caso </w:t>
            </w:r>
            <w:r>
              <w:rPr>
                <w:rFonts w:ascii="Calibri Light" w:hAnsi="Calibri Light"/>
                <w:b w:val="0"/>
                <w:i/>
              </w:rPr>
              <w:t>Hoffman Plastic Compounds, Inc. c. Junta Nacional de Relaciones Laborales</w:t>
            </w:r>
            <w:r>
              <w:rPr>
                <w:rFonts w:ascii="Calibri Light" w:hAnsi="Calibri Light"/>
                <w:b w:val="0"/>
              </w:rPr>
              <w:t>. En este, la Corte Suprema determinó</w:t>
            </w:r>
            <w:r w:rsidR="007051A7">
              <w:rPr>
                <w:rFonts w:ascii="Calibri Light" w:hAnsi="Calibri Light"/>
                <w:b w:val="0"/>
              </w:rPr>
              <w:t xml:space="preserve"> </w:t>
            </w:r>
            <w:r>
              <w:rPr>
                <w:rFonts w:ascii="Calibri Light" w:hAnsi="Calibri Light"/>
                <w:b w:val="0"/>
              </w:rPr>
              <w:t xml:space="preserve">que no era necesario pagar los “salarios caídos” a un trabajador </w:t>
            </w:r>
            <w:r w:rsidR="000957EF">
              <w:rPr>
                <w:rFonts w:ascii="Calibri Light" w:hAnsi="Calibri Light"/>
                <w:b w:val="0"/>
              </w:rPr>
              <w:t xml:space="preserve">que </w:t>
            </w:r>
            <w:r>
              <w:rPr>
                <w:rFonts w:ascii="Calibri Light" w:hAnsi="Calibri Light"/>
                <w:b w:val="0"/>
              </w:rPr>
              <w:t>había sido ilegalmente despedido en razón a sus actividades de sindicalización</w:t>
            </w:r>
            <w:r w:rsidR="000957EF">
              <w:rPr>
                <w:rFonts w:ascii="Calibri Light" w:hAnsi="Calibri Light"/>
                <w:b w:val="0"/>
              </w:rPr>
              <w:t>, porque era indocumentado</w:t>
            </w:r>
            <w:r>
              <w:rPr>
                <w:rFonts w:ascii="Calibri Light" w:hAnsi="Calibri Light"/>
                <w:b w:val="0"/>
              </w:rPr>
              <w:t xml:space="preserve">. </w:t>
            </w:r>
          </w:p>
          <w:p w14:paraId="48E87C51" w14:textId="77777777" w:rsidR="007B699D" w:rsidRDefault="007B699D" w:rsidP="00B40AD6">
            <w:pPr>
              <w:jc w:val="both"/>
              <w:rPr>
                <w:rFonts w:ascii="Calibri Light" w:hAnsi="Calibri Light"/>
                <w:b w:val="0"/>
              </w:rPr>
            </w:pPr>
          </w:p>
          <w:p w14:paraId="19F602C0" w14:textId="65D03C70" w:rsidR="007B699D" w:rsidRPr="00204509" w:rsidRDefault="007B699D" w:rsidP="00B40AD6">
            <w:pPr>
              <w:jc w:val="both"/>
              <w:rPr>
                <w:rFonts w:ascii="Calibri Light" w:hAnsi="Calibri Light"/>
                <w:b w:val="0"/>
              </w:rPr>
            </w:pPr>
            <w:r w:rsidRPr="00204509">
              <w:rPr>
                <w:rFonts w:ascii="Calibri Light" w:hAnsi="Calibri Light"/>
                <w:b w:val="0"/>
              </w:rPr>
              <w:t xml:space="preserve">Frente a tales hechos, </w:t>
            </w:r>
            <w:r w:rsidR="00FE7970">
              <w:rPr>
                <w:rFonts w:ascii="Calibri Light" w:hAnsi="Calibri Light"/>
                <w:b w:val="0"/>
              </w:rPr>
              <w:t xml:space="preserve">la Facultad de Derecho de la Universidad de Pensilvania, la Fundación d la Unión Estadounidense por las Libertades Civiles y el Proyecto Nacional de Leyes del Empleo, en nombre del señor Zumaya y </w:t>
            </w:r>
            <w:r w:rsidR="00D11177">
              <w:rPr>
                <w:rFonts w:ascii="Calibri Light" w:hAnsi="Calibri Light"/>
                <w:b w:val="0"/>
              </w:rPr>
              <w:t>d</w:t>
            </w:r>
            <w:r w:rsidR="00FE7970">
              <w:rPr>
                <w:rFonts w:ascii="Calibri Light" w:hAnsi="Calibri Light"/>
                <w:b w:val="0"/>
              </w:rPr>
              <w:t xml:space="preserve">el señor Lizalde, </w:t>
            </w:r>
            <w:r w:rsidRPr="00204509">
              <w:rPr>
                <w:rFonts w:ascii="Calibri Light" w:hAnsi="Calibri Light"/>
                <w:b w:val="0"/>
              </w:rPr>
              <w:t xml:space="preserve">presentaron una petición ante la CIDH, denunciando que Estados Unidos había vulnerado los derechos </w:t>
            </w:r>
            <w:r w:rsidR="00FE7970">
              <w:rPr>
                <w:rFonts w:ascii="Calibri Light" w:hAnsi="Calibri Light"/>
                <w:b w:val="0"/>
              </w:rPr>
              <w:t xml:space="preserve">a la igualdad ante la ley (artículo II), al reconocimiento de la personalidad jurídica y de los derechos civiles (artículo XVII) y de justicia (artículo XVIII), </w:t>
            </w:r>
            <w:r w:rsidRPr="00204509">
              <w:rPr>
                <w:rFonts w:ascii="Calibri Light" w:hAnsi="Calibri Light"/>
                <w:b w:val="0"/>
              </w:rPr>
              <w:t>reconocidos en la Declaración Americana sobre Derechos y Deberes del Hombre (en adelante, DADDH).</w:t>
            </w:r>
          </w:p>
          <w:p w14:paraId="6543A68A" w14:textId="0A0F205D" w:rsidR="00B40AD6" w:rsidRPr="004533E5" w:rsidRDefault="00B40AD6" w:rsidP="00B40AD6">
            <w:pPr>
              <w:jc w:val="both"/>
              <w:rPr>
                <w:rFonts w:ascii="Calibri Light" w:hAnsi="Calibri Light"/>
                <w:b w:val="0"/>
              </w:rPr>
            </w:pPr>
            <w:r>
              <w:rPr>
                <w:rFonts w:ascii="Calibri Light" w:hAnsi="Calibri Light"/>
                <w:b w:val="0"/>
              </w:rPr>
              <w:t xml:space="preserve">  </w:t>
            </w:r>
          </w:p>
        </w:tc>
      </w:tr>
      <w:tr w:rsidR="005173CF" w:rsidRPr="004533E5" w14:paraId="7B81A2F3" w14:textId="77777777" w:rsidTr="006F1245">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4B448BEC" w14:textId="77777777" w:rsidR="00AC6F31" w:rsidRDefault="00AC6F31" w:rsidP="00AC6F31">
            <w:pPr>
              <w:pStyle w:val="ListParagraph"/>
              <w:rPr>
                <w:rFonts w:ascii="Calibri Light" w:hAnsi="Calibri Light"/>
              </w:rPr>
            </w:pPr>
          </w:p>
          <w:p w14:paraId="1FB8AB09" w14:textId="77777777" w:rsidR="005173CF" w:rsidRDefault="003E6AB8" w:rsidP="003E6AB8">
            <w:pPr>
              <w:pStyle w:val="ListParagraph"/>
              <w:numPr>
                <w:ilvl w:val="0"/>
                <w:numId w:val="2"/>
              </w:numPr>
              <w:jc w:val="center"/>
              <w:rPr>
                <w:rFonts w:ascii="Calibri Light" w:hAnsi="Calibri Light"/>
              </w:rPr>
            </w:pPr>
            <w:r>
              <w:rPr>
                <w:rFonts w:ascii="Calibri Light" w:hAnsi="Calibri Light"/>
              </w:rPr>
              <w:t>Análisis jurídico</w:t>
            </w:r>
          </w:p>
          <w:p w14:paraId="158A739A" w14:textId="77777777" w:rsidR="00AC6F31" w:rsidRPr="004533E5" w:rsidRDefault="00AC6F31" w:rsidP="00AC6F31">
            <w:pPr>
              <w:pStyle w:val="ListParagraph"/>
              <w:rPr>
                <w:rFonts w:ascii="Calibri Light" w:hAnsi="Calibri Light"/>
              </w:rPr>
            </w:pPr>
          </w:p>
        </w:tc>
      </w:tr>
      <w:tr w:rsidR="005173CF" w:rsidRPr="004533E5" w14:paraId="71AB3B44" w14:textId="77777777" w:rsidTr="006F1245">
        <w:trPr>
          <w:cnfStyle w:val="000000100000" w:firstRow="0" w:lastRow="0" w:firstColumn="0" w:lastColumn="0" w:oddVBand="0" w:evenVBand="0" w:oddHBand="1" w:evenHBand="0" w:firstRowFirstColumn="0" w:firstRowLastColumn="0" w:lastRowFirstColumn="0" w:lastRowLastColumn="0"/>
          <w:trHeight w:val="1147"/>
        </w:trPr>
        <w:tc>
          <w:tcPr>
            <w:cnfStyle w:val="001000000000" w:firstRow="0" w:lastRow="0" w:firstColumn="1" w:lastColumn="0" w:oddVBand="0" w:evenVBand="0" w:oddHBand="0" w:evenHBand="0" w:firstRowFirstColumn="0" w:firstRowLastColumn="0" w:lastRowFirstColumn="0" w:lastRowLastColumn="0"/>
            <w:tcW w:w="8721" w:type="dxa"/>
            <w:gridSpan w:val="3"/>
          </w:tcPr>
          <w:p w14:paraId="3A30890D" w14:textId="1AE80ED7" w:rsidR="00390038" w:rsidRDefault="00390038" w:rsidP="00473FA3">
            <w:pPr>
              <w:jc w:val="both"/>
              <w:rPr>
                <w:rFonts w:ascii="Calibri Light" w:hAnsi="Calibri Light"/>
              </w:rPr>
            </w:pPr>
          </w:p>
          <w:p w14:paraId="660FCEE7" w14:textId="1462E016" w:rsidR="003446C6" w:rsidRDefault="003446C6" w:rsidP="00473FA3">
            <w:pPr>
              <w:jc w:val="both"/>
              <w:rPr>
                <w:rFonts w:ascii="Calibri Light" w:hAnsi="Calibri Light"/>
              </w:rPr>
            </w:pPr>
            <w:r>
              <w:rPr>
                <w:rFonts w:ascii="Calibri Light" w:hAnsi="Calibri Light"/>
              </w:rPr>
              <w:t>Derecho de igualdad ante la ley (art. II de la DADDH)</w:t>
            </w:r>
          </w:p>
          <w:p w14:paraId="7033DB57" w14:textId="3AB09A61" w:rsidR="00A849A3" w:rsidRDefault="00A849A3" w:rsidP="00021BA6">
            <w:pPr>
              <w:jc w:val="both"/>
              <w:rPr>
                <w:rFonts w:ascii="Calibri Light" w:hAnsi="Calibri Light"/>
              </w:rPr>
            </w:pPr>
          </w:p>
          <w:p w14:paraId="25285657" w14:textId="64D2CD20" w:rsidR="00DE2468" w:rsidRDefault="00510768" w:rsidP="00021BA6">
            <w:pPr>
              <w:jc w:val="both"/>
              <w:rPr>
                <w:rFonts w:ascii="Calibri Light" w:hAnsi="Calibri Light"/>
                <w:b w:val="0"/>
              </w:rPr>
            </w:pPr>
            <w:r>
              <w:rPr>
                <w:rFonts w:ascii="Calibri Light" w:hAnsi="Calibri Light"/>
                <w:b w:val="0"/>
              </w:rPr>
              <w:t>La CIDH consideró que ni el Estado ni los particulares se encuentran obligados a ofrecer empleo a trabajadores indocumentados. No obstante, una vez entablada la relación laboral, estos deben tener los mismos derechos y obligaciones que el resto</w:t>
            </w:r>
            <w:r w:rsidR="007B699D">
              <w:rPr>
                <w:rFonts w:ascii="Calibri Light" w:hAnsi="Calibri Light"/>
                <w:b w:val="0"/>
              </w:rPr>
              <w:t xml:space="preserve"> de trabajadores</w:t>
            </w:r>
            <w:r>
              <w:rPr>
                <w:rFonts w:ascii="Calibri Light" w:hAnsi="Calibri Light"/>
                <w:b w:val="0"/>
              </w:rPr>
              <w:t xml:space="preserve">. En este caso, a pesar de que las leyes protegían a los trabajadores indocumentados, existía una “distinción, exclusión o preferencia” en su aplicación. Esto se reflejaba tanto en los precedentes sentados en las jurisdicciones de Pensilvania y Kansas a partir del caso </w:t>
            </w:r>
            <w:r w:rsidRPr="00510768">
              <w:rPr>
                <w:rFonts w:ascii="Calibri Light" w:hAnsi="Calibri Light"/>
                <w:b w:val="0"/>
                <w:i/>
              </w:rPr>
              <w:t>Hoffman</w:t>
            </w:r>
            <w:r>
              <w:rPr>
                <w:rFonts w:ascii="Calibri Light" w:hAnsi="Calibri Light"/>
                <w:b w:val="0"/>
                <w:i/>
              </w:rPr>
              <w:t xml:space="preserve">, </w:t>
            </w:r>
            <w:r>
              <w:rPr>
                <w:rFonts w:ascii="Calibri Light" w:hAnsi="Calibri Light"/>
                <w:b w:val="0"/>
              </w:rPr>
              <w:t>como en las prácticas de agentes estatales y no estatales.</w:t>
            </w:r>
          </w:p>
          <w:p w14:paraId="2F995F48" w14:textId="77777777" w:rsidR="00DE2468" w:rsidRDefault="00DE2468" w:rsidP="003446C6">
            <w:pPr>
              <w:jc w:val="both"/>
              <w:rPr>
                <w:rFonts w:ascii="Calibri Light" w:hAnsi="Calibri Light"/>
                <w:b w:val="0"/>
              </w:rPr>
            </w:pPr>
          </w:p>
          <w:p w14:paraId="710CE451" w14:textId="1604A6EA" w:rsidR="00E33297" w:rsidRDefault="00E33297" w:rsidP="003446C6">
            <w:pPr>
              <w:jc w:val="both"/>
              <w:rPr>
                <w:rFonts w:ascii="Calibri Light" w:hAnsi="Calibri Light"/>
                <w:b w:val="0"/>
              </w:rPr>
            </w:pPr>
            <w:r>
              <w:rPr>
                <w:rFonts w:ascii="Calibri Light" w:hAnsi="Calibri Light"/>
                <w:b w:val="0"/>
              </w:rPr>
              <w:t xml:space="preserve">Precisamente, </w:t>
            </w:r>
            <w:r w:rsidR="00E4643C">
              <w:rPr>
                <w:rFonts w:ascii="Calibri Light" w:hAnsi="Calibri Light"/>
                <w:b w:val="0"/>
              </w:rPr>
              <w:t xml:space="preserve">en el caso de los señores Zumaya y Lizalde, </w:t>
            </w:r>
            <w:r w:rsidR="008477CE">
              <w:rPr>
                <w:rFonts w:ascii="Calibri Light" w:hAnsi="Calibri Light"/>
                <w:b w:val="0"/>
              </w:rPr>
              <w:t xml:space="preserve">los agentes estatales habían </w:t>
            </w:r>
            <w:r w:rsidR="008477CE">
              <w:rPr>
                <w:rFonts w:ascii="Calibri Light" w:hAnsi="Calibri Light"/>
                <w:b w:val="0"/>
              </w:rPr>
              <w:lastRenderedPageBreak/>
              <w:t>colaborado</w:t>
            </w:r>
            <w:r>
              <w:rPr>
                <w:rFonts w:ascii="Calibri Light" w:hAnsi="Calibri Light"/>
                <w:b w:val="0"/>
              </w:rPr>
              <w:t xml:space="preserve"> con los empleadores y las compañías de seguro para sancionar </w:t>
            </w:r>
            <w:r w:rsidR="00573427">
              <w:rPr>
                <w:rFonts w:ascii="Calibri Light" w:hAnsi="Calibri Light"/>
                <w:b w:val="0"/>
              </w:rPr>
              <w:t>las</w:t>
            </w:r>
            <w:r>
              <w:rPr>
                <w:rFonts w:ascii="Calibri Light" w:hAnsi="Calibri Light"/>
                <w:b w:val="0"/>
              </w:rPr>
              <w:t xml:space="preserve"> infracciones a las leyes de inmigraciones</w:t>
            </w:r>
            <w:r w:rsidR="00573427">
              <w:rPr>
                <w:rFonts w:ascii="Calibri Light" w:hAnsi="Calibri Light"/>
                <w:b w:val="0"/>
              </w:rPr>
              <w:t xml:space="preserve"> que aquellos habían cometido</w:t>
            </w:r>
            <w:r>
              <w:rPr>
                <w:rFonts w:ascii="Calibri Light" w:hAnsi="Calibri Light"/>
                <w:b w:val="0"/>
              </w:rPr>
              <w:t xml:space="preserve">, dejando en la práctica sin efecto las demandas de indemnización </w:t>
            </w:r>
            <w:r w:rsidR="00AA2330">
              <w:rPr>
                <w:rFonts w:ascii="Calibri Light" w:hAnsi="Calibri Light"/>
                <w:b w:val="0"/>
              </w:rPr>
              <w:t xml:space="preserve">que previamente habían iniciado. Así, el señor Lizalde fue deportado antes de que concluyera su proceso </w:t>
            </w:r>
            <w:r w:rsidR="00573427">
              <w:rPr>
                <w:rFonts w:ascii="Calibri Light" w:hAnsi="Calibri Light"/>
                <w:b w:val="0"/>
              </w:rPr>
              <w:t xml:space="preserve">de indemnización </w:t>
            </w:r>
            <w:r w:rsidR="00AA2330">
              <w:rPr>
                <w:rFonts w:ascii="Calibri Light" w:hAnsi="Calibri Light"/>
                <w:b w:val="0"/>
              </w:rPr>
              <w:t>y</w:t>
            </w:r>
            <w:r w:rsidR="00573427">
              <w:rPr>
                <w:rFonts w:ascii="Calibri Light" w:hAnsi="Calibri Light"/>
                <w:b w:val="0"/>
              </w:rPr>
              <w:t>, por otro lado,</w:t>
            </w:r>
            <w:r w:rsidR="00AA2330">
              <w:rPr>
                <w:rFonts w:ascii="Calibri Light" w:hAnsi="Calibri Light"/>
                <w:b w:val="0"/>
              </w:rPr>
              <w:t xml:space="preserve"> la compañía de seguros negó el pago de indemnización al señor Zumaya. Ninguno de los dos recibió en su totalidad el pago por la atención médica requerida. De esta manera, ambos tuvieron un régimen de indemnizaciones distinto al que tendría un trabajador nacional o autorizado. </w:t>
            </w:r>
          </w:p>
          <w:p w14:paraId="2137E618" w14:textId="77777777" w:rsidR="008477CE" w:rsidRDefault="008477CE" w:rsidP="003446C6">
            <w:pPr>
              <w:jc w:val="both"/>
              <w:rPr>
                <w:rFonts w:ascii="Calibri Light" w:hAnsi="Calibri Light"/>
                <w:b w:val="0"/>
              </w:rPr>
            </w:pPr>
          </w:p>
          <w:p w14:paraId="7882E668" w14:textId="49EAFEDF" w:rsidR="008477CE" w:rsidRDefault="00F563F4" w:rsidP="003446C6">
            <w:pPr>
              <w:jc w:val="both"/>
              <w:rPr>
                <w:rFonts w:ascii="Calibri Light" w:hAnsi="Calibri Light"/>
                <w:b w:val="0"/>
              </w:rPr>
            </w:pPr>
            <w:r>
              <w:rPr>
                <w:rFonts w:ascii="Calibri Light" w:hAnsi="Calibri Light"/>
                <w:b w:val="0"/>
              </w:rPr>
              <w:t xml:space="preserve">De acuerdo a la </w:t>
            </w:r>
            <w:r w:rsidR="00573427">
              <w:rPr>
                <w:rFonts w:ascii="Calibri Light" w:hAnsi="Calibri Light"/>
                <w:b w:val="0"/>
              </w:rPr>
              <w:t>CIDH</w:t>
            </w:r>
            <w:r>
              <w:rPr>
                <w:rFonts w:ascii="Calibri Light" w:hAnsi="Calibri Light"/>
                <w:b w:val="0"/>
              </w:rPr>
              <w:t>,</w:t>
            </w:r>
            <w:r w:rsidR="008477CE">
              <w:rPr>
                <w:rFonts w:ascii="Calibri Light" w:hAnsi="Calibri Light"/>
                <w:b w:val="0"/>
              </w:rPr>
              <w:t xml:space="preserve"> esta distinción no tenía una justificación objetiva y razonable, ni una finalidad legítima o medios proporcionales para alcanzarla; por lo cual, se había violado el derecho de igualdad ante la ley</w:t>
            </w:r>
            <w:r w:rsidR="000D5915">
              <w:rPr>
                <w:rFonts w:ascii="Calibri Light" w:hAnsi="Calibri Light"/>
                <w:b w:val="0"/>
              </w:rPr>
              <w:t xml:space="preserve"> de ambas víctimas</w:t>
            </w:r>
            <w:r w:rsidR="008477CE">
              <w:rPr>
                <w:rFonts w:ascii="Calibri Light" w:hAnsi="Calibri Light"/>
                <w:b w:val="0"/>
              </w:rPr>
              <w:t xml:space="preserve">. </w:t>
            </w:r>
            <w:r w:rsidR="005A1B5A">
              <w:rPr>
                <w:rFonts w:ascii="Calibri Light" w:hAnsi="Calibri Light"/>
                <w:b w:val="0"/>
              </w:rPr>
              <w:t>Por último, cabe mencionar que si bien</w:t>
            </w:r>
            <w:r w:rsidR="008477CE">
              <w:rPr>
                <w:rFonts w:ascii="Calibri Light" w:hAnsi="Calibri Light"/>
                <w:b w:val="0"/>
              </w:rPr>
              <w:t xml:space="preserve"> la CIDH reconoci</w:t>
            </w:r>
            <w:r w:rsidR="003379F5">
              <w:rPr>
                <w:rFonts w:ascii="Calibri Light" w:hAnsi="Calibri Light"/>
                <w:b w:val="0"/>
              </w:rPr>
              <w:t>ó que el Estado tenía</w:t>
            </w:r>
            <w:r w:rsidR="008477CE">
              <w:rPr>
                <w:rFonts w:ascii="Calibri Light" w:hAnsi="Calibri Light"/>
                <w:b w:val="0"/>
              </w:rPr>
              <w:t xml:space="preserve"> la potestad de sancionar fraudes</w:t>
            </w:r>
            <w:r w:rsidR="005A1B5A">
              <w:rPr>
                <w:rFonts w:ascii="Calibri Light" w:hAnsi="Calibri Light"/>
                <w:b w:val="0"/>
              </w:rPr>
              <w:t xml:space="preserve">, precisó que </w:t>
            </w:r>
            <w:r w:rsidR="000D5915">
              <w:rPr>
                <w:rFonts w:ascii="Calibri Light" w:hAnsi="Calibri Light"/>
                <w:b w:val="0"/>
              </w:rPr>
              <w:t>ello</w:t>
            </w:r>
            <w:r w:rsidR="008477CE">
              <w:rPr>
                <w:rFonts w:ascii="Calibri Light" w:hAnsi="Calibri Light"/>
                <w:b w:val="0"/>
              </w:rPr>
              <w:t xml:space="preserve"> n</w:t>
            </w:r>
            <w:r w:rsidR="005A1B5A">
              <w:rPr>
                <w:rFonts w:ascii="Calibri Light" w:hAnsi="Calibri Light"/>
                <w:b w:val="0"/>
              </w:rPr>
              <w:t>o debía</w:t>
            </w:r>
            <w:r w:rsidR="008477CE">
              <w:rPr>
                <w:rFonts w:ascii="Calibri Light" w:hAnsi="Calibri Light"/>
                <w:b w:val="0"/>
              </w:rPr>
              <w:t xml:space="preserve"> limitar los derechos laborales</w:t>
            </w:r>
            <w:r w:rsidR="004A40B1">
              <w:rPr>
                <w:rFonts w:ascii="Calibri Light" w:hAnsi="Calibri Light"/>
                <w:b w:val="0"/>
              </w:rPr>
              <w:t xml:space="preserve">, como </w:t>
            </w:r>
            <w:r w:rsidR="00573427">
              <w:rPr>
                <w:rFonts w:ascii="Calibri Light" w:hAnsi="Calibri Light"/>
                <w:b w:val="0"/>
              </w:rPr>
              <w:t xml:space="preserve">el pago de una </w:t>
            </w:r>
            <w:r w:rsidR="008477CE">
              <w:rPr>
                <w:rFonts w:ascii="Calibri Light" w:hAnsi="Calibri Light"/>
                <w:b w:val="0"/>
              </w:rPr>
              <w:t>indemnización por accidente de trabajo</w:t>
            </w:r>
            <w:r w:rsidR="000D5915">
              <w:rPr>
                <w:rFonts w:ascii="Calibri Light" w:hAnsi="Calibri Light"/>
                <w:b w:val="0"/>
              </w:rPr>
              <w:t xml:space="preserve">, de quienes </w:t>
            </w:r>
            <w:r w:rsidR="005A1B5A">
              <w:rPr>
                <w:rFonts w:ascii="Calibri Light" w:hAnsi="Calibri Light"/>
                <w:b w:val="0"/>
              </w:rPr>
              <w:t>habían cometido</w:t>
            </w:r>
            <w:r w:rsidR="000D5915">
              <w:rPr>
                <w:rFonts w:ascii="Calibri Light" w:hAnsi="Calibri Light"/>
                <w:b w:val="0"/>
              </w:rPr>
              <w:t xml:space="preserve"> las faltas</w:t>
            </w:r>
            <w:r w:rsidR="008477CE">
              <w:rPr>
                <w:rFonts w:ascii="Calibri Light" w:hAnsi="Calibri Light"/>
                <w:b w:val="0"/>
              </w:rPr>
              <w:t xml:space="preserve">. </w:t>
            </w:r>
          </w:p>
          <w:p w14:paraId="12510473" w14:textId="2504C04F" w:rsidR="00AA2330" w:rsidRDefault="00AA2330" w:rsidP="003446C6">
            <w:pPr>
              <w:jc w:val="both"/>
              <w:rPr>
                <w:rFonts w:ascii="Calibri Light" w:hAnsi="Calibri Light"/>
                <w:b w:val="0"/>
              </w:rPr>
            </w:pPr>
          </w:p>
          <w:p w14:paraId="7273BD1F" w14:textId="295BD79E" w:rsidR="003446C6" w:rsidRDefault="003446C6" w:rsidP="003446C6">
            <w:pPr>
              <w:jc w:val="both"/>
              <w:rPr>
                <w:rFonts w:ascii="Calibri Light" w:hAnsi="Calibri Light"/>
              </w:rPr>
            </w:pPr>
            <w:r>
              <w:rPr>
                <w:rFonts w:ascii="Calibri Light" w:hAnsi="Calibri Light"/>
              </w:rPr>
              <w:t>Derecho de reconocimiento de la personalidad jurídica y de los derechos civiles (art. XVII de la DADDH) y derecho de justicia (art. XVIII de la DADDH)</w:t>
            </w:r>
          </w:p>
          <w:p w14:paraId="312758DF" w14:textId="44C8C036" w:rsidR="00AD1B5F" w:rsidRDefault="00AD1B5F" w:rsidP="003446C6">
            <w:pPr>
              <w:jc w:val="both"/>
              <w:rPr>
                <w:rFonts w:ascii="Calibri Light" w:hAnsi="Calibri Light"/>
              </w:rPr>
            </w:pPr>
          </w:p>
          <w:p w14:paraId="3449960C" w14:textId="6121457D" w:rsidR="00F563F4" w:rsidRDefault="004C461E" w:rsidP="003446C6">
            <w:pPr>
              <w:jc w:val="both"/>
              <w:rPr>
                <w:rFonts w:ascii="Calibri Light" w:hAnsi="Calibri Light"/>
                <w:b w:val="0"/>
              </w:rPr>
            </w:pPr>
            <w:r>
              <w:rPr>
                <w:rFonts w:ascii="Calibri Light" w:hAnsi="Calibri Light"/>
                <w:b w:val="0"/>
              </w:rPr>
              <w:t xml:space="preserve">El derecho de reconocimiento de la personalidad jurídica y de los derechos civiles implica que las personas puedan gozar de sus derechos civiles, </w:t>
            </w:r>
            <w:r w:rsidR="003379F5">
              <w:rPr>
                <w:rFonts w:ascii="Calibri Light" w:hAnsi="Calibri Light"/>
                <w:b w:val="0"/>
              </w:rPr>
              <w:t>como</w:t>
            </w:r>
            <w:r>
              <w:rPr>
                <w:rFonts w:ascii="Calibri Light" w:hAnsi="Calibri Light"/>
                <w:b w:val="0"/>
              </w:rPr>
              <w:t xml:space="preserve"> el derecho a trabajar. Este requiere, según la Carta de la OEA, que se observen “condiciones aceptables” para el trabajador</w:t>
            </w:r>
            <w:r w:rsidR="007513BC">
              <w:rPr>
                <w:rFonts w:ascii="Calibri Light" w:hAnsi="Calibri Light"/>
                <w:b w:val="0"/>
              </w:rPr>
              <w:t xml:space="preserve"> </w:t>
            </w:r>
            <w:r w:rsidR="00790038">
              <w:rPr>
                <w:rFonts w:ascii="Calibri Light" w:hAnsi="Calibri Light"/>
                <w:b w:val="0"/>
              </w:rPr>
              <w:t xml:space="preserve">incluso </w:t>
            </w:r>
            <w:r>
              <w:rPr>
                <w:rFonts w:ascii="Calibri Light" w:hAnsi="Calibri Light"/>
                <w:b w:val="0"/>
              </w:rPr>
              <w:t>cuando se vea impedido de laborar. Para la CIDH, dentro de estas</w:t>
            </w:r>
            <w:r w:rsidR="007513BC">
              <w:rPr>
                <w:rFonts w:ascii="Calibri Light" w:hAnsi="Calibri Light"/>
                <w:b w:val="0"/>
              </w:rPr>
              <w:t xml:space="preserve"> condiciones</w:t>
            </w:r>
            <w:r>
              <w:rPr>
                <w:rFonts w:ascii="Calibri Light" w:hAnsi="Calibri Light"/>
                <w:b w:val="0"/>
              </w:rPr>
              <w:t xml:space="preserve">, se encuentra el </w:t>
            </w:r>
            <w:r w:rsidR="007513BC">
              <w:rPr>
                <w:rFonts w:ascii="Calibri Light" w:hAnsi="Calibri Light"/>
                <w:b w:val="0"/>
              </w:rPr>
              <w:t xml:space="preserve">poder </w:t>
            </w:r>
            <w:r>
              <w:rPr>
                <w:rFonts w:ascii="Calibri Light" w:hAnsi="Calibri Light"/>
                <w:b w:val="0"/>
              </w:rPr>
              <w:t xml:space="preserve">recibir una indemnización </w:t>
            </w:r>
            <w:r w:rsidR="007513BC">
              <w:rPr>
                <w:rFonts w:ascii="Calibri Light" w:hAnsi="Calibri Light"/>
                <w:b w:val="0"/>
              </w:rPr>
              <w:t>en caso de</w:t>
            </w:r>
            <w:r>
              <w:rPr>
                <w:rFonts w:ascii="Calibri Light" w:hAnsi="Calibri Light"/>
                <w:b w:val="0"/>
              </w:rPr>
              <w:t xml:space="preserve"> accidente de trabajo. Por ello, </w:t>
            </w:r>
            <w:r w:rsidR="007513BC">
              <w:rPr>
                <w:rFonts w:ascii="Calibri Light" w:hAnsi="Calibri Light"/>
                <w:b w:val="0"/>
              </w:rPr>
              <w:t>no reparar adecuada o proporcionalmente los accidentes result</w:t>
            </w:r>
            <w:r w:rsidR="003379F5">
              <w:rPr>
                <w:rFonts w:ascii="Calibri Light" w:hAnsi="Calibri Light"/>
                <w:b w:val="0"/>
              </w:rPr>
              <w:t>a</w:t>
            </w:r>
            <w:r w:rsidR="007513BC">
              <w:rPr>
                <w:rFonts w:ascii="Calibri Light" w:hAnsi="Calibri Light"/>
                <w:b w:val="0"/>
              </w:rPr>
              <w:t xml:space="preserve"> una violación a este derecho. </w:t>
            </w:r>
          </w:p>
          <w:p w14:paraId="43AAC8C2" w14:textId="59E90036" w:rsidR="004C461E" w:rsidRDefault="004C461E" w:rsidP="003446C6">
            <w:pPr>
              <w:jc w:val="both"/>
              <w:rPr>
                <w:rFonts w:ascii="Calibri Light" w:hAnsi="Calibri Light"/>
                <w:b w:val="0"/>
              </w:rPr>
            </w:pPr>
          </w:p>
          <w:p w14:paraId="73E72CC3" w14:textId="77777777" w:rsidR="000C24F7" w:rsidRDefault="00790038" w:rsidP="003446C6">
            <w:pPr>
              <w:jc w:val="both"/>
              <w:rPr>
                <w:rFonts w:ascii="Calibri Light" w:hAnsi="Calibri Light"/>
                <w:b w:val="0"/>
              </w:rPr>
            </w:pPr>
            <w:r>
              <w:rPr>
                <w:rFonts w:ascii="Calibri Light" w:hAnsi="Calibri Light"/>
                <w:b w:val="0"/>
              </w:rPr>
              <w:t xml:space="preserve">De otra parte, el derecho de justicia implica poder acceder a recursos adecuados y efectivos en caso suceda una violación de derechos humanos. Para la CIDH, la efectividad tiene una faceta normativa, referida a la posibilidad de obtener una reparación adecuada; y una empírica, relacionada a que existan las condiciones </w:t>
            </w:r>
            <w:r w:rsidR="00CC0598">
              <w:rPr>
                <w:rFonts w:ascii="Calibri Light" w:hAnsi="Calibri Light"/>
                <w:b w:val="0"/>
              </w:rPr>
              <w:t xml:space="preserve">políticas o </w:t>
            </w:r>
            <w:r>
              <w:rPr>
                <w:rFonts w:ascii="Calibri Light" w:hAnsi="Calibri Light"/>
                <w:b w:val="0"/>
              </w:rPr>
              <w:t xml:space="preserve">institucionales que permitan que el recurso tenga el resultado previsto. </w:t>
            </w:r>
          </w:p>
          <w:p w14:paraId="3D126198" w14:textId="77777777" w:rsidR="000C24F7" w:rsidRDefault="000C24F7" w:rsidP="003446C6">
            <w:pPr>
              <w:jc w:val="both"/>
              <w:rPr>
                <w:rFonts w:ascii="Calibri Light" w:hAnsi="Calibri Light"/>
                <w:b w:val="0"/>
              </w:rPr>
            </w:pPr>
          </w:p>
          <w:p w14:paraId="0B933A5C" w14:textId="5E390B94" w:rsidR="000326D5" w:rsidRDefault="00CC0598" w:rsidP="003446C6">
            <w:pPr>
              <w:jc w:val="both"/>
              <w:rPr>
                <w:rFonts w:ascii="Calibri Light" w:hAnsi="Calibri Light"/>
                <w:b w:val="0"/>
              </w:rPr>
            </w:pPr>
            <w:r>
              <w:rPr>
                <w:rFonts w:ascii="Calibri Light" w:hAnsi="Calibri Light"/>
                <w:b w:val="0"/>
              </w:rPr>
              <w:t xml:space="preserve">En el caso del </w:t>
            </w:r>
            <w:r w:rsidR="00573427">
              <w:rPr>
                <w:rFonts w:ascii="Calibri Light" w:hAnsi="Calibri Light"/>
                <w:b w:val="0"/>
              </w:rPr>
              <w:t>señor</w:t>
            </w:r>
            <w:r>
              <w:rPr>
                <w:rFonts w:ascii="Calibri Light" w:hAnsi="Calibri Light"/>
                <w:b w:val="0"/>
              </w:rPr>
              <w:t xml:space="preserve"> Lizalde, esta última faceta no </w:t>
            </w:r>
            <w:r w:rsidR="00573427">
              <w:rPr>
                <w:rFonts w:ascii="Calibri Light" w:hAnsi="Calibri Light"/>
                <w:b w:val="0"/>
              </w:rPr>
              <w:t xml:space="preserve">fue </w:t>
            </w:r>
            <w:r>
              <w:rPr>
                <w:rFonts w:ascii="Calibri Light" w:hAnsi="Calibri Light"/>
                <w:b w:val="0"/>
              </w:rPr>
              <w:t>respeta</w:t>
            </w:r>
            <w:r w:rsidR="00573427">
              <w:rPr>
                <w:rFonts w:ascii="Calibri Light" w:hAnsi="Calibri Light"/>
                <w:b w:val="0"/>
              </w:rPr>
              <w:t>da</w:t>
            </w:r>
            <w:r w:rsidR="000C24F7">
              <w:rPr>
                <w:rFonts w:ascii="Calibri Light" w:hAnsi="Calibri Light"/>
                <w:b w:val="0"/>
              </w:rPr>
              <w:t>, pues su deportación dej</w:t>
            </w:r>
            <w:r w:rsidR="00573427">
              <w:rPr>
                <w:rFonts w:ascii="Calibri Light" w:hAnsi="Calibri Light"/>
                <w:b w:val="0"/>
              </w:rPr>
              <w:t>ó</w:t>
            </w:r>
            <w:r w:rsidR="000C24F7">
              <w:rPr>
                <w:rFonts w:ascii="Calibri Light" w:hAnsi="Calibri Light"/>
                <w:b w:val="0"/>
              </w:rPr>
              <w:t xml:space="preserve"> sin efectos el proceso de indemnización que había iniciado, toda vez que  de acuerdo a las leyes de Kansas su presencia era requerida para continuar con el caso. La </w:t>
            </w:r>
            <w:r w:rsidR="00573427">
              <w:rPr>
                <w:rFonts w:ascii="Calibri Light" w:hAnsi="Calibri Light"/>
                <w:b w:val="0"/>
              </w:rPr>
              <w:t xml:space="preserve">CIDH </w:t>
            </w:r>
            <w:r w:rsidR="000C24F7">
              <w:rPr>
                <w:rFonts w:ascii="Calibri Light" w:hAnsi="Calibri Light"/>
                <w:b w:val="0"/>
              </w:rPr>
              <w:t>consideró, además, que las alternativas que tenía para continuar con el proceso tras su deportación, co</w:t>
            </w:r>
            <w:r w:rsidR="000326D5">
              <w:rPr>
                <w:rFonts w:ascii="Calibri Light" w:hAnsi="Calibri Light"/>
                <w:b w:val="0"/>
              </w:rPr>
              <w:t>mo tramitar una vis</w:t>
            </w:r>
            <w:r w:rsidR="000C24F7">
              <w:rPr>
                <w:rFonts w:ascii="Calibri Light" w:hAnsi="Calibri Light"/>
                <w:b w:val="0"/>
              </w:rPr>
              <w:t xml:space="preserve">a de no inmigrante o de entrada condicional humanitaria, resultaban complejas y onerosas. </w:t>
            </w:r>
            <w:r w:rsidR="000326D5">
              <w:rPr>
                <w:rFonts w:ascii="Calibri Light" w:hAnsi="Calibri Light"/>
                <w:b w:val="0"/>
              </w:rPr>
              <w:t xml:space="preserve">Tomando en cuenta todo ello, la </w:t>
            </w:r>
            <w:r w:rsidR="00573427">
              <w:rPr>
                <w:rFonts w:ascii="Calibri Light" w:hAnsi="Calibri Light"/>
                <w:b w:val="0"/>
              </w:rPr>
              <w:t xml:space="preserve">CIDH </w:t>
            </w:r>
            <w:r w:rsidR="000326D5">
              <w:rPr>
                <w:rFonts w:ascii="Calibri Light" w:hAnsi="Calibri Light"/>
                <w:b w:val="0"/>
              </w:rPr>
              <w:t xml:space="preserve">consideró que se habían violado el derecho de reconocimiento de la personalidad jurídica y de los derechos civiles, y el derecho de justicia del </w:t>
            </w:r>
            <w:r w:rsidR="00573427">
              <w:rPr>
                <w:rFonts w:ascii="Calibri Light" w:hAnsi="Calibri Light"/>
                <w:b w:val="0"/>
              </w:rPr>
              <w:t>señor</w:t>
            </w:r>
            <w:r w:rsidR="000326D5">
              <w:rPr>
                <w:rFonts w:ascii="Calibri Light" w:hAnsi="Calibri Light"/>
                <w:b w:val="0"/>
              </w:rPr>
              <w:t xml:space="preserve"> Lizalde. No declaró violados dichos derechos respecto al </w:t>
            </w:r>
            <w:r w:rsidR="00573427">
              <w:rPr>
                <w:rFonts w:ascii="Calibri Light" w:hAnsi="Calibri Light"/>
                <w:b w:val="0"/>
              </w:rPr>
              <w:t>señor</w:t>
            </w:r>
            <w:r w:rsidR="000326D5">
              <w:rPr>
                <w:rFonts w:ascii="Calibri Light" w:hAnsi="Calibri Light"/>
                <w:b w:val="0"/>
              </w:rPr>
              <w:t xml:space="preserve"> Zumaya, pues no tenía suficiente información sobre las condiciones y razones que llevaron al acuerdo al que llegó con su empleador. </w:t>
            </w:r>
          </w:p>
          <w:p w14:paraId="7029FF4C" w14:textId="77777777" w:rsidR="003379F5" w:rsidRDefault="003379F5" w:rsidP="003446C6">
            <w:pPr>
              <w:jc w:val="both"/>
              <w:rPr>
                <w:rFonts w:ascii="Calibri Light" w:hAnsi="Calibri Light"/>
                <w:b w:val="0"/>
              </w:rPr>
            </w:pPr>
          </w:p>
          <w:p w14:paraId="3A53F7A4" w14:textId="77777777" w:rsidR="003446C6" w:rsidRDefault="003446C6" w:rsidP="003446C6">
            <w:pPr>
              <w:jc w:val="both"/>
              <w:rPr>
                <w:rFonts w:ascii="Calibri Light" w:hAnsi="Calibri Light"/>
              </w:rPr>
            </w:pPr>
            <w:r>
              <w:rPr>
                <w:rFonts w:ascii="Calibri Light" w:hAnsi="Calibri Light"/>
              </w:rPr>
              <w:t>Derecho a la seguridad social (art. XVI de la DADDH)</w:t>
            </w:r>
          </w:p>
          <w:p w14:paraId="0A102896" w14:textId="77777777" w:rsidR="007051A7" w:rsidRDefault="007051A7" w:rsidP="003446C6">
            <w:pPr>
              <w:jc w:val="both"/>
              <w:rPr>
                <w:rFonts w:ascii="Calibri Light" w:hAnsi="Calibri Light"/>
              </w:rPr>
            </w:pPr>
          </w:p>
          <w:p w14:paraId="0073BE13" w14:textId="4D7E148A" w:rsidR="00480672" w:rsidRDefault="00593F96" w:rsidP="0035705C">
            <w:pPr>
              <w:jc w:val="both"/>
              <w:rPr>
                <w:rFonts w:ascii="Calibri Light" w:hAnsi="Calibri Light"/>
                <w:b w:val="0"/>
              </w:rPr>
            </w:pPr>
            <w:r>
              <w:rPr>
                <w:rFonts w:ascii="Calibri Light" w:hAnsi="Calibri Light"/>
                <w:b w:val="0"/>
              </w:rPr>
              <w:t xml:space="preserve">De acuerdo a la </w:t>
            </w:r>
            <w:r w:rsidR="00573427">
              <w:rPr>
                <w:rFonts w:ascii="Calibri Light" w:hAnsi="Calibri Light"/>
                <w:b w:val="0"/>
              </w:rPr>
              <w:t>CIDH</w:t>
            </w:r>
            <w:r>
              <w:rPr>
                <w:rFonts w:ascii="Calibri Light" w:hAnsi="Calibri Light"/>
                <w:b w:val="0"/>
              </w:rPr>
              <w:t xml:space="preserve">, el derecho a la seguridad social comprende también a los programas de indemnización por accidente de trabajo. </w:t>
            </w:r>
            <w:r w:rsidR="0035705C">
              <w:rPr>
                <w:rFonts w:ascii="Calibri Light" w:hAnsi="Calibri Light"/>
                <w:b w:val="0"/>
              </w:rPr>
              <w:t xml:space="preserve">En el caso de Estados Unidos, la obligación de asegurar a todos los trabajadores sin distinción el acceso a estos programas no solo deriva de las normas interamericanas, sino de otros documentos y tratados internacionales, como la Declaración de la Organización Internacional del Trabajo (OIT) o el Acuerdo de Cooperación Laboral de América del Norte. </w:t>
            </w:r>
          </w:p>
          <w:p w14:paraId="4DBDEFC6" w14:textId="77777777" w:rsidR="00480672" w:rsidRDefault="00480672" w:rsidP="0035705C">
            <w:pPr>
              <w:jc w:val="both"/>
              <w:rPr>
                <w:rFonts w:ascii="Calibri Light" w:hAnsi="Calibri Light"/>
                <w:b w:val="0"/>
              </w:rPr>
            </w:pPr>
          </w:p>
          <w:p w14:paraId="79E8962A" w14:textId="5FBA3A8B" w:rsidR="00593F96" w:rsidRDefault="005F5D3A" w:rsidP="0035705C">
            <w:pPr>
              <w:jc w:val="both"/>
              <w:rPr>
                <w:rFonts w:ascii="Calibri Light" w:hAnsi="Calibri Light"/>
                <w:b w:val="0"/>
              </w:rPr>
            </w:pPr>
            <w:r>
              <w:rPr>
                <w:rFonts w:ascii="Calibri Light" w:hAnsi="Calibri Light"/>
                <w:b w:val="0"/>
              </w:rPr>
              <w:t xml:space="preserve">Si bien en Estados Unidos existían dos programas que beneficiaban a trabajadores que se </w:t>
            </w:r>
            <w:r>
              <w:rPr>
                <w:rFonts w:ascii="Calibri Light" w:hAnsi="Calibri Light"/>
                <w:b w:val="0"/>
              </w:rPr>
              <w:lastRenderedPageBreak/>
              <w:t xml:space="preserve">habían lesionado y no podían laborar, estos no eran aplicables a los señores Zumaya y Lizalde. Por ello, al no recibir prestaciones integrales como parte de una indemnización por accidente de trabajo y en base a la jurisprudencia de los tribunales </w:t>
            </w:r>
            <w:r w:rsidR="004F30BF">
              <w:rPr>
                <w:rFonts w:ascii="Calibri Light" w:hAnsi="Calibri Light"/>
                <w:b w:val="0"/>
              </w:rPr>
              <w:t xml:space="preserve">estatales y federales, la Comisión consideró que se había vulnerado </w:t>
            </w:r>
            <w:r w:rsidR="00480672">
              <w:rPr>
                <w:rFonts w:ascii="Calibri Light" w:hAnsi="Calibri Light"/>
                <w:b w:val="0"/>
              </w:rPr>
              <w:t xml:space="preserve">su derecho </w:t>
            </w:r>
            <w:r w:rsidR="004F30BF">
              <w:rPr>
                <w:rFonts w:ascii="Calibri Light" w:hAnsi="Calibri Light"/>
                <w:b w:val="0"/>
              </w:rPr>
              <w:t xml:space="preserve">a la seguridad social. </w:t>
            </w:r>
          </w:p>
          <w:p w14:paraId="5AA471B6" w14:textId="352646DA" w:rsidR="0035705C" w:rsidRPr="000D5915" w:rsidRDefault="0035705C" w:rsidP="0035705C">
            <w:pPr>
              <w:jc w:val="both"/>
              <w:rPr>
                <w:rFonts w:ascii="Calibri Light" w:hAnsi="Calibri Light"/>
                <w:b w:val="0"/>
              </w:rPr>
            </w:pPr>
          </w:p>
        </w:tc>
      </w:tr>
      <w:tr w:rsidR="005173CF" w:rsidRPr="004533E5" w14:paraId="0FBFBB6F" w14:textId="77777777" w:rsidTr="006F1245">
        <w:trPr>
          <w:trHeight w:val="265"/>
        </w:trPr>
        <w:tc>
          <w:tcPr>
            <w:cnfStyle w:val="001000000000" w:firstRow="0" w:lastRow="0" w:firstColumn="1" w:lastColumn="0" w:oddVBand="0" w:evenVBand="0" w:oddHBand="0" w:evenHBand="0" w:firstRowFirstColumn="0" w:firstRowLastColumn="0" w:lastRowFirstColumn="0" w:lastRowLastColumn="0"/>
            <w:tcW w:w="8721" w:type="dxa"/>
            <w:gridSpan w:val="3"/>
          </w:tcPr>
          <w:p w14:paraId="0A864AFE" w14:textId="77777777" w:rsidR="00AC6F31" w:rsidRDefault="00AC6F31" w:rsidP="00AC6F31">
            <w:pPr>
              <w:pStyle w:val="ListParagraph"/>
              <w:rPr>
                <w:rFonts w:ascii="Calibri Light" w:hAnsi="Calibri Light"/>
              </w:rPr>
            </w:pPr>
          </w:p>
          <w:p w14:paraId="5CF7BA21" w14:textId="32EA3D76" w:rsidR="005173CF" w:rsidRDefault="007A6C56" w:rsidP="0029671B">
            <w:pPr>
              <w:pStyle w:val="ListParagraph"/>
              <w:numPr>
                <w:ilvl w:val="0"/>
                <w:numId w:val="2"/>
              </w:numPr>
              <w:jc w:val="center"/>
              <w:rPr>
                <w:rFonts w:ascii="Calibri Light" w:hAnsi="Calibri Light"/>
              </w:rPr>
            </w:pPr>
            <w:r w:rsidRPr="004533E5">
              <w:rPr>
                <w:rFonts w:ascii="Calibri Light" w:hAnsi="Calibri Light"/>
              </w:rPr>
              <w:t>Recomendaciones</w:t>
            </w:r>
            <w:r w:rsidR="005C5570">
              <w:rPr>
                <w:rFonts w:ascii="Calibri Light" w:hAnsi="Calibri Light"/>
              </w:rPr>
              <w:t xml:space="preserve"> de la CIDH al Estado</w:t>
            </w:r>
          </w:p>
          <w:p w14:paraId="510D8BF9" w14:textId="77777777" w:rsidR="00AC6F31" w:rsidRPr="004533E5" w:rsidRDefault="00AC6F31" w:rsidP="00AC6F31">
            <w:pPr>
              <w:pStyle w:val="ListParagraph"/>
              <w:rPr>
                <w:rFonts w:ascii="Calibri Light" w:hAnsi="Calibri Light"/>
              </w:rPr>
            </w:pPr>
          </w:p>
        </w:tc>
      </w:tr>
      <w:tr w:rsidR="007A6C56" w:rsidRPr="004533E5" w14:paraId="3D91AF16" w14:textId="77777777" w:rsidTr="006F1245">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8721" w:type="dxa"/>
            <w:gridSpan w:val="3"/>
          </w:tcPr>
          <w:p w14:paraId="6680C0C5" w14:textId="4FF1C4E3" w:rsidR="00AC6F31" w:rsidRDefault="00AC6F31" w:rsidP="004B1311">
            <w:pPr>
              <w:pStyle w:val="ListParagraph"/>
              <w:ind w:left="0"/>
              <w:jc w:val="both"/>
              <w:rPr>
                <w:rFonts w:ascii="Calibri Light" w:hAnsi="Calibri Light"/>
                <w:b w:val="0"/>
              </w:rPr>
            </w:pPr>
          </w:p>
          <w:p w14:paraId="5D557673" w14:textId="4A336680" w:rsidR="00302D03" w:rsidRDefault="00302D03" w:rsidP="00302D03">
            <w:pPr>
              <w:pStyle w:val="ListParagraph"/>
              <w:numPr>
                <w:ilvl w:val="0"/>
                <w:numId w:val="4"/>
              </w:numPr>
              <w:jc w:val="both"/>
              <w:rPr>
                <w:rFonts w:ascii="Calibri Light" w:hAnsi="Calibri Light"/>
                <w:b w:val="0"/>
              </w:rPr>
            </w:pPr>
            <w:r>
              <w:rPr>
                <w:rFonts w:ascii="Calibri Light" w:hAnsi="Calibri Light"/>
                <w:b w:val="0"/>
              </w:rPr>
              <w:t xml:space="preserve">Otorgar a los señores Zumaya y Lizalde una compensación pecuniaria adecuada para reparar las violaciones a sus derechos humanos. </w:t>
            </w:r>
          </w:p>
          <w:p w14:paraId="31974A36" w14:textId="77777777" w:rsidR="00302D03" w:rsidRDefault="00302D03" w:rsidP="00302D03">
            <w:pPr>
              <w:pStyle w:val="ListParagraph"/>
              <w:ind w:left="360"/>
              <w:jc w:val="both"/>
              <w:rPr>
                <w:rFonts w:ascii="Calibri Light" w:hAnsi="Calibri Light"/>
                <w:b w:val="0"/>
              </w:rPr>
            </w:pPr>
          </w:p>
          <w:p w14:paraId="10D58303" w14:textId="77777777" w:rsidR="00302D03" w:rsidRDefault="00302D03" w:rsidP="00302D03">
            <w:pPr>
              <w:pStyle w:val="ListParagraph"/>
              <w:numPr>
                <w:ilvl w:val="0"/>
                <w:numId w:val="4"/>
              </w:numPr>
              <w:jc w:val="both"/>
              <w:rPr>
                <w:rFonts w:ascii="Calibri Light" w:hAnsi="Calibri Light"/>
                <w:b w:val="0"/>
              </w:rPr>
            </w:pPr>
            <w:r>
              <w:rPr>
                <w:rFonts w:ascii="Calibri Light" w:hAnsi="Calibri Light"/>
                <w:b w:val="0"/>
              </w:rPr>
              <w:t xml:space="preserve">Procurar que todas las leyes y políticas federales y estatales, por sí mismas y en la práctica, prohíban toda distinción en el empleo y los derechos laborales basada en la situación migratoria y la autorización para trabajar después que una persona comienza a trabajar como empleado. </w:t>
            </w:r>
          </w:p>
          <w:p w14:paraId="6A0FCAFA" w14:textId="77777777" w:rsidR="00302D03" w:rsidRPr="00302D03" w:rsidRDefault="00302D03" w:rsidP="00302D03">
            <w:pPr>
              <w:pStyle w:val="ListParagraph"/>
              <w:rPr>
                <w:rFonts w:ascii="Calibri Light" w:hAnsi="Calibri Light"/>
              </w:rPr>
            </w:pPr>
          </w:p>
          <w:p w14:paraId="01172882" w14:textId="77777777" w:rsidR="00302D03" w:rsidRDefault="00302D03" w:rsidP="00302D03">
            <w:pPr>
              <w:pStyle w:val="ListParagraph"/>
              <w:numPr>
                <w:ilvl w:val="0"/>
                <w:numId w:val="4"/>
              </w:numPr>
              <w:jc w:val="both"/>
              <w:rPr>
                <w:rFonts w:ascii="Calibri Light" w:hAnsi="Calibri Light"/>
                <w:b w:val="0"/>
              </w:rPr>
            </w:pPr>
            <w:r>
              <w:rPr>
                <w:rFonts w:ascii="Calibri Light" w:hAnsi="Calibri Light"/>
                <w:b w:val="0"/>
              </w:rPr>
              <w:t xml:space="preserve">Prohibir que el empleador haga averiguaciones sobre la situación migratoria de un trabajador que esté haciendo valer sus derechos laborales en un litigio o reclamo administrativo. </w:t>
            </w:r>
          </w:p>
          <w:p w14:paraId="7079C204" w14:textId="77777777" w:rsidR="00302D03" w:rsidRPr="00302D03" w:rsidRDefault="00302D03" w:rsidP="00302D03">
            <w:pPr>
              <w:pStyle w:val="ListParagraph"/>
              <w:rPr>
                <w:rFonts w:ascii="Calibri Light" w:hAnsi="Calibri Light"/>
              </w:rPr>
            </w:pPr>
          </w:p>
          <w:p w14:paraId="3967C514" w14:textId="5A01F602" w:rsidR="00302D03" w:rsidRDefault="00302D03" w:rsidP="00302D03">
            <w:pPr>
              <w:pStyle w:val="ListParagraph"/>
              <w:numPr>
                <w:ilvl w:val="0"/>
                <w:numId w:val="4"/>
              </w:numPr>
              <w:jc w:val="both"/>
              <w:rPr>
                <w:rFonts w:ascii="Calibri Light" w:hAnsi="Calibri Light"/>
                <w:b w:val="0"/>
              </w:rPr>
            </w:pPr>
            <w:r>
              <w:rPr>
                <w:rFonts w:ascii="Calibri Light" w:hAnsi="Calibri Light"/>
                <w:b w:val="0"/>
              </w:rPr>
              <w:t>Asegurar que se otorgue a los trabajadores indocumentados los mismos derechos y recursos que a los trabajadores documentados</w:t>
            </w:r>
            <w:r w:rsidR="00D660A7">
              <w:rPr>
                <w:rFonts w:ascii="Calibri Light" w:hAnsi="Calibri Light"/>
                <w:b w:val="0"/>
              </w:rPr>
              <w:t xml:space="preserve"> frente a violaciones a sus derechos en el lugar de trabajo</w:t>
            </w:r>
            <w:r>
              <w:rPr>
                <w:rFonts w:ascii="Calibri Light" w:hAnsi="Calibri Light"/>
                <w:b w:val="0"/>
              </w:rPr>
              <w:t xml:space="preserve">. </w:t>
            </w:r>
          </w:p>
          <w:p w14:paraId="5D00630F" w14:textId="77777777" w:rsidR="00302D03" w:rsidRPr="00302D03" w:rsidRDefault="00302D03" w:rsidP="00302D03">
            <w:pPr>
              <w:pStyle w:val="ListParagraph"/>
              <w:rPr>
                <w:rFonts w:ascii="Calibri Light" w:hAnsi="Calibri Light"/>
              </w:rPr>
            </w:pPr>
          </w:p>
          <w:p w14:paraId="6C37AAC3" w14:textId="77777777" w:rsidR="00302D03" w:rsidRDefault="00302D03" w:rsidP="00302D03">
            <w:pPr>
              <w:pStyle w:val="ListParagraph"/>
              <w:numPr>
                <w:ilvl w:val="0"/>
                <w:numId w:val="4"/>
              </w:numPr>
              <w:jc w:val="both"/>
              <w:rPr>
                <w:rFonts w:ascii="Calibri Light" w:hAnsi="Calibri Light"/>
                <w:b w:val="0"/>
              </w:rPr>
            </w:pPr>
            <w:r>
              <w:rPr>
                <w:rFonts w:ascii="Calibri Light" w:hAnsi="Calibri Light"/>
                <w:b w:val="0"/>
              </w:rPr>
              <w:t xml:space="preserve">Establecer un procedimiento para que los trabajadores indocumentados que participen en procedimientos para pedir indemnización por accidentes de trabajo, o sus representantes, puedan solicitar la suspensión de su deportación hasta que se resuelva el procedimiento y los trabajadores hayan recibido el tratamiento médico apropiado ordenado por los jueces ante los cuales tramiten los casos. </w:t>
            </w:r>
          </w:p>
          <w:p w14:paraId="2E9EE517" w14:textId="77777777" w:rsidR="00302D03" w:rsidRPr="00302D03" w:rsidRDefault="00302D03" w:rsidP="00302D03">
            <w:pPr>
              <w:pStyle w:val="ListParagraph"/>
              <w:rPr>
                <w:rFonts w:ascii="Calibri Light" w:hAnsi="Calibri Light"/>
              </w:rPr>
            </w:pPr>
          </w:p>
          <w:p w14:paraId="3D28754A" w14:textId="77777777" w:rsidR="00302D03" w:rsidRDefault="00D660A7" w:rsidP="00302D03">
            <w:pPr>
              <w:pStyle w:val="ListParagraph"/>
              <w:numPr>
                <w:ilvl w:val="0"/>
                <w:numId w:val="4"/>
              </w:numPr>
              <w:jc w:val="both"/>
              <w:rPr>
                <w:rFonts w:ascii="Calibri Light" w:hAnsi="Calibri Light"/>
                <w:b w:val="0"/>
              </w:rPr>
            </w:pPr>
            <w:r>
              <w:rPr>
                <w:rFonts w:ascii="Calibri Light" w:hAnsi="Calibri Light"/>
                <w:b w:val="0"/>
              </w:rPr>
              <w:t xml:space="preserve">Mejorar, </w:t>
            </w:r>
            <w:r w:rsidR="00302D03">
              <w:rPr>
                <w:rFonts w:ascii="Calibri Light" w:hAnsi="Calibri Light"/>
                <w:b w:val="0"/>
              </w:rPr>
              <w:t xml:space="preserve">reforzar la detección </w:t>
            </w:r>
            <w:r>
              <w:rPr>
                <w:rFonts w:ascii="Calibri Light" w:hAnsi="Calibri Light"/>
                <w:b w:val="0"/>
              </w:rPr>
              <w:t>y sancionar a los</w:t>
            </w:r>
            <w:r w:rsidR="00302D03">
              <w:rPr>
                <w:rFonts w:ascii="Calibri Light" w:hAnsi="Calibri Light"/>
                <w:b w:val="0"/>
              </w:rPr>
              <w:t xml:space="preserve"> empleadores que exploten a los trabajadores indocumentados</w:t>
            </w:r>
            <w:r>
              <w:rPr>
                <w:rFonts w:ascii="Calibri Light" w:hAnsi="Calibri Light"/>
                <w:b w:val="0"/>
              </w:rPr>
              <w:t xml:space="preserve"> y violen sus derechos laborales. </w:t>
            </w:r>
          </w:p>
          <w:p w14:paraId="49863AFC" w14:textId="48DB4522" w:rsidR="003354D1" w:rsidRPr="003354D1" w:rsidRDefault="003354D1" w:rsidP="003354D1">
            <w:pPr>
              <w:jc w:val="both"/>
              <w:rPr>
                <w:rFonts w:ascii="Calibri Light" w:hAnsi="Calibri Light"/>
              </w:rPr>
            </w:pPr>
          </w:p>
        </w:tc>
      </w:tr>
      <w:tr w:rsidR="00F464EC" w:rsidRPr="004533E5" w14:paraId="0B7CC98E" w14:textId="77777777" w:rsidTr="006F1245">
        <w:trPr>
          <w:trHeight w:val="463"/>
        </w:trPr>
        <w:tc>
          <w:tcPr>
            <w:cnfStyle w:val="001000000000" w:firstRow="0" w:lastRow="0" w:firstColumn="1" w:lastColumn="0" w:oddVBand="0" w:evenVBand="0" w:oddHBand="0" w:evenHBand="0" w:firstRowFirstColumn="0" w:firstRowLastColumn="0" w:lastRowFirstColumn="0" w:lastRowLastColumn="0"/>
            <w:tcW w:w="8721" w:type="dxa"/>
            <w:gridSpan w:val="3"/>
          </w:tcPr>
          <w:p w14:paraId="66CFB853" w14:textId="77777777" w:rsidR="00F464EC" w:rsidRDefault="00F464EC" w:rsidP="00F464EC">
            <w:pPr>
              <w:pStyle w:val="ListParagraph"/>
              <w:spacing w:after="200" w:line="276" w:lineRule="auto"/>
              <w:rPr>
                <w:rFonts w:ascii="Calibri Light" w:hAnsi="Calibri Light"/>
              </w:rPr>
            </w:pPr>
          </w:p>
          <w:p w14:paraId="7B045F14" w14:textId="2270E615" w:rsidR="00F464EC" w:rsidRDefault="00F464EC" w:rsidP="00F464EC">
            <w:pPr>
              <w:pStyle w:val="ListParagraph"/>
              <w:numPr>
                <w:ilvl w:val="0"/>
                <w:numId w:val="2"/>
              </w:numPr>
              <w:spacing w:after="200" w:line="276" w:lineRule="auto"/>
              <w:jc w:val="center"/>
              <w:rPr>
                <w:rFonts w:ascii="Calibri Light" w:hAnsi="Calibri Light"/>
              </w:rPr>
            </w:pPr>
            <w:r>
              <w:rPr>
                <w:rFonts w:ascii="Calibri Light" w:hAnsi="Calibri Light"/>
              </w:rPr>
              <w:t>Análisis de cumplimiento de las recomendaciones</w:t>
            </w:r>
          </w:p>
          <w:p w14:paraId="3C93C1C0" w14:textId="77777777" w:rsidR="00F464EC" w:rsidRDefault="00F464EC" w:rsidP="00F464EC">
            <w:pPr>
              <w:pStyle w:val="ListParagraph"/>
              <w:ind w:left="0"/>
              <w:jc w:val="center"/>
              <w:rPr>
                <w:rFonts w:ascii="Calibri Light" w:hAnsi="Calibri Light"/>
                <w:b w:val="0"/>
              </w:rPr>
            </w:pPr>
          </w:p>
        </w:tc>
      </w:tr>
      <w:tr w:rsidR="00F464EC" w:rsidRPr="004533E5" w14:paraId="41FA15A1" w14:textId="77777777" w:rsidTr="006F1245">
        <w:trPr>
          <w:cnfStyle w:val="000000100000" w:firstRow="0" w:lastRow="0" w:firstColumn="0" w:lastColumn="0" w:oddVBand="0" w:evenVBand="0" w:oddHBand="1" w:evenHBand="0" w:firstRowFirstColumn="0" w:firstRowLastColumn="0" w:lastRowFirstColumn="0" w:lastRowLastColumn="0"/>
          <w:trHeight w:val="463"/>
        </w:trPr>
        <w:tc>
          <w:tcPr>
            <w:cnfStyle w:val="001000000000" w:firstRow="0" w:lastRow="0" w:firstColumn="1" w:lastColumn="0" w:oddVBand="0" w:evenVBand="0" w:oddHBand="0" w:evenHBand="0" w:firstRowFirstColumn="0" w:firstRowLastColumn="0" w:lastRowFirstColumn="0" w:lastRowLastColumn="0"/>
            <w:tcW w:w="8721" w:type="dxa"/>
            <w:gridSpan w:val="3"/>
          </w:tcPr>
          <w:p w14:paraId="375E157F" w14:textId="77777777" w:rsidR="00D660A7" w:rsidRDefault="00D660A7" w:rsidP="00D660A7">
            <w:pPr>
              <w:pStyle w:val="ListParagraph"/>
              <w:ind w:left="0"/>
              <w:jc w:val="center"/>
              <w:rPr>
                <w:rFonts w:ascii="Calibri Light" w:hAnsi="Calibri Light"/>
                <w:b w:val="0"/>
              </w:rPr>
            </w:pPr>
          </w:p>
          <w:p w14:paraId="2F6B80A8" w14:textId="77777777" w:rsidR="00F464EC" w:rsidRDefault="00D660A7" w:rsidP="00D660A7">
            <w:pPr>
              <w:pStyle w:val="ListParagraph"/>
              <w:ind w:left="0"/>
              <w:jc w:val="center"/>
              <w:rPr>
                <w:rFonts w:ascii="Calibri Light" w:hAnsi="Calibri Light"/>
                <w:b w:val="0"/>
              </w:rPr>
            </w:pPr>
            <w:r>
              <w:rPr>
                <w:rFonts w:ascii="Calibri Light" w:hAnsi="Calibri Light"/>
                <w:b w:val="0"/>
              </w:rPr>
              <w:t>-</w:t>
            </w:r>
          </w:p>
          <w:p w14:paraId="1F3EA985" w14:textId="57AD8898" w:rsidR="00D660A7" w:rsidRDefault="00D660A7" w:rsidP="00D660A7">
            <w:pPr>
              <w:pStyle w:val="ListParagraph"/>
              <w:ind w:left="0"/>
              <w:jc w:val="center"/>
              <w:rPr>
                <w:rFonts w:ascii="Calibri Light" w:hAnsi="Calibri Light"/>
                <w:b w:val="0"/>
              </w:rPr>
            </w:pPr>
          </w:p>
        </w:tc>
      </w:tr>
    </w:tbl>
    <w:p w14:paraId="23A9A3C3" w14:textId="77777777" w:rsidR="00714E42" w:rsidRDefault="00714E42" w:rsidP="00A65231"/>
    <w:sectPr w:rsidR="00714E42" w:rsidSect="00936978">
      <w:footerReference w:type="default" r:id="rId14"/>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7945B4" w14:textId="77777777" w:rsidR="00424FB2" w:rsidRDefault="00424FB2" w:rsidP="00A65231">
      <w:pPr>
        <w:spacing w:after="0" w:line="240" w:lineRule="auto"/>
      </w:pPr>
      <w:r>
        <w:separator/>
      </w:r>
    </w:p>
  </w:endnote>
  <w:endnote w:type="continuationSeparator" w:id="0">
    <w:p w14:paraId="1AEE20CD" w14:textId="77777777" w:rsidR="00424FB2" w:rsidRDefault="00424FB2" w:rsidP="00A65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471937"/>
      <w:docPartObj>
        <w:docPartGallery w:val="Page Numbers (Bottom of Page)"/>
        <w:docPartUnique/>
      </w:docPartObj>
    </w:sdtPr>
    <w:sdtEndPr/>
    <w:sdtContent>
      <w:p w14:paraId="23A746CC" w14:textId="77777777" w:rsidR="00A65231" w:rsidRDefault="00A65231">
        <w:pPr>
          <w:pStyle w:val="Footer"/>
          <w:jc w:val="right"/>
        </w:pPr>
        <w:r>
          <w:fldChar w:fldCharType="begin"/>
        </w:r>
        <w:r>
          <w:instrText>PAGE   \* MERGEFORMAT</w:instrText>
        </w:r>
        <w:r>
          <w:fldChar w:fldCharType="separate"/>
        </w:r>
        <w:r w:rsidR="001A1BE5" w:rsidRPr="001A1BE5">
          <w:rPr>
            <w:noProof/>
            <w:lang w:val="es-ES"/>
          </w:rPr>
          <w:t>1</w:t>
        </w:r>
        <w:r>
          <w:fldChar w:fldCharType="end"/>
        </w:r>
      </w:p>
    </w:sdtContent>
  </w:sdt>
  <w:p w14:paraId="6353BB13" w14:textId="77777777" w:rsidR="00A65231" w:rsidRDefault="00A652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B48A77" w14:textId="77777777" w:rsidR="00424FB2" w:rsidRDefault="00424FB2" w:rsidP="00A65231">
      <w:pPr>
        <w:spacing w:after="0" w:line="240" w:lineRule="auto"/>
      </w:pPr>
      <w:r>
        <w:separator/>
      </w:r>
    </w:p>
  </w:footnote>
  <w:footnote w:type="continuationSeparator" w:id="0">
    <w:p w14:paraId="01CEBCDB" w14:textId="77777777" w:rsidR="00424FB2" w:rsidRDefault="00424FB2" w:rsidP="00A652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A5EBA"/>
    <w:multiLevelType w:val="hybridMultilevel"/>
    <w:tmpl w:val="EB50DC4A"/>
    <w:lvl w:ilvl="0" w:tplc="ABEC1556">
      <w:start w:val="1"/>
      <w:numFmt w:val="decimal"/>
      <w:lvlText w:val="%1."/>
      <w:lvlJc w:val="left"/>
      <w:pPr>
        <w:ind w:left="360" w:hanging="360"/>
      </w:pPr>
      <w:rPr>
        <w:rFonts w:ascii="Calibri Light" w:hAnsi="Calibri Light" w:hint="default"/>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15:restartNumberingAfterBreak="0">
    <w:nsid w:val="1BF532F2"/>
    <w:multiLevelType w:val="hybridMultilevel"/>
    <w:tmpl w:val="6D140832"/>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2" w15:restartNumberingAfterBreak="0">
    <w:nsid w:val="2E407FFD"/>
    <w:multiLevelType w:val="hybridMultilevel"/>
    <w:tmpl w:val="A7D64546"/>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 w15:restartNumberingAfterBreak="0">
    <w:nsid w:val="3D81334F"/>
    <w:multiLevelType w:val="hybridMultilevel"/>
    <w:tmpl w:val="66322A9C"/>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405A010C"/>
    <w:multiLevelType w:val="hybridMultilevel"/>
    <w:tmpl w:val="CA92DD6E"/>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5" w15:restartNumberingAfterBreak="0">
    <w:nsid w:val="45046FB2"/>
    <w:multiLevelType w:val="hybridMultilevel"/>
    <w:tmpl w:val="7BB2EC6A"/>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6" w15:restartNumberingAfterBreak="0">
    <w:nsid w:val="511A22F4"/>
    <w:multiLevelType w:val="hybridMultilevel"/>
    <w:tmpl w:val="C1A0C3EA"/>
    <w:lvl w:ilvl="0" w:tplc="080A0013">
      <w:start w:val="1"/>
      <w:numFmt w:val="upperRoman"/>
      <w:lvlText w:val="%1."/>
      <w:lvlJc w:val="right"/>
      <w:pPr>
        <w:ind w:left="720" w:hanging="180"/>
      </w:pPr>
    </w:lvl>
    <w:lvl w:ilvl="1" w:tplc="080A0011">
      <w:start w:val="1"/>
      <w:numFmt w:val="decimal"/>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71C78C8"/>
    <w:multiLevelType w:val="hybridMultilevel"/>
    <w:tmpl w:val="3790E7BE"/>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15:restartNumberingAfterBreak="0">
    <w:nsid w:val="71BF0003"/>
    <w:multiLevelType w:val="hybridMultilevel"/>
    <w:tmpl w:val="2ECCC950"/>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6"/>
  </w:num>
  <w:num w:numId="2">
    <w:abstractNumId w:val="3"/>
  </w:num>
  <w:num w:numId="3">
    <w:abstractNumId w:val="0"/>
  </w:num>
  <w:num w:numId="4">
    <w:abstractNumId w:val="4"/>
  </w:num>
  <w:num w:numId="5">
    <w:abstractNumId w:val="5"/>
  </w:num>
  <w:num w:numId="6">
    <w:abstractNumId w:val="8"/>
  </w:num>
  <w:num w:numId="7">
    <w:abstractNumId w:val="2"/>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1359"/>
    <w:rsid w:val="00021BA6"/>
    <w:rsid w:val="000326D5"/>
    <w:rsid w:val="000957EF"/>
    <w:rsid w:val="000C24F7"/>
    <w:rsid w:val="000C2ED1"/>
    <w:rsid w:val="000C5A72"/>
    <w:rsid w:val="000D3CF2"/>
    <w:rsid w:val="000D5915"/>
    <w:rsid w:val="000F2C70"/>
    <w:rsid w:val="00193C1F"/>
    <w:rsid w:val="001A14F7"/>
    <w:rsid w:val="001A1BE5"/>
    <w:rsid w:val="001C28EC"/>
    <w:rsid w:val="00204509"/>
    <w:rsid w:val="00212F62"/>
    <w:rsid w:val="00213757"/>
    <w:rsid w:val="00220B75"/>
    <w:rsid w:val="00265C39"/>
    <w:rsid w:val="0029671B"/>
    <w:rsid w:val="00302D03"/>
    <w:rsid w:val="00317EE5"/>
    <w:rsid w:val="00323F47"/>
    <w:rsid w:val="003354D1"/>
    <w:rsid w:val="003379F5"/>
    <w:rsid w:val="003446C6"/>
    <w:rsid w:val="0035705C"/>
    <w:rsid w:val="00390038"/>
    <w:rsid w:val="003E6AB8"/>
    <w:rsid w:val="00411A74"/>
    <w:rsid w:val="00421D6C"/>
    <w:rsid w:val="00424FB2"/>
    <w:rsid w:val="00451809"/>
    <w:rsid w:val="00452AA6"/>
    <w:rsid w:val="004533E5"/>
    <w:rsid w:val="00464CAC"/>
    <w:rsid w:val="00473FA3"/>
    <w:rsid w:val="00480672"/>
    <w:rsid w:val="004816C9"/>
    <w:rsid w:val="004858A8"/>
    <w:rsid w:val="004861D8"/>
    <w:rsid w:val="004A40B1"/>
    <w:rsid w:val="004B1311"/>
    <w:rsid w:val="004C461E"/>
    <w:rsid w:val="004E0EA7"/>
    <w:rsid w:val="004E678F"/>
    <w:rsid w:val="004F061A"/>
    <w:rsid w:val="004F30BF"/>
    <w:rsid w:val="00504A1B"/>
    <w:rsid w:val="00510768"/>
    <w:rsid w:val="005173CF"/>
    <w:rsid w:val="00522172"/>
    <w:rsid w:val="00557C90"/>
    <w:rsid w:val="00560357"/>
    <w:rsid w:val="00561359"/>
    <w:rsid w:val="00567135"/>
    <w:rsid w:val="00573427"/>
    <w:rsid w:val="00593F96"/>
    <w:rsid w:val="005A1B5A"/>
    <w:rsid w:val="005A4977"/>
    <w:rsid w:val="005C3229"/>
    <w:rsid w:val="005C5570"/>
    <w:rsid w:val="005D4FDF"/>
    <w:rsid w:val="005F5D3A"/>
    <w:rsid w:val="006407DD"/>
    <w:rsid w:val="00676230"/>
    <w:rsid w:val="00685F04"/>
    <w:rsid w:val="006D488A"/>
    <w:rsid w:val="006E5BA4"/>
    <w:rsid w:val="006F1245"/>
    <w:rsid w:val="007051A7"/>
    <w:rsid w:val="00714E42"/>
    <w:rsid w:val="00747E22"/>
    <w:rsid w:val="007513BC"/>
    <w:rsid w:val="00790038"/>
    <w:rsid w:val="0079477F"/>
    <w:rsid w:val="007A6C56"/>
    <w:rsid w:val="007B699D"/>
    <w:rsid w:val="007B7ED8"/>
    <w:rsid w:val="007E382B"/>
    <w:rsid w:val="008036E7"/>
    <w:rsid w:val="00811C66"/>
    <w:rsid w:val="00841B0E"/>
    <w:rsid w:val="008477CE"/>
    <w:rsid w:val="008621B6"/>
    <w:rsid w:val="00866A4D"/>
    <w:rsid w:val="008D694D"/>
    <w:rsid w:val="0090367F"/>
    <w:rsid w:val="00931244"/>
    <w:rsid w:val="00936978"/>
    <w:rsid w:val="00954E20"/>
    <w:rsid w:val="00963319"/>
    <w:rsid w:val="00A00B96"/>
    <w:rsid w:val="00A133CC"/>
    <w:rsid w:val="00A271BF"/>
    <w:rsid w:val="00A4435A"/>
    <w:rsid w:val="00A65231"/>
    <w:rsid w:val="00A849A3"/>
    <w:rsid w:val="00A90403"/>
    <w:rsid w:val="00A91B24"/>
    <w:rsid w:val="00AA2330"/>
    <w:rsid w:val="00AC6F31"/>
    <w:rsid w:val="00AD0B06"/>
    <w:rsid w:val="00AD1B5F"/>
    <w:rsid w:val="00AD62EB"/>
    <w:rsid w:val="00B07E72"/>
    <w:rsid w:val="00B235BC"/>
    <w:rsid w:val="00B25E8D"/>
    <w:rsid w:val="00B40AD6"/>
    <w:rsid w:val="00B71B8C"/>
    <w:rsid w:val="00B771B5"/>
    <w:rsid w:val="00B93CB9"/>
    <w:rsid w:val="00BA237E"/>
    <w:rsid w:val="00BB61C6"/>
    <w:rsid w:val="00BD48E5"/>
    <w:rsid w:val="00BE6FA1"/>
    <w:rsid w:val="00BE71AC"/>
    <w:rsid w:val="00C31DFF"/>
    <w:rsid w:val="00C42C06"/>
    <w:rsid w:val="00C63B25"/>
    <w:rsid w:val="00CA7890"/>
    <w:rsid w:val="00CC0598"/>
    <w:rsid w:val="00CE208B"/>
    <w:rsid w:val="00D04613"/>
    <w:rsid w:val="00D0696E"/>
    <w:rsid w:val="00D11177"/>
    <w:rsid w:val="00D660A7"/>
    <w:rsid w:val="00D71243"/>
    <w:rsid w:val="00D77BCA"/>
    <w:rsid w:val="00DD3C7C"/>
    <w:rsid w:val="00DE2468"/>
    <w:rsid w:val="00DE68EB"/>
    <w:rsid w:val="00DF2AFB"/>
    <w:rsid w:val="00E33297"/>
    <w:rsid w:val="00E35FF7"/>
    <w:rsid w:val="00E4643C"/>
    <w:rsid w:val="00E63422"/>
    <w:rsid w:val="00F06184"/>
    <w:rsid w:val="00F06562"/>
    <w:rsid w:val="00F35633"/>
    <w:rsid w:val="00F464EC"/>
    <w:rsid w:val="00F52BD3"/>
    <w:rsid w:val="00F53444"/>
    <w:rsid w:val="00F55CD0"/>
    <w:rsid w:val="00F563F4"/>
    <w:rsid w:val="00F667C8"/>
    <w:rsid w:val="00F725A5"/>
    <w:rsid w:val="00F83405"/>
    <w:rsid w:val="00FB0F60"/>
    <w:rsid w:val="00FB1D17"/>
    <w:rsid w:val="00FE7970"/>
  </w:rsids>
  <m:mathPr>
    <m:mathFont m:val="Cambria Math"/>
    <m:brkBin m:val="before"/>
    <m:brkBinSub m:val="--"/>
    <m:smallFrac m:val="0"/>
    <m:dispDef/>
    <m:lMargin m:val="0"/>
    <m:rMargin m:val="0"/>
    <m:defJc m:val="centerGroup"/>
    <m:wrapIndent m:val="1440"/>
    <m:intLim m:val="subSup"/>
    <m:naryLim m:val="undOvr"/>
  </m:mathPr>
  <w:themeFontLang w:val="es-P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7F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1359"/>
    <w:rPr>
      <w:rFonts w:ascii="Calibri" w:eastAsia="Calibri" w:hAnsi="Calibri" w:cs="Times New Roman"/>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1359"/>
    <w:pPr>
      <w:tabs>
        <w:tab w:val="center" w:pos="4419"/>
        <w:tab w:val="right" w:pos="8838"/>
      </w:tabs>
      <w:spacing w:after="0" w:line="240" w:lineRule="auto"/>
    </w:pPr>
  </w:style>
  <w:style w:type="character" w:customStyle="1" w:styleId="HeaderChar">
    <w:name w:val="Header Char"/>
    <w:basedOn w:val="DefaultParagraphFont"/>
    <w:link w:val="Header"/>
    <w:uiPriority w:val="99"/>
    <w:rsid w:val="00561359"/>
    <w:rPr>
      <w:rFonts w:ascii="Calibri" w:eastAsia="Calibri" w:hAnsi="Calibri" w:cs="Times New Roman"/>
      <w:lang w:val="es-MX"/>
    </w:rPr>
  </w:style>
  <w:style w:type="table" w:styleId="TableGrid">
    <w:name w:val="Table Grid"/>
    <w:basedOn w:val="TableNormal"/>
    <w:uiPriority w:val="59"/>
    <w:rsid w:val="005173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5">
    <w:name w:val="Light Shading Accent 5"/>
    <w:basedOn w:val="TableNormal"/>
    <w:uiPriority w:val="60"/>
    <w:rsid w:val="005173C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MediumShading1-Accent5">
    <w:name w:val="Medium Shading 1 Accent 5"/>
    <w:basedOn w:val="TableNormal"/>
    <w:uiPriority w:val="63"/>
    <w:rsid w:val="005173CF"/>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ghtShading-Accent4">
    <w:name w:val="Light Shading Accent 4"/>
    <w:basedOn w:val="TableNormal"/>
    <w:uiPriority w:val="60"/>
    <w:rsid w:val="005173C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MediumGrid1-Accent3">
    <w:name w:val="Medium Grid 1 Accent 3"/>
    <w:basedOn w:val="TableNormal"/>
    <w:uiPriority w:val="67"/>
    <w:rsid w:val="005173CF"/>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1">
    <w:name w:val="Medium Grid 1 Accent 1"/>
    <w:basedOn w:val="TableNormal"/>
    <w:uiPriority w:val="67"/>
    <w:rsid w:val="005173CF"/>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ListParagraph">
    <w:name w:val="List Paragraph"/>
    <w:basedOn w:val="Normal"/>
    <w:uiPriority w:val="34"/>
    <w:qFormat/>
    <w:rsid w:val="007A6C56"/>
    <w:pPr>
      <w:ind w:left="720"/>
      <w:contextualSpacing/>
    </w:pPr>
  </w:style>
  <w:style w:type="paragraph" w:styleId="Footer">
    <w:name w:val="footer"/>
    <w:basedOn w:val="Normal"/>
    <w:link w:val="FooterChar"/>
    <w:uiPriority w:val="99"/>
    <w:unhideWhenUsed/>
    <w:rsid w:val="00A65231"/>
    <w:pPr>
      <w:tabs>
        <w:tab w:val="center" w:pos="4419"/>
        <w:tab w:val="right" w:pos="8838"/>
      </w:tabs>
      <w:spacing w:after="0" w:line="240" w:lineRule="auto"/>
    </w:pPr>
  </w:style>
  <w:style w:type="character" w:customStyle="1" w:styleId="FooterChar">
    <w:name w:val="Footer Char"/>
    <w:basedOn w:val="DefaultParagraphFont"/>
    <w:link w:val="Footer"/>
    <w:uiPriority w:val="99"/>
    <w:rsid w:val="00A65231"/>
    <w:rPr>
      <w:rFonts w:ascii="Calibri" w:eastAsia="Calibri" w:hAnsi="Calibri" w:cs="Times New Roman"/>
      <w:lang w:val="es-MX"/>
    </w:rPr>
  </w:style>
  <w:style w:type="paragraph" w:styleId="BalloonText">
    <w:name w:val="Balloon Text"/>
    <w:basedOn w:val="Normal"/>
    <w:link w:val="BalloonTextChar"/>
    <w:uiPriority w:val="99"/>
    <w:semiHidden/>
    <w:unhideWhenUsed/>
    <w:rsid w:val="00954E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4E20"/>
    <w:rPr>
      <w:rFonts w:ascii="Tahoma" w:eastAsia="Calibri" w:hAnsi="Tahoma" w:cs="Tahoma"/>
      <w:sz w:val="16"/>
      <w:szCs w:val="16"/>
      <w:lang w:val="es-MX"/>
    </w:rPr>
  </w:style>
  <w:style w:type="table" w:customStyle="1" w:styleId="Tabladelista2-nfasis11">
    <w:name w:val="Tabla de lista 2 - Énfasis 11"/>
    <w:basedOn w:val="TableNormal"/>
    <w:uiPriority w:val="47"/>
    <w:rsid w:val="007B7ED8"/>
    <w:pPr>
      <w:spacing w:after="0"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F06184"/>
    <w:rPr>
      <w:sz w:val="18"/>
      <w:szCs w:val="18"/>
    </w:rPr>
  </w:style>
  <w:style w:type="paragraph" w:styleId="CommentText">
    <w:name w:val="annotation text"/>
    <w:basedOn w:val="Normal"/>
    <w:link w:val="CommentTextChar"/>
    <w:uiPriority w:val="99"/>
    <w:semiHidden/>
    <w:unhideWhenUsed/>
    <w:rsid w:val="00F06184"/>
    <w:pPr>
      <w:spacing w:line="240" w:lineRule="auto"/>
    </w:pPr>
    <w:rPr>
      <w:sz w:val="24"/>
      <w:szCs w:val="24"/>
    </w:rPr>
  </w:style>
  <w:style w:type="character" w:customStyle="1" w:styleId="CommentTextChar">
    <w:name w:val="Comment Text Char"/>
    <w:basedOn w:val="DefaultParagraphFont"/>
    <w:link w:val="CommentText"/>
    <w:uiPriority w:val="99"/>
    <w:semiHidden/>
    <w:rsid w:val="00F06184"/>
    <w:rPr>
      <w:rFonts w:ascii="Calibri" w:eastAsia="Calibri" w:hAnsi="Calibri" w:cs="Times New Roman"/>
      <w:sz w:val="24"/>
      <w:szCs w:val="24"/>
      <w:lang w:val="es-MX"/>
    </w:rPr>
  </w:style>
  <w:style w:type="paragraph" w:styleId="CommentSubject">
    <w:name w:val="annotation subject"/>
    <w:basedOn w:val="CommentText"/>
    <w:next w:val="CommentText"/>
    <w:link w:val="CommentSubjectChar"/>
    <w:uiPriority w:val="99"/>
    <w:semiHidden/>
    <w:unhideWhenUsed/>
    <w:rsid w:val="00F06184"/>
    <w:rPr>
      <w:b/>
      <w:bCs/>
      <w:sz w:val="20"/>
      <w:szCs w:val="20"/>
    </w:rPr>
  </w:style>
  <w:style w:type="character" w:customStyle="1" w:styleId="CommentSubjectChar">
    <w:name w:val="Comment Subject Char"/>
    <w:basedOn w:val="CommentTextChar"/>
    <w:link w:val="CommentSubject"/>
    <w:uiPriority w:val="99"/>
    <w:semiHidden/>
    <w:rsid w:val="00F06184"/>
    <w:rPr>
      <w:rFonts w:ascii="Calibri" w:eastAsia="Calibri" w:hAnsi="Calibri" w:cs="Times New Roman"/>
      <w:b/>
      <w:bCs/>
      <w:sz w:val="20"/>
      <w:szCs w:val="20"/>
      <w:lang w:val="es-MX"/>
    </w:rPr>
  </w:style>
  <w:style w:type="character" w:styleId="Hyperlink">
    <w:name w:val="Hyperlink"/>
    <w:basedOn w:val="DefaultParagraphFont"/>
    <w:uiPriority w:val="99"/>
    <w:unhideWhenUsed/>
    <w:rsid w:val="00D04613"/>
    <w:rPr>
      <w:color w:val="0000FF" w:themeColor="hyperlink"/>
      <w:u w:val="single"/>
    </w:rPr>
  </w:style>
  <w:style w:type="paragraph" w:styleId="Revision">
    <w:name w:val="Revision"/>
    <w:hidden/>
    <w:uiPriority w:val="99"/>
    <w:semiHidden/>
    <w:rsid w:val="00204509"/>
    <w:pPr>
      <w:spacing w:after="0" w:line="240" w:lineRule="auto"/>
    </w:pPr>
    <w:rPr>
      <w:rFonts w:ascii="Calibri" w:eastAsia="Calibri" w:hAnsi="Calibri" w:cs="Times New Roman"/>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as.org/es/cidh/decisiones/2011/EEUUAD1190-06ES.do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as.org/es/cidh/decisiones/2016/USPU12834ES.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http://dpp.graduateinstitute.ch/files/live/sites/dpp/files/shared/images/IDEHPUCP%20%20color.jpg" TargetMode="Externa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4FAB1-FBDF-4C64-B2EA-8399137AA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1567</Words>
  <Characters>8933</Characters>
  <Application>Microsoft Office Word</Application>
  <DocSecurity>0</DocSecurity>
  <Lines>74</Lines>
  <Paragraphs>20</Paragraphs>
  <ScaleCrop>false</ScaleCrop>
  <Company/>
  <LinksUpToDate>false</LinksUpToDate>
  <CharactersWithSpaces>10480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2021-02-11T09:51:00Z</dcterms:created>
  <dcterms:modified xsi:type="dcterms:W3CDTF">2021-02-11T09:51:00Z</dcterms:modified>
</cp:coreProperties>
</file>