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165EC6" w:rsidRDefault="00D306D1" w:rsidP="00627C9F">
      <w:pPr>
        <w:jc w:val="both"/>
        <w:rPr>
          <w:rFonts w:asciiTheme="majorHAnsi" w:hAnsiTheme="majorHAnsi" w:cs="Univers"/>
          <w:b/>
          <w:bCs/>
          <w:sz w:val="22"/>
          <w:szCs w:val="22"/>
          <w:lang w:val="es-ES_tradnl"/>
        </w:rPr>
      </w:pPr>
      <w:r w:rsidRPr="00165EC6">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B0DEEF3" wp14:editId="3094985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165EC6">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FA47CE5" wp14:editId="745847B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16A1" w:rsidRDefault="00DA16A1" w:rsidP="00AE5488">
                            <w:r>
                              <w:rPr>
                                <w:noProof/>
                              </w:rPr>
                              <w:drawing>
                                <wp:inline distT="0" distB="0" distL="0" distR="0" wp14:anchorId="16D3A8A6" wp14:editId="50F9B57B">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DA16A1" w:rsidRDefault="00DA16A1" w:rsidP="00AE5488">
                      <w:r>
                        <w:rPr>
                          <w:noProof/>
                        </w:rPr>
                        <w:drawing>
                          <wp:inline distT="0" distB="0" distL="0" distR="0" wp14:anchorId="16D3A8A6" wp14:editId="50F9B57B">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165EC6" w:rsidRDefault="00040C3A" w:rsidP="00040C3A">
      <w:pPr>
        <w:tabs>
          <w:tab w:val="center" w:pos="5400"/>
        </w:tabs>
        <w:suppressAutoHyphens/>
        <w:jc w:val="both"/>
        <w:rPr>
          <w:rFonts w:asciiTheme="majorHAnsi" w:hAnsiTheme="majorHAnsi"/>
          <w:sz w:val="22"/>
          <w:szCs w:val="22"/>
          <w:lang w:val="es-ES"/>
        </w:rPr>
      </w:pPr>
    </w:p>
    <w:p w:rsidR="00040C3A" w:rsidRPr="00165EC6" w:rsidRDefault="00040C3A" w:rsidP="00040C3A">
      <w:pPr>
        <w:tabs>
          <w:tab w:val="center" w:pos="5400"/>
        </w:tabs>
        <w:suppressAutoHyphens/>
        <w:jc w:val="both"/>
        <w:rPr>
          <w:rFonts w:asciiTheme="majorHAnsi" w:hAnsiTheme="majorHAnsi"/>
          <w:sz w:val="22"/>
          <w:szCs w:val="22"/>
          <w:lang w:val="es-ES"/>
        </w:rPr>
      </w:pPr>
    </w:p>
    <w:p w:rsidR="005128E4" w:rsidRPr="00165EC6" w:rsidRDefault="005128E4" w:rsidP="00040C3A">
      <w:pPr>
        <w:tabs>
          <w:tab w:val="center" w:pos="5400"/>
        </w:tabs>
        <w:suppressAutoHyphens/>
        <w:rPr>
          <w:rFonts w:asciiTheme="majorHAnsi" w:hAnsiTheme="majorHAnsi"/>
          <w:sz w:val="22"/>
          <w:szCs w:val="22"/>
          <w:lang w:val="es-ES_tradnl"/>
        </w:rPr>
      </w:pPr>
    </w:p>
    <w:p w:rsidR="005128E4" w:rsidRPr="00165EC6" w:rsidRDefault="005128E4" w:rsidP="00040C3A">
      <w:pPr>
        <w:tabs>
          <w:tab w:val="center" w:pos="5400"/>
        </w:tabs>
        <w:suppressAutoHyphens/>
        <w:rPr>
          <w:rFonts w:asciiTheme="majorHAnsi" w:hAnsiTheme="majorHAnsi"/>
          <w:sz w:val="22"/>
          <w:szCs w:val="22"/>
          <w:lang w:val="es-ES_tradnl"/>
        </w:rPr>
      </w:pPr>
    </w:p>
    <w:p w:rsidR="005128E4" w:rsidRPr="00165EC6" w:rsidRDefault="005128E4" w:rsidP="00040C3A">
      <w:pPr>
        <w:tabs>
          <w:tab w:val="center" w:pos="5400"/>
        </w:tabs>
        <w:suppressAutoHyphens/>
        <w:rPr>
          <w:rFonts w:asciiTheme="majorHAnsi" w:hAnsiTheme="majorHAnsi"/>
          <w:sz w:val="22"/>
          <w:szCs w:val="22"/>
          <w:lang w:val="es-ES_tradnl"/>
        </w:rPr>
      </w:pPr>
    </w:p>
    <w:p w:rsidR="00040C3A" w:rsidRPr="00165EC6" w:rsidRDefault="00040C3A" w:rsidP="005128E4">
      <w:pPr>
        <w:tabs>
          <w:tab w:val="center" w:pos="5400"/>
        </w:tabs>
        <w:suppressAutoHyphens/>
        <w:jc w:val="center"/>
        <w:rPr>
          <w:rFonts w:asciiTheme="majorHAnsi" w:hAnsiTheme="majorHAnsi"/>
          <w:sz w:val="22"/>
          <w:szCs w:val="22"/>
          <w:lang w:val="es-ES_tradnl"/>
        </w:rPr>
      </w:pPr>
    </w:p>
    <w:p w:rsidR="00040C3A" w:rsidRPr="00165EC6" w:rsidRDefault="00040C3A" w:rsidP="005128E4">
      <w:pPr>
        <w:tabs>
          <w:tab w:val="center" w:pos="5400"/>
        </w:tabs>
        <w:suppressAutoHyphens/>
        <w:jc w:val="center"/>
        <w:rPr>
          <w:rFonts w:asciiTheme="majorHAnsi" w:hAnsiTheme="majorHAnsi"/>
          <w:sz w:val="22"/>
          <w:szCs w:val="22"/>
          <w:lang w:val="es-ES_tradnl"/>
        </w:rPr>
      </w:pPr>
    </w:p>
    <w:p w:rsidR="005B52B0" w:rsidRPr="00165EC6" w:rsidRDefault="005B52B0" w:rsidP="005128E4">
      <w:pPr>
        <w:tabs>
          <w:tab w:val="center" w:pos="5400"/>
        </w:tabs>
        <w:suppressAutoHyphens/>
        <w:jc w:val="center"/>
        <w:rPr>
          <w:rFonts w:asciiTheme="majorHAnsi" w:hAnsiTheme="majorHAnsi"/>
          <w:sz w:val="22"/>
          <w:szCs w:val="22"/>
          <w:lang w:val="es-ES_tradnl"/>
        </w:rPr>
      </w:pPr>
    </w:p>
    <w:p w:rsidR="005B52B0" w:rsidRPr="00165EC6" w:rsidRDefault="005B52B0" w:rsidP="005128E4">
      <w:pPr>
        <w:tabs>
          <w:tab w:val="center" w:pos="5400"/>
        </w:tabs>
        <w:suppressAutoHyphens/>
        <w:jc w:val="center"/>
        <w:rPr>
          <w:rFonts w:asciiTheme="majorHAnsi" w:hAnsiTheme="majorHAnsi"/>
          <w:sz w:val="22"/>
          <w:szCs w:val="22"/>
          <w:lang w:val="es-ES_tradnl"/>
        </w:rPr>
      </w:pPr>
    </w:p>
    <w:p w:rsidR="005B52B0" w:rsidRPr="00165EC6" w:rsidRDefault="005B52B0" w:rsidP="005128E4">
      <w:pPr>
        <w:tabs>
          <w:tab w:val="center" w:pos="5400"/>
        </w:tabs>
        <w:suppressAutoHyphens/>
        <w:jc w:val="center"/>
        <w:rPr>
          <w:rFonts w:asciiTheme="majorHAnsi" w:hAnsiTheme="majorHAnsi"/>
          <w:sz w:val="22"/>
          <w:szCs w:val="22"/>
          <w:lang w:val="es-ES_tradnl"/>
        </w:rPr>
      </w:pPr>
    </w:p>
    <w:p w:rsidR="00040C3A" w:rsidRPr="00165EC6" w:rsidRDefault="00040C3A" w:rsidP="00040C3A">
      <w:pPr>
        <w:tabs>
          <w:tab w:val="center" w:pos="5400"/>
        </w:tabs>
        <w:suppressAutoHyphens/>
        <w:jc w:val="center"/>
        <w:rPr>
          <w:rFonts w:asciiTheme="majorHAnsi" w:hAnsiTheme="majorHAnsi"/>
          <w:sz w:val="22"/>
          <w:szCs w:val="22"/>
          <w:lang w:val="es-ES_tradnl"/>
        </w:rPr>
      </w:pPr>
    </w:p>
    <w:p w:rsidR="00040C3A" w:rsidRPr="00165EC6" w:rsidRDefault="00040C3A" w:rsidP="00040C3A">
      <w:pPr>
        <w:tabs>
          <w:tab w:val="center" w:pos="5400"/>
        </w:tabs>
        <w:suppressAutoHyphens/>
        <w:jc w:val="center"/>
        <w:rPr>
          <w:rFonts w:asciiTheme="majorHAnsi" w:hAnsiTheme="majorHAnsi"/>
          <w:sz w:val="22"/>
          <w:szCs w:val="22"/>
          <w:lang w:val="es-ES_tradnl"/>
        </w:rPr>
      </w:pPr>
    </w:p>
    <w:p w:rsidR="00040C3A" w:rsidRPr="00165EC6" w:rsidRDefault="003D3BC2" w:rsidP="00040C3A">
      <w:pPr>
        <w:tabs>
          <w:tab w:val="center" w:pos="5400"/>
        </w:tabs>
        <w:suppressAutoHyphens/>
        <w:jc w:val="center"/>
        <w:rPr>
          <w:rFonts w:asciiTheme="majorHAnsi" w:hAnsiTheme="majorHAnsi"/>
          <w:sz w:val="22"/>
          <w:szCs w:val="22"/>
          <w:lang w:val="es-ES_tradnl"/>
        </w:rPr>
      </w:pPr>
      <w:r w:rsidRPr="00165EC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9C502BC" wp14:editId="1606E7D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16A1" w:rsidRPr="004E2649" w:rsidRDefault="00DA16A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Pr>
                                <w:rFonts w:asciiTheme="majorHAnsi" w:hAnsiTheme="majorHAnsi" w:cs="Arial"/>
                                <w:b/>
                                <w:bCs/>
                                <w:color w:val="0D0D0D" w:themeColor="text1" w:themeTint="F2"/>
                                <w:sz w:val="36"/>
                                <w:szCs w:val="22"/>
                                <w:lang w:val="es-ES_tradnl"/>
                              </w:rPr>
                              <w:t>25</w:t>
                            </w:r>
                            <w:r w:rsidRPr="004E2649">
                              <w:rPr>
                                <w:rFonts w:asciiTheme="majorHAnsi" w:hAnsiTheme="majorHAnsi" w:cs="Arial"/>
                                <w:b/>
                                <w:bCs/>
                                <w:color w:val="0D0D0D" w:themeColor="text1" w:themeTint="F2"/>
                                <w:sz w:val="36"/>
                                <w:szCs w:val="22"/>
                                <w:lang w:val="es-ES_tradnl"/>
                              </w:rPr>
                              <w:t>/1</w:t>
                            </w:r>
                            <w:r>
                              <w:rPr>
                                <w:rFonts w:asciiTheme="majorHAnsi" w:hAnsiTheme="majorHAnsi" w:cs="Arial"/>
                                <w:b/>
                                <w:bCs/>
                                <w:color w:val="0D0D0D" w:themeColor="text1" w:themeTint="F2"/>
                                <w:sz w:val="36"/>
                                <w:szCs w:val="22"/>
                                <w:lang w:val="es-ES_tradnl"/>
                              </w:rPr>
                              <w:t>8</w:t>
                            </w:r>
                          </w:p>
                          <w:p w:rsidR="00DA16A1" w:rsidRPr="004E2649" w:rsidRDefault="00DA16A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12.428</w:t>
                            </w:r>
                          </w:p>
                          <w:p w:rsidR="00DA16A1" w:rsidRPr="0010736F" w:rsidRDefault="00DA16A1" w:rsidP="007913B9">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ADMISIBILIDAD </w:t>
                            </w:r>
                            <w:r>
                              <w:rPr>
                                <w:rFonts w:asciiTheme="majorHAnsi" w:hAnsiTheme="majorHAnsi" w:cs="Arial"/>
                                <w:color w:val="0D0D0D" w:themeColor="text1" w:themeTint="F2"/>
                                <w:szCs w:val="22"/>
                                <w:lang w:val="es-ES_tradnl"/>
                              </w:rPr>
                              <w:t>Y FONDO</w:t>
                            </w:r>
                          </w:p>
                          <w:p w:rsidR="00DA16A1" w:rsidRDefault="00DA16A1" w:rsidP="007913B9">
                            <w:pPr>
                              <w:spacing w:line="276" w:lineRule="auto"/>
                              <w:rPr>
                                <w:rFonts w:asciiTheme="majorHAnsi" w:hAnsiTheme="majorHAnsi" w:cs="Arial"/>
                                <w:color w:val="0D0D0D" w:themeColor="text1" w:themeTint="F2"/>
                                <w:szCs w:val="22"/>
                                <w:lang w:val="es-MX"/>
                              </w:rPr>
                            </w:pPr>
                            <w:bookmarkStart w:id="0" w:name="_ftnref1"/>
                          </w:p>
                          <w:p w:rsidR="00DA16A1" w:rsidRPr="007913B9" w:rsidRDefault="00DA16A1" w:rsidP="007913B9">
                            <w:pPr>
                              <w:spacing w:line="276" w:lineRule="auto"/>
                              <w:rPr>
                                <w:rFonts w:asciiTheme="majorHAnsi" w:hAnsiTheme="majorHAnsi" w:cs="Arial"/>
                                <w:color w:val="0D0D0D" w:themeColor="text1" w:themeTint="F2"/>
                                <w:szCs w:val="22"/>
                                <w:lang w:val="es-MX"/>
                              </w:rPr>
                            </w:pPr>
                            <w:r w:rsidRPr="007913B9">
                              <w:rPr>
                                <w:rFonts w:asciiTheme="majorHAnsi" w:hAnsiTheme="majorHAnsi" w:cs="Arial"/>
                                <w:color w:val="0D0D0D" w:themeColor="text1" w:themeTint="F2"/>
                                <w:szCs w:val="22"/>
                                <w:lang w:val="es-MX"/>
                              </w:rPr>
                              <w:t>EMPLEADOS DE LA FÁBRICA DE FUEGOS EN SANTO ANT</w:t>
                            </w:r>
                            <w:r w:rsidRPr="007913B9">
                              <w:rPr>
                                <w:rFonts w:asciiTheme="majorHAnsi" w:hAnsiTheme="majorHAnsi" w:cs="Arial"/>
                                <w:color w:val="0D0D0D" w:themeColor="text1" w:themeTint="F2"/>
                                <w:szCs w:val="22"/>
                                <w:lang w:val="es-CO"/>
                              </w:rPr>
                              <w:t>Ô</w:t>
                            </w:r>
                            <w:r w:rsidRPr="007913B9">
                              <w:rPr>
                                <w:rFonts w:asciiTheme="majorHAnsi" w:hAnsiTheme="majorHAnsi" w:cs="Arial"/>
                                <w:color w:val="0D0D0D" w:themeColor="text1" w:themeTint="F2"/>
                                <w:szCs w:val="22"/>
                                <w:lang w:val="es-MX"/>
                              </w:rPr>
                              <w:t>NIO DE JESUS</w:t>
                            </w:r>
                            <w:r>
                              <w:rPr>
                                <w:rFonts w:asciiTheme="majorHAnsi" w:hAnsiTheme="majorHAnsi" w:cs="Arial"/>
                                <w:color w:val="0D0D0D" w:themeColor="text1" w:themeTint="F2"/>
                                <w:szCs w:val="22"/>
                                <w:lang w:val="es-MX"/>
                              </w:rPr>
                              <w:t xml:space="preserve"> Y SUS FAMILIARES. </w:t>
                            </w:r>
                          </w:p>
                          <w:bookmarkEnd w:id="0"/>
                          <w:p w:rsidR="00DA16A1" w:rsidRDefault="00DA16A1" w:rsidP="00997BC5">
                            <w:pPr>
                              <w:spacing w:line="276" w:lineRule="auto"/>
                              <w:rPr>
                                <w:rFonts w:asciiTheme="majorHAnsi" w:hAnsiTheme="majorHAnsi" w:cs="Arial"/>
                                <w:color w:val="0D0D0D" w:themeColor="text1" w:themeTint="F2"/>
                                <w:szCs w:val="22"/>
                                <w:lang w:val="es-ES_tradnl"/>
                              </w:rPr>
                            </w:pPr>
                          </w:p>
                          <w:p w:rsidR="00DA16A1" w:rsidRPr="0010736F" w:rsidRDefault="00DA16A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BRASIL </w:t>
                            </w:r>
                          </w:p>
                          <w:p w:rsidR="00DA16A1" w:rsidRPr="00AE5488" w:rsidRDefault="00DA16A1"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DA16A1" w:rsidRPr="004E2649" w:rsidRDefault="00DA16A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Pr>
                          <w:rFonts w:asciiTheme="majorHAnsi" w:hAnsiTheme="majorHAnsi" w:cs="Arial"/>
                          <w:b/>
                          <w:bCs/>
                          <w:color w:val="0D0D0D" w:themeColor="text1" w:themeTint="F2"/>
                          <w:sz w:val="36"/>
                          <w:szCs w:val="22"/>
                          <w:lang w:val="es-ES_tradnl"/>
                        </w:rPr>
                        <w:t>25</w:t>
                      </w:r>
                      <w:r w:rsidRPr="004E2649">
                        <w:rPr>
                          <w:rFonts w:asciiTheme="majorHAnsi" w:hAnsiTheme="majorHAnsi" w:cs="Arial"/>
                          <w:b/>
                          <w:bCs/>
                          <w:color w:val="0D0D0D" w:themeColor="text1" w:themeTint="F2"/>
                          <w:sz w:val="36"/>
                          <w:szCs w:val="22"/>
                          <w:lang w:val="es-ES_tradnl"/>
                        </w:rPr>
                        <w:t>/1</w:t>
                      </w:r>
                      <w:r>
                        <w:rPr>
                          <w:rFonts w:asciiTheme="majorHAnsi" w:hAnsiTheme="majorHAnsi" w:cs="Arial"/>
                          <w:b/>
                          <w:bCs/>
                          <w:color w:val="0D0D0D" w:themeColor="text1" w:themeTint="F2"/>
                          <w:sz w:val="36"/>
                          <w:szCs w:val="22"/>
                          <w:lang w:val="es-ES_tradnl"/>
                        </w:rPr>
                        <w:t>8</w:t>
                      </w:r>
                    </w:p>
                    <w:p w:rsidR="00DA16A1" w:rsidRPr="004E2649" w:rsidRDefault="00DA16A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12.428</w:t>
                      </w:r>
                    </w:p>
                    <w:p w:rsidR="00DA16A1" w:rsidRPr="0010736F" w:rsidRDefault="00DA16A1" w:rsidP="007913B9">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ADMISIBILIDAD </w:t>
                      </w:r>
                      <w:r>
                        <w:rPr>
                          <w:rFonts w:asciiTheme="majorHAnsi" w:hAnsiTheme="majorHAnsi" w:cs="Arial"/>
                          <w:color w:val="0D0D0D" w:themeColor="text1" w:themeTint="F2"/>
                          <w:szCs w:val="22"/>
                          <w:lang w:val="es-ES_tradnl"/>
                        </w:rPr>
                        <w:t>Y FONDO</w:t>
                      </w:r>
                    </w:p>
                    <w:p w:rsidR="00DA16A1" w:rsidRDefault="00DA16A1" w:rsidP="007913B9">
                      <w:pPr>
                        <w:spacing w:line="276" w:lineRule="auto"/>
                        <w:rPr>
                          <w:rFonts w:asciiTheme="majorHAnsi" w:hAnsiTheme="majorHAnsi" w:cs="Arial"/>
                          <w:color w:val="0D0D0D" w:themeColor="text1" w:themeTint="F2"/>
                          <w:szCs w:val="22"/>
                          <w:lang w:val="es-MX"/>
                        </w:rPr>
                      </w:pPr>
                      <w:bookmarkStart w:id="1" w:name="_ftnref1"/>
                    </w:p>
                    <w:p w:rsidR="00DA16A1" w:rsidRPr="007913B9" w:rsidRDefault="00DA16A1" w:rsidP="007913B9">
                      <w:pPr>
                        <w:spacing w:line="276" w:lineRule="auto"/>
                        <w:rPr>
                          <w:rFonts w:asciiTheme="majorHAnsi" w:hAnsiTheme="majorHAnsi" w:cs="Arial"/>
                          <w:color w:val="0D0D0D" w:themeColor="text1" w:themeTint="F2"/>
                          <w:szCs w:val="22"/>
                          <w:lang w:val="es-MX"/>
                        </w:rPr>
                      </w:pPr>
                      <w:r w:rsidRPr="007913B9">
                        <w:rPr>
                          <w:rFonts w:asciiTheme="majorHAnsi" w:hAnsiTheme="majorHAnsi" w:cs="Arial"/>
                          <w:color w:val="0D0D0D" w:themeColor="text1" w:themeTint="F2"/>
                          <w:szCs w:val="22"/>
                          <w:lang w:val="es-MX"/>
                        </w:rPr>
                        <w:t>EMPLEADOS DE LA FÁBRICA DE FUEGOS EN SANTO ANT</w:t>
                      </w:r>
                      <w:r w:rsidRPr="007913B9">
                        <w:rPr>
                          <w:rFonts w:asciiTheme="majorHAnsi" w:hAnsiTheme="majorHAnsi" w:cs="Arial"/>
                          <w:color w:val="0D0D0D" w:themeColor="text1" w:themeTint="F2"/>
                          <w:szCs w:val="22"/>
                          <w:lang w:val="es-CO"/>
                        </w:rPr>
                        <w:t>Ô</w:t>
                      </w:r>
                      <w:r w:rsidRPr="007913B9">
                        <w:rPr>
                          <w:rFonts w:asciiTheme="majorHAnsi" w:hAnsiTheme="majorHAnsi" w:cs="Arial"/>
                          <w:color w:val="0D0D0D" w:themeColor="text1" w:themeTint="F2"/>
                          <w:szCs w:val="22"/>
                          <w:lang w:val="es-MX"/>
                        </w:rPr>
                        <w:t>NIO DE JESUS</w:t>
                      </w:r>
                      <w:r>
                        <w:rPr>
                          <w:rFonts w:asciiTheme="majorHAnsi" w:hAnsiTheme="majorHAnsi" w:cs="Arial"/>
                          <w:color w:val="0D0D0D" w:themeColor="text1" w:themeTint="F2"/>
                          <w:szCs w:val="22"/>
                          <w:lang w:val="es-MX"/>
                        </w:rPr>
                        <w:t xml:space="preserve"> Y SUS FAMILIARES. </w:t>
                      </w:r>
                    </w:p>
                    <w:bookmarkEnd w:id="1"/>
                    <w:p w:rsidR="00DA16A1" w:rsidRDefault="00DA16A1" w:rsidP="00997BC5">
                      <w:pPr>
                        <w:spacing w:line="276" w:lineRule="auto"/>
                        <w:rPr>
                          <w:rFonts w:asciiTheme="majorHAnsi" w:hAnsiTheme="majorHAnsi" w:cs="Arial"/>
                          <w:color w:val="0D0D0D" w:themeColor="text1" w:themeTint="F2"/>
                          <w:szCs w:val="22"/>
                          <w:lang w:val="es-ES_tradnl"/>
                        </w:rPr>
                      </w:pPr>
                    </w:p>
                    <w:p w:rsidR="00DA16A1" w:rsidRPr="0010736F" w:rsidRDefault="00DA16A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BRASIL </w:t>
                      </w:r>
                    </w:p>
                    <w:p w:rsidR="00DA16A1" w:rsidRPr="00AE5488" w:rsidRDefault="00DA16A1" w:rsidP="007A5817">
                      <w:pPr>
                        <w:rPr>
                          <w:color w:val="0D0D0D" w:themeColor="text1" w:themeTint="F2"/>
                          <w:lang w:val="es-ES_tradnl"/>
                        </w:rPr>
                      </w:pPr>
                    </w:p>
                  </w:txbxContent>
                </v:textbox>
              </v:shape>
            </w:pict>
          </mc:Fallback>
        </mc:AlternateContent>
      </w:r>
      <w:r w:rsidR="004E2649" w:rsidRPr="00165EC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1F94BEC" wp14:editId="73E25946">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16A1" w:rsidRPr="004E2649" w:rsidRDefault="00DA16A1"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w:t>
                            </w:r>
                            <w:r>
                              <w:rPr>
                                <w:rFonts w:asciiTheme="minorHAnsi" w:hAnsiTheme="minorHAnsi"/>
                                <w:color w:val="FFFFFF" w:themeColor="background1"/>
                                <w:sz w:val="22"/>
                                <w:lang w:val="pt-BR"/>
                              </w:rPr>
                              <w:t>EA/Ser.L/V/II.167</w:t>
                            </w:r>
                          </w:p>
                          <w:p w:rsidR="00DA16A1" w:rsidRPr="004E2649" w:rsidRDefault="00DA16A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29</w:t>
                            </w:r>
                          </w:p>
                          <w:p w:rsidR="00DA16A1" w:rsidRPr="00070CE9" w:rsidRDefault="00DA16A1"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 de marzo</w:t>
                            </w:r>
                            <w:r w:rsidRPr="00070CE9">
                              <w:rPr>
                                <w:rFonts w:asciiTheme="minorHAnsi" w:hAnsiTheme="minorHAnsi"/>
                                <w:color w:val="FFFFFF" w:themeColor="background1"/>
                                <w:sz w:val="22"/>
                                <w:lang w:val="es-ES"/>
                              </w:rPr>
                              <w:t xml:space="preserve"> 2018</w:t>
                            </w:r>
                          </w:p>
                          <w:p w:rsidR="00DA16A1" w:rsidRPr="004E2649" w:rsidRDefault="00DA16A1"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DA16A1" w:rsidRPr="004E2649" w:rsidRDefault="00DA16A1"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w:t>
                      </w:r>
                      <w:r>
                        <w:rPr>
                          <w:rFonts w:asciiTheme="minorHAnsi" w:hAnsiTheme="minorHAnsi"/>
                          <w:color w:val="FFFFFF" w:themeColor="background1"/>
                          <w:sz w:val="22"/>
                          <w:lang w:val="pt-BR"/>
                        </w:rPr>
                        <w:t>EA/Ser.L/V/II.167</w:t>
                      </w:r>
                    </w:p>
                    <w:p w:rsidR="00DA16A1" w:rsidRPr="004E2649" w:rsidRDefault="00DA16A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29</w:t>
                      </w:r>
                    </w:p>
                    <w:p w:rsidR="00DA16A1" w:rsidRPr="00070CE9" w:rsidRDefault="00DA16A1"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 de marzo</w:t>
                      </w:r>
                      <w:r w:rsidRPr="00070CE9">
                        <w:rPr>
                          <w:rFonts w:asciiTheme="minorHAnsi" w:hAnsiTheme="minorHAnsi"/>
                          <w:color w:val="FFFFFF" w:themeColor="background1"/>
                          <w:sz w:val="22"/>
                          <w:lang w:val="es-ES"/>
                        </w:rPr>
                        <w:t xml:space="preserve"> 2018</w:t>
                      </w:r>
                    </w:p>
                    <w:p w:rsidR="00DA16A1" w:rsidRPr="004E2649" w:rsidRDefault="00DA16A1"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Original: español</w:t>
                      </w:r>
                    </w:p>
                  </w:txbxContent>
                </v:textbox>
              </v:shape>
            </w:pict>
          </mc:Fallback>
        </mc:AlternateContent>
      </w:r>
    </w:p>
    <w:p w:rsidR="00040C3A" w:rsidRPr="00165EC6" w:rsidRDefault="00040C3A" w:rsidP="00040C3A">
      <w:pPr>
        <w:tabs>
          <w:tab w:val="center" w:pos="5400"/>
        </w:tabs>
        <w:suppressAutoHyphens/>
        <w:jc w:val="center"/>
        <w:rPr>
          <w:rFonts w:asciiTheme="majorHAnsi" w:hAnsiTheme="majorHAnsi"/>
          <w:sz w:val="22"/>
          <w:szCs w:val="22"/>
          <w:lang w:val="es-ES_tradnl"/>
        </w:rPr>
      </w:pPr>
    </w:p>
    <w:p w:rsidR="00040C3A" w:rsidRPr="00165EC6" w:rsidRDefault="00040C3A" w:rsidP="00040C3A">
      <w:pPr>
        <w:tabs>
          <w:tab w:val="center" w:pos="5400"/>
        </w:tabs>
        <w:suppressAutoHyphens/>
        <w:jc w:val="center"/>
        <w:rPr>
          <w:rFonts w:asciiTheme="majorHAnsi" w:hAnsiTheme="majorHAnsi"/>
          <w:sz w:val="22"/>
          <w:szCs w:val="22"/>
          <w:lang w:val="es-ES_tradnl"/>
        </w:rPr>
      </w:pPr>
    </w:p>
    <w:p w:rsidR="00040C3A" w:rsidRPr="00165EC6" w:rsidRDefault="00040C3A" w:rsidP="00040C3A">
      <w:pPr>
        <w:tabs>
          <w:tab w:val="center" w:pos="5400"/>
        </w:tabs>
        <w:suppressAutoHyphens/>
        <w:jc w:val="center"/>
        <w:rPr>
          <w:rFonts w:asciiTheme="majorHAnsi" w:hAnsiTheme="majorHAnsi" w:cs="Arial"/>
          <w:sz w:val="22"/>
          <w:szCs w:val="22"/>
          <w:lang w:val="es-ES_tradnl"/>
        </w:rPr>
      </w:pPr>
    </w:p>
    <w:p w:rsidR="00040C3A" w:rsidRPr="00165EC6" w:rsidRDefault="00040C3A" w:rsidP="00040C3A">
      <w:pPr>
        <w:tabs>
          <w:tab w:val="center" w:pos="5400"/>
        </w:tabs>
        <w:suppressAutoHyphens/>
        <w:jc w:val="center"/>
        <w:rPr>
          <w:rFonts w:asciiTheme="majorHAnsi" w:hAnsiTheme="majorHAnsi"/>
          <w:sz w:val="22"/>
          <w:szCs w:val="22"/>
          <w:lang w:val="es-ES_tradnl"/>
        </w:rPr>
      </w:pPr>
    </w:p>
    <w:p w:rsidR="00040C3A" w:rsidRPr="00165EC6" w:rsidRDefault="00040C3A" w:rsidP="00040C3A">
      <w:pPr>
        <w:tabs>
          <w:tab w:val="center" w:pos="5400"/>
        </w:tabs>
        <w:suppressAutoHyphens/>
        <w:jc w:val="center"/>
        <w:rPr>
          <w:rFonts w:asciiTheme="majorHAnsi" w:hAnsiTheme="majorHAnsi"/>
          <w:sz w:val="22"/>
          <w:szCs w:val="22"/>
          <w:lang w:val="es-ES_tradnl"/>
        </w:rPr>
      </w:pPr>
    </w:p>
    <w:p w:rsidR="00040C3A" w:rsidRPr="00165EC6" w:rsidRDefault="00040C3A" w:rsidP="00040C3A">
      <w:pPr>
        <w:tabs>
          <w:tab w:val="center" w:pos="5400"/>
        </w:tabs>
        <w:suppressAutoHyphens/>
        <w:jc w:val="center"/>
        <w:rPr>
          <w:rFonts w:asciiTheme="majorHAnsi" w:hAnsiTheme="majorHAnsi"/>
          <w:sz w:val="22"/>
          <w:szCs w:val="22"/>
          <w:lang w:val="es-ES_tradnl"/>
        </w:rPr>
      </w:pPr>
    </w:p>
    <w:p w:rsidR="00040C3A" w:rsidRPr="00165EC6" w:rsidRDefault="00040C3A" w:rsidP="00040C3A">
      <w:pPr>
        <w:tabs>
          <w:tab w:val="center" w:pos="5400"/>
        </w:tabs>
        <w:suppressAutoHyphens/>
        <w:jc w:val="center"/>
        <w:rPr>
          <w:rFonts w:asciiTheme="majorHAnsi" w:hAnsiTheme="majorHAnsi"/>
          <w:sz w:val="22"/>
          <w:szCs w:val="22"/>
          <w:lang w:val="es-ES_tradnl"/>
        </w:rPr>
      </w:pPr>
    </w:p>
    <w:p w:rsidR="005128E4" w:rsidRPr="00165EC6" w:rsidRDefault="005128E4" w:rsidP="00040C3A">
      <w:pPr>
        <w:tabs>
          <w:tab w:val="center" w:pos="5400"/>
        </w:tabs>
        <w:suppressAutoHyphens/>
        <w:jc w:val="center"/>
        <w:rPr>
          <w:rFonts w:asciiTheme="majorHAnsi" w:hAnsiTheme="majorHAnsi"/>
          <w:sz w:val="22"/>
          <w:szCs w:val="22"/>
          <w:lang w:val="es-ES_tradnl"/>
        </w:rPr>
      </w:pPr>
    </w:p>
    <w:p w:rsidR="00040C3A" w:rsidRPr="00165EC6" w:rsidRDefault="00040C3A" w:rsidP="00040C3A">
      <w:pPr>
        <w:tabs>
          <w:tab w:val="center" w:pos="5400"/>
        </w:tabs>
        <w:suppressAutoHyphens/>
        <w:jc w:val="center"/>
        <w:rPr>
          <w:rFonts w:asciiTheme="majorHAnsi" w:hAnsiTheme="majorHAnsi"/>
          <w:sz w:val="22"/>
          <w:szCs w:val="22"/>
          <w:lang w:val="es-ES_tradnl"/>
        </w:rPr>
      </w:pPr>
    </w:p>
    <w:p w:rsidR="005128E4" w:rsidRPr="00165EC6" w:rsidRDefault="005128E4" w:rsidP="00040C3A">
      <w:pPr>
        <w:tabs>
          <w:tab w:val="center" w:pos="5400"/>
        </w:tabs>
        <w:suppressAutoHyphens/>
        <w:jc w:val="center"/>
        <w:rPr>
          <w:rFonts w:asciiTheme="majorHAnsi" w:hAnsiTheme="majorHAnsi"/>
          <w:sz w:val="22"/>
          <w:szCs w:val="22"/>
          <w:lang w:val="es-ES_tradnl"/>
        </w:rPr>
      </w:pPr>
    </w:p>
    <w:p w:rsidR="005128E4" w:rsidRPr="00165EC6" w:rsidRDefault="005128E4" w:rsidP="00040C3A">
      <w:pPr>
        <w:tabs>
          <w:tab w:val="center" w:pos="5400"/>
        </w:tabs>
        <w:suppressAutoHyphens/>
        <w:jc w:val="center"/>
        <w:rPr>
          <w:rFonts w:asciiTheme="majorHAnsi" w:hAnsiTheme="majorHAnsi"/>
          <w:sz w:val="22"/>
          <w:szCs w:val="22"/>
          <w:lang w:val="es-ES_tradnl"/>
        </w:rPr>
      </w:pPr>
    </w:p>
    <w:p w:rsidR="005128E4" w:rsidRPr="00165EC6" w:rsidRDefault="005128E4" w:rsidP="00040C3A">
      <w:pPr>
        <w:tabs>
          <w:tab w:val="center" w:pos="5400"/>
        </w:tabs>
        <w:suppressAutoHyphens/>
        <w:jc w:val="center"/>
        <w:rPr>
          <w:rFonts w:asciiTheme="majorHAnsi" w:hAnsiTheme="majorHAnsi"/>
          <w:sz w:val="22"/>
          <w:szCs w:val="22"/>
          <w:lang w:val="es-ES_tradnl"/>
        </w:rPr>
      </w:pPr>
    </w:p>
    <w:p w:rsidR="00040C3A" w:rsidRPr="00165EC6" w:rsidRDefault="00040C3A" w:rsidP="00040C3A">
      <w:pPr>
        <w:tabs>
          <w:tab w:val="center" w:pos="5400"/>
        </w:tabs>
        <w:suppressAutoHyphens/>
        <w:jc w:val="center"/>
        <w:rPr>
          <w:rFonts w:asciiTheme="majorHAnsi" w:hAnsiTheme="majorHAnsi"/>
          <w:sz w:val="22"/>
          <w:szCs w:val="22"/>
          <w:lang w:val="es-ES_tradnl"/>
        </w:rPr>
      </w:pPr>
    </w:p>
    <w:p w:rsidR="00040C3A" w:rsidRPr="00165EC6" w:rsidRDefault="00040C3A" w:rsidP="00040C3A">
      <w:pPr>
        <w:tabs>
          <w:tab w:val="center" w:pos="5400"/>
        </w:tabs>
        <w:suppressAutoHyphens/>
        <w:jc w:val="center"/>
        <w:rPr>
          <w:rFonts w:asciiTheme="majorHAnsi" w:hAnsiTheme="majorHAnsi"/>
          <w:sz w:val="22"/>
          <w:szCs w:val="22"/>
          <w:lang w:val="es-ES_tradnl"/>
        </w:rPr>
      </w:pPr>
    </w:p>
    <w:p w:rsidR="00A50FCF" w:rsidRPr="00165EC6" w:rsidRDefault="00A50FCF" w:rsidP="00040C3A">
      <w:pPr>
        <w:tabs>
          <w:tab w:val="center" w:pos="5400"/>
        </w:tabs>
        <w:suppressAutoHyphens/>
        <w:jc w:val="center"/>
        <w:rPr>
          <w:rFonts w:asciiTheme="majorHAnsi" w:hAnsiTheme="majorHAnsi"/>
          <w:sz w:val="18"/>
          <w:szCs w:val="22"/>
          <w:lang w:val="es-ES_tradnl"/>
        </w:rPr>
      </w:pPr>
    </w:p>
    <w:p w:rsidR="00A50FCF" w:rsidRPr="00165EC6" w:rsidRDefault="00A50FCF" w:rsidP="00040C3A">
      <w:pPr>
        <w:tabs>
          <w:tab w:val="center" w:pos="5400"/>
        </w:tabs>
        <w:suppressAutoHyphens/>
        <w:jc w:val="center"/>
        <w:rPr>
          <w:rFonts w:asciiTheme="majorHAnsi" w:hAnsiTheme="majorHAnsi"/>
          <w:sz w:val="18"/>
          <w:szCs w:val="22"/>
          <w:lang w:val="es-ES_tradnl"/>
        </w:rPr>
      </w:pPr>
    </w:p>
    <w:p w:rsidR="00A50FCF" w:rsidRPr="00165EC6" w:rsidRDefault="00A50FCF" w:rsidP="00040C3A">
      <w:pPr>
        <w:tabs>
          <w:tab w:val="center" w:pos="5400"/>
        </w:tabs>
        <w:suppressAutoHyphens/>
        <w:jc w:val="center"/>
        <w:rPr>
          <w:rFonts w:asciiTheme="majorHAnsi" w:hAnsiTheme="majorHAnsi"/>
          <w:sz w:val="18"/>
          <w:szCs w:val="22"/>
          <w:lang w:val="es-ES_tradnl"/>
        </w:rPr>
      </w:pPr>
    </w:p>
    <w:p w:rsidR="00A50FCF" w:rsidRPr="00165EC6" w:rsidRDefault="00A50FCF" w:rsidP="00040C3A">
      <w:pPr>
        <w:tabs>
          <w:tab w:val="center" w:pos="5400"/>
        </w:tabs>
        <w:suppressAutoHyphens/>
        <w:jc w:val="center"/>
        <w:rPr>
          <w:rFonts w:asciiTheme="majorHAnsi" w:hAnsiTheme="majorHAnsi"/>
          <w:sz w:val="18"/>
          <w:szCs w:val="22"/>
          <w:lang w:val="es-ES_tradnl"/>
        </w:rPr>
      </w:pPr>
    </w:p>
    <w:p w:rsidR="00A50FCF" w:rsidRPr="00165EC6" w:rsidRDefault="00A50FCF" w:rsidP="00040C3A">
      <w:pPr>
        <w:tabs>
          <w:tab w:val="center" w:pos="5400"/>
        </w:tabs>
        <w:suppressAutoHyphens/>
        <w:jc w:val="center"/>
        <w:rPr>
          <w:rFonts w:asciiTheme="majorHAnsi" w:hAnsiTheme="majorHAnsi"/>
          <w:sz w:val="18"/>
          <w:szCs w:val="22"/>
          <w:lang w:val="es-ES_tradnl"/>
        </w:rPr>
      </w:pPr>
    </w:p>
    <w:p w:rsidR="00A50FCF" w:rsidRPr="00165EC6" w:rsidRDefault="00A50FCF" w:rsidP="00040C3A">
      <w:pPr>
        <w:tabs>
          <w:tab w:val="center" w:pos="5400"/>
        </w:tabs>
        <w:suppressAutoHyphens/>
        <w:jc w:val="center"/>
        <w:rPr>
          <w:rFonts w:asciiTheme="majorHAnsi" w:hAnsiTheme="majorHAnsi"/>
          <w:sz w:val="18"/>
          <w:szCs w:val="22"/>
          <w:lang w:val="es-ES_tradnl"/>
        </w:rPr>
      </w:pPr>
    </w:p>
    <w:p w:rsidR="00A50FCF" w:rsidRPr="00165EC6" w:rsidRDefault="00A50FCF" w:rsidP="00040C3A">
      <w:pPr>
        <w:tabs>
          <w:tab w:val="center" w:pos="5400"/>
        </w:tabs>
        <w:suppressAutoHyphens/>
        <w:jc w:val="center"/>
        <w:rPr>
          <w:rFonts w:asciiTheme="majorHAnsi" w:hAnsiTheme="majorHAnsi"/>
          <w:sz w:val="18"/>
          <w:szCs w:val="22"/>
          <w:lang w:val="es-ES_tradnl"/>
        </w:rPr>
      </w:pPr>
    </w:p>
    <w:p w:rsidR="00A50FCF" w:rsidRPr="00165EC6" w:rsidRDefault="00A50FCF" w:rsidP="00040C3A">
      <w:pPr>
        <w:tabs>
          <w:tab w:val="center" w:pos="5400"/>
        </w:tabs>
        <w:suppressAutoHyphens/>
        <w:jc w:val="center"/>
        <w:rPr>
          <w:rFonts w:asciiTheme="majorHAnsi" w:hAnsiTheme="majorHAnsi"/>
          <w:sz w:val="18"/>
          <w:szCs w:val="22"/>
          <w:lang w:val="es-ES_tradnl"/>
        </w:rPr>
      </w:pPr>
    </w:p>
    <w:p w:rsidR="00A50FCF" w:rsidRPr="00165EC6" w:rsidRDefault="00A50FCF" w:rsidP="00040C3A">
      <w:pPr>
        <w:tabs>
          <w:tab w:val="center" w:pos="5400"/>
        </w:tabs>
        <w:suppressAutoHyphens/>
        <w:jc w:val="center"/>
        <w:rPr>
          <w:rFonts w:asciiTheme="majorHAnsi" w:hAnsiTheme="majorHAnsi"/>
          <w:sz w:val="18"/>
          <w:szCs w:val="22"/>
          <w:lang w:val="es-ES_tradnl"/>
        </w:rPr>
      </w:pPr>
    </w:p>
    <w:p w:rsidR="00A50FCF" w:rsidRPr="00165EC6" w:rsidRDefault="00A50FCF" w:rsidP="00040C3A">
      <w:pPr>
        <w:tabs>
          <w:tab w:val="center" w:pos="5400"/>
        </w:tabs>
        <w:suppressAutoHyphens/>
        <w:jc w:val="center"/>
        <w:rPr>
          <w:rFonts w:asciiTheme="majorHAnsi" w:hAnsiTheme="majorHAnsi"/>
          <w:sz w:val="18"/>
          <w:szCs w:val="22"/>
          <w:lang w:val="es-ES_tradnl"/>
        </w:rPr>
      </w:pPr>
    </w:p>
    <w:p w:rsidR="00A50FCF" w:rsidRPr="00165EC6" w:rsidRDefault="00A50FCF" w:rsidP="00040C3A">
      <w:pPr>
        <w:tabs>
          <w:tab w:val="center" w:pos="5400"/>
        </w:tabs>
        <w:suppressAutoHyphens/>
        <w:jc w:val="center"/>
        <w:rPr>
          <w:rFonts w:asciiTheme="majorHAnsi" w:hAnsiTheme="majorHAnsi"/>
          <w:sz w:val="18"/>
          <w:szCs w:val="22"/>
          <w:lang w:val="es-ES_tradnl"/>
        </w:rPr>
      </w:pPr>
    </w:p>
    <w:p w:rsidR="00A50FCF" w:rsidRPr="00165EC6" w:rsidRDefault="00A50FCF" w:rsidP="00040C3A">
      <w:pPr>
        <w:tabs>
          <w:tab w:val="center" w:pos="5400"/>
        </w:tabs>
        <w:suppressAutoHyphens/>
        <w:jc w:val="center"/>
        <w:rPr>
          <w:rFonts w:asciiTheme="majorHAnsi" w:hAnsiTheme="majorHAnsi"/>
          <w:sz w:val="18"/>
          <w:szCs w:val="22"/>
          <w:lang w:val="es-ES_tradnl"/>
        </w:rPr>
      </w:pPr>
    </w:p>
    <w:p w:rsidR="00A50FCF" w:rsidRPr="00165EC6" w:rsidRDefault="00A50FCF" w:rsidP="00040C3A">
      <w:pPr>
        <w:tabs>
          <w:tab w:val="center" w:pos="5400"/>
        </w:tabs>
        <w:suppressAutoHyphens/>
        <w:jc w:val="center"/>
        <w:rPr>
          <w:rFonts w:asciiTheme="majorHAnsi" w:hAnsiTheme="majorHAnsi"/>
          <w:sz w:val="18"/>
          <w:szCs w:val="22"/>
          <w:lang w:val="es-ES_tradnl"/>
        </w:rPr>
      </w:pPr>
    </w:p>
    <w:p w:rsidR="00A50FCF" w:rsidRPr="00165EC6" w:rsidRDefault="00A50FCF" w:rsidP="00040C3A">
      <w:pPr>
        <w:tabs>
          <w:tab w:val="center" w:pos="5400"/>
        </w:tabs>
        <w:suppressAutoHyphens/>
        <w:jc w:val="center"/>
        <w:rPr>
          <w:rFonts w:asciiTheme="majorHAnsi" w:hAnsiTheme="majorHAnsi"/>
          <w:sz w:val="18"/>
          <w:szCs w:val="22"/>
          <w:lang w:val="es-ES_tradnl"/>
        </w:rPr>
      </w:pPr>
    </w:p>
    <w:p w:rsidR="00A50FCF" w:rsidRPr="00165EC6" w:rsidRDefault="0090270B" w:rsidP="00040C3A">
      <w:pPr>
        <w:tabs>
          <w:tab w:val="center" w:pos="5400"/>
        </w:tabs>
        <w:suppressAutoHyphens/>
        <w:jc w:val="center"/>
        <w:rPr>
          <w:rFonts w:asciiTheme="majorHAnsi" w:hAnsiTheme="majorHAnsi"/>
          <w:sz w:val="18"/>
          <w:szCs w:val="22"/>
          <w:lang w:val="es-ES_tradnl"/>
        </w:rPr>
      </w:pPr>
      <w:r w:rsidRPr="00165EC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D87C9A4" wp14:editId="6D4F721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16A1" w:rsidRPr="00890650" w:rsidRDefault="00DA16A1"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Pr>
                                <w:rFonts w:asciiTheme="majorHAnsi" w:hAnsiTheme="majorHAnsi"/>
                                <w:color w:val="0D0D0D" w:themeColor="text1" w:themeTint="F2"/>
                                <w:sz w:val="18"/>
                                <w:szCs w:val="20"/>
                                <w:lang w:val="es-ES"/>
                              </w:rPr>
                              <w:t>2120</w:t>
                            </w:r>
                            <w:r w:rsidRPr="00890650">
                              <w:rPr>
                                <w:rFonts w:asciiTheme="majorHAnsi" w:hAnsiTheme="majorHAnsi"/>
                                <w:color w:val="0D0D0D" w:themeColor="text1" w:themeTint="F2"/>
                                <w:sz w:val="18"/>
                                <w:szCs w:val="20"/>
                                <w:lang w:val="es-ES"/>
                              </w:rPr>
                              <w:t xml:space="preserve"> celebrada el </w:t>
                            </w:r>
                            <w:r>
                              <w:rPr>
                                <w:rFonts w:asciiTheme="majorHAnsi" w:hAnsiTheme="majorHAnsi"/>
                                <w:color w:val="0D0D0D" w:themeColor="text1" w:themeTint="F2"/>
                                <w:sz w:val="18"/>
                                <w:szCs w:val="20"/>
                                <w:lang w:val="es-ES"/>
                              </w:rPr>
                              <w:t>2</w:t>
                            </w:r>
                            <w:r w:rsidRPr="00890650">
                              <w:rPr>
                                <w:rFonts w:asciiTheme="majorHAnsi" w:hAnsiTheme="majorHAnsi"/>
                                <w:color w:val="0D0D0D" w:themeColor="text1" w:themeTint="F2"/>
                                <w:sz w:val="18"/>
                                <w:szCs w:val="20"/>
                                <w:lang w:val="es-ES"/>
                              </w:rPr>
                              <w:t xml:space="preserve"> de</w:t>
                            </w:r>
                            <w:r>
                              <w:rPr>
                                <w:rFonts w:asciiTheme="majorHAnsi" w:hAnsiTheme="majorHAnsi"/>
                                <w:color w:val="0D0D0D" w:themeColor="text1" w:themeTint="F2"/>
                                <w:sz w:val="18"/>
                                <w:szCs w:val="20"/>
                                <w:lang w:val="es-ES"/>
                              </w:rPr>
                              <w:t xml:space="preserve"> marzo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167</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rsidR="00DA16A1" w:rsidRPr="007A5817" w:rsidRDefault="00DA16A1" w:rsidP="00247403">
                            <w:pPr>
                              <w:tabs>
                                <w:tab w:val="center" w:pos="5400"/>
                              </w:tabs>
                              <w:suppressAutoHyphens/>
                              <w:spacing w:before="60"/>
                              <w:rPr>
                                <w:rFonts w:asciiTheme="minorHAnsi" w:hAnsiTheme="minorHAnsi" w:cs="Univers"/>
                                <w:color w:val="0D0D0D" w:themeColor="text1" w:themeTint="F2"/>
                                <w:sz w:val="20"/>
                                <w:szCs w:val="20"/>
                                <w:lang w:val="es-ES"/>
                              </w:rPr>
                            </w:pPr>
                          </w:p>
                          <w:p w:rsidR="00DA16A1" w:rsidRPr="00167A34" w:rsidRDefault="00DA16A1"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A16A1" w:rsidRPr="00890650" w:rsidRDefault="00DA16A1"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Pr>
                          <w:rFonts w:asciiTheme="majorHAnsi" w:hAnsiTheme="majorHAnsi"/>
                          <w:color w:val="0D0D0D" w:themeColor="text1" w:themeTint="F2"/>
                          <w:sz w:val="18"/>
                          <w:szCs w:val="20"/>
                          <w:lang w:val="es-ES"/>
                        </w:rPr>
                        <w:t>2120</w:t>
                      </w:r>
                      <w:r w:rsidRPr="00890650">
                        <w:rPr>
                          <w:rFonts w:asciiTheme="majorHAnsi" w:hAnsiTheme="majorHAnsi"/>
                          <w:color w:val="0D0D0D" w:themeColor="text1" w:themeTint="F2"/>
                          <w:sz w:val="18"/>
                          <w:szCs w:val="20"/>
                          <w:lang w:val="es-ES"/>
                        </w:rPr>
                        <w:t xml:space="preserve"> celebrada el </w:t>
                      </w:r>
                      <w:r>
                        <w:rPr>
                          <w:rFonts w:asciiTheme="majorHAnsi" w:hAnsiTheme="majorHAnsi"/>
                          <w:color w:val="0D0D0D" w:themeColor="text1" w:themeTint="F2"/>
                          <w:sz w:val="18"/>
                          <w:szCs w:val="20"/>
                          <w:lang w:val="es-ES"/>
                        </w:rPr>
                        <w:t>2</w:t>
                      </w:r>
                      <w:r w:rsidRPr="00890650">
                        <w:rPr>
                          <w:rFonts w:asciiTheme="majorHAnsi" w:hAnsiTheme="majorHAnsi"/>
                          <w:color w:val="0D0D0D" w:themeColor="text1" w:themeTint="F2"/>
                          <w:sz w:val="18"/>
                          <w:szCs w:val="20"/>
                          <w:lang w:val="es-ES"/>
                        </w:rPr>
                        <w:t xml:space="preserve"> de</w:t>
                      </w:r>
                      <w:r>
                        <w:rPr>
                          <w:rFonts w:asciiTheme="majorHAnsi" w:hAnsiTheme="majorHAnsi"/>
                          <w:color w:val="0D0D0D" w:themeColor="text1" w:themeTint="F2"/>
                          <w:sz w:val="18"/>
                          <w:szCs w:val="20"/>
                          <w:lang w:val="es-ES"/>
                        </w:rPr>
                        <w:t xml:space="preserve"> marzo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167</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rsidR="00DA16A1" w:rsidRPr="007A5817" w:rsidRDefault="00DA16A1" w:rsidP="00247403">
                      <w:pPr>
                        <w:tabs>
                          <w:tab w:val="center" w:pos="5400"/>
                        </w:tabs>
                        <w:suppressAutoHyphens/>
                        <w:spacing w:before="60"/>
                        <w:rPr>
                          <w:rFonts w:asciiTheme="minorHAnsi" w:hAnsiTheme="minorHAnsi" w:cs="Univers"/>
                          <w:color w:val="0D0D0D" w:themeColor="text1" w:themeTint="F2"/>
                          <w:sz w:val="20"/>
                          <w:szCs w:val="20"/>
                          <w:lang w:val="es-ES"/>
                        </w:rPr>
                      </w:pPr>
                    </w:p>
                    <w:p w:rsidR="00DA16A1" w:rsidRPr="00167A34" w:rsidRDefault="00DA16A1"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165EC6" w:rsidRDefault="00A50FCF" w:rsidP="00040C3A">
      <w:pPr>
        <w:tabs>
          <w:tab w:val="center" w:pos="5400"/>
        </w:tabs>
        <w:suppressAutoHyphens/>
        <w:jc w:val="center"/>
        <w:rPr>
          <w:rFonts w:asciiTheme="majorHAnsi" w:hAnsiTheme="majorHAnsi"/>
          <w:sz w:val="18"/>
          <w:szCs w:val="22"/>
          <w:lang w:val="es-ES_tradnl"/>
        </w:rPr>
      </w:pPr>
    </w:p>
    <w:p w:rsidR="00A50FCF" w:rsidRPr="00165EC6" w:rsidRDefault="00A50FCF" w:rsidP="00040C3A">
      <w:pPr>
        <w:tabs>
          <w:tab w:val="center" w:pos="5400"/>
        </w:tabs>
        <w:suppressAutoHyphens/>
        <w:jc w:val="center"/>
        <w:rPr>
          <w:rFonts w:asciiTheme="majorHAnsi" w:hAnsiTheme="majorHAnsi"/>
          <w:sz w:val="18"/>
          <w:szCs w:val="22"/>
          <w:lang w:val="es-ES_tradnl"/>
        </w:rPr>
      </w:pPr>
    </w:p>
    <w:p w:rsidR="00A50FCF" w:rsidRPr="00165EC6" w:rsidRDefault="00A50FCF" w:rsidP="00040C3A">
      <w:pPr>
        <w:tabs>
          <w:tab w:val="center" w:pos="5400"/>
        </w:tabs>
        <w:suppressAutoHyphens/>
        <w:jc w:val="center"/>
        <w:rPr>
          <w:rFonts w:asciiTheme="majorHAnsi" w:hAnsiTheme="majorHAnsi"/>
          <w:sz w:val="18"/>
          <w:szCs w:val="22"/>
          <w:lang w:val="es-ES_tradnl"/>
        </w:rPr>
      </w:pPr>
    </w:p>
    <w:p w:rsidR="00A50FCF" w:rsidRPr="00165EC6" w:rsidRDefault="00A50FCF" w:rsidP="00040C3A">
      <w:pPr>
        <w:tabs>
          <w:tab w:val="center" w:pos="5400"/>
        </w:tabs>
        <w:suppressAutoHyphens/>
        <w:jc w:val="center"/>
        <w:rPr>
          <w:rFonts w:asciiTheme="majorHAnsi" w:hAnsiTheme="majorHAnsi"/>
          <w:sz w:val="18"/>
          <w:szCs w:val="22"/>
          <w:lang w:val="es-ES_tradnl"/>
        </w:rPr>
      </w:pPr>
    </w:p>
    <w:p w:rsidR="00A50FCF" w:rsidRPr="00165EC6" w:rsidRDefault="0090270B" w:rsidP="00040C3A">
      <w:pPr>
        <w:tabs>
          <w:tab w:val="center" w:pos="5400"/>
        </w:tabs>
        <w:suppressAutoHyphens/>
        <w:jc w:val="center"/>
        <w:rPr>
          <w:rFonts w:asciiTheme="majorHAnsi" w:hAnsiTheme="majorHAnsi"/>
          <w:sz w:val="18"/>
          <w:szCs w:val="22"/>
          <w:lang w:val="es-ES_tradnl"/>
        </w:rPr>
      </w:pPr>
      <w:r w:rsidRPr="00165EC6">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BD9C510" wp14:editId="0C69BA7A">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16A1" w:rsidRPr="005B42EE" w:rsidRDefault="00DA16A1" w:rsidP="00113F73">
                            <w:pPr>
                              <w:spacing w:line="276" w:lineRule="auto"/>
                              <w:rPr>
                                <w:rFonts w:asciiTheme="majorHAnsi" w:hAnsiTheme="majorHAnsi"/>
                                <w:color w:val="595959" w:themeColor="text1" w:themeTint="A6"/>
                                <w:sz w:val="18"/>
                                <w:szCs w:val="18"/>
                                <w:lang w:val="es-MX"/>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Pr>
                                <w:rFonts w:asciiTheme="majorHAnsi" w:hAnsiTheme="majorHAnsi"/>
                                <w:color w:val="595959" w:themeColor="text1" w:themeTint="A6"/>
                                <w:sz w:val="18"/>
                                <w:szCs w:val="18"/>
                                <w:lang w:val="pt-BR"/>
                              </w:rPr>
                              <w:t>25/18</w:t>
                            </w:r>
                            <w:r w:rsidRPr="005B42EE">
                              <w:rPr>
                                <w:rFonts w:asciiTheme="majorHAnsi" w:hAnsiTheme="majorHAnsi"/>
                                <w:color w:val="595959" w:themeColor="text1" w:themeTint="A6"/>
                                <w:sz w:val="18"/>
                                <w:szCs w:val="18"/>
                                <w:lang w:val="pt-BR"/>
                              </w:rPr>
                              <w:t xml:space="preserve">, Caso 12.428. </w:t>
                            </w:r>
                            <w:r w:rsidRPr="00890650">
                              <w:rPr>
                                <w:rFonts w:asciiTheme="majorHAnsi" w:hAnsiTheme="majorHAnsi"/>
                                <w:color w:val="595959" w:themeColor="text1" w:themeTint="A6"/>
                                <w:sz w:val="18"/>
                                <w:szCs w:val="18"/>
                                <w:lang w:val="es-ES_tradnl"/>
                              </w:rPr>
                              <w:t>Admisibilidad</w:t>
                            </w:r>
                            <w:r>
                              <w:rPr>
                                <w:rFonts w:asciiTheme="majorHAnsi" w:hAnsiTheme="majorHAnsi"/>
                                <w:color w:val="595959" w:themeColor="text1" w:themeTint="A6"/>
                                <w:sz w:val="18"/>
                                <w:szCs w:val="18"/>
                                <w:lang w:val="es-ES_tradnl"/>
                              </w:rPr>
                              <w:t xml:space="preserve"> y </w:t>
                            </w:r>
                            <w:r w:rsidRPr="00890650">
                              <w:rPr>
                                <w:rFonts w:asciiTheme="majorHAnsi" w:hAnsiTheme="majorHAnsi"/>
                                <w:color w:val="595959" w:themeColor="text1" w:themeTint="A6"/>
                                <w:sz w:val="18"/>
                                <w:szCs w:val="18"/>
                                <w:lang w:val="es-ES_tradnl"/>
                              </w:rPr>
                              <w:t xml:space="preserve">Fondo. </w:t>
                            </w:r>
                            <w:r>
                              <w:rPr>
                                <w:rFonts w:asciiTheme="majorHAnsi" w:hAnsiTheme="majorHAnsi"/>
                                <w:color w:val="595959" w:themeColor="text1" w:themeTint="A6"/>
                                <w:sz w:val="18"/>
                                <w:szCs w:val="18"/>
                                <w:lang w:val="es-ES_tradnl"/>
                              </w:rPr>
                              <w:t>Empleados de la Fábrica de Fuegos en Santo Antonio de Jesus y sus familiares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Brasil. 2 de marzo de 2018</w:t>
                            </w:r>
                            <w:r w:rsidRPr="005B42EE">
                              <w:rPr>
                                <w:rFonts w:asciiTheme="majorHAnsi" w:hAnsiTheme="majorHAnsi"/>
                                <w:color w:val="595959" w:themeColor="text1" w:themeTint="A6"/>
                                <w:sz w:val="18"/>
                                <w:szCs w:val="18"/>
                                <w:lang w:val="es-MX"/>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DA16A1" w:rsidRPr="005B42EE" w:rsidRDefault="00DA16A1" w:rsidP="00113F73">
                      <w:pPr>
                        <w:spacing w:line="276" w:lineRule="auto"/>
                        <w:rPr>
                          <w:rFonts w:asciiTheme="majorHAnsi" w:hAnsiTheme="majorHAnsi"/>
                          <w:color w:val="595959" w:themeColor="text1" w:themeTint="A6"/>
                          <w:sz w:val="18"/>
                          <w:szCs w:val="18"/>
                          <w:lang w:val="es-MX"/>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Pr>
                          <w:rFonts w:asciiTheme="majorHAnsi" w:hAnsiTheme="majorHAnsi"/>
                          <w:color w:val="595959" w:themeColor="text1" w:themeTint="A6"/>
                          <w:sz w:val="18"/>
                          <w:szCs w:val="18"/>
                          <w:lang w:val="pt-BR"/>
                        </w:rPr>
                        <w:t>25/18</w:t>
                      </w:r>
                      <w:r w:rsidRPr="005B42EE">
                        <w:rPr>
                          <w:rFonts w:asciiTheme="majorHAnsi" w:hAnsiTheme="majorHAnsi"/>
                          <w:color w:val="595959" w:themeColor="text1" w:themeTint="A6"/>
                          <w:sz w:val="18"/>
                          <w:szCs w:val="18"/>
                          <w:lang w:val="pt-BR"/>
                        </w:rPr>
                        <w:t xml:space="preserve">, Caso 12.428. </w:t>
                      </w:r>
                      <w:r w:rsidRPr="00890650">
                        <w:rPr>
                          <w:rFonts w:asciiTheme="majorHAnsi" w:hAnsiTheme="majorHAnsi"/>
                          <w:color w:val="595959" w:themeColor="text1" w:themeTint="A6"/>
                          <w:sz w:val="18"/>
                          <w:szCs w:val="18"/>
                          <w:lang w:val="es-ES_tradnl"/>
                        </w:rPr>
                        <w:t>Admisibilidad</w:t>
                      </w:r>
                      <w:r>
                        <w:rPr>
                          <w:rFonts w:asciiTheme="majorHAnsi" w:hAnsiTheme="majorHAnsi"/>
                          <w:color w:val="595959" w:themeColor="text1" w:themeTint="A6"/>
                          <w:sz w:val="18"/>
                          <w:szCs w:val="18"/>
                          <w:lang w:val="es-ES_tradnl"/>
                        </w:rPr>
                        <w:t xml:space="preserve"> y </w:t>
                      </w:r>
                      <w:r w:rsidRPr="00890650">
                        <w:rPr>
                          <w:rFonts w:asciiTheme="majorHAnsi" w:hAnsiTheme="majorHAnsi"/>
                          <w:color w:val="595959" w:themeColor="text1" w:themeTint="A6"/>
                          <w:sz w:val="18"/>
                          <w:szCs w:val="18"/>
                          <w:lang w:val="es-ES_tradnl"/>
                        </w:rPr>
                        <w:t xml:space="preserve">Fondo. </w:t>
                      </w:r>
                      <w:r>
                        <w:rPr>
                          <w:rFonts w:asciiTheme="majorHAnsi" w:hAnsiTheme="majorHAnsi"/>
                          <w:color w:val="595959" w:themeColor="text1" w:themeTint="A6"/>
                          <w:sz w:val="18"/>
                          <w:szCs w:val="18"/>
                          <w:lang w:val="es-ES_tradnl"/>
                        </w:rPr>
                        <w:t>Empleados de la Fábrica de Fuegos en Santo Antonio de Jesus y sus familiares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Brasil. 2 de marzo de 2018</w:t>
                      </w:r>
                      <w:r w:rsidRPr="005B42EE">
                        <w:rPr>
                          <w:rFonts w:asciiTheme="majorHAnsi" w:hAnsiTheme="majorHAnsi"/>
                          <w:color w:val="595959" w:themeColor="text1" w:themeTint="A6"/>
                          <w:sz w:val="18"/>
                          <w:szCs w:val="18"/>
                          <w:lang w:val="es-MX"/>
                        </w:rPr>
                        <w:t>.</w:t>
                      </w:r>
                    </w:p>
                  </w:txbxContent>
                </v:textbox>
              </v:shape>
            </w:pict>
          </mc:Fallback>
        </mc:AlternateContent>
      </w:r>
    </w:p>
    <w:p w:rsidR="00A50FCF" w:rsidRPr="00165EC6" w:rsidRDefault="00A50FCF" w:rsidP="00040C3A">
      <w:pPr>
        <w:tabs>
          <w:tab w:val="center" w:pos="5400"/>
        </w:tabs>
        <w:suppressAutoHyphens/>
        <w:jc w:val="center"/>
        <w:rPr>
          <w:rFonts w:asciiTheme="majorHAnsi" w:hAnsiTheme="majorHAnsi"/>
          <w:sz w:val="18"/>
          <w:szCs w:val="22"/>
          <w:lang w:val="es-ES_tradnl"/>
        </w:rPr>
      </w:pPr>
    </w:p>
    <w:p w:rsidR="0090270B" w:rsidRPr="00165EC6" w:rsidRDefault="00D306D1" w:rsidP="005516A1">
      <w:pPr>
        <w:tabs>
          <w:tab w:val="center" w:pos="5400"/>
        </w:tabs>
        <w:suppressAutoHyphens/>
        <w:jc w:val="center"/>
        <w:rPr>
          <w:rFonts w:asciiTheme="majorHAnsi" w:hAnsiTheme="majorHAnsi"/>
          <w:b/>
          <w:sz w:val="20"/>
          <w:lang w:val="es-ES_tradnl"/>
        </w:rPr>
      </w:pPr>
      <w:r w:rsidRPr="00165EC6">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F238E9F" wp14:editId="22233B5C">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16A1" w:rsidRPr="00D72DC6" w:rsidRDefault="00DA16A1"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6B40CF9" wp14:editId="14626568">
                                  <wp:extent cx="1338942" cy="390525"/>
                                  <wp:effectExtent l="0" t="0" r="0" b="0"/>
                                  <wp:docPr id="6" name="Picture 6"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A16A1" w:rsidRPr="00D72DC6" w:rsidRDefault="00DA16A1"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6B40CF9" wp14:editId="14626568">
                            <wp:extent cx="1338942" cy="390525"/>
                            <wp:effectExtent l="0" t="0" r="0" b="0"/>
                            <wp:docPr id="6" name="Picture 6"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165EC6">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CA90AD8" wp14:editId="3C11D2D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16A1" w:rsidRPr="004B7EB6" w:rsidRDefault="00DA16A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A16A1" w:rsidRPr="004B7EB6" w:rsidRDefault="00DA16A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165EC6" w:rsidRDefault="0070697F" w:rsidP="005516A1">
      <w:pPr>
        <w:tabs>
          <w:tab w:val="center" w:pos="5400"/>
        </w:tabs>
        <w:suppressAutoHyphens/>
        <w:jc w:val="center"/>
        <w:rPr>
          <w:rFonts w:asciiTheme="majorHAnsi" w:hAnsiTheme="majorHAnsi"/>
          <w:b/>
          <w:sz w:val="20"/>
          <w:lang w:val="es-ES_tradnl"/>
        </w:rPr>
        <w:sectPr w:rsidR="0070697F" w:rsidRPr="00165EC6" w:rsidSect="00C054DF">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7913B9" w:rsidRPr="00165EC6" w:rsidRDefault="005B42EE" w:rsidP="007913B9">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Cambria" w:eastAsia="Batang" w:hAnsi="Cambria" w:cs="Arial"/>
          <w:b/>
          <w:sz w:val="20"/>
          <w:szCs w:val="20"/>
          <w:bdr w:val="none" w:sz="0" w:space="0" w:color="auto"/>
          <w:lang w:val="es-MX"/>
        </w:rPr>
      </w:pPr>
      <w:r>
        <w:rPr>
          <w:rFonts w:ascii="Cambria" w:eastAsia="Batang" w:hAnsi="Cambria" w:cs="Arial"/>
          <w:b/>
          <w:sz w:val="20"/>
          <w:szCs w:val="20"/>
          <w:bdr w:val="none" w:sz="0" w:space="0" w:color="auto"/>
          <w:lang w:val="es-MX"/>
        </w:rPr>
        <w:lastRenderedPageBreak/>
        <w:t>INFORME Nº 25</w:t>
      </w:r>
      <w:r w:rsidR="00E65FBF" w:rsidRPr="00165EC6">
        <w:rPr>
          <w:rFonts w:ascii="Cambria" w:eastAsia="Batang" w:hAnsi="Cambria" w:cs="Arial"/>
          <w:b/>
          <w:sz w:val="20"/>
          <w:szCs w:val="20"/>
          <w:bdr w:val="none" w:sz="0" w:space="0" w:color="auto"/>
          <w:lang w:val="es-MX"/>
        </w:rPr>
        <w:t>/18</w:t>
      </w:r>
    </w:p>
    <w:p w:rsidR="007913B9" w:rsidRPr="00165EC6" w:rsidRDefault="007913B9" w:rsidP="007913B9">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Cambria" w:eastAsia="Batang" w:hAnsi="Cambria" w:cs="Arial"/>
          <w:sz w:val="20"/>
          <w:szCs w:val="20"/>
          <w:bdr w:val="none" w:sz="0" w:space="0" w:color="auto"/>
          <w:lang w:val="es-MX"/>
        </w:rPr>
      </w:pPr>
      <w:r w:rsidRPr="00165EC6">
        <w:rPr>
          <w:rFonts w:ascii="Cambria" w:eastAsia="Batang" w:hAnsi="Cambria" w:cs="Arial"/>
          <w:sz w:val="20"/>
          <w:szCs w:val="20"/>
          <w:bdr w:val="none" w:sz="0" w:space="0" w:color="auto"/>
          <w:lang w:val="es-MX"/>
        </w:rPr>
        <w:t>ADMISIBILIDAD Y FONDO</w:t>
      </w:r>
    </w:p>
    <w:p w:rsidR="007913B9" w:rsidRPr="00165EC6" w:rsidRDefault="007913B9" w:rsidP="007913B9">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Cambria" w:eastAsia="Batang" w:hAnsi="Cambria" w:cs="Arial"/>
          <w:sz w:val="20"/>
          <w:szCs w:val="20"/>
          <w:bdr w:val="none" w:sz="0" w:space="0" w:color="auto"/>
          <w:lang w:val="es-MX"/>
        </w:rPr>
      </w:pPr>
      <w:r w:rsidRPr="00165EC6">
        <w:rPr>
          <w:rFonts w:ascii="Cambria" w:eastAsia="Batang" w:hAnsi="Cambria" w:cs="Arial"/>
          <w:sz w:val="20"/>
          <w:szCs w:val="20"/>
          <w:bdr w:val="none" w:sz="0" w:space="0" w:color="auto"/>
          <w:lang w:val="es-MX"/>
        </w:rPr>
        <w:t>CASO 12.428</w:t>
      </w:r>
    </w:p>
    <w:p w:rsidR="007913B9" w:rsidRPr="00165EC6" w:rsidRDefault="007913B9" w:rsidP="007E504D">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Cambria" w:eastAsia="Batang" w:hAnsi="Cambria" w:cs="Arial"/>
          <w:sz w:val="20"/>
          <w:szCs w:val="20"/>
          <w:bdr w:val="none" w:sz="0" w:space="0" w:color="auto"/>
          <w:lang w:val="es-MX"/>
        </w:rPr>
      </w:pPr>
      <w:r w:rsidRPr="00165EC6">
        <w:rPr>
          <w:rFonts w:ascii="Cambria" w:eastAsia="Batang" w:hAnsi="Cambria" w:cs="Arial"/>
          <w:sz w:val="20"/>
          <w:szCs w:val="20"/>
          <w:bdr w:val="none" w:sz="0" w:space="0" w:color="auto"/>
          <w:lang w:val="es-MX"/>
        </w:rPr>
        <w:t>EMPLEADOS DE  LA FÁBRICA DE FUEGOS EN SANTO ANT</w:t>
      </w:r>
      <w:r w:rsidRPr="00165EC6">
        <w:rPr>
          <w:rFonts w:ascii="Cambria" w:eastAsia="Batang" w:hAnsi="Cambria"/>
          <w:sz w:val="20"/>
          <w:szCs w:val="20"/>
          <w:bdr w:val="none" w:sz="0" w:space="0" w:color="auto"/>
          <w:lang w:val="es-CO"/>
        </w:rPr>
        <w:t>Ô</w:t>
      </w:r>
      <w:r w:rsidRPr="00165EC6">
        <w:rPr>
          <w:rFonts w:ascii="Cambria" w:eastAsia="Batang" w:hAnsi="Cambria" w:cs="Arial"/>
          <w:sz w:val="20"/>
          <w:szCs w:val="20"/>
          <w:bdr w:val="none" w:sz="0" w:space="0" w:color="auto"/>
          <w:lang w:val="es-MX"/>
        </w:rPr>
        <w:t>NIO DE JESUS Y SUS FAMILIARES</w:t>
      </w:r>
    </w:p>
    <w:p w:rsidR="007913B9" w:rsidRPr="00165EC6" w:rsidRDefault="007913B9" w:rsidP="007913B9">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Cambria" w:eastAsia="Batang" w:hAnsi="Cambria" w:cs="Arial"/>
          <w:sz w:val="20"/>
          <w:szCs w:val="20"/>
          <w:bdr w:val="none" w:sz="0" w:space="0" w:color="auto"/>
          <w:lang w:val="pt-BR"/>
        </w:rPr>
      </w:pPr>
      <w:r w:rsidRPr="00165EC6">
        <w:rPr>
          <w:rFonts w:ascii="Cambria" w:eastAsia="Batang" w:hAnsi="Cambria" w:cs="Arial"/>
          <w:sz w:val="20"/>
          <w:szCs w:val="20"/>
          <w:bdr w:val="none" w:sz="0" w:space="0" w:color="auto"/>
          <w:lang w:val="pt-BR"/>
        </w:rPr>
        <w:t>BRASIL</w:t>
      </w:r>
    </w:p>
    <w:p w:rsidR="007913B9" w:rsidRPr="00165EC6" w:rsidRDefault="005B42EE" w:rsidP="007913B9">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Cambria" w:eastAsia="Batang" w:hAnsi="Cambria" w:cs="Arial"/>
          <w:sz w:val="20"/>
          <w:szCs w:val="20"/>
          <w:bdr w:val="none" w:sz="0" w:space="0" w:color="auto"/>
          <w:lang w:val="pt-BR"/>
        </w:rPr>
      </w:pPr>
      <w:r>
        <w:rPr>
          <w:rFonts w:ascii="Cambria" w:eastAsia="Batang" w:hAnsi="Cambria" w:cs="Arial"/>
          <w:sz w:val="20"/>
          <w:szCs w:val="20"/>
          <w:bdr w:val="none" w:sz="0" w:space="0" w:color="auto"/>
          <w:lang w:val="pt-BR"/>
        </w:rPr>
        <w:t>2</w:t>
      </w:r>
      <w:r w:rsidR="00E65FBF" w:rsidRPr="00165EC6">
        <w:rPr>
          <w:rFonts w:ascii="Cambria" w:eastAsia="Batang" w:hAnsi="Cambria" w:cs="Arial"/>
          <w:sz w:val="20"/>
          <w:szCs w:val="20"/>
          <w:bdr w:val="none" w:sz="0" w:space="0" w:color="auto"/>
          <w:lang w:val="pt-BR"/>
        </w:rPr>
        <w:t xml:space="preserve"> de </w:t>
      </w:r>
      <w:r>
        <w:rPr>
          <w:rFonts w:ascii="Cambria" w:eastAsia="Batang" w:hAnsi="Cambria" w:cs="Arial"/>
          <w:sz w:val="20"/>
          <w:szCs w:val="20"/>
          <w:bdr w:val="none" w:sz="0" w:space="0" w:color="auto"/>
          <w:lang w:val="pt-BR"/>
        </w:rPr>
        <w:t>marzo</w:t>
      </w:r>
      <w:r w:rsidR="00E65FBF" w:rsidRPr="00165EC6">
        <w:rPr>
          <w:rFonts w:ascii="Cambria" w:eastAsia="Batang" w:hAnsi="Cambria" w:cs="Arial"/>
          <w:sz w:val="20"/>
          <w:szCs w:val="20"/>
          <w:bdr w:val="none" w:sz="0" w:space="0" w:color="auto"/>
          <w:lang w:val="pt-BR"/>
        </w:rPr>
        <w:t xml:space="preserve"> de 2018</w:t>
      </w:r>
    </w:p>
    <w:p w:rsidR="007913B9" w:rsidRPr="00165EC6" w:rsidRDefault="007913B9" w:rsidP="007913B9">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Cambria" w:eastAsia="Batang" w:hAnsi="Cambria" w:cs="Arial"/>
          <w:sz w:val="20"/>
          <w:szCs w:val="20"/>
          <w:bdr w:val="none" w:sz="0" w:space="0" w:color="auto"/>
          <w:lang w:val="pt-BR"/>
        </w:rPr>
      </w:pPr>
    </w:p>
    <w:p w:rsidR="007913B9" w:rsidRPr="00165EC6" w:rsidRDefault="007913B9" w:rsidP="007913B9">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Cambria" w:eastAsia="Batang" w:hAnsi="Cambria" w:cs="Arial"/>
          <w:sz w:val="20"/>
          <w:szCs w:val="20"/>
          <w:bdr w:val="none" w:sz="0" w:space="0" w:color="auto"/>
          <w:lang w:val="es-MX"/>
        </w:rPr>
      </w:pPr>
      <w:r w:rsidRPr="00165EC6">
        <w:rPr>
          <w:rFonts w:ascii="Cambria" w:eastAsia="Batang" w:hAnsi="Cambria" w:cs="Arial"/>
          <w:sz w:val="20"/>
          <w:szCs w:val="20"/>
          <w:bdr w:val="none" w:sz="0" w:space="0" w:color="auto"/>
          <w:lang w:val="es-MX"/>
        </w:rPr>
        <w:t xml:space="preserve">ÍNDICE </w:t>
      </w:r>
    </w:p>
    <w:p w:rsidR="008D768D" w:rsidRPr="00165EC6" w:rsidRDefault="008D768D" w:rsidP="001D65EF">
      <w:pPr>
        <w:tabs>
          <w:tab w:val="center" w:pos="5400"/>
        </w:tabs>
        <w:suppressAutoHyphens/>
        <w:spacing w:line="276" w:lineRule="auto"/>
        <w:rPr>
          <w:rFonts w:asciiTheme="majorHAnsi" w:hAnsiTheme="majorHAnsi"/>
          <w:sz w:val="20"/>
          <w:szCs w:val="20"/>
          <w:lang w:val="es-ES_tradnl"/>
        </w:rPr>
      </w:pPr>
    </w:p>
    <w:p w:rsidR="001D1087" w:rsidRPr="00165EC6" w:rsidRDefault="001D1087" w:rsidP="00277412">
      <w:pPr>
        <w:ind w:firstLine="720"/>
        <w:jc w:val="center"/>
        <w:rPr>
          <w:rFonts w:ascii="Cambria" w:hAnsi="Cambria" w:cs="Calibri"/>
          <w:sz w:val="20"/>
          <w:szCs w:val="20"/>
          <w:lang w:val="es-ES"/>
        </w:rPr>
      </w:pPr>
    </w:p>
    <w:p w:rsidR="004D2327" w:rsidRPr="00165EC6" w:rsidRDefault="004D2327" w:rsidP="00277412">
      <w:pPr>
        <w:ind w:firstLine="720"/>
        <w:jc w:val="center"/>
        <w:rPr>
          <w:rFonts w:ascii="Cambria" w:hAnsi="Cambria" w:cs="Calibri"/>
          <w:sz w:val="20"/>
          <w:szCs w:val="20"/>
          <w:lang w:val="es-ES"/>
        </w:rPr>
      </w:pPr>
    </w:p>
    <w:p w:rsidR="007E7FAA" w:rsidRPr="00165EC6" w:rsidRDefault="00AC6466">
      <w:pPr>
        <w:pStyle w:val="TOC1"/>
        <w:tabs>
          <w:tab w:val="left" w:pos="1440"/>
          <w:tab w:val="right" w:leader="dot" w:pos="9350"/>
        </w:tabs>
        <w:rPr>
          <w:rFonts w:asciiTheme="majorHAnsi" w:eastAsiaTheme="minorEastAsia" w:hAnsiTheme="majorHAnsi" w:cstheme="minorBidi"/>
          <w:noProof/>
          <w:sz w:val="20"/>
          <w:szCs w:val="20"/>
          <w:bdr w:val="none" w:sz="0" w:space="0" w:color="auto"/>
        </w:rPr>
      </w:pPr>
      <w:r w:rsidRPr="00165EC6">
        <w:rPr>
          <w:rFonts w:ascii="Cambria" w:hAnsi="Cambria" w:cs="Calibri"/>
          <w:sz w:val="20"/>
          <w:szCs w:val="20"/>
          <w:lang w:val="es-ES"/>
        </w:rPr>
        <w:fldChar w:fldCharType="begin"/>
      </w:r>
      <w:r w:rsidRPr="00165EC6">
        <w:rPr>
          <w:rFonts w:ascii="Cambria" w:hAnsi="Cambria" w:cs="Calibri"/>
          <w:sz w:val="20"/>
          <w:szCs w:val="20"/>
          <w:lang w:val="es-ES"/>
        </w:rPr>
        <w:instrText xml:space="preserve"> TOC \o "1-3" \h \z \u </w:instrText>
      </w:r>
      <w:r w:rsidRPr="00165EC6">
        <w:rPr>
          <w:rFonts w:ascii="Cambria" w:hAnsi="Cambria" w:cs="Calibri"/>
          <w:sz w:val="20"/>
          <w:szCs w:val="20"/>
          <w:lang w:val="es-ES"/>
        </w:rPr>
        <w:fldChar w:fldCharType="separate"/>
      </w:r>
      <w:hyperlink w:anchor="_Toc506225817" w:history="1">
        <w:r w:rsidR="007E7FAA" w:rsidRPr="00165EC6">
          <w:rPr>
            <w:rStyle w:val="Hyperlink"/>
            <w:rFonts w:asciiTheme="majorHAnsi" w:eastAsia="Batang" w:hAnsiTheme="majorHAnsi"/>
            <w:noProof/>
            <w:sz w:val="20"/>
            <w:szCs w:val="20"/>
            <w:lang w:val="es-UY" w:eastAsia="es-ES"/>
          </w:rPr>
          <w:t>I.</w:t>
        </w:r>
        <w:r w:rsidR="007E7FAA" w:rsidRPr="00165EC6">
          <w:rPr>
            <w:rFonts w:asciiTheme="majorHAnsi" w:eastAsiaTheme="minorEastAsia" w:hAnsiTheme="majorHAnsi" w:cstheme="minorBidi"/>
            <w:noProof/>
            <w:sz w:val="20"/>
            <w:szCs w:val="20"/>
            <w:bdr w:val="none" w:sz="0" w:space="0" w:color="auto"/>
          </w:rPr>
          <w:tab/>
        </w:r>
        <w:r w:rsidR="007E7FAA" w:rsidRPr="00165EC6">
          <w:rPr>
            <w:rStyle w:val="Hyperlink"/>
            <w:rFonts w:asciiTheme="majorHAnsi" w:eastAsia="Batang" w:hAnsiTheme="majorHAnsi"/>
            <w:noProof/>
            <w:sz w:val="20"/>
            <w:szCs w:val="20"/>
            <w:lang w:val="es-UY" w:eastAsia="es-ES"/>
          </w:rPr>
          <w:t>RESUMEN</w:t>
        </w:r>
        <w:r w:rsidR="007E7FAA" w:rsidRPr="00165EC6">
          <w:rPr>
            <w:rFonts w:asciiTheme="majorHAnsi" w:hAnsiTheme="majorHAnsi"/>
            <w:noProof/>
            <w:webHidden/>
            <w:sz w:val="20"/>
            <w:szCs w:val="20"/>
          </w:rPr>
          <w:tab/>
        </w:r>
        <w:r w:rsidR="007E7FAA" w:rsidRPr="00165EC6">
          <w:rPr>
            <w:rFonts w:asciiTheme="majorHAnsi" w:hAnsiTheme="majorHAnsi"/>
            <w:noProof/>
            <w:webHidden/>
            <w:sz w:val="20"/>
            <w:szCs w:val="20"/>
          </w:rPr>
          <w:fldChar w:fldCharType="begin"/>
        </w:r>
        <w:r w:rsidR="007E7FAA" w:rsidRPr="00165EC6">
          <w:rPr>
            <w:rFonts w:asciiTheme="majorHAnsi" w:hAnsiTheme="majorHAnsi"/>
            <w:noProof/>
            <w:webHidden/>
            <w:sz w:val="20"/>
            <w:szCs w:val="20"/>
          </w:rPr>
          <w:instrText xml:space="preserve"> PAGEREF _Toc506225817 \h </w:instrText>
        </w:r>
        <w:r w:rsidR="007E7FAA" w:rsidRPr="00165EC6">
          <w:rPr>
            <w:rFonts w:asciiTheme="majorHAnsi" w:hAnsiTheme="majorHAnsi"/>
            <w:noProof/>
            <w:webHidden/>
            <w:sz w:val="20"/>
            <w:szCs w:val="20"/>
          </w:rPr>
        </w:r>
        <w:r w:rsidR="007E7FAA" w:rsidRPr="00165EC6">
          <w:rPr>
            <w:rFonts w:asciiTheme="majorHAnsi" w:hAnsiTheme="majorHAnsi"/>
            <w:noProof/>
            <w:webHidden/>
            <w:sz w:val="20"/>
            <w:szCs w:val="20"/>
          </w:rPr>
          <w:fldChar w:fldCharType="separate"/>
        </w:r>
        <w:r w:rsidR="007E7FAA" w:rsidRPr="00165EC6">
          <w:rPr>
            <w:rFonts w:asciiTheme="majorHAnsi" w:hAnsiTheme="majorHAnsi"/>
            <w:noProof/>
            <w:webHidden/>
            <w:sz w:val="20"/>
            <w:szCs w:val="20"/>
          </w:rPr>
          <w:t>3</w:t>
        </w:r>
        <w:r w:rsidR="007E7FAA" w:rsidRPr="00165EC6">
          <w:rPr>
            <w:rFonts w:asciiTheme="majorHAnsi" w:hAnsiTheme="majorHAnsi"/>
            <w:noProof/>
            <w:webHidden/>
            <w:sz w:val="20"/>
            <w:szCs w:val="20"/>
          </w:rPr>
          <w:fldChar w:fldCharType="end"/>
        </w:r>
      </w:hyperlink>
    </w:p>
    <w:p w:rsidR="007E7FAA" w:rsidRPr="00165EC6" w:rsidRDefault="00DA16A1">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06225818" w:history="1">
        <w:r w:rsidR="007E7FAA" w:rsidRPr="00165EC6">
          <w:rPr>
            <w:rStyle w:val="Hyperlink"/>
            <w:rFonts w:asciiTheme="majorHAnsi" w:eastAsia="Batang" w:hAnsiTheme="majorHAnsi"/>
            <w:noProof/>
            <w:sz w:val="20"/>
            <w:szCs w:val="20"/>
            <w:lang w:val="es-UY" w:eastAsia="es-ES"/>
          </w:rPr>
          <w:t>II.</w:t>
        </w:r>
        <w:r w:rsidR="007E7FAA" w:rsidRPr="00165EC6">
          <w:rPr>
            <w:rFonts w:asciiTheme="majorHAnsi" w:eastAsiaTheme="minorEastAsia" w:hAnsiTheme="majorHAnsi" w:cstheme="minorBidi"/>
            <w:noProof/>
            <w:sz w:val="20"/>
            <w:szCs w:val="20"/>
            <w:bdr w:val="none" w:sz="0" w:space="0" w:color="auto"/>
          </w:rPr>
          <w:tab/>
        </w:r>
        <w:r w:rsidR="007E7FAA" w:rsidRPr="00165EC6">
          <w:rPr>
            <w:rStyle w:val="Hyperlink"/>
            <w:rFonts w:asciiTheme="majorHAnsi" w:eastAsia="Batang" w:hAnsiTheme="majorHAnsi"/>
            <w:noProof/>
            <w:sz w:val="20"/>
            <w:szCs w:val="20"/>
            <w:lang w:val="es-UY" w:eastAsia="es-ES"/>
          </w:rPr>
          <w:t>ALEGATOS DE LAS PARTES</w:t>
        </w:r>
        <w:r w:rsidR="007E7FAA" w:rsidRPr="00165EC6">
          <w:rPr>
            <w:rFonts w:asciiTheme="majorHAnsi" w:hAnsiTheme="majorHAnsi"/>
            <w:noProof/>
            <w:webHidden/>
            <w:sz w:val="20"/>
            <w:szCs w:val="20"/>
          </w:rPr>
          <w:tab/>
        </w:r>
        <w:r w:rsidR="007E7FAA" w:rsidRPr="00165EC6">
          <w:rPr>
            <w:rFonts w:asciiTheme="majorHAnsi" w:hAnsiTheme="majorHAnsi"/>
            <w:noProof/>
            <w:webHidden/>
            <w:sz w:val="20"/>
            <w:szCs w:val="20"/>
          </w:rPr>
          <w:fldChar w:fldCharType="begin"/>
        </w:r>
        <w:r w:rsidR="007E7FAA" w:rsidRPr="00165EC6">
          <w:rPr>
            <w:rFonts w:asciiTheme="majorHAnsi" w:hAnsiTheme="majorHAnsi"/>
            <w:noProof/>
            <w:webHidden/>
            <w:sz w:val="20"/>
            <w:szCs w:val="20"/>
          </w:rPr>
          <w:instrText xml:space="preserve"> PAGEREF _Toc506225818 \h </w:instrText>
        </w:r>
        <w:r w:rsidR="007E7FAA" w:rsidRPr="00165EC6">
          <w:rPr>
            <w:rFonts w:asciiTheme="majorHAnsi" w:hAnsiTheme="majorHAnsi"/>
            <w:noProof/>
            <w:webHidden/>
            <w:sz w:val="20"/>
            <w:szCs w:val="20"/>
          </w:rPr>
        </w:r>
        <w:r w:rsidR="007E7FAA" w:rsidRPr="00165EC6">
          <w:rPr>
            <w:rFonts w:asciiTheme="majorHAnsi" w:hAnsiTheme="majorHAnsi"/>
            <w:noProof/>
            <w:webHidden/>
            <w:sz w:val="20"/>
            <w:szCs w:val="20"/>
          </w:rPr>
          <w:fldChar w:fldCharType="separate"/>
        </w:r>
        <w:r w:rsidR="007E7FAA" w:rsidRPr="00165EC6">
          <w:rPr>
            <w:rFonts w:asciiTheme="majorHAnsi" w:hAnsiTheme="majorHAnsi"/>
            <w:noProof/>
            <w:webHidden/>
            <w:sz w:val="20"/>
            <w:szCs w:val="20"/>
          </w:rPr>
          <w:t>4</w:t>
        </w:r>
        <w:r w:rsidR="007E7FAA" w:rsidRPr="00165EC6">
          <w:rPr>
            <w:rFonts w:asciiTheme="majorHAnsi" w:hAnsiTheme="majorHAnsi"/>
            <w:noProof/>
            <w:webHidden/>
            <w:sz w:val="20"/>
            <w:szCs w:val="20"/>
          </w:rPr>
          <w:fldChar w:fldCharType="end"/>
        </w:r>
      </w:hyperlink>
    </w:p>
    <w:p w:rsidR="007E7FAA" w:rsidRPr="00165EC6" w:rsidRDefault="00DA16A1">
      <w:pPr>
        <w:pStyle w:val="TOC2"/>
        <w:rPr>
          <w:rFonts w:asciiTheme="majorHAnsi" w:eastAsiaTheme="minorEastAsia" w:hAnsiTheme="majorHAnsi" w:cstheme="minorBidi"/>
          <w:noProof/>
          <w:sz w:val="20"/>
          <w:szCs w:val="20"/>
          <w:bdr w:val="none" w:sz="0" w:space="0" w:color="auto"/>
        </w:rPr>
      </w:pPr>
      <w:hyperlink w:anchor="_Toc506225819" w:history="1">
        <w:r w:rsidR="007E7FAA" w:rsidRPr="00165EC6">
          <w:rPr>
            <w:rStyle w:val="Hyperlink"/>
            <w:rFonts w:asciiTheme="majorHAnsi" w:hAnsiTheme="majorHAnsi"/>
            <w:noProof/>
            <w:sz w:val="20"/>
            <w:szCs w:val="20"/>
            <w:lang w:val="es-ES"/>
          </w:rPr>
          <w:t>A.</w:t>
        </w:r>
        <w:r w:rsidR="007E7FAA" w:rsidRPr="00165EC6">
          <w:rPr>
            <w:rFonts w:asciiTheme="majorHAnsi" w:eastAsiaTheme="minorEastAsia" w:hAnsiTheme="majorHAnsi" w:cstheme="minorBidi"/>
            <w:noProof/>
            <w:sz w:val="20"/>
            <w:szCs w:val="20"/>
            <w:bdr w:val="none" w:sz="0" w:space="0" w:color="auto"/>
          </w:rPr>
          <w:tab/>
        </w:r>
        <w:r w:rsidR="007E7FAA" w:rsidRPr="00165EC6">
          <w:rPr>
            <w:rStyle w:val="Hyperlink"/>
            <w:rFonts w:asciiTheme="majorHAnsi" w:hAnsiTheme="majorHAnsi"/>
            <w:noProof/>
            <w:sz w:val="20"/>
            <w:szCs w:val="20"/>
            <w:lang w:val="es-ES"/>
          </w:rPr>
          <w:t>Parte peticionaria</w:t>
        </w:r>
        <w:r w:rsidR="007E7FAA" w:rsidRPr="00165EC6">
          <w:rPr>
            <w:rFonts w:asciiTheme="majorHAnsi" w:hAnsiTheme="majorHAnsi"/>
            <w:noProof/>
            <w:webHidden/>
            <w:sz w:val="20"/>
            <w:szCs w:val="20"/>
          </w:rPr>
          <w:tab/>
        </w:r>
        <w:r w:rsidR="007E7FAA" w:rsidRPr="00165EC6">
          <w:rPr>
            <w:rFonts w:asciiTheme="majorHAnsi" w:hAnsiTheme="majorHAnsi"/>
            <w:noProof/>
            <w:webHidden/>
            <w:sz w:val="20"/>
            <w:szCs w:val="20"/>
          </w:rPr>
          <w:fldChar w:fldCharType="begin"/>
        </w:r>
        <w:r w:rsidR="007E7FAA" w:rsidRPr="00165EC6">
          <w:rPr>
            <w:rFonts w:asciiTheme="majorHAnsi" w:hAnsiTheme="majorHAnsi"/>
            <w:noProof/>
            <w:webHidden/>
            <w:sz w:val="20"/>
            <w:szCs w:val="20"/>
          </w:rPr>
          <w:instrText xml:space="preserve"> PAGEREF _Toc506225819 \h </w:instrText>
        </w:r>
        <w:r w:rsidR="007E7FAA" w:rsidRPr="00165EC6">
          <w:rPr>
            <w:rFonts w:asciiTheme="majorHAnsi" w:hAnsiTheme="majorHAnsi"/>
            <w:noProof/>
            <w:webHidden/>
            <w:sz w:val="20"/>
            <w:szCs w:val="20"/>
          </w:rPr>
        </w:r>
        <w:r w:rsidR="007E7FAA" w:rsidRPr="00165EC6">
          <w:rPr>
            <w:rFonts w:asciiTheme="majorHAnsi" w:hAnsiTheme="majorHAnsi"/>
            <w:noProof/>
            <w:webHidden/>
            <w:sz w:val="20"/>
            <w:szCs w:val="20"/>
          </w:rPr>
          <w:fldChar w:fldCharType="separate"/>
        </w:r>
        <w:r w:rsidR="007E7FAA" w:rsidRPr="00165EC6">
          <w:rPr>
            <w:rFonts w:asciiTheme="majorHAnsi" w:hAnsiTheme="majorHAnsi"/>
            <w:noProof/>
            <w:webHidden/>
            <w:sz w:val="20"/>
            <w:szCs w:val="20"/>
          </w:rPr>
          <w:t>4</w:t>
        </w:r>
        <w:r w:rsidR="007E7FAA" w:rsidRPr="00165EC6">
          <w:rPr>
            <w:rFonts w:asciiTheme="majorHAnsi" w:hAnsiTheme="majorHAnsi"/>
            <w:noProof/>
            <w:webHidden/>
            <w:sz w:val="20"/>
            <w:szCs w:val="20"/>
          </w:rPr>
          <w:fldChar w:fldCharType="end"/>
        </w:r>
      </w:hyperlink>
    </w:p>
    <w:p w:rsidR="007E7FAA" w:rsidRPr="00165EC6" w:rsidRDefault="00DA16A1">
      <w:pPr>
        <w:pStyle w:val="TOC2"/>
        <w:rPr>
          <w:rFonts w:asciiTheme="majorHAnsi" w:eastAsiaTheme="minorEastAsia" w:hAnsiTheme="majorHAnsi" w:cstheme="minorBidi"/>
          <w:noProof/>
          <w:sz w:val="20"/>
          <w:szCs w:val="20"/>
          <w:bdr w:val="none" w:sz="0" w:space="0" w:color="auto"/>
        </w:rPr>
      </w:pPr>
      <w:hyperlink w:anchor="_Toc506225820" w:history="1">
        <w:r w:rsidR="007E7FAA" w:rsidRPr="00165EC6">
          <w:rPr>
            <w:rStyle w:val="Hyperlink"/>
            <w:rFonts w:asciiTheme="majorHAnsi" w:hAnsiTheme="majorHAnsi"/>
            <w:noProof/>
            <w:sz w:val="20"/>
            <w:szCs w:val="20"/>
            <w:lang w:val="es-ES"/>
          </w:rPr>
          <w:t>B.</w:t>
        </w:r>
        <w:r w:rsidR="007E7FAA" w:rsidRPr="00165EC6">
          <w:rPr>
            <w:rFonts w:asciiTheme="majorHAnsi" w:eastAsiaTheme="minorEastAsia" w:hAnsiTheme="majorHAnsi" w:cstheme="minorBidi"/>
            <w:noProof/>
            <w:sz w:val="20"/>
            <w:szCs w:val="20"/>
            <w:bdr w:val="none" w:sz="0" w:space="0" w:color="auto"/>
          </w:rPr>
          <w:tab/>
        </w:r>
        <w:r w:rsidR="007E7FAA" w:rsidRPr="00165EC6">
          <w:rPr>
            <w:rStyle w:val="Hyperlink"/>
            <w:rFonts w:asciiTheme="majorHAnsi" w:hAnsiTheme="majorHAnsi"/>
            <w:noProof/>
            <w:sz w:val="20"/>
            <w:szCs w:val="20"/>
            <w:lang w:val="es-ES"/>
          </w:rPr>
          <w:t>Alegatos del Estado</w:t>
        </w:r>
        <w:r w:rsidR="007E7FAA" w:rsidRPr="00165EC6">
          <w:rPr>
            <w:rFonts w:asciiTheme="majorHAnsi" w:hAnsiTheme="majorHAnsi"/>
            <w:noProof/>
            <w:webHidden/>
            <w:sz w:val="20"/>
            <w:szCs w:val="20"/>
          </w:rPr>
          <w:tab/>
        </w:r>
        <w:r w:rsidR="007E7FAA" w:rsidRPr="00165EC6">
          <w:rPr>
            <w:rFonts w:asciiTheme="majorHAnsi" w:hAnsiTheme="majorHAnsi"/>
            <w:noProof/>
            <w:webHidden/>
            <w:sz w:val="20"/>
            <w:szCs w:val="20"/>
          </w:rPr>
          <w:fldChar w:fldCharType="begin"/>
        </w:r>
        <w:r w:rsidR="007E7FAA" w:rsidRPr="00165EC6">
          <w:rPr>
            <w:rFonts w:asciiTheme="majorHAnsi" w:hAnsiTheme="majorHAnsi"/>
            <w:noProof/>
            <w:webHidden/>
            <w:sz w:val="20"/>
            <w:szCs w:val="20"/>
          </w:rPr>
          <w:instrText xml:space="preserve"> PAGEREF _Toc506225820 \h </w:instrText>
        </w:r>
        <w:r w:rsidR="007E7FAA" w:rsidRPr="00165EC6">
          <w:rPr>
            <w:rFonts w:asciiTheme="majorHAnsi" w:hAnsiTheme="majorHAnsi"/>
            <w:noProof/>
            <w:webHidden/>
            <w:sz w:val="20"/>
            <w:szCs w:val="20"/>
          </w:rPr>
        </w:r>
        <w:r w:rsidR="007E7FAA" w:rsidRPr="00165EC6">
          <w:rPr>
            <w:rFonts w:asciiTheme="majorHAnsi" w:hAnsiTheme="majorHAnsi"/>
            <w:noProof/>
            <w:webHidden/>
            <w:sz w:val="20"/>
            <w:szCs w:val="20"/>
          </w:rPr>
          <w:fldChar w:fldCharType="separate"/>
        </w:r>
        <w:r w:rsidR="007E7FAA" w:rsidRPr="00165EC6">
          <w:rPr>
            <w:rFonts w:asciiTheme="majorHAnsi" w:hAnsiTheme="majorHAnsi"/>
            <w:noProof/>
            <w:webHidden/>
            <w:sz w:val="20"/>
            <w:szCs w:val="20"/>
          </w:rPr>
          <w:t>5</w:t>
        </w:r>
        <w:r w:rsidR="007E7FAA" w:rsidRPr="00165EC6">
          <w:rPr>
            <w:rFonts w:asciiTheme="majorHAnsi" w:hAnsiTheme="majorHAnsi"/>
            <w:noProof/>
            <w:webHidden/>
            <w:sz w:val="20"/>
            <w:szCs w:val="20"/>
          </w:rPr>
          <w:fldChar w:fldCharType="end"/>
        </w:r>
      </w:hyperlink>
    </w:p>
    <w:p w:rsidR="007E7FAA" w:rsidRPr="00165EC6" w:rsidRDefault="00DA16A1">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06225821" w:history="1">
        <w:r w:rsidR="007E7FAA" w:rsidRPr="00165EC6">
          <w:rPr>
            <w:rStyle w:val="Hyperlink"/>
            <w:rFonts w:asciiTheme="majorHAnsi" w:eastAsia="Batang" w:hAnsiTheme="majorHAnsi"/>
            <w:noProof/>
            <w:sz w:val="20"/>
            <w:szCs w:val="20"/>
            <w:lang w:val="es-UY" w:eastAsia="es-ES"/>
          </w:rPr>
          <w:t>III.</w:t>
        </w:r>
        <w:r w:rsidR="007E7FAA" w:rsidRPr="00165EC6">
          <w:rPr>
            <w:rFonts w:asciiTheme="majorHAnsi" w:eastAsiaTheme="minorEastAsia" w:hAnsiTheme="majorHAnsi" w:cstheme="minorBidi"/>
            <w:noProof/>
            <w:sz w:val="20"/>
            <w:szCs w:val="20"/>
            <w:bdr w:val="none" w:sz="0" w:space="0" w:color="auto"/>
          </w:rPr>
          <w:tab/>
        </w:r>
        <w:r w:rsidR="007E7FAA" w:rsidRPr="00165EC6">
          <w:rPr>
            <w:rStyle w:val="Hyperlink"/>
            <w:rFonts w:asciiTheme="majorHAnsi" w:eastAsia="Batang" w:hAnsiTheme="majorHAnsi"/>
            <w:noProof/>
            <w:sz w:val="20"/>
            <w:szCs w:val="20"/>
            <w:lang w:val="es-UY" w:eastAsia="es-ES"/>
          </w:rPr>
          <w:t>ANÁLISIS DE ADMISIBILIDAD</w:t>
        </w:r>
        <w:r w:rsidR="007E7FAA" w:rsidRPr="00165EC6">
          <w:rPr>
            <w:rFonts w:asciiTheme="majorHAnsi" w:hAnsiTheme="majorHAnsi"/>
            <w:noProof/>
            <w:webHidden/>
            <w:sz w:val="20"/>
            <w:szCs w:val="20"/>
          </w:rPr>
          <w:tab/>
        </w:r>
        <w:r w:rsidR="007E7FAA" w:rsidRPr="00165EC6">
          <w:rPr>
            <w:rFonts w:asciiTheme="majorHAnsi" w:hAnsiTheme="majorHAnsi"/>
            <w:noProof/>
            <w:webHidden/>
            <w:sz w:val="20"/>
            <w:szCs w:val="20"/>
          </w:rPr>
          <w:fldChar w:fldCharType="begin"/>
        </w:r>
        <w:r w:rsidR="007E7FAA" w:rsidRPr="00165EC6">
          <w:rPr>
            <w:rFonts w:asciiTheme="majorHAnsi" w:hAnsiTheme="majorHAnsi"/>
            <w:noProof/>
            <w:webHidden/>
            <w:sz w:val="20"/>
            <w:szCs w:val="20"/>
          </w:rPr>
          <w:instrText xml:space="preserve"> PAGEREF _Toc506225821 \h </w:instrText>
        </w:r>
        <w:r w:rsidR="007E7FAA" w:rsidRPr="00165EC6">
          <w:rPr>
            <w:rFonts w:asciiTheme="majorHAnsi" w:hAnsiTheme="majorHAnsi"/>
            <w:noProof/>
            <w:webHidden/>
            <w:sz w:val="20"/>
            <w:szCs w:val="20"/>
          </w:rPr>
        </w:r>
        <w:r w:rsidR="007E7FAA" w:rsidRPr="00165EC6">
          <w:rPr>
            <w:rFonts w:asciiTheme="majorHAnsi" w:hAnsiTheme="majorHAnsi"/>
            <w:noProof/>
            <w:webHidden/>
            <w:sz w:val="20"/>
            <w:szCs w:val="20"/>
          </w:rPr>
          <w:fldChar w:fldCharType="separate"/>
        </w:r>
        <w:r w:rsidR="007E7FAA" w:rsidRPr="00165EC6">
          <w:rPr>
            <w:rFonts w:asciiTheme="majorHAnsi" w:hAnsiTheme="majorHAnsi"/>
            <w:noProof/>
            <w:webHidden/>
            <w:sz w:val="20"/>
            <w:szCs w:val="20"/>
          </w:rPr>
          <w:t>6</w:t>
        </w:r>
        <w:r w:rsidR="007E7FAA" w:rsidRPr="00165EC6">
          <w:rPr>
            <w:rFonts w:asciiTheme="majorHAnsi" w:hAnsiTheme="majorHAnsi"/>
            <w:noProof/>
            <w:webHidden/>
            <w:sz w:val="20"/>
            <w:szCs w:val="20"/>
          </w:rPr>
          <w:fldChar w:fldCharType="end"/>
        </w:r>
      </w:hyperlink>
    </w:p>
    <w:p w:rsidR="007E7FAA" w:rsidRPr="00165EC6" w:rsidRDefault="00DA16A1">
      <w:pPr>
        <w:pStyle w:val="TOC2"/>
        <w:rPr>
          <w:rFonts w:asciiTheme="majorHAnsi" w:eastAsiaTheme="minorEastAsia" w:hAnsiTheme="majorHAnsi" w:cstheme="minorBidi"/>
          <w:noProof/>
          <w:sz w:val="20"/>
          <w:szCs w:val="20"/>
          <w:bdr w:val="none" w:sz="0" w:space="0" w:color="auto"/>
        </w:rPr>
      </w:pPr>
      <w:hyperlink w:anchor="_Toc506225822" w:history="1">
        <w:r w:rsidR="007E7FAA" w:rsidRPr="00165EC6">
          <w:rPr>
            <w:rStyle w:val="Hyperlink"/>
            <w:rFonts w:asciiTheme="majorHAnsi" w:hAnsiTheme="majorHAnsi"/>
            <w:noProof/>
            <w:sz w:val="20"/>
            <w:szCs w:val="20"/>
            <w:lang w:val="es-ES"/>
          </w:rPr>
          <w:t xml:space="preserve">A. </w:t>
        </w:r>
        <w:r w:rsidR="007E7FAA" w:rsidRPr="00165EC6">
          <w:rPr>
            <w:rFonts w:asciiTheme="majorHAnsi" w:eastAsiaTheme="minorEastAsia" w:hAnsiTheme="majorHAnsi" w:cstheme="minorBidi"/>
            <w:noProof/>
            <w:sz w:val="20"/>
            <w:szCs w:val="20"/>
            <w:bdr w:val="none" w:sz="0" w:space="0" w:color="auto"/>
          </w:rPr>
          <w:tab/>
        </w:r>
        <w:r w:rsidR="007E7FAA" w:rsidRPr="00165EC6">
          <w:rPr>
            <w:rStyle w:val="Hyperlink"/>
            <w:rFonts w:asciiTheme="majorHAnsi" w:hAnsiTheme="majorHAnsi"/>
            <w:noProof/>
            <w:sz w:val="20"/>
            <w:szCs w:val="20"/>
            <w:lang w:val="es-ES"/>
          </w:rPr>
          <w:t>Competencia, duplicidad de procedimiento y cosa juzgada internacional</w:t>
        </w:r>
        <w:r w:rsidR="007E7FAA" w:rsidRPr="00165EC6">
          <w:rPr>
            <w:rFonts w:asciiTheme="majorHAnsi" w:hAnsiTheme="majorHAnsi"/>
            <w:noProof/>
            <w:webHidden/>
            <w:sz w:val="20"/>
            <w:szCs w:val="20"/>
          </w:rPr>
          <w:tab/>
        </w:r>
        <w:r w:rsidR="007E7FAA" w:rsidRPr="00165EC6">
          <w:rPr>
            <w:rFonts w:asciiTheme="majorHAnsi" w:hAnsiTheme="majorHAnsi"/>
            <w:noProof/>
            <w:webHidden/>
            <w:sz w:val="20"/>
            <w:szCs w:val="20"/>
          </w:rPr>
          <w:fldChar w:fldCharType="begin"/>
        </w:r>
        <w:r w:rsidR="007E7FAA" w:rsidRPr="00165EC6">
          <w:rPr>
            <w:rFonts w:asciiTheme="majorHAnsi" w:hAnsiTheme="majorHAnsi"/>
            <w:noProof/>
            <w:webHidden/>
            <w:sz w:val="20"/>
            <w:szCs w:val="20"/>
          </w:rPr>
          <w:instrText xml:space="preserve"> PAGEREF _Toc506225822 \h </w:instrText>
        </w:r>
        <w:r w:rsidR="007E7FAA" w:rsidRPr="00165EC6">
          <w:rPr>
            <w:rFonts w:asciiTheme="majorHAnsi" w:hAnsiTheme="majorHAnsi"/>
            <w:noProof/>
            <w:webHidden/>
            <w:sz w:val="20"/>
            <w:szCs w:val="20"/>
          </w:rPr>
        </w:r>
        <w:r w:rsidR="007E7FAA" w:rsidRPr="00165EC6">
          <w:rPr>
            <w:rFonts w:asciiTheme="majorHAnsi" w:hAnsiTheme="majorHAnsi"/>
            <w:noProof/>
            <w:webHidden/>
            <w:sz w:val="20"/>
            <w:szCs w:val="20"/>
          </w:rPr>
          <w:fldChar w:fldCharType="separate"/>
        </w:r>
        <w:r w:rsidR="007E7FAA" w:rsidRPr="00165EC6">
          <w:rPr>
            <w:rFonts w:asciiTheme="majorHAnsi" w:hAnsiTheme="majorHAnsi"/>
            <w:noProof/>
            <w:webHidden/>
            <w:sz w:val="20"/>
            <w:szCs w:val="20"/>
          </w:rPr>
          <w:t>6</w:t>
        </w:r>
        <w:r w:rsidR="007E7FAA" w:rsidRPr="00165EC6">
          <w:rPr>
            <w:rFonts w:asciiTheme="majorHAnsi" w:hAnsiTheme="majorHAnsi"/>
            <w:noProof/>
            <w:webHidden/>
            <w:sz w:val="20"/>
            <w:szCs w:val="20"/>
          </w:rPr>
          <w:fldChar w:fldCharType="end"/>
        </w:r>
      </w:hyperlink>
    </w:p>
    <w:p w:rsidR="007E7FAA" w:rsidRPr="00165EC6" w:rsidRDefault="00DA16A1">
      <w:pPr>
        <w:pStyle w:val="TOC2"/>
        <w:rPr>
          <w:rFonts w:asciiTheme="majorHAnsi" w:eastAsiaTheme="minorEastAsia" w:hAnsiTheme="majorHAnsi" w:cstheme="minorBidi"/>
          <w:noProof/>
          <w:sz w:val="20"/>
          <w:szCs w:val="20"/>
          <w:bdr w:val="none" w:sz="0" w:space="0" w:color="auto"/>
        </w:rPr>
      </w:pPr>
      <w:hyperlink w:anchor="_Toc506225823" w:history="1">
        <w:r w:rsidR="007E7FAA" w:rsidRPr="00165EC6">
          <w:rPr>
            <w:rStyle w:val="Hyperlink"/>
            <w:rFonts w:asciiTheme="majorHAnsi" w:hAnsiTheme="majorHAnsi"/>
            <w:noProof/>
            <w:sz w:val="20"/>
            <w:szCs w:val="20"/>
            <w:lang w:val="es-ES"/>
          </w:rPr>
          <w:t xml:space="preserve">B. </w:t>
        </w:r>
        <w:r w:rsidR="007E7FAA" w:rsidRPr="00165EC6">
          <w:rPr>
            <w:rFonts w:asciiTheme="majorHAnsi" w:eastAsiaTheme="minorEastAsia" w:hAnsiTheme="majorHAnsi" w:cstheme="minorBidi"/>
            <w:noProof/>
            <w:sz w:val="20"/>
            <w:szCs w:val="20"/>
            <w:bdr w:val="none" w:sz="0" w:space="0" w:color="auto"/>
          </w:rPr>
          <w:tab/>
        </w:r>
        <w:r w:rsidR="007E7FAA" w:rsidRPr="00165EC6">
          <w:rPr>
            <w:rStyle w:val="Hyperlink"/>
            <w:rFonts w:asciiTheme="majorHAnsi" w:hAnsiTheme="majorHAnsi"/>
            <w:noProof/>
            <w:sz w:val="20"/>
            <w:szCs w:val="20"/>
            <w:lang w:val="es-ES"/>
          </w:rPr>
          <w:t>Agotamiento de los recursos internos y plazo de presentación</w:t>
        </w:r>
        <w:r w:rsidR="007E7FAA" w:rsidRPr="00165EC6">
          <w:rPr>
            <w:rFonts w:asciiTheme="majorHAnsi" w:hAnsiTheme="majorHAnsi"/>
            <w:noProof/>
            <w:webHidden/>
            <w:sz w:val="20"/>
            <w:szCs w:val="20"/>
          </w:rPr>
          <w:tab/>
        </w:r>
        <w:r w:rsidR="007E7FAA" w:rsidRPr="00165EC6">
          <w:rPr>
            <w:rFonts w:asciiTheme="majorHAnsi" w:hAnsiTheme="majorHAnsi"/>
            <w:noProof/>
            <w:webHidden/>
            <w:sz w:val="20"/>
            <w:szCs w:val="20"/>
          </w:rPr>
          <w:fldChar w:fldCharType="begin"/>
        </w:r>
        <w:r w:rsidR="007E7FAA" w:rsidRPr="00165EC6">
          <w:rPr>
            <w:rFonts w:asciiTheme="majorHAnsi" w:hAnsiTheme="majorHAnsi"/>
            <w:noProof/>
            <w:webHidden/>
            <w:sz w:val="20"/>
            <w:szCs w:val="20"/>
          </w:rPr>
          <w:instrText xml:space="preserve"> PAGEREF _Toc506225823 \h </w:instrText>
        </w:r>
        <w:r w:rsidR="007E7FAA" w:rsidRPr="00165EC6">
          <w:rPr>
            <w:rFonts w:asciiTheme="majorHAnsi" w:hAnsiTheme="majorHAnsi"/>
            <w:noProof/>
            <w:webHidden/>
            <w:sz w:val="20"/>
            <w:szCs w:val="20"/>
          </w:rPr>
        </w:r>
        <w:r w:rsidR="007E7FAA" w:rsidRPr="00165EC6">
          <w:rPr>
            <w:rFonts w:asciiTheme="majorHAnsi" w:hAnsiTheme="majorHAnsi"/>
            <w:noProof/>
            <w:webHidden/>
            <w:sz w:val="20"/>
            <w:szCs w:val="20"/>
          </w:rPr>
          <w:fldChar w:fldCharType="separate"/>
        </w:r>
        <w:r w:rsidR="007E7FAA" w:rsidRPr="00165EC6">
          <w:rPr>
            <w:rFonts w:asciiTheme="majorHAnsi" w:hAnsiTheme="majorHAnsi"/>
            <w:noProof/>
            <w:webHidden/>
            <w:sz w:val="20"/>
            <w:szCs w:val="20"/>
          </w:rPr>
          <w:t>6</w:t>
        </w:r>
        <w:r w:rsidR="007E7FAA" w:rsidRPr="00165EC6">
          <w:rPr>
            <w:rFonts w:asciiTheme="majorHAnsi" w:hAnsiTheme="majorHAnsi"/>
            <w:noProof/>
            <w:webHidden/>
            <w:sz w:val="20"/>
            <w:szCs w:val="20"/>
          </w:rPr>
          <w:fldChar w:fldCharType="end"/>
        </w:r>
      </w:hyperlink>
    </w:p>
    <w:p w:rsidR="007E7FAA" w:rsidRPr="00165EC6" w:rsidRDefault="00DA16A1">
      <w:pPr>
        <w:pStyle w:val="TOC2"/>
        <w:rPr>
          <w:rFonts w:asciiTheme="majorHAnsi" w:eastAsiaTheme="minorEastAsia" w:hAnsiTheme="majorHAnsi" w:cstheme="minorBidi"/>
          <w:noProof/>
          <w:sz w:val="20"/>
          <w:szCs w:val="20"/>
          <w:bdr w:val="none" w:sz="0" w:space="0" w:color="auto"/>
        </w:rPr>
      </w:pPr>
      <w:hyperlink w:anchor="_Toc506225824" w:history="1">
        <w:r w:rsidR="007E7FAA" w:rsidRPr="00165EC6">
          <w:rPr>
            <w:rStyle w:val="Hyperlink"/>
            <w:rFonts w:asciiTheme="majorHAnsi" w:hAnsiTheme="majorHAnsi"/>
            <w:noProof/>
            <w:sz w:val="20"/>
            <w:szCs w:val="20"/>
            <w:lang w:val="es-ES"/>
          </w:rPr>
          <w:t xml:space="preserve">C. </w:t>
        </w:r>
        <w:r w:rsidR="007E7FAA" w:rsidRPr="00165EC6">
          <w:rPr>
            <w:rFonts w:asciiTheme="majorHAnsi" w:eastAsiaTheme="minorEastAsia" w:hAnsiTheme="majorHAnsi" w:cstheme="minorBidi"/>
            <w:noProof/>
            <w:sz w:val="20"/>
            <w:szCs w:val="20"/>
            <w:bdr w:val="none" w:sz="0" w:space="0" w:color="auto"/>
          </w:rPr>
          <w:tab/>
        </w:r>
        <w:r w:rsidR="007E7FAA" w:rsidRPr="00165EC6">
          <w:rPr>
            <w:rStyle w:val="Hyperlink"/>
            <w:rFonts w:asciiTheme="majorHAnsi" w:hAnsiTheme="majorHAnsi"/>
            <w:noProof/>
            <w:sz w:val="20"/>
            <w:szCs w:val="20"/>
            <w:lang w:val="es-ES"/>
          </w:rPr>
          <w:t>Caracterización de los hechos alegados</w:t>
        </w:r>
        <w:r w:rsidR="007E7FAA" w:rsidRPr="00165EC6">
          <w:rPr>
            <w:rFonts w:asciiTheme="majorHAnsi" w:hAnsiTheme="majorHAnsi"/>
            <w:noProof/>
            <w:webHidden/>
            <w:sz w:val="20"/>
            <w:szCs w:val="20"/>
          </w:rPr>
          <w:tab/>
        </w:r>
        <w:r w:rsidR="007E7FAA" w:rsidRPr="00165EC6">
          <w:rPr>
            <w:rFonts w:asciiTheme="majorHAnsi" w:hAnsiTheme="majorHAnsi"/>
            <w:noProof/>
            <w:webHidden/>
            <w:sz w:val="20"/>
            <w:szCs w:val="20"/>
          </w:rPr>
          <w:fldChar w:fldCharType="begin"/>
        </w:r>
        <w:r w:rsidR="007E7FAA" w:rsidRPr="00165EC6">
          <w:rPr>
            <w:rFonts w:asciiTheme="majorHAnsi" w:hAnsiTheme="majorHAnsi"/>
            <w:noProof/>
            <w:webHidden/>
            <w:sz w:val="20"/>
            <w:szCs w:val="20"/>
          </w:rPr>
          <w:instrText xml:space="preserve"> PAGEREF _Toc506225824 \h </w:instrText>
        </w:r>
        <w:r w:rsidR="007E7FAA" w:rsidRPr="00165EC6">
          <w:rPr>
            <w:rFonts w:asciiTheme="majorHAnsi" w:hAnsiTheme="majorHAnsi"/>
            <w:noProof/>
            <w:webHidden/>
            <w:sz w:val="20"/>
            <w:szCs w:val="20"/>
          </w:rPr>
        </w:r>
        <w:r w:rsidR="007E7FAA" w:rsidRPr="00165EC6">
          <w:rPr>
            <w:rFonts w:asciiTheme="majorHAnsi" w:hAnsiTheme="majorHAnsi"/>
            <w:noProof/>
            <w:webHidden/>
            <w:sz w:val="20"/>
            <w:szCs w:val="20"/>
          </w:rPr>
          <w:fldChar w:fldCharType="separate"/>
        </w:r>
        <w:r w:rsidR="007E7FAA" w:rsidRPr="00165EC6">
          <w:rPr>
            <w:rFonts w:asciiTheme="majorHAnsi" w:hAnsiTheme="majorHAnsi"/>
            <w:noProof/>
            <w:webHidden/>
            <w:sz w:val="20"/>
            <w:szCs w:val="20"/>
          </w:rPr>
          <w:t>7</w:t>
        </w:r>
        <w:r w:rsidR="007E7FAA" w:rsidRPr="00165EC6">
          <w:rPr>
            <w:rFonts w:asciiTheme="majorHAnsi" w:hAnsiTheme="majorHAnsi"/>
            <w:noProof/>
            <w:webHidden/>
            <w:sz w:val="20"/>
            <w:szCs w:val="20"/>
          </w:rPr>
          <w:fldChar w:fldCharType="end"/>
        </w:r>
      </w:hyperlink>
    </w:p>
    <w:p w:rsidR="007E7FAA" w:rsidRPr="00165EC6" w:rsidRDefault="00DA16A1">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06225825" w:history="1">
        <w:r w:rsidR="007E7FAA" w:rsidRPr="00165EC6">
          <w:rPr>
            <w:rStyle w:val="Hyperlink"/>
            <w:rFonts w:asciiTheme="majorHAnsi" w:eastAsia="Batang" w:hAnsiTheme="majorHAnsi"/>
            <w:noProof/>
            <w:sz w:val="20"/>
            <w:szCs w:val="20"/>
            <w:lang w:val="es-UY" w:eastAsia="es-ES"/>
          </w:rPr>
          <w:t>IV.</w:t>
        </w:r>
        <w:r w:rsidR="007E7FAA" w:rsidRPr="00165EC6">
          <w:rPr>
            <w:rFonts w:asciiTheme="majorHAnsi" w:eastAsiaTheme="minorEastAsia" w:hAnsiTheme="majorHAnsi" w:cstheme="minorBidi"/>
            <w:noProof/>
            <w:sz w:val="20"/>
            <w:szCs w:val="20"/>
            <w:bdr w:val="none" w:sz="0" w:space="0" w:color="auto"/>
          </w:rPr>
          <w:tab/>
        </w:r>
        <w:r w:rsidR="007E7FAA" w:rsidRPr="00165EC6">
          <w:rPr>
            <w:rStyle w:val="Hyperlink"/>
            <w:rFonts w:asciiTheme="majorHAnsi" w:eastAsia="Batang" w:hAnsiTheme="majorHAnsi"/>
            <w:noProof/>
            <w:sz w:val="20"/>
            <w:szCs w:val="20"/>
            <w:lang w:val="es-UY" w:eastAsia="es-ES"/>
          </w:rPr>
          <w:t>DETERMINACIONES DE HECHO</w:t>
        </w:r>
        <w:r w:rsidR="007E7FAA" w:rsidRPr="00165EC6">
          <w:rPr>
            <w:rFonts w:asciiTheme="majorHAnsi" w:hAnsiTheme="majorHAnsi"/>
            <w:noProof/>
            <w:webHidden/>
            <w:sz w:val="20"/>
            <w:szCs w:val="20"/>
          </w:rPr>
          <w:tab/>
        </w:r>
        <w:r w:rsidR="007E7FAA" w:rsidRPr="00165EC6">
          <w:rPr>
            <w:rFonts w:asciiTheme="majorHAnsi" w:hAnsiTheme="majorHAnsi"/>
            <w:noProof/>
            <w:webHidden/>
            <w:sz w:val="20"/>
            <w:szCs w:val="20"/>
          </w:rPr>
          <w:fldChar w:fldCharType="begin"/>
        </w:r>
        <w:r w:rsidR="007E7FAA" w:rsidRPr="00165EC6">
          <w:rPr>
            <w:rFonts w:asciiTheme="majorHAnsi" w:hAnsiTheme="majorHAnsi"/>
            <w:noProof/>
            <w:webHidden/>
            <w:sz w:val="20"/>
            <w:szCs w:val="20"/>
          </w:rPr>
          <w:instrText xml:space="preserve"> PAGEREF _Toc506225825 \h </w:instrText>
        </w:r>
        <w:r w:rsidR="007E7FAA" w:rsidRPr="00165EC6">
          <w:rPr>
            <w:rFonts w:asciiTheme="majorHAnsi" w:hAnsiTheme="majorHAnsi"/>
            <w:noProof/>
            <w:webHidden/>
            <w:sz w:val="20"/>
            <w:szCs w:val="20"/>
          </w:rPr>
        </w:r>
        <w:r w:rsidR="007E7FAA" w:rsidRPr="00165EC6">
          <w:rPr>
            <w:rFonts w:asciiTheme="majorHAnsi" w:hAnsiTheme="majorHAnsi"/>
            <w:noProof/>
            <w:webHidden/>
            <w:sz w:val="20"/>
            <w:szCs w:val="20"/>
          </w:rPr>
          <w:fldChar w:fldCharType="separate"/>
        </w:r>
        <w:r w:rsidR="007E7FAA" w:rsidRPr="00165EC6">
          <w:rPr>
            <w:rFonts w:asciiTheme="majorHAnsi" w:hAnsiTheme="majorHAnsi"/>
            <w:noProof/>
            <w:webHidden/>
            <w:sz w:val="20"/>
            <w:szCs w:val="20"/>
          </w:rPr>
          <w:t>7</w:t>
        </w:r>
        <w:r w:rsidR="007E7FAA" w:rsidRPr="00165EC6">
          <w:rPr>
            <w:rFonts w:asciiTheme="majorHAnsi" w:hAnsiTheme="majorHAnsi"/>
            <w:noProof/>
            <w:webHidden/>
            <w:sz w:val="20"/>
            <w:szCs w:val="20"/>
          </w:rPr>
          <w:fldChar w:fldCharType="end"/>
        </w:r>
      </w:hyperlink>
    </w:p>
    <w:p w:rsidR="007E7FAA" w:rsidRPr="00165EC6" w:rsidRDefault="00DA16A1">
      <w:pPr>
        <w:pStyle w:val="TOC2"/>
        <w:rPr>
          <w:rFonts w:asciiTheme="majorHAnsi" w:eastAsiaTheme="minorEastAsia" w:hAnsiTheme="majorHAnsi" w:cstheme="minorBidi"/>
          <w:noProof/>
          <w:sz w:val="20"/>
          <w:szCs w:val="20"/>
          <w:bdr w:val="none" w:sz="0" w:space="0" w:color="auto"/>
        </w:rPr>
      </w:pPr>
      <w:hyperlink w:anchor="_Toc506225826" w:history="1">
        <w:r w:rsidR="007E7FAA" w:rsidRPr="00165EC6">
          <w:rPr>
            <w:rStyle w:val="Hyperlink"/>
            <w:rFonts w:asciiTheme="majorHAnsi" w:hAnsiTheme="majorHAnsi"/>
            <w:noProof/>
            <w:sz w:val="20"/>
            <w:szCs w:val="20"/>
            <w:lang w:val="es-ES"/>
          </w:rPr>
          <w:t>A.</w:t>
        </w:r>
        <w:r w:rsidR="007E7FAA" w:rsidRPr="00165EC6">
          <w:rPr>
            <w:rFonts w:asciiTheme="majorHAnsi" w:eastAsiaTheme="minorEastAsia" w:hAnsiTheme="majorHAnsi" w:cstheme="minorBidi"/>
            <w:noProof/>
            <w:sz w:val="20"/>
            <w:szCs w:val="20"/>
            <w:bdr w:val="none" w:sz="0" w:space="0" w:color="auto"/>
          </w:rPr>
          <w:tab/>
        </w:r>
        <w:r w:rsidR="007E7FAA" w:rsidRPr="00165EC6">
          <w:rPr>
            <w:rStyle w:val="Hyperlink"/>
            <w:rFonts w:asciiTheme="majorHAnsi" w:hAnsiTheme="majorHAnsi"/>
            <w:noProof/>
            <w:sz w:val="20"/>
            <w:szCs w:val="20"/>
            <w:lang w:val="es-ES"/>
          </w:rPr>
          <w:t>La producción de fuegos artificiales en el municipio de Santo Antônio de Jesus.</w:t>
        </w:r>
        <w:r w:rsidR="007E7FAA" w:rsidRPr="00165EC6">
          <w:rPr>
            <w:rFonts w:asciiTheme="majorHAnsi" w:hAnsiTheme="majorHAnsi"/>
            <w:noProof/>
            <w:webHidden/>
            <w:sz w:val="20"/>
            <w:szCs w:val="20"/>
          </w:rPr>
          <w:tab/>
        </w:r>
        <w:r w:rsidR="007E7FAA" w:rsidRPr="00165EC6">
          <w:rPr>
            <w:rFonts w:asciiTheme="majorHAnsi" w:hAnsiTheme="majorHAnsi"/>
            <w:noProof/>
            <w:webHidden/>
            <w:sz w:val="20"/>
            <w:szCs w:val="20"/>
          </w:rPr>
          <w:fldChar w:fldCharType="begin"/>
        </w:r>
        <w:r w:rsidR="007E7FAA" w:rsidRPr="00165EC6">
          <w:rPr>
            <w:rFonts w:asciiTheme="majorHAnsi" w:hAnsiTheme="majorHAnsi"/>
            <w:noProof/>
            <w:webHidden/>
            <w:sz w:val="20"/>
            <w:szCs w:val="20"/>
          </w:rPr>
          <w:instrText xml:space="preserve"> PAGEREF _Toc506225826 \h </w:instrText>
        </w:r>
        <w:r w:rsidR="007E7FAA" w:rsidRPr="00165EC6">
          <w:rPr>
            <w:rFonts w:asciiTheme="majorHAnsi" w:hAnsiTheme="majorHAnsi"/>
            <w:noProof/>
            <w:webHidden/>
            <w:sz w:val="20"/>
            <w:szCs w:val="20"/>
          </w:rPr>
        </w:r>
        <w:r w:rsidR="007E7FAA" w:rsidRPr="00165EC6">
          <w:rPr>
            <w:rFonts w:asciiTheme="majorHAnsi" w:hAnsiTheme="majorHAnsi"/>
            <w:noProof/>
            <w:webHidden/>
            <w:sz w:val="20"/>
            <w:szCs w:val="20"/>
          </w:rPr>
          <w:fldChar w:fldCharType="separate"/>
        </w:r>
        <w:r w:rsidR="007E7FAA" w:rsidRPr="00165EC6">
          <w:rPr>
            <w:rFonts w:asciiTheme="majorHAnsi" w:hAnsiTheme="majorHAnsi"/>
            <w:noProof/>
            <w:webHidden/>
            <w:sz w:val="20"/>
            <w:szCs w:val="20"/>
          </w:rPr>
          <w:t>8</w:t>
        </w:r>
        <w:r w:rsidR="007E7FAA" w:rsidRPr="00165EC6">
          <w:rPr>
            <w:rFonts w:asciiTheme="majorHAnsi" w:hAnsiTheme="majorHAnsi"/>
            <w:noProof/>
            <w:webHidden/>
            <w:sz w:val="20"/>
            <w:szCs w:val="20"/>
          </w:rPr>
          <w:fldChar w:fldCharType="end"/>
        </w:r>
      </w:hyperlink>
    </w:p>
    <w:p w:rsidR="007E7FAA" w:rsidRPr="00165EC6" w:rsidRDefault="00DA16A1">
      <w:pPr>
        <w:pStyle w:val="TOC2"/>
        <w:rPr>
          <w:rFonts w:asciiTheme="majorHAnsi" w:eastAsiaTheme="minorEastAsia" w:hAnsiTheme="majorHAnsi" w:cstheme="minorBidi"/>
          <w:noProof/>
          <w:sz w:val="20"/>
          <w:szCs w:val="20"/>
          <w:bdr w:val="none" w:sz="0" w:space="0" w:color="auto"/>
        </w:rPr>
      </w:pPr>
      <w:hyperlink w:anchor="_Toc506225827" w:history="1">
        <w:r w:rsidR="007E7FAA" w:rsidRPr="00165EC6">
          <w:rPr>
            <w:rStyle w:val="Hyperlink"/>
            <w:rFonts w:asciiTheme="majorHAnsi" w:hAnsiTheme="majorHAnsi"/>
            <w:noProof/>
            <w:sz w:val="20"/>
            <w:szCs w:val="20"/>
            <w:lang w:val="es-ES"/>
          </w:rPr>
          <w:t>B.</w:t>
        </w:r>
        <w:r w:rsidR="007E7FAA" w:rsidRPr="00165EC6">
          <w:rPr>
            <w:rFonts w:asciiTheme="majorHAnsi" w:eastAsiaTheme="minorEastAsia" w:hAnsiTheme="majorHAnsi" w:cstheme="minorBidi"/>
            <w:noProof/>
            <w:sz w:val="20"/>
            <w:szCs w:val="20"/>
            <w:bdr w:val="none" w:sz="0" w:space="0" w:color="auto"/>
          </w:rPr>
          <w:tab/>
        </w:r>
        <w:r w:rsidR="007E7FAA" w:rsidRPr="00165EC6">
          <w:rPr>
            <w:rStyle w:val="Hyperlink"/>
            <w:rFonts w:asciiTheme="majorHAnsi" w:hAnsiTheme="majorHAnsi"/>
            <w:noProof/>
            <w:sz w:val="20"/>
            <w:szCs w:val="20"/>
            <w:lang w:val="es-ES"/>
          </w:rPr>
          <w:t>Condiciones de la fábrica de fuegos artificiales y explosión de 11 de diciembre de 1998.</w:t>
        </w:r>
        <w:r w:rsidR="007E7FAA" w:rsidRPr="00165EC6">
          <w:rPr>
            <w:rFonts w:asciiTheme="majorHAnsi" w:hAnsiTheme="majorHAnsi"/>
            <w:noProof/>
            <w:webHidden/>
            <w:sz w:val="20"/>
            <w:szCs w:val="20"/>
          </w:rPr>
          <w:tab/>
        </w:r>
        <w:r w:rsidR="007E7FAA" w:rsidRPr="00165EC6">
          <w:rPr>
            <w:rFonts w:asciiTheme="majorHAnsi" w:hAnsiTheme="majorHAnsi"/>
            <w:noProof/>
            <w:webHidden/>
            <w:sz w:val="20"/>
            <w:szCs w:val="20"/>
          </w:rPr>
          <w:fldChar w:fldCharType="begin"/>
        </w:r>
        <w:r w:rsidR="007E7FAA" w:rsidRPr="00165EC6">
          <w:rPr>
            <w:rFonts w:asciiTheme="majorHAnsi" w:hAnsiTheme="majorHAnsi"/>
            <w:noProof/>
            <w:webHidden/>
            <w:sz w:val="20"/>
            <w:szCs w:val="20"/>
          </w:rPr>
          <w:instrText xml:space="preserve"> PAGEREF _Toc506225827 \h </w:instrText>
        </w:r>
        <w:r w:rsidR="007E7FAA" w:rsidRPr="00165EC6">
          <w:rPr>
            <w:rFonts w:asciiTheme="majorHAnsi" w:hAnsiTheme="majorHAnsi"/>
            <w:noProof/>
            <w:webHidden/>
            <w:sz w:val="20"/>
            <w:szCs w:val="20"/>
          </w:rPr>
        </w:r>
        <w:r w:rsidR="007E7FAA" w:rsidRPr="00165EC6">
          <w:rPr>
            <w:rFonts w:asciiTheme="majorHAnsi" w:hAnsiTheme="majorHAnsi"/>
            <w:noProof/>
            <w:webHidden/>
            <w:sz w:val="20"/>
            <w:szCs w:val="20"/>
          </w:rPr>
          <w:fldChar w:fldCharType="separate"/>
        </w:r>
        <w:r w:rsidR="007E7FAA" w:rsidRPr="00165EC6">
          <w:rPr>
            <w:rFonts w:asciiTheme="majorHAnsi" w:hAnsiTheme="majorHAnsi"/>
            <w:noProof/>
            <w:webHidden/>
            <w:sz w:val="20"/>
            <w:szCs w:val="20"/>
          </w:rPr>
          <w:t>9</w:t>
        </w:r>
        <w:r w:rsidR="007E7FAA" w:rsidRPr="00165EC6">
          <w:rPr>
            <w:rFonts w:asciiTheme="majorHAnsi" w:hAnsiTheme="majorHAnsi"/>
            <w:noProof/>
            <w:webHidden/>
            <w:sz w:val="20"/>
            <w:szCs w:val="20"/>
          </w:rPr>
          <w:fldChar w:fldCharType="end"/>
        </w:r>
      </w:hyperlink>
    </w:p>
    <w:p w:rsidR="007E7FAA" w:rsidRPr="00165EC6" w:rsidRDefault="00DA16A1">
      <w:pPr>
        <w:pStyle w:val="TOC2"/>
        <w:rPr>
          <w:rFonts w:asciiTheme="majorHAnsi" w:eastAsiaTheme="minorEastAsia" w:hAnsiTheme="majorHAnsi" w:cstheme="minorBidi"/>
          <w:noProof/>
          <w:sz w:val="20"/>
          <w:szCs w:val="20"/>
          <w:bdr w:val="none" w:sz="0" w:space="0" w:color="auto"/>
        </w:rPr>
      </w:pPr>
      <w:hyperlink w:anchor="_Toc506225828" w:history="1">
        <w:r w:rsidR="007E7FAA" w:rsidRPr="00165EC6">
          <w:rPr>
            <w:rStyle w:val="Hyperlink"/>
            <w:rFonts w:asciiTheme="majorHAnsi" w:hAnsiTheme="majorHAnsi"/>
            <w:noProof/>
            <w:sz w:val="20"/>
            <w:szCs w:val="20"/>
            <w:lang w:val="es-ES"/>
          </w:rPr>
          <w:t>C.</w:t>
        </w:r>
        <w:r w:rsidR="007E7FAA" w:rsidRPr="00165EC6">
          <w:rPr>
            <w:rFonts w:asciiTheme="majorHAnsi" w:eastAsiaTheme="minorEastAsia" w:hAnsiTheme="majorHAnsi" w:cstheme="minorBidi"/>
            <w:noProof/>
            <w:sz w:val="20"/>
            <w:szCs w:val="20"/>
            <w:bdr w:val="none" w:sz="0" w:space="0" w:color="auto"/>
          </w:rPr>
          <w:tab/>
        </w:r>
        <w:r w:rsidR="007E7FAA" w:rsidRPr="00165EC6">
          <w:rPr>
            <w:rStyle w:val="Hyperlink"/>
            <w:rFonts w:asciiTheme="majorHAnsi" w:hAnsiTheme="majorHAnsi"/>
            <w:noProof/>
            <w:sz w:val="20"/>
            <w:szCs w:val="20"/>
            <w:lang w:val="es-ES"/>
          </w:rPr>
          <w:t>Información sobre hechos posteriores a la explosión de 1998.</w:t>
        </w:r>
        <w:r w:rsidR="007E7FAA" w:rsidRPr="00165EC6">
          <w:rPr>
            <w:rFonts w:asciiTheme="majorHAnsi" w:hAnsiTheme="majorHAnsi"/>
            <w:noProof/>
            <w:webHidden/>
            <w:sz w:val="20"/>
            <w:szCs w:val="20"/>
          </w:rPr>
          <w:tab/>
        </w:r>
        <w:r w:rsidR="007E7FAA" w:rsidRPr="00165EC6">
          <w:rPr>
            <w:rFonts w:asciiTheme="majorHAnsi" w:hAnsiTheme="majorHAnsi"/>
            <w:noProof/>
            <w:webHidden/>
            <w:sz w:val="20"/>
            <w:szCs w:val="20"/>
          </w:rPr>
          <w:fldChar w:fldCharType="begin"/>
        </w:r>
        <w:r w:rsidR="007E7FAA" w:rsidRPr="00165EC6">
          <w:rPr>
            <w:rFonts w:asciiTheme="majorHAnsi" w:hAnsiTheme="majorHAnsi"/>
            <w:noProof/>
            <w:webHidden/>
            <w:sz w:val="20"/>
            <w:szCs w:val="20"/>
          </w:rPr>
          <w:instrText xml:space="preserve"> PAGEREF _Toc506225828 \h </w:instrText>
        </w:r>
        <w:r w:rsidR="007E7FAA" w:rsidRPr="00165EC6">
          <w:rPr>
            <w:rFonts w:asciiTheme="majorHAnsi" w:hAnsiTheme="majorHAnsi"/>
            <w:noProof/>
            <w:webHidden/>
            <w:sz w:val="20"/>
            <w:szCs w:val="20"/>
          </w:rPr>
        </w:r>
        <w:r w:rsidR="007E7FAA" w:rsidRPr="00165EC6">
          <w:rPr>
            <w:rFonts w:asciiTheme="majorHAnsi" w:hAnsiTheme="majorHAnsi"/>
            <w:noProof/>
            <w:webHidden/>
            <w:sz w:val="20"/>
            <w:szCs w:val="20"/>
          </w:rPr>
          <w:fldChar w:fldCharType="separate"/>
        </w:r>
        <w:r w:rsidR="007E7FAA" w:rsidRPr="00165EC6">
          <w:rPr>
            <w:rFonts w:asciiTheme="majorHAnsi" w:hAnsiTheme="majorHAnsi"/>
            <w:noProof/>
            <w:webHidden/>
            <w:sz w:val="20"/>
            <w:szCs w:val="20"/>
          </w:rPr>
          <w:t>11</w:t>
        </w:r>
        <w:r w:rsidR="007E7FAA" w:rsidRPr="00165EC6">
          <w:rPr>
            <w:rFonts w:asciiTheme="majorHAnsi" w:hAnsiTheme="majorHAnsi"/>
            <w:noProof/>
            <w:webHidden/>
            <w:sz w:val="20"/>
            <w:szCs w:val="20"/>
          </w:rPr>
          <w:fldChar w:fldCharType="end"/>
        </w:r>
      </w:hyperlink>
    </w:p>
    <w:p w:rsidR="007E7FAA" w:rsidRPr="00165EC6" w:rsidRDefault="00DA16A1">
      <w:pPr>
        <w:pStyle w:val="TOC2"/>
        <w:rPr>
          <w:rFonts w:asciiTheme="majorHAnsi" w:eastAsiaTheme="minorEastAsia" w:hAnsiTheme="majorHAnsi" w:cstheme="minorBidi"/>
          <w:noProof/>
          <w:sz w:val="20"/>
          <w:szCs w:val="20"/>
          <w:bdr w:val="none" w:sz="0" w:space="0" w:color="auto"/>
        </w:rPr>
      </w:pPr>
      <w:hyperlink w:anchor="_Toc506225829" w:history="1">
        <w:r w:rsidR="007E7FAA" w:rsidRPr="00165EC6">
          <w:rPr>
            <w:rStyle w:val="Hyperlink"/>
            <w:rFonts w:asciiTheme="majorHAnsi" w:hAnsiTheme="majorHAnsi"/>
            <w:noProof/>
            <w:sz w:val="20"/>
            <w:szCs w:val="20"/>
            <w:lang w:val="es-ES"/>
          </w:rPr>
          <w:t>D.</w:t>
        </w:r>
        <w:r w:rsidR="007E7FAA" w:rsidRPr="00165EC6">
          <w:rPr>
            <w:rFonts w:asciiTheme="majorHAnsi" w:eastAsiaTheme="minorEastAsia" w:hAnsiTheme="majorHAnsi" w:cstheme="minorBidi"/>
            <w:noProof/>
            <w:sz w:val="20"/>
            <w:szCs w:val="20"/>
            <w:bdr w:val="none" w:sz="0" w:space="0" w:color="auto"/>
          </w:rPr>
          <w:tab/>
        </w:r>
        <w:r w:rsidR="007E7FAA" w:rsidRPr="00165EC6">
          <w:rPr>
            <w:rStyle w:val="Hyperlink"/>
            <w:rFonts w:asciiTheme="majorHAnsi" w:hAnsiTheme="majorHAnsi"/>
            <w:noProof/>
            <w:sz w:val="20"/>
            <w:szCs w:val="20"/>
            <w:lang w:val="es-ES"/>
          </w:rPr>
          <w:t>Marco normativo relevante.</w:t>
        </w:r>
        <w:r w:rsidR="007E7FAA" w:rsidRPr="00165EC6">
          <w:rPr>
            <w:rFonts w:asciiTheme="majorHAnsi" w:hAnsiTheme="majorHAnsi"/>
            <w:noProof/>
            <w:webHidden/>
            <w:sz w:val="20"/>
            <w:szCs w:val="20"/>
          </w:rPr>
          <w:tab/>
        </w:r>
        <w:r w:rsidR="007E7FAA" w:rsidRPr="00165EC6">
          <w:rPr>
            <w:rFonts w:asciiTheme="majorHAnsi" w:hAnsiTheme="majorHAnsi"/>
            <w:noProof/>
            <w:webHidden/>
            <w:sz w:val="20"/>
            <w:szCs w:val="20"/>
          </w:rPr>
          <w:fldChar w:fldCharType="begin"/>
        </w:r>
        <w:r w:rsidR="007E7FAA" w:rsidRPr="00165EC6">
          <w:rPr>
            <w:rFonts w:asciiTheme="majorHAnsi" w:hAnsiTheme="majorHAnsi"/>
            <w:noProof/>
            <w:webHidden/>
            <w:sz w:val="20"/>
            <w:szCs w:val="20"/>
          </w:rPr>
          <w:instrText xml:space="preserve"> PAGEREF _Toc506225829 \h </w:instrText>
        </w:r>
        <w:r w:rsidR="007E7FAA" w:rsidRPr="00165EC6">
          <w:rPr>
            <w:rFonts w:asciiTheme="majorHAnsi" w:hAnsiTheme="majorHAnsi"/>
            <w:noProof/>
            <w:webHidden/>
            <w:sz w:val="20"/>
            <w:szCs w:val="20"/>
          </w:rPr>
        </w:r>
        <w:r w:rsidR="007E7FAA" w:rsidRPr="00165EC6">
          <w:rPr>
            <w:rFonts w:asciiTheme="majorHAnsi" w:hAnsiTheme="majorHAnsi"/>
            <w:noProof/>
            <w:webHidden/>
            <w:sz w:val="20"/>
            <w:szCs w:val="20"/>
          </w:rPr>
          <w:fldChar w:fldCharType="separate"/>
        </w:r>
        <w:r w:rsidR="007E7FAA" w:rsidRPr="00165EC6">
          <w:rPr>
            <w:rFonts w:asciiTheme="majorHAnsi" w:hAnsiTheme="majorHAnsi"/>
            <w:noProof/>
            <w:webHidden/>
            <w:sz w:val="20"/>
            <w:szCs w:val="20"/>
          </w:rPr>
          <w:t>13</w:t>
        </w:r>
        <w:r w:rsidR="007E7FAA" w:rsidRPr="00165EC6">
          <w:rPr>
            <w:rFonts w:asciiTheme="majorHAnsi" w:hAnsiTheme="majorHAnsi"/>
            <w:noProof/>
            <w:webHidden/>
            <w:sz w:val="20"/>
            <w:szCs w:val="20"/>
          </w:rPr>
          <w:fldChar w:fldCharType="end"/>
        </w:r>
      </w:hyperlink>
    </w:p>
    <w:p w:rsidR="007E7FAA" w:rsidRPr="00165EC6" w:rsidRDefault="00DA16A1">
      <w:pPr>
        <w:pStyle w:val="TOC2"/>
        <w:rPr>
          <w:rFonts w:asciiTheme="majorHAnsi" w:eastAsiaTheme="minorEastAsia" w:hAnsiTheme="majorHAnsi" w:cstheme="minorBidi"/>
          <w:noProof/>
          <w:sz w:val="20"/>
          <w:szCs w:val="20"/>
          <w:bdr w:val="none" w:sz="0" w:space="0" w:color="auto"/>
        </w:rPr>
      </w:pPr>
      <w:hyperlink w:anchor="_Toc506225830" w:history="1">
        <w:r w:rsidR="007E7FAA" w:rsidRPr="00165EC6">
          <w:rPr>
            <w:rStyle w:val="Hyperlink"/>
            <w:rFonts w:asciiTheme="majorHAnsi" w:hAnsiTheme="majorHAnsi"/>
            <w:noProof/>
            <w:sz w:val="20"/>
            <w:szCs w:val="20"/>
            <w:lang w:val="pt-BR"/>
          </w:rPr>
          <w:t>E.</w:t>
        </w:r>
        <w:r w:rsidR="007E7FAA" w:rsidRPr="00165EC6">
          <w:rPr>
            <w:rFonts w:asciiTheme="majorHAnsi" w:eastAsiaTheme="minorEastAsia" w:hAnsiTheme="majorHAnsi" w:cstheme="minorBidi"/>
            <w:noProof/>
            <w:sz w:val="20"/>
            <w:szCs w:val="20"/>
            <w:bdr w:val="none" w:sz="0" w:space="0" w:color="auto"/>
          </w:rPr>
          <w:tab/>
        </w:r>
        <w:r w:rsidR="007E7FAA" w:rsidRPr="00165EC6">
          <w:rPr>
            <w:rStyle w:val="Hyperlink"/>
            <w:rFonts w:asciiTheme="majorHAnsi" w:hAnsiTheme="majorHAnsi"/>
            <w:noProof/>
            <w:sz w:val="20"/>
            <w:szCs w:val="20"/>
            <w:lang w:val="pt-BR"/>
          </w:rPr>
          <w:t>Procesos internos.</w:t>
        </w:r>
        <w:r w:rsidR="007E7FAA" w:rsidRPr="00165EC6">
          <w:rPr>
            <w:rFonts w:asciiTheme="majorHAnsi" w:hAnsiTheme="majorHAnsi"/>
            <w:noProof/>
            <w:webHidden/>
            <w:sz w:val="20"/>
            <w:szCs w:val="20"/>
          </w:rPr>
          <w:tab/>
        </w:r>
        <w:r w:rsidR="007E7FAA" w:rsidRPr="00165EC6">
          <w:rPr>
            <w:rFonts w:asciiTheme="majorHAnsi" w:hAnsiTheme="majorHAnsi"/>
            <w:noProof/>
            <w:webHidden/>
            <w:sz w:val="20"/>
            <w:szCs w:val="20"/>
          </w:rPr>
          <w:fldChar w:fldCharType="begin"/>
        </w:r>
        <w:r w:rsidR="007E7FAA" w:rsidRPr="00165EC6">
          <w:rPr>
            <w:rFonts w:asciiTheme="majorHAnsi" w:hAnsiTheme="majorHAnsi"/>
            <w:noProof/>
            <w:webHidden/>
            <w:sz w:val="20"/>
            <w:szCs w:val="20"/>
          </w:rPr>
          <w:instrText xml:space="preserve"> PAGEREF _Toc506225830 \h </w:instrText>
        </w:r>
        <w:r w:rsidR="007E7FAA" w:rsidRPr="00165EC6">
          <w:rPr>
            <w:rFonts w:asciiTheme="majorHAnsi" w:hAnsiTheme="majorHAnsi"/>
            <w:noProof/>
            <w:webHidden/>
            <w:sz w:val="20"/>
            <w:szCs w:val="20"/>
          </w:rPr>
        </w:r>
        <w:r w:rsidR="007E7FAA" w:rsidRPr="00165EC6">
          <w:rPr>
            <w:rFonts w:asciiTheme="majorHAnsi" w:hAnsiTheme="majorHAnsi"/>
            <w:noProof/>
            <w:webHidden/>
            <w:sz w:val="20"/>
            <w:szCs w:val="20"/>
          </w:rPr>
          <w:fldChar w:fldCharType="separate"/>
        </w:r>
        <w:r w:rsidR="007E7FAA" w:rsidRPr="00165EC6">
          <w:rPr>
            <w:rFonts w:asciiTheme="majorHAnsi" w:hAnsiTheme="majorHAnsi"/>
            <w:noProof/>
            <w:webHidden/>
            <w:sz w:val="20"/>
            <w:szCs w:val="20"/>
          </w:rPr>
          <w:t>14</w:t>
        </w:r>
        <w:r w:rsidR="007E7FAA" w:rsidRPr="00165EC6">
          <w:rPr>
            <w:rFonts w:asciiTheme="majorHAnsi" w:hAnsiTheme="majorHAnsi"/>
            <w:noProof/>
            <w:webHidden/>
            <w:sz w:val="20"/>
            <w:szCs w:val="20"/>
          </w:rPr>
          <w:fldChar w:fldCharType="end"/>
        </w:r>
      </w:hyperlink>
    </w:p>
    <w:p w:rsidR="007E7FAA" w:rsidRPr="00165EC6" w:rsidRDefault="00DA16A1">
      <w:pPr>
        <w:pStyle w:val="TOC3"/>
        <w:tabs>
          <w:tab w:val="left" w:pos="2160"/>
        </w:tabs>
        <w:rPr>
          <w:rFonts w:asciiTheme="majorHAnsi" w:eastAsiaTheme="minorEastAsia" w:hAnsiTheme="majorHAnsi" w:cstheme="minorBidi"/>
          <w:noProof/>
          <w:sz w:val="20"/>
          <w:szCs w:val="20"/>
          <w:bdr w:val="none" w:sz="0" w:space="0" w:color="auto"/>
        </w:rPr>
      </w:pPr>
      <w:hyperlink w:anchor="_Toc506225831" w:history="1">
        <w:r w:rsidR="007E7FAA" w:rsidRPr="00165EC6">
          <w:rPr>
            <w:rStyle w:val="Hyperlink"/>
            <w:rFonts w:asciiTheme="majorHAnsi" w:eastAsia="Batang" w:hAnsiTheme="majorHAnsi"/>
            <w:noProof/>
            <w:sz w:val="20"/>
            <w:szCs w:val="20"/>
            <w:lang w:val="pt-BR"/>
          </w:rPr>
          <w:t>1.</w:t>
        </w:r>
        <w:r w:rsidR="007E7FAA" w:rsidRPr="00165EC6">
          <w:rPr>
            <w:rFonts w:asciiTheme="majorHAnsi" w:eastAsiaTheme="minorEastAsia" w:hAnsiTheme="majorHAnsi" w:cstheme="minorBidi"/>
            <w:noProof/>
            <w:sz w:val="20"/>
            <w:szCs w:val="20"/>
            <w:bdr w:val="none" w:sz="0" w:space="0" w:color="auto"/>
          </w:rPr>
          <w:tab/>
        </w:r>
        <w:r w:rsidR="007E7FAA" w:rsidRPr="00165EC6">
          <w:rPr>
            <w:rStyle w:val="Hyperlink"/>
            <w:rFonts w:asciiTheme="majorHAnsi" w:hAnsiTheme="majorHAnsi"/>
            <w:noProof/>
            <w:sz w:val="20"/>
            <w:szCs w:val="20"/>
            <w:lang w:val="pt-BR"/>
          </w:rPr>
          <w:t>Penal.</w:t>
        </w:r>
        <w:r w:rsidR="007E7FAA" w:rsidRPr="00165EC6">
          <w:rPr>
            <w:rFonts w:asciiTheme="majorHAnsi" w:hAnsiTheme="majorHAnsi"/>
            <w:noProof/>
            <w:webHidden/>
            <w:sz w:val="20"/>
            <w:szCs w:val="20"/>
          </w:rPr>
          <w:tab/>
        </w:r>
        <w:r w:rsidR="007E7FAA" w:rsidRPr="00165EC6">
          <w:rPr>
            <w:rFonts w:asciiTheme="majorHAnsi" w:hAnsiTheme="majorHAnsi"/>
            <w:noProof/>
            <w:webHidden/>
            <w:sz w:val="20"/>
            <w:szCs w:val="20"/>
          </w:rPr>
          <w:fldChar w:fldCharType="begin"/>
        </w:r>
        <w:r w:rsidR="007E7FAA" w:rsidRPr="00165EC6">
          <w:rPr>
            <w:rFonts w:asciiTheme="majorHAnsi" w:hAnsiTheme="majorHAnsi"/>
            <w:noProof/>
            <w:webHidden/>
            <w:sz w:val="20"/>
            <w:szCs w:val="20"/>
          </w:rPr>
          <w:instrText xml:space="preserve"> PAGEREF _Toc506225831 \h </w:instrText>
        </w:r>
        <w:r w:rsidR="007E7FAA" w:rsidRPr="00165EC6">
          <w:rPr>
            <w:rFonts w:asciiTheme="majorHAnsi" w:hAnsiTheme="majorHAnsi"/>
            <w:noProof/>
            <w:webHidden/>
            <w:sz w:val="20"/>
            <w:szCs w:val="20"/>
          </w:rPr>
        </w:r>
        <w:r w:rsidR="007E7FAA" w:rsidRPr="00165EC6">
          <w:rPr>
            <w:rFonts w:asciiTheme="majorHAnsi" w:hAnsiTheme="majorHAnsi"/>
            <w:noProof/>
            <w:webHidden/>
            <w:sz w:val="20"/>
            <w:szCs w:val="20"/>
          </w:rPr>
          <w:fldChar w:fldCharType="separate"/>
        </w:r>
        <w:r w:rsidR="007E7FAA" w:rsidRPr="00165EC6">
          <w:rPr>
            <w:rFonts w:asciiTheme="majorHAnsi" w:hAnsiTheme="majorHAnsi"/>
            <w:noProof/>
            <w:webHidden/>
            <w:sz w:val="20"/>
            <w:szCs w:val="20"/>
          </w:rPr>
          <w:t>14</w:t>
        </w:r>
        <w:r w:rsidR="007E7FAA" w:rsidRPr="00165EC6">
          <w:rPr>
            <w:rFonts w:asciiTheme="majorHAnsi" w:hAnsiTheme="majorHAnsi"/>
            <w:noProof/>
            <w:webHidden/>
            <w:sz w:val="20"/>
            <w:szCs w:val="20"/>
          </w:rPr>
          <w:fldChar w:fldCharType="end"/>
        </w:r>
      </w:hyperlink>
    </w:p>
    <w:p w:rsidR="007E7FAA" w:rsidRPr="00165EC6" w:rsidRDefault="00DA16A1">
      <w:pPr>
        <w:pStyle w:val="TOC3"/>
        <w:tabs>
          <w:tab w:val="left" w:pos="2160"/>
        </w:tabs>
        <w:rPr>
          <w:rFonts w:asciiTheme="majorHAnsi" w:eastAsiaTheme="minorEastAsia" w:hAnsiTheme="majorHAnsi" w:cstheme="minorBidi"/>
          <w:noProof/>
          <w:sz w:val="20"/>
          <w:szCs w:val="20"/>
          <w:bdr w:val="none" w:sz="0" w:space="0" w:color="auto"/>
        </w:rPr>
      </w:pPr>
      <w:hyperlink w:anchor="_Toc506225833" w:history="1">
        <w:r w:rsidR="007E7FAA" w:rsidRPr="00165EC6">
          <w:rPr>
            <w:rStyle w:val="Hyperlink"/>
            <w:rFonts w:asciiTheme="majorHAnsi" w:hAnsiTheme="majorHAnsi"/>
            <w:noProof/>
            <w:sz w:val="20"/>
            <w:szCs w:val="20"/>
            <w:lang w:val="pt-BR"/>
          </w:rPr>
          <w:t>2.</w:t>
        </w:r>
        <w:r w:rsidR="007E7FAA" w:rsidRPr="00165EC6">
          <w:rPr>
            <w:rFonts w:asciiTheme="majorHAnsi" w:eastAsiaTheme="minorEastAsia" w:hAnsiTheme="majorHAnsi" w:cstheme="minorBidi"/>
            <w:noProof/>
            <w:sz w:val="20"/>
            <w:szCs w:val="20"/>
            <w:bdr w:val="none" w:sz="0" w:space="0" w:color="auto"/>
          </w:rPr>
          <w:tab/>
        </w:r>
        <w:r w:rsidR="007E7FAA" w:rsidRPr="00165EC6">
          <w:rPr>
            <w:rStyle w:val="Hyperlink"/>
            <w:rFonts w:asciiTheme="majorHAnsi" w:hAnsiTheme="majorHAnsi"/>
            <w:noProof/>
            <w:sz w:val="20"/>
            <w:szCs w:val="20"/>
            <w:lang w:val="pt-BR"/>
          </w:rPr>
          <w:t>Civil.</w:t>
        </w:r>
        <w:r w:rsidR="007E7FAA" w:rsidRPr="00165EC6">
          <w:rPr>
            <w:rFonts w:asciiTheme="majorHAnsi" w:hAnsiTheme="majorHAnsi"/>
            <w:noProof/>
            <w:webHidden/>
            <w:sz w:val="20"/>
            <w:szCs w:val="20"/>
          </w:rPr>
          <w:tab/>
        </w:r>
        <w:r w:rsidR="007E7FAA" w:rsidRPr="00165EC6">
          <w:rPr>
            <w:rFonts w:asciiTheme="majorHAnsi" w:hAnsiTheme="majorHAnsi"/>
            <w:noProof/>
            <w:webHidden/>
            <w:sz w:val="20"/>
            <w:szCs w:val="20"/>
          </w:rPr>
          <w:fldChar w:fldCharType="begin"/>
        </w:r>
        <w:r w:rsidR="007E7FAA" w:rsidRPr="00165EC6">
          <w:rPr>
            <w:rFonts w:asciiTheme="majorHAnsi" w:hAnsiTheme="majorHAnsi"/>
            <w:noProof/>
            <w:webHidden/>
            <w:sz w:val="20"/>
            <w:szCs w:val="20"/>
          </w:rPr>
          <w:instrText xml:space="preserve"> PAGEREF _Toc506225833 \h </w:instrText>
        </w:r>
        <w:r w:rsidR="007E7FAA" w:rsidRPr="00165EC6">
          <w:rPr>
            <w:rFonts w:asciiTheme="majorHAnsi" w:hAnsiTheme="majorHAnsi"/>
            <w:noProof/>
            <w:webHidden/>
            <w:sz w:val="20"/>
            <w:szCs w:val="20"/>
          </w:rPr>
        </w:r>
        <w:r w:rsidR="007E7FAA" w:rsidRPr="00165EC6">
          <w:rPr>
            <w:rFonts w:asciiTheme="majorHAnsi" w:hAnsiTheme="majorHAnsi"/>
            <w:noProof/>
            <w:webHidden/>
            <w:sz w:val="20"/>
            <w:szCs w:val="20"/>
          </w:rPr>
          <w:fldChar w:fldCharType="separate"/>
        </w:r>
        <w:r w:rsidR="007E7FAA" w:rsidRPr="00165EC6">
          <w:rPr>
            <w:rFonts w:asciiTheme="majorHAnsi" w:hAnsiTheme="majorHAnsi"/>
            <w:noProof/>
            <w:webHidden/>
            <w:sz w:val="20"/>
            <w:szCs w:val="20"/>
          </w:rPr>
          <w:t>15</w:t>
        </w:r>
        <w:r w:rsidR="007E7FAA" w:rsidRPr="00165EC6">
          <w:rPr>
            <w:rFonts w:asciiTheme="majorHAnsi" w:hAnsiTheme="majorHAnsi"/>
            <w:noProof/>
            <w:webHidden/>
            <w:sz w:val="20"/>
            <w:szCs w:val="20"/>
          </w:rPr>
          <w:fldChar w:fldCharType="end"/>
        </w:r>
      </w:hyperlink>
    </w:p>
    <w:p w:rsidR="007E7FAA" w:rsidRPr="00165EC6" w:rsidRDefault="00DA16A1">
      <w:pPr>
        <w:pStyle w:val="TOC3"/>
        <w:tabs>
          <w:tab w:val="left" w:pos="2160"/>
        </w:tabs>
        <w:rPr>
          <w:rFonts w:asciiTheme="majorHAnsi" w:eastAsiaTheme="minorEastAsia" w:hAnsiTheme="majorHAnsi" w:cstheme="minorBidi"/>
          <w:noProof/>
          <w:sz w:val="20"/>
          <w:szCs w:val="20"/>
          <w:bdr w:val="none" w:sz="0" w:space="0" w:color="auto"/>
        </w:rPr>
      </w:pPr>
      <w:hyperlink w:anchor="_Toc506225834" w:history="1">
        <w:r w:rsidR="007E7FAA" w:rsidRPr="00165EC6">
          <w:rPr>
            <w:rStyle w:val="Hyperlink"/>
            <w:rFonts w:asciiTheme="majorHAnsi" w:hAnsiTheme="majorHAnsi"/>
            <w:noProof/>
            <w:sz w:val="20"/>
            <w:szCs w:val="20"/>
            <w:lang w:val="pt-BR"/>
          </w:rPr>
          <w:t>3.</w:t>
        </w:r>
        <w:r w:rsidR="007E7FAA" w:rsidRPr="00165EC6">
          <w:rPr>
            <w:rFonts w:asciiTheme="majorHAnsi" w:eastAsiaTheme="minorEastAsia" w:hAnsiTheme="majorHAnsi" w:cstheme="minorBidi"/>
            <w:noProof/>
            <w:sz w:val="20"/>
            <w:szCs w:val="20"/>
            <w:bdr w:val="none" w:sz="0" w:space="0" w:color="auto"/>
          </w:rPr>
          <w:tab/>
        </w:r>
        <w:r w:rsidR="007E7FAA" w:rsidRPr="00165EC6">
          <w:rPr>
            <w:rStyle w:val="Hyperlink"/>
            <w:rFonts w:asciiTheme="majorHAnsi" w:hAnsiTheme="majorHAnsi"/>
            <w:noProof/>
            <w:sz w:val="20"/>
            <w:szCs w:val="20"/>
            <w:lang w:val="pt-BR"/>
          </w:rPr>
          <w:t>Laboral.</w:t>
        </w:r>
        <w:r w:rsidR="007E7FAA" w:rsidRPr="00165EC6">
          <w:rPr>
            <w:rFonts w:asciiTheme="majorHAnsi" w:hAnsiTheme="majorHAnsi"/>
            <w:noProof/>
            <w:webHidden/>
            <w:sz w:val="20"/>
            <w:szCs w:val="20"/>
          </w:rPr>
          <w:tab/>
        </w:r>
        <w:r w:rsidR="007E7FAA" w:rsidRPr="00165EC6">
          <w:rPr>
            <w:rFonts w:asciiTheme="majorHAnsi" w:hAnsiTheme="majorHAnsi"/>
            <w:noProof/>
            <w:webHidden/>
            <w:sz w:val="20"/>
            <w:szCs w:val="20"/>
          </w:rPr>
          <w:fldChar w:fldCharType="begin"/>
        </w:r>
        <w:r w:rsidR="007E7FAA" w:rsidRPr="00165EC6">
          <w:rPr>
            <w:rFonts w:asciiTheme="majorHAnsi" w:hAnsiTheme="majorHAnsi"/>
            <w:noProof/>
            <w:webHidden/>
            <w:sz w:val="20"/>
            <w:szCs w:val="20"/>
          </w:rPr>
          <w:instrText xml:space="preserve"> PAGEREF _Toc506225834 \h </w:instrText>
        </w:r>
        <w:r w:rsidR="007E7FAA" w:rsidRPr="00165EC6">
          <w:rPr>
            <w:rFonts w:asciiTheme="majorHAnsi" w:hAnsiTheme="majorHAnsi"/>
            <w:noProof/>
            <w:webHidden/>
            <w:sz w:val="20"/>
            <w:szCs w:val="20"/>
          </w:rPr>
        </w:r>
        <w:r w:rsidR="007E7FAA" w:rsidRPr="00165EC6">
          <w:rPr>
            <w:rFonts w:asciiTheme="majorHAnsi" w:hAnsiTheme="majorHAnsi"/>
            <w:noProof/>
            <w:webHidden/>
            <w:sz w:val="20"/>
            <w:szCs w:val="20"/>
          </w:rPr>
          <w:fldChar w:fldCharType="separate"/>
        </w:r>
        <w:r w:rsidR="007E7FAA" w:rsidRPr="00165EC6">
          <w:rPr>
            <w:rFonts w:asciiTheme="majorHAnsi" w:hAnsiTheme="majorHAnsi"/>
            <w:noProof/>
            <w:webHidden/>
            <w:sz w:val="20"/>
            <w:szCs w:val="20"/>
          </w:rPr>
          <w:t>17</w:t>
        </w:r>
        <w:r w:rsidR="007E7FAA" w:rsidRPr="00165EC6">
          <w:rPr>
            <w:rFonts w:asciiTheme="majorHAnsi" w:hAnsiTheme="majorHAnsi"/>
            <w:noProof/>
            <w:webHidden/>
            <w:sz w:val="20"/>
            <w:szCs w:val="20"/>
          </w:rPr>
          <w:fldChar w:fldCharType="end"/>
        </w:r>
      </w:hyperlink>
    </w:p>
    <w:p w:rsidR="007E7FAA" w:rsidRPr="00165EC6" w:rsidRDefault="00DA16A1">
      <w:pPr>
        <w:pStyle w:val="TOC3"/>
        <w:tabs>
          <w:tab w:val="left" w:pos="2160"/>
        </w:tabs>
        <w:rPr>
          <w:rFonts w:asciiTheme="majorHAnsi" w:eastAsiaTheme="minorEastAsia" w:hAnsiTheme="majorHAnsi" w:cstheme="minorBidi"/>
          <w:noProof/>
          <w:sz w:val="20"/>
          <w:szCs w:val="20"/>
          <w:bdr w:val="none" w:sz="0" w:space="0" w:color="auto"/>
        </w:rPr>
      </w:pPr>
      <w:hyperlink w:anchor="_Toc506225835" w:history="1">
        <w:r w:rsidR="007E7FAA" w:rsidRPr="00165EC6">
          <w:rPr>
            <w:rStyle w:val="Hyperlink"/>
            <w:rFonts w:asciiTheme="majorHAnsi" w:hAnsiTheme="majorHAnsi"/>
            <w:noProof/>
            <w:sz w:val="20"/>
            <w:szCs w:val="20"/>
            <w:lang w:val="es-ES"/>
          </w:rPr>
          <w:t>4.</w:t>
        </w:r>
        <w:r w:rsidR="007E7FAA" w:rsidRPr="00165EC6">
          <w:rPr>
            <w:rFonts w:asciiTheme="majorHAnsi" w:eastAsiaTheme="minorEastAsia" w:hAnsiTheme="majorHAnsi" w:cstheme="minorBidi"/>
            <w:noProof/>
            <w:sz w:val="20"/>
            <w:szCs w:val="20"/>
            <w:bdr w:val="none" w:sz="0" w:space="0" w:color="auto"/>
          </w:rPr>
          <w:tab/>
        </w:r>
        <w:r w:rsidR="007E7FAA" w:rsidRPr="00165EC6">
          <w:rPr>
            <w:rStyle w:val="Hyperlink"/>
            <w:rFonts w:asciiTheme="majorHAnsi" w:hAnsiTheme="majorHAnsi"/>
            <w:noProof/>
            <w:sz w:val="20"/>
            <w:szCs w:val="20"/>
            <w:lang w:val="es-ES"/>
          </w:rPr>
          <w:t>Administrativo.</w:t>
        </w:r>
        <w:r w:rsidR="007E7FAA" w:rsidRPr="00165EC6">
          <w:rPr>
            <w:rFonts w:asciiTheme="majorHAnsi" w:hAnsiTheme="majorHAnsi"/>
            <w:noProof/>
            <w:webHidden/>
            <w:sz w:val="20"/>
            <w:szCs w:val="20"/>
          </w:rPr>
          <w:tab/>
        </w:r>
        <w:r w:rsidR="007E7FAA" w:rsidRPr="00165EC6">
          <w:rPr>
            <w:rFonts w:asciiTheme="majorHAnsi" w:hAnsiTheme="majorHAnsi"/>
            <w:noProof/>
            <w:webHidden/>
            <w:sz w:val="20"/>
            <w:szCs w:val="20"/>
          </w:rPr>
          <w:fldChar w:fldCharType="begin"/>
        </w:r>
        <w:r w:rsidR="007E7FAA" w:rsidRPr="00165EC6">
          <w:rPr>
            <w:rFonts w:asciiTheme="majorHAnsi" w:hAnsiTheme="majorHAnsi"/>
            <w:noProof/>
            <w:webHidden/>
            <w:sz w:val="20"/>
            <w:szCs w:val="20"/>
          </w:rPr>
          <w:instrText xml:space="preserve"> PAGEREF _Toc506225835 \h </w:instrText>
        </w:r>
        <w:r w:rsidR="007E7FAA" w:rsidRPr="00165EC6">
          <w:rPr>
            <w:rFonts w:asciiTheme="majorHAnsi" w:hAnsiTheme="majorHAnsi"/>
            <w:noProof/>
            <w:webHidden/>
            <w:sz w:val="20"/>
            <w:szCs w:val="20"/>
          </w:rPr>
        </w:r>
        <w:r w:rsidR="007E7FAA" w:rsidRPr="00165EC6">
          <w:rPr>
            <w:rFonts w:asciiTheme="majorHAnsi" w:hAnsiTheme="majorHAnsi"/>
            <w:noProof/>
            <w:webHidden/>
            <w:sz w:val="20"/>
            <w:szCs w:val="20"/>
          </w:rPr>
          <w:fldChar w:fldCharType="separate"/>
        </w:r>
        <w:r w:rsidR="007E7FAA" w:rsidRPr="00165EC6">
          <w:rPr>
            <w:rFonts w:asciiTheme="majorHAnsi" w:hAnsiTheme="majorHAnsi"/>
            <w:noProof/>
            <w:webHidden/>
            <w:sz w:val="20"/>
            <w:szCs w:val="20"/>
          </w:rPr>
          <w:t>18</w:t>
        </w:r>
        <w:r w:rsidR="007E7FAA" w:rsidRPr="00165EC6">
          <w:rPr>
            <w:rFonts w:asciiTheme="majorHAnsi" w:hAnsiTheme="majorHAnsi"/>
            <w:noProof/>
            <w:webHidden/>
            <w:sz w:val="20"/>
            <w:szCs w:val="20"/>
          </w:rPr>
          <w:fldChar w:fldCharType="end"/>
        </w:r>
      </w:hyperlink>
    </w:p>
    <w:p w:rsidR="007E7FAA" w:rsidRPr="00165EC6" w:rsidRDefault="00DA16A1">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06225836" w:history="1">
        <w:r w:rsidR="007E7FAA" w:rsidRPr="00165EC6">
          <w:rPr>
            <w:rStyle w:val="Hyperlink"/>
            <w:rFonts w:asciiTheme="majorHAnsi" w:eastAsia="Batang" w:hAnsiTheme="majorHAnsi"/>
            <w:noProof/>
            <w:sz w:val="20"/>
            <w:szCs w:val="20"/>
            <w:lang w:val="es-UY" w:eastAsia="es-ES"/>
          </w:rPr>
          <w:t>V.</w:t>
        </w:r>
        <w:r w:rsidR="007E7FAA" w:rsidRPr="00165EC6">
          <w:rPr>
            <w:rFonts w:asciiTheme="majorHAnsi" w:eastAsiaTheme="minorEastAsia" w:hAnsiTheme="majorHAnsi" w:cstheme="minorBidi"/>
            <w:noProof/>
            <w:sz w:val="20"/>
            <w:szCs w:val="20"/>
            <w:bdr w:val="none" w:sz="0" w:space="0" w:color="auto"/>
          </w:rPr>
          <w:tab/>
        </w:r>
        <w:r w:rsidR="007E7FAA" w:rsidRPr="00165EC6">
          <w:rPr>
            <w:rStyle w:val="Hyperlink"/>
            <w:rFonts w:asciiTheme="majorHAnsi" w:eastAsia="Batang" w:hAnsiTheme="majorHAnsi"/>
            <w:noProof/>
            <w:sz w:val="20"/>
            <w:szCs w:val="20"/>
            <w:lang w:val="es-UY" w:eastAsia="es-ES"/>
          </w:rPr>
          <w:t>ANÁLISIS DE DERECHO.</w:t>
        </w:r>
        <w:r w:rsidR="007E7FAA" w:rsidRPr="00165EC6">
          <w:rPr>
            <w:rFonts w:asciiTheme="majorHAnsi" w:hAnsiTheme="majorHAnsi"/>
            <w:noProof/>
            <w:webHidden/>
            <w:sz w:val="20"/>
            <w:szCs w:val="20"/>
          </w:rPr>
          <w:tab/>
        </w:r>
        <w:r w:rsidR="007E7FAA" w:rsidRPr="00165EC6">
          <w:rPr>
            <w:rFonts w:asciiTheme="majorHAnsi" w:hAnsiTheme="majorHAnsi"/>
            <w:noProof/>
            <w:webHidden/>
            <w:sz w:val="20"/>
            <w:szCs w:val="20"/>
          </w:rPr>
          <w:fldChar w:fldCharType="begin"/>
        </w:r>
        <w:r w:rsidR="007E7FAA" w:rsidRPr="00165EC6">
          <w:rPr>
            <w:rFonts w:asciiTheme="majorHAnsi" w:hAnsiTheme="majorHAnsi"/>
            <w:noProof/>
            <w:webHidden/>
            <w:sz w:val="20"/>
            <w:szCs w:val="20"/>
          </w:rPr>
          <w:instrText xml:space="preserve"> PAGEREF _Toc506225836 \h </w:instrText>
        </w:r>
        <w:r w:rsidR="007E7FAA" w:rsidRPr="00165EC6">
          <w:rPr>
            <w:rFonts w:asciiTheme="majorHAnsi" w:hAnsiTheme="majorHAnsi"/>
            <w:noProof/>
            <w:webHidden/>
            <w:sz w:val="20"/>
            <w:szCs w:val="20"/>
          </w:rPr>
        </w:r>
        <w:r w:rsidR="007E7FAA" w:rsidRPr="00165EC6">
          <w:rPr>
            <w:rFonts w:asciiTheme="majorHAnsi" w:hAnsiTheme="majorHAnsi"/>
            <w:noProof/>
            <w:webHidden/>
            <w:sz w:val="20"/>
            <w:szCs w:val="20"/>
          </w:rPr>
          <w:fldChar w:fldCharType="separate"/>
        </w:r>
        <w:r w:rsidR="007E7FAA" w:rsidRPr="00165EC6">
          <w:rPr>
            <w:rFonts w:asciiTheme="majorHAnsi" w:hAnsiTheme="majorHAnsi"/>
            <w:noProof/>
            <w:webHidden/>
            <w:sz w:val="20"/>
            <w:szCs w:val="20"/>
          </w:rPr>
          <w:t>18</w:t>
        </w:r>
        <w:r w:rsidR="007E7FAA" w:rsidRPr="00165EC6">
          <w:rPr>
            <w:rFonts w:asciiTheme="majorHAnsi" w:hAnsiTheme="majorHAnsi"/>
            <w:noProof/>
            <w:webHidden/>
            <w:sz w:val="20"/>
            <w:szCs w:val="20"/>
          </w:rPr>
          <w:fldChar w:fldCharType="end"/>
        </w:r>
      </w:hyperlink>
    </w:p>
    <w:p w:rsidR="007E7FAA" w:rsidRPr="00165EC6" w:rsidRDefault="00DA16A1">
      <w:pPr>
        <w:pStyle w:val="TOC2"/>
        <w:rPr>
          <w:rFonts w:asciiTheme="majorHAnsi" w:eastAsiaTheme="minorEastAsia" w:hAnsiTheme="majorHAnsi" w:cstheme="minorBidi"/>
          <w:noProof/>
          <w:sz w:val="20"/>
          <w:szCs w:val="20"/>
          <w:bdr w:val="none" w:sz="0" w:space="0" w:color="auto"/>
        </w:rPr>
      </w:pPr>
      <w:hyperlink w:anchor="_Toc506225837" w:history="1">
        <w:r w:rsidR="007E7FAA" w:rsidRPr="00165EC6">
          <w:rPr>
            <w:rStyle w:val="Hyperlink"/>
            <w:rFonts w:asciiTheme="majorHAnsi" w:eastAsia="Batang" w:hAnsiTheme="majorHAnsi"/>
            <w:noProof/>
            <w:sz w:val="20"/>
            <w:szCs w:val="20"/>
            <w:lang w:val="es-UY"/>
          </w:rPr>
          <w:t>A.</w:t>
        </w:r>
        <w:r w:rsidR="007E7FAA" w:rsidRPr="00165EC6">
          <w:rPr>
            <w:rFonts w:asciiTheme="majorHAnsi" w:eastAsiaTheme="minorEastAsia" w:hAnsiTheme="majorHAnsi" w:cstheme="minorBidi"/>
            <w:noProof/>
            <w:sz w:val="20"/>
            <w:szCs w:val="20"/>
            <w:bdr w:val="none" w:sz="0" w:space="0" w:color="auto"/>
          </w:rPr>
          <w:tab/>
        </w:r>
        <w:r w:rsidR="007E7FAA" w:rsidRPr="00165EC6">
          <w:rPr>
            <w:rStyle w:val="Hyperlink"/>
            <w:rFonts w:asciiTheme="majorHAnsi" w:eastAsia="Batang" w:hAnsiTheme="majorHAnsi"/>
            <w:noProof/>
            <w:sz w:val="20"/>
            <w:szCs w:val="20"/>
            <w:lang w:val="es-UY"/>
          </w:rPr>
          <w:t>El derecho a la vida, a la integridad personal y derechos del niño (Artículos 4.1,  5.1, 19 y 1.1 de la Convención Americana).</w:t>
        </w:r>
        <w:r w:rsidR="007E7FAA" w:rsidRPr="00165EC6">
          <w:rPr>
            <w:rFonts w:asciiTheme="majorHAnsi" w:hAnsiTheme="majorHAnsi"/>
            <w:noProof/>
            <w:webHidden/>
            <w:sz w:val="20"/>
            <w:szCs w:val="20"/>
          </w:rPr>
          <w:tab/>
        </w:r>
        <w:r w:rsidR="007E7FAA" w:rsidRPr="00165EC6">
          <w:rPr>
            <w:rFonts w:asciiTheme="majorHAnsi" w:hAnsiTheme="majorHAnsi"/>
            <w:noProof/>
            <w:webHidden/>
            <w:sz w:val="20"/>
            <w:szCs w:val="20"/>
          </w:rPr>
          <w:fldChar w:fldCharType="begin"/>
        </w:r>
        <w:r w:rsidR="007E7FAA" w:rsidRPr="00165EC6">
          <w:rPr>
            <w:rFonts w:asciiTheme="majorHAnsi" w:hAnsiTheme="majorHAnsi"/>
            <w:noProof/>
            <w:webHidden/>
            <w:sz w:val="20"/>
            <w:szCs w:val="20"/>
          </w:rPr>
          <w:instrText xml:space="preserve"> PAGEREF _Toc506225837 \h </w:instrText>
        </w:r>
        <w:r w:rsidR="007E7FAA" w:rsidRPr="00165EC6">
          <w:rPr>
            <w:rFonts w:asciiTheme="majorHAnsi" w:hAnsiTheme="majorHAnsi"/>
            <w:noProof/>
            <w:webHidden/>
            <w:sz w:val="20"/>
            <w:szCs w:val="20"/>
          </w:rPr>
        </w:r>
        <w:r w:rsidR="007E7FAA" w:rsidRPr="00165EC6">
          <w:rPr>
            <w:rFonts w:asciiTheme="majorHAnsi" w:hAnsiTheme="majorHAnsi"/>
            <w:noProof/>
            <w:webHidden/>
            <w:sz w:val="20"/>
            <w:szCs w:val="20"/>
          </w:rPr>
          <w:fldChar w:fldCharType="separate"/>
        </w:r>
        <w:r w:rsidR="007E7FAA" w:rsidRPr="00165EC6">
          <w:rPr>
            <w:rFonts w:asciiTheme="majorHAnsi" w:hAnsiTheme="majorHAnsi"/>
            <w:noProof/>
            <w:webHidden/>
            <w:sz w:val="20"/>
            <w:szCs w:val="20"/>
          </w:rPr>
          <w:t>18</w:t>
        </w:r>
        <w:r w:rsidR="007E7FAA" w:rsidRPr="00165EC6">
          <w:rPr>
            <w:rFonts w:asciiTheme="majorHAnsi" w:hAnsiTheme="majorHAnsi"/>
            <w:noProof/>
            <w:webHidden/>
            <w:sz w:val="20"/>
            <w:szCs w:val="20"/>
          </w:rPr>
          <w:fldChar w:fldCharType="end"/>
        </w:r>
      </w:hyperlink>
    </w:p>
    <w:p w:rsidR="007E7FAA" w:rsidRPr="00165EC6" w:rsidRDefault="00DA16A1" w:rsidP="007E7FAA">
      <w:pPr>
        <w:pStyle w:val="TOC3"/>
        <w:tabs>
          <w:tab w:val="left" w:pos="2160"/>
        </w:tabs>
        <w:rPr>
          <w:rFonts w:asciiTheme="majorHAnsi" w:eastAsiaTheme="minorEastAsia" w:hAnsiTheme="majorHAnsi" w:cstheme="minorBidi"/>
          <w:noProof/>
          <w:sz w:val="20"/>
          <w:szCs w:val="20"/>
          <w:bdr w:val="none" w:sz="0" w:space="0" w:color="auto"/>
        </w:rPr>
      </w:pPr>
      <w:hyperlink w:anchor="_Toc506225838" w:history="1">
        <w:r w:rsidR="007E7FAA" w:rsidRPr="00165EC6">
          <w:rPr>
            <w:rStyle w:val="Hyperlink"/>
            <w:rFonts w:asciiTheme="majorHAnsi" w:hAnsiTheme="majorHAnsi"/>
            <w:noProof/>
            <w:sz w:val="20"/>
            <w:szCs w:val="20"/>
            <w:lang w:val="es-ES"/>
          </w:rPr>
          <w:t xml:space="preserve">1. </w:t>
        </w:r>
        <w:r w:rsidR="007E7FAA" w:rsidRPr="00165EC6">
          <w:rPr>
            <w:rFonts w:asciiTheme="majorHAnsi" w:eastAsiaTheme="minorEastAsia" w:hAnsiTheme="majorHAnsi" w:cstheme="minorBidi"/>
            <w:noProof/>
            <w:sz w:val="20"/>
            <w:szCs w:val="20"/>
            <w:bdr w:val="none" w:sz="0" w:space="0" w:color="auto"/>
          </w:rPr>
          <w:tab/>
        </w:r>
        <w:r w:rsidR="007E7FAA" w:rsidRPr="00165EC6">
          <w:rPr>
            <w:rStyle w:val="Hyperlink"/>
            <w:rFonts w:asciiTheme="majorHAnsi" w:hAnsiTheme="majorHAnsi"/>
            <w:noProof/>
            <w:sz w:val="20"/>
            <w:szCs w:val="20"/>
            <w:lang w:val="es-ES"/>
          </w:rPr>
          <w:t>El deber de respeto y garantía de los derechos a la vida y a la integridad personal y supuestos de atribución de responsabilidad internacional.</w:t>
        </w:r>
        <w:r w:rsidR="007E7FAA" w:rsidRPr="00165EC6">
          <w:rPr>
            <w:rFonts w:asciiTheme="majorHAnsi" w:hAnsiTheme="majorHAnsi"/>
            <w:noProof/>
            <w:webHidden/>
            <w:sz w:val="20"/>
            <w:szCs w:val="20"/>
          </w:rPr>
          <w:tab/>
        </w:r>
        <w:r w:rsidR="007E7FAA" w:rsidRPr="00165EC6">
          <w:rPr>
            <w:rFonts w:asciiTheme="majorHAnsi" w:hAnsiTheme="majorHAnsi"/>
            <w:noProof/>
            <w:webHidden/>
            <w:sz w:val="20"/>
            <w:szCs w:val="20"/>
          </w:rPr>
          <w:fldChar w:fldCharType="begin"/>
        </w:r>
        <w:r w:rsidR="007E7FAA" w:rsidRPr="00165EC6">
          <w:rPr>
            <w:rFonts w:asciiTheme="majorHAnsi" w:hAnsiTheme="majorHAnsi"/>
            <w:noProof/>
            <w:webHidden/>
            <w:sz w:val="20"/>
            <w:szCs w:val="20"/>
          </w:rPr>
          <w:instrText xml:space="preserve"> PAGEREF _Toc506225838 \h </w:instrText>
        </w:r>
        <w:r w:rsidR="007E7FAA" w:rsidRPr="00165EC6">
          <w:rPr>
            <w:rFonts w:asciiTheme="majorHAnsi" w:hAnsiTheme="majorHAnsi"/>
            <w:noProof/>
            <w:webHidden/>
            <w:sz w:val="20"/>
            <w:szCs w:val="20"/>
          </w:rPr>
        </w:r>
        <w:r w:rsidR="007E7FAA" w:rsidRPr="00165EC6">
          <w:rPr>
            <w:rFonts w:asciiTheme="majorHAnsi" w:hAnsiTheme="majorHAnsi"/>
            <w:noProof/>
            <w:webHidden/>
            <w:sz w:val="20"/>
            <w:szCs w:val="20"/>
          </w:rPr>
          <w:fldChar w:fldCharType="separate"/>
        </w:r>
        <w:r w:rsidR="007E7FAA" w:rsidRPr="00165EC6">
          <w:rPr>
            <w:rFonts w:asciiTheme="majorHAnsi" w:hAnsiTheme="majorHAnsi"/>
            <w:noProof/>
            <w:webHidden/>
            <w:sz w:val="20"/>
            <w:szCs w:val="20"/>
          </w:rPr>
          <w:t>19</w:t>
        </w:r>
        <w:r w:rsidR="007E7FAA" w:rsidRPr="00165EC6">
          <w:rPr>
            <w:rFonts w:asciiTheme="majorHAnsi" w:hAnsiTheme="majorHAnsi"/>
            <w:noProof/>
            <w:webHidden/>
            <w:sz w:val="20"/>
            <w:szCs w:val="20"/>
          </w:rPr>
          <w:fldChar w:fldCharType="end"/>
        </w:r>
      </w:hyperlink>
    </w:p>
    <w:p w:rsidR="007E7FAA" w:rsidRPr="00165EC6" w:rsidRDefault="00DA16A1">
      <w:pPr>
        <w:pStyle w:val="TOC3"/>
        <w:tabs>
          <w:tab w:val="left" w:pos="2160"/>
        </w:tabs>
        <w:rPr>
          <w:rFonts w:asciiTheme="majorHAnsi" w:eastAsiaTheme="minorEastAsia" w:hAnsiTheme="majorHAnsi" w:cstheme="minorBidi"/>
          <w:noProof/>
          <w:sz w:val="20"/>
          <w:szCs w:val="20"/>
          <w:bdr w:val="none" w:sz="0" w:space="0" w:color="auto"/>
        </w:rPr>
      </w:pPr>
      <w:hyperlink w:anchor="_Toc506225840" w:history="1">
        <w:r w:rsidR="007E7FAA" w:rsidRPr="00165EC6">
          <w:rPr>
            <w:rStyle w:val="Hyperlink"/>
            <w:rFonts w:asciiTheme="majorHAnsi" w:eastAsia="Batang" w:hAnsiTheme="majorHAnsi"/>
            <w:noProof/>
            <w:sz w:val="20"/>
            <w:szCs w:val="20"/>
            <w:lang w:val="es-UY"/>
          </w:rPr>
          <w:t>2.</w:t>
        </w:r>
        <w:r w:rsidR="007E7FAA" w:rsidRPr="00165EC6">
          <w:rPr>
            <w:rFonts w:asciiTheme="majorHAnsi" w:eastAsiaTheme="minorEastAsia" w:hAnsiTheme="majorHAnsi" w:cstheme="minorBidi"/>
            <w:noProof/>
            <w:sz w:val="20"/>
            <w:szCs w:val="20"/>
            <w:bdr w:val="none" w:sz="0" w:space="0" w:color="auto"/>
          </w:rPr>
          <w:tab/>
        </w:r>
        <w:r w:rsidR="007E7FAA" w:rsidRPr="00165EC6">
          <w:rPr>
            <w:rStyle w:val="Hyperlink"/>
            <w:rFonts w:asciiTheme="majorHAnsi" w:hAnsiTheme="majorHAnsi"/>
            <w:noProof/>
            <w:sz w:val="20"/>
            <w:szCs w:val="20"/>
            <w:lang w:val="es-ES"/>
          </w:rPr>
          <w:t>Estándares específicos sobre actividades peligrosas en el ámbito laboral.</w:t>
        </w:r>
        <w:r w:rsidR="007E7FAA" w:rsidRPr="00165EC6">
          <w:rPr>
            <w:rFonts w:asciiTheme="majorHAnsi" w:hAnsiTheme="majorHAnsi"/>
            <w:noProof/>
            <w:webHidden/>
            <w:sz w:val="20"/>
            <w:szCs w:val="20"/>
          </w:rPr>
          <w:tab/>
        </w:r>
        <w:r w:rsidR="007E7FAA" w:rsidRPr="00165EC6">
          <w:rPr>
            <w:rFonts w:asciiTheme="majorHAnsi" w:hAnsiTheme="majorHAnsi"/>
            <w:noProof/>
            <w:webHidden/>
            <w:sz w:val="20"/>
            <w:szCs w:val="20"/>
          </w:rPr>
          <w:fldChar w:fldCharType="begin"/>
        </w:r>
        <w:r w:rsidR="007E7FAA" w:rsidRPr="00165EC6">
          <w:rPr>
            <w:rFonts w:asciiTheme="majorHAnsi" w:hAnsiTheme="majorHAnsi"/>
            <w:noProof/>
            <w:webHidden/>
            <w:sz w:val="20"/>
            <w:szCs w:val="20"/>
          </w:rPr>
          <w:instrText xml:space="preserve"> PAGEREF _Toc506225840 \h </w:instrText>
        </w:r>
        <w:r w:rsidR="007E7FAA" w:rsidRPr="00165EC6">
          <w:rPr>
            <w:rFonts w:asciiTheme="majorHAnsi" w:hAnsiTheme="majorHAnsi"/>
            <w:noProof/>
            <w:webHidden/>
            <w:sz w:val="20"/>
            <w:szCs w:val="20"/>
          </w:rPr>
        </w:r>
        <w:r w:rsidR="007E7FAA" w:rsidRPr="00165EC6">
          <w:rPr>
            <w:rFonts w:asciiTheme="majorHAnsi" w:hAnsiTheme="majorHAnsi"/>
            <w:noProof/>
            <w:webHidden/>
            <w:sz w:val="20"/>
            <w:szCs w:val="20"/>
          </w:rPr>
          <w:fldChar w:fldCharType="separate"/>
        </w:r>
        <w:r w:rsidR="007E7FAA" w:rsidRPr="00165EC6">
          <w:rPr>
            <w:rFonts w:asciiTheme="majorHAnsi" w:hAnsiTheme="majorHAnsi"/>
            <w:noProof/>
            <w:webHidden/>
            <w:sz w:val="20"/>
            <w:szCs w:val="20"/>
          </w:rPr>
          <w:t>21</w:t>
        </w:r>
        <w:r w:rsidR="007E7FAA" w:rsidRPr="00165EC6">
          <w:rPr>
            <w:rFonts w:asciiTheme="majorHAnsi" w:hAnsiTheme="majorHAnsi"/>
            <w:noProof/>
            <w:webHidden/>
            <w:sz w:val="20"/>
            <w:szCs w:val="20"/>
          </w:rPr>
          <w:fldChar w:fldCharType="end"/>
        </w:r>
      </w:hyperlink>
    </w:p>
    <w:p w:rsidR="007E7FAA" w:rsidRPr="00165EC6" w:rsidRDefault="00DA16A1">
      <w:pPr>
        <w:pStyle w:val="TOC3"/>
        <w:tabs>
          <w:tab w:val="left" w:pos="2160"/>
        </w:tabs>
        <w:rPr>
          <w:rFonts w:asciiTheme="majorHAnsi" w:eastAsiaTheme="minorEastAsia" w:hAnsiTheme="majorHAnsi" w:cstheme="minorBidi"/>
          <w:noProof/>
          <w:sz w:val="20"/>
          <w:szCs w:val="20"/>
          <w:bdr w:val="none" w:sz="0" w:space="0" w:color="auto"/>
        </w:rPr>
      </w:pPr>
      <w:hyperlink w:anchor="_Toc506225841" w:history="1">
        <w:r w:rsidR="007E7FAA" w:rsidRPr="00165EC6">
          <w:rPr>
            <w:rStyle w:val="Hyperlink"/>
            <w:rFonts w:asciiTheme="majorHAnsi" w:eastAsia="Batang" w:hAnsiTheme="majorHAnsi"/>
            <w:noProof/>
            <w:sz w:val="20"/>
            <w:szCs w:val="20"/>
            <w:lang w:val="es-UY"/>
          </w:rPr>
          <w:t>3.</w:t>
        </w:r>
        <w:r w:rsidR="007E7FAA" w:rsidRPr="00165EC6">
          <w:rPr>
            <w:rFonts w:asciiTheme="majorHAnsi" w:eastAsiaTheme="minorEastAsia" w:hAnsiTheme="majorHAnsi" w:cstheme="minorBidi"/>
            <w:noProof/>
            <w:sz w:val="20"/>
            <w:szCs w:val="20"/>
            <w:bdr w:val="none" w:sz="0" w:space="0" w:color="auto"/>
          </w:rPr>
          <w:tab/>
        </w:r>
        <w:r w:rsidR="007E7FAA" w:rsidRPr="00165EC6">
          <w:rPr>
            <w:rStyle w:val="Hyperlink"/>
            <w:rFonts w:asciiTheme="majorHAnsi" w:eastAsia="Batang" w:hAnsiTheme="majorHAnsi"/>
            <w:noProof/>
            <w:sz w:val="20"/>
            <w:szCs w:val="20"/>
            <w:lang w:val="es-UY"/>
          </w:rPr>
          <w:t>Estándares específicos sobre el trabajo infantil y las peores formas de trabajo infantil.</w:t>
        </w:r>
        <w:r w:rsidR="007E7FAA" w:rsidRPr="00165EC6">
          <w:rPr>
            <w:rFonts w:asciiTheme="majorHAnsi" w:hAnsiTheme="majorHAnsi"/>
            <w:noProof/>
            <w:webHidden/>
            <w:sz w:val="20"/>
            <w:szCs w:val="20"/>
          </w:rPr>
          <w:tab/>
        </w:r>
        <w:r w:rsidR="007E7FAA" w:rsidRPr="00165EC6">
          <w:rPr>
            <w:rFonts w:asciiTheme="majorHAnsi" w:hAnsiTheme="majorHAnsi"/>
            <w:noProof/>
            <w:webHidden/>
            <w:sz w:val="20"/>
            <w:szCs w:val="20"/>
          </w:rPr>
          <w:fldChar w:fldCharType="begin"/>
        </w:r>
        <w:r w:rsidR="007E7FAA" w:rsidRPr="00165EC6">
          <w:rPr>
            <w:rFonts w:asciiTheme="majorHAnsi" w:hAnsiTheme="majorHAnsi"/>
            <w:noProof/>
            <w:webHidden/>
            <w:sz w:val="20"/>
            <w:szCs w:val="20"/>
          </w:rPr>
          <w:instrText xml:space="preserve"> PAGEREF _Toc506225841 \h </w:instrText>
        </w:r>
        <w:r w:rsidR="007E7FAA" w:rsidRPr="00165EC6">
          <w:rPr>
            <w:rFonts w:asciiTheme="majorHAnsi" w:hAnsiTheme="majorHAnsi"/>
            <w:noProof/>
            <w:webHidden/>
            <w:sz w:val="20"/>
            <w:szCs w:val="20"/>
          </w:rPr>
        </w:r>
        <w:r w:rsidR="007E7FAA" w:rsidRPr="00165EC6">
          <w:rPr>
            <w:rFonts w:asciiTheme="majorHAnsi" w:hAnsiTheme="majorHAnsi"/>
            <w:noProof/>
            <w:webHidden/>
            <w:sz w:val="20"/>
            <w:szCs w:val="20"/>
          </w:rPr>
          <w:fldChar w:fldCharType="separate"/>
        </w:r>
        <w:r w:rsidR="007E7FAA" w:rsidRPr="00165EC6">
          <w:rPr>
            <w:rFonts w:asciiTheme="majorHAnsi" w:hAnsiTheme="majorHAnsi"/>
            <w:noProof/>
            <w:webHidden/>
            <w:sz w:val="20"/>
            <w:szCs w:val="20"/>
          </w:rPr>
          <w:t>23</w:t>
        </w:r>
        <w:r w:rsidR="007E7FAA" w:rsidRPr="00165EC6">
          <w:rPr>
            <w:rFonts w:asciiTheme="majorHAnsi" w:hAnsiTheme="majorHAnsi"/>
            <w:noProof/>
            <w:webHidden/>
            <w:sz w:val="20"/>
            <w:szCs w:val="20"/>
          </w:rPr>
          <w:fldChar w:fldCharType="end"/>
        </w:r>
      </w:hyperlink>
    </w:p>
    <w:p w:rsidR="007E7FAA" w:rsidRPr="00165EC6" w:rsidRDefault="00DA16A1">
      <w:pPr>
        <w:pStyle w:val="TOC3"/>
        <w:tabs>
          <w:tab w:val="left" w:pos="2160"/>
        </w:tabs>
        <w:rPr>
          <w:rFonts w:asciiTheme="majorHAnsi" w:eastAsiaTheme="minorEastAsia" w:hAnsiTheme="majorHAnsi" w:cstheme="minorBidi"/>
          <w:noProof/>
          <w:sz w:val="20"/>
          <w:szCs w:val="20"/>
          <w:bdr w:val="none" w:sz="0" w:space="0" w:color="auto"/>
        </w:rPr>
      </w:pPr>
      <w:hyperlink w:anchor="_Toc506225842" w:history="1">
        <w:r w:rsidR="007E7FAA" w:rsidRPr="00165EC6">
          <w:rPr>
            <w:rStyle w:val="Hyperlink"/>
            <w:rFonts w:asciiTheme="majorHAnsi" w:eastAsia="Batang" w:hAnsiTheme="majorHAnsi"/>
            <w:noProof/>
            <w:sz w:val="20"/>
            <w:szCs w:val="20"/>
            <w:lang w:val="es-UY"/>
          </w:rPr>
          <w:t xml:space="preserve">4. </w:t>
        </w:r>
        <w:r w:rsidR="007E7FAA" w:rsidRPr="00165EC6">
          <w:rPr>
            <w:rFonts w:asciiTheme="majorHAnsi" w:eastAsiaTheme="minorEastAsia" w:hAnsiTheme="majorHAnsi" w:cstheme="minorBidi"/>
            <w:noProof/>
            <w:sz w:val="20"/>
            <w:szCs w:val="20"/>
            <w:bdr w:val="none" w:sz="0" w:space="0" w:color="auto"/>
          </w:rPr>
          <w:tab/>
        </w:r>
        <w:r w:rsidR="007E7FAA" w:rsidRPr="00165EC6">
          <w:rPr>
            <w:rStyle w:val="Hyperlink"/>
            <w:rFonts w:asciiTheme="majorHAnsi" w:eastAsia="Batang" w:hAnsiTheme="majorHAnsi"/>
            <w:noProof/>
            <w:sz w:val="20"/>
            <w:szCs w:val="20"/>
            <w:lang w:val="es-UY"/>
          </w:rPr>
          <w:t>Análisis del caso.</w:t>
        </w:r>
        <w:r w:rsidR="007E7FAA" w:rsidRPr="00165EC6">
          <w:rPr>
            <w:rFonts w:asciiTheme="majorHAnsi" w:hAnsiTheme="majorHAnsi"/>
            <w:noProof/>
            <w:webHidden/>
            <w:sz w:val="20"/>
            <w:szCs w:val="20"/>
          </w:rPr>
          <w:tab/>
        </w:r>
        <w:r w:rsidR="007E7FAA" w:rsidRPr="00165EC6">
          <w:rPr>
            <w:rFonts w:asciiTheme="majorHAnsi" w:hAnsiTheme="majorHAnsi"/>
            <w:noProof/>
            <w:webHidden/>
            <w:sz w:val="20"/>
            <w:szCs w:val="20"/>
          </w:rPr>
          <w:fldChar w:fldCharType="begin"/>
        </w:r>
        <w:r w:rsidR="007E7FAA" w:rsidRPr="00165EC6">
          <w:rPr>
            <w:rFonts w:asciiTheme="majorHAnsi" w:hAnsiTheme="majorHAnsi"/>
            <w:noProof/>
            <w:webHidden/>
            <w:sz w:val="20"/>
            <w:szCs w:val="20"/>
          </w:rPr>
          <w:instrText xml:space="preserve"> PAGEREF _Toc506225842 \h </w:instrText>
        </w:r>
        <w:r w:rsidR="007E7FAA" w:rsidRPr="00165EC6">
          <w:rPr>
            <w:rFonts w:asciiTheme="majorHAnsi" w:hAnsiTheme="majorHAnsi"/>
            <w:noProof/>
            <w:webHidden/>
            <w:sz w:val="20"/>
            <w:szCs w:val="20"/>
          </w:rPr>
        </w:r>
        <w:r w:rsidR="007E7FAA" w:rsidRPr="00165EC6">
          <w:rPr>
            <w:rFonts w:asciiTheme="majorHAnsi" w:hAnsiTheme="majorHAnsi"/>
            <w:noProof/>
            <w:webHidden/>
            <w:sz w:val="20"/>
            <w:szCs w:val="20"/>
          </w:rPr>
          <w:fldChar w:fldCharType="separate"/>
        </w:r>
        <w:r w:rsidR="007E7FAA" w:rsidRPr="00165EC6">
          <w:rPr>
            <w:rFonts w:asciiTheme="majorHAnsi" w:hAnsiTheme="majorHAnsi"/>
            <w:noProof/>
            <w:webHidden/>
            <w:sz w:val="20"/>
            <w:szCs w:val="20"/>
          </w:rPr>
          <w:t>25</w:t>
        </w:r>
        <w:r w:rsidR="007E7FAA" w:rsidRPr="00165EC6">
          <w:rPr>
            <w:rFonts w:asciiTheme="majorHAnsi" w:hAnsiTheme="majorHAnsi"/>
            <w:noProof/>
            <w:webHidden/>
            <w:sz w:val="20"/>
            <w:szCs w:val="20"/>
          </w:rPr>
          <w:fldChar w:fldCharType="end"/>
        </w:r>
      </w:hyperlink>
    </w:p>
    <w:p w:rsidR="007E7FAA" w:rsidRPr="00165EC6" w:rsidRDefault="00DA16A1">
      <w:pPr>
        <w:pStyle w:val="TOC2"/>
        <w:rPr>
          <w:rFonts w:asciiTheme="majorHAnsi" w:eastAsiaTheme="minorEastAsia" w:hAnsiTheme="majorHAnsi" w:cstheme="minorBidi"/>
          <w:noProof/>
          <w:sz w:val="20"/>
          <w:szCs w:val="20"/>
          <w:bdr w:val="none" w:sz="0" w:space="0" w:color="auto"/>
        </w:rPr>
      </w:pPr>
      <w:hyperlink w:anchor="_Toc506225843" w:history="1">
        <w:r w:rsidR="007E7FAA" w:rsidRPr="00165EC6">
          <w:rPr>
            <w:rStyle w:val="Hyperlink"/>
            <w:rFonts w:asciiTheme="majorHAnsi" w:hAnsiTheme="majorHAnsi"/>
            <w:noProof/>
            <w:sz w:val="20"/>
            <w:szCs w:val="20"/>
            <w:lang w:val="es-MX"/>
          </w:rPr>
          <w:t>B.</w:t>
        </w:r>
        <w:r w:rsidR="007E7FAA" w:rsidRPr="00165EC6">
          <w:rPr>
            <w:rFonts w:asciiTheme="majorHAnsi" w:eastAsiaTheme="minorEastAsia" w:hAnsiTheme="majorHAnsi" w:cstheme="minorBidi"/>
            <w:noProof/>
            <w:sz w:val="20"/>
            <w:szCs w:val="20"/>
            <w:bdr w:val="none" w:sz="0" w:space="0" w:color="auto"/>
          </w:rPr>
          <w:tab/>
        </w:r>
        <w:r w:rsidR="007E7FAA" w:rsidRPr="00165EC6">
          <w:rPr>
            <w:rStyle w:val="Hyperlink"/>
            <w:rFonts w:asciiTheme="majorHAnsi" w:hAnsiTheme="majorHAnsi"/>
            <w:noProof/>
            <w:sz w:val="20"/>
            <w:szCs w:val="20"/>
            <w:lang w:val="es-MX"/>
          </w:rPr>
          <w:t>Derecho al trabajo y principio de igualdad y no discriminación (Artículos 26, 24, 1.1 y 2 de la Convención  Americana).</w:t>
        </w:r>
        <w:r w:rsidR="007E7FAA" w:rsidRPr="00165EC6">
          <w:rPr>
            <w:rFonts w:asciiTheme="majorHAnsi" w:hAnsiTheme="majorHAnsi"/>
            <w:noProof/>
            <w:webHidden/>
            <w:sz w:val="20"/>
            <w:szCs w:val="20"/>
          </w:rPr>
          <w:tab/>
        </w:r>
        <w:r w:rsidR="007E7FAA" w:rsidRPr="00165EC6">
          <w:rPr>
            <w:rFonts w:asciiTheme="majorHAnsi" w:hAnsiTheme="majorHAnsi"/>
            <w:noProof/>
            <w:webHidden/>
            <w:sz w:val="20"/>
            <w:szCs w:val="20"/>
          </w:rPr>
          <w:fldChar w:fldCharType="begin"/>
        </w:r>
        <w:r w:rsidR="007E7FAA" w:rsidRPr="00165EC6">
          <w:rPr>
            <w:rFonts w:asciiTheme="majorHAnsi" w:hAnsiTheme="majorHAnsi"/>
            <w:noProof/>
            <w:webHidden/>
            <w:sz w:val="20"/>
            <w:szCs w:val="20"/>
          </w:rPr>
          <w:instrText xml:space="preserve"> PAGEREF _Toc506225843 \h </w:instrText>
        </w:r>
        <w:r w:rsidR="007E7FAA" w:rsidRPr="00165EC6">
          <w:rPr>
            <w:rFonts w:asciiTheme="majorHAnsi" w:hAnsiTheme="majorHAnsi"/>
            <w:noProof/>
            <w:webHidden/>
            <w:sz w:val="20"/>
            <w:szCs w:val="20"/>
          </w:rPr>
        </w:r>
        <w:r w:rsidR="007E7FAA" w:rsidRPr="00165EC6">
          <w:rPr>
            <w:rFonts w:asciiTheme="majorHAnsi" w:hAnsiTheme="majorHAnsi"/>
            <w:noProof/>
            <w:webHidden/>
            <w:sz w:val="20"/>
            <w:szCs w:val="20"/>
          </w:rPr>
          <w:fldChar w:fldCharType="separate"/>
        </w:r>
        <w:r w:rsidR="007E7FAA" w:rsidRPr="00165EC6">
          <w:rPr>
            <w:rFonts w:asciiTheme="majorHAnsi" w:hAnsiTheme="majorHAnsi"/>
            <w:noProof/>
            <w:webHidden/>
            <w:sz w:val="20"/>
            <w:szCs w:val="20"/>
          </w:rPr>
          <w:t>27</w:t>
        </w:r>
        <w:r w:rsidR="007E7FAA" w:rsidRPr="00165EC6">
          <w:rPr>
            <w:rFonts w:asciiTheme="majorHAnsi" w:hAnsiTheme="majorHAnsi"/>
            <w:noProof/>
            <w:webHidden/>
            <w:sz w:val="20"/>
            <w:szCs w:val="20"/>
          </w:rPr>
          <w:fldChar w:fldCharType="end"/>
        </w:r>
      </w:hyperlink>
    </w:p>
    <w:p w:rsidR="007E7FAA" w:rsidRPr="00165EC6" w:rsidRDefault="00DA16A1">
      <w:pPr>
        <w:pStyle w:val="TOC3"/>
        <w:tabs>
          <w:tab w:val="left" w:pos="2160"/>
        </w:tabs>
        <w:rPr>
          <w:rFonts w:asciiTheme="majorHAnsi" w:eastAsiaTheme="minorEastAsia" w:hAnsiTheme="majorHAnsi" w:cstheme="minorBidi"/>
          <w:noProof/>
          <w:sz w:val="20"/>
          <w:szCs w:val="20"/>
          <w:bdr w:val="none" w:sz="0" w:space="0" w:color="auto"/>
        </w:rPr>
      </w:pPr>
      <w:hyperlink w:anchor="_Toc506225844" w:history="1">
        <w:r w:rsidR="007E7FAA" w:rsidRPr="00165EC6">
          <w:rPr>
            <w:rStyle w:val="Hyperlink"/>
            <w:rFonts w:asciiTheme="majorHAnsi" w:eastAsia="Batang" w:hAnsiTheme="majorHAnsi"/>
            <w:noProof/>
            <w:sz w:val="20"/>
            <w:szCs w:val="20"/>
            <w:lang w:val="es-MX"/>
          </w:rPr>
          <w:t>1.</w:t>
        </w:r>
        <w:r w:rsidR="007E7FAA" w:rsidRPr="00165EC6">
          <w:rPr>
            <w:rFonts w:asciiTheme="majorHAnsi" w:eastAsiaTheme="minorEastAsia" w:hAnsiTheme="majorHAnsi" w:cstheme="minorBidi"/>
            <w:noProof/>
            <w:sz w:val="20"/>
            <w:szCs w:val="20"/>
            <w:bdr w:val="none" w:sz="0" w:space="0" w:color="auto"/>
          </w:rPr>
          <w:tab/>
        </w:r>
        <w:r w:rsidR="007E7FAA" w:rsidRPr="00165EC6">
          <w:rPr>
            <w:rStyle w:val="Hyperlink"/>
            <w:rFonts w:asciiTheme="majorHAnsi" w:hAnsiTheme="majorHAnsi"/>
            <w:noProof/>
            <w:sz w:val="20"/>
            <w:szCs w:val="20"/>
            <w:lang w:val="es-MX"/>
          </w:rPr>
          <w:t>Consideraciones generales</w:t>
        </w:r>
        <w:r w:rsidR="007E7FAA" w:rsidRPr="00165EC6">
          <w:rPr>
            <w:rFonts w:asciiTheme="majorHAnsi" w:hAnsiTheme="majorHAnsi"/>
            <w:noProof/>
            <w:webHidden/>
            <w:sz w:val="20"/>
            <w:szCs w:val="20"/>
          </w:rPr>
          <w:tab/>
        </w:r>
        <w:r w:rsidR="007E7FAA" w:rsidRPr="00165EC6">
          <w:rPr>
            <w:rFonts w:asciiTheme="majorHAnsi" w:hAnsiTheme="majorHAnsi"/>
            <w:noProof/>
            <w:webHidden/>
            <w:sz w:val="20"/>
            <w:szCs w:val="20"/>
          </w:rPr>
          <w:fldChar w:fldCharType="begin"/>
        </w:r>
        <w:r w:rsidR="007E7FAA" w:rsidRPr="00165EC6">
          <w:rPr>
            <w:rFonts w:asciiTheme="majorHAnsi" w:hAnsiTheme="majorHAnsi"/>
            <w:noProof/>
            <w:webHidden/>
            <w:sz w:val="20"/>
            <w:szCs w:val="20"/>
          </w:rPr>
          <w:instrText xml:space="preserve"> PAGEREF _Toc506225844 \h </w:instrText>
        </w:r>
        <w:r w:rsidR="007E7FAA" w:rsidRPr="00165EC6">
          <w:rPr>
            <w:rFonts w:asciiTheme="majorHAnsi" w:hAnsiTheme="majorHAnsi"/>
            <w:noProof/>
            <w:webHidden/>
            <w:sz w:val="20"/>
            <w:szCs w:val="20"/>
          </w:rPr>
        </w:r>
        <w:r w:rsidR="007E7FAA" w:rsidRPr="00165EC6">
          <w:rPr>
            <w:rFonts w:asciiTheme="majorHAnsi" w:hAnsiTheme="majorHAnsi"/>
            <w:noProof/>
            <w:webHidden/>
            <w:sz w:val="20"/>
            <w:szCs w:val="20"/>
          </w:rPr>
          <w:fldChar w:fldCharType="separate"/>
        </w:r>
        <w:r w:rsidR="007E7FAA" w:rsidRPr="00165EC6">
          <w:rPr>
            <w:rFonts w:asciiTheme="majorHAnsi" w:hAnsiTheme="majorHAnsi"/>
            <w:noProof/>
            <w:webHidden/>
            <w:sz w:val="20"/>
            <w:szCs w:val="20"/>
          </w:rPr>
          <w:t>27</w:t>
        </w:r>
        <w:r w:rsidR="007E7FAA" w:rsidRPr="00165EC6">
          <w:rPr>
            <w:rFonts w:asciiTheme="majorHAnsi" w:hAnsiTheme="majorHAnsi"/>
            <w:noProof/>
            <w:webHidden/>
            <w:sz w:val="20"/>
            <w:szCs w:val="20"/>
          </w:rPr>
          <w:fldChar w:fldCharType="end"/>
        </w:r>
      </w:hyperlink>
    </w:p>
    <w:p w:rsidR="007E7FAA" w:rsidRPr="00165EC6" w:rsidRDefault="00DA16A1">
      <w:pPr>
        <w:pStyle w:val="TOC3"/>
        <w:tabs>
          <w:tab w:val="left" w:pos="2160"/>
        </w:tabs>
        <w:rPr>
          <w:rFonts w:asciiTheme="majorHAnsi" w:eastAsiaTheme="minorEastAsia" w:hAnsiTheme="majorHAnsi" w:cstheme="minorBidi"/>
          <w:noProof/>
          <w:sz w:val="20"/>
          <w:szCs w:val="20"/>
          <w:bdr w:val="none" w:sz="0" w:space="0" w:color="auto"/>
        </w:rPr>
      </w:pPr>
      <w:hyperlink w:anchor="_Toc506225845" w:history="1">
        <w:r w:rsidR="007E7FAA" w:rsidRPr="00165EC6">
          <w:rPr>
            <w:rStyle w:val="Hyperlink"/>
            <w:rFonts w:asciiTheme="majorHAnsi" w:hAnsiTheme="majorHAnsi"/>
            <w:noProof/>
            <w:snapToGrid w:val="0"/>
            <w:sz w:val="20"/>
            <w:szCs w:val="20"/>
            <w:lang w:val="es-CO"/>
          </w:rPr>
          <w:t>2.</w:t>
        </w:r>
        <w:r w:rsidR="007E7FAA" w:rsidRPr="00165EC6">
          <w:rPr>
            <w:rFonts w:asciiTheme="majorHAnsi" w:eastAsiaTheme="minorEastAsia" w:hAnsiTheme="majorHAnsi" w:cstheme="minorBidi"/>
            <w:noProof/>
            <w:sz w:val="20"/>
            <w:szCs w:val="20"/>
            <w:bdr w:val="none" w:sz="0" w:space="0" w:color="auto"/>
          </w:rPr>
          <w:tab/>
        </w:r>
        <w:r w:rsidR="007E7FAA" w:rsidRPr="00165EC6">
          <w:rPr>
            <w:rStyle w:val="Hyperlink"/>
            <w:rFonts w:asciiTheme="majorHAnsi" w:hAnsiTheme="majorHAnsi"/>
            <w:noProof/>
            <w:snapToGrid w:val="0"/>
            <w:sz w:val="20"/>
            <w:szCs w:val="20"/>
            <w:lang w:val="es-CO"/>
          </w:rPr>
          <w:t>Análisis del presente caso</w:t>
        </w:r>
        <w:r w:rsidR="007E7FAA" w:rsidRPr="00165EC6">
          <w:rPr>
            <w:rFonts w:asciiTheme="majorHAnsi" w:hAnsiTheme="majorHAnsi"/>
            <w:noProof/>
            <w:webHidden/>
            <w:sz w:val="20"/>
            <w:szCs w:val="20"/>
          </w:rPr>
          <w:tab/>
        </w:r>
        <w:r w:rsidR="007E7FAA" w:rsidRPr="00165EC6">
          <w:rPr>
            <w:rFonts w:asciiTheme="majorHAnsi" w:hAnsiTheme="majorHAnsi"/>
            <w:noProof/>
            <w:webHidden/>
            <w:sz w:val="20"/>
            <w:szCs w:val="20"/>
          </w:rPr>
          <w:fldChar w:fldCharType="begin"/>
        </w:r>
        <w:r w:rsidR="007E7FAA" w:rsidRPr="00165EC6">
          <w:rPr>
            <w:rFonts w:asciiTheme="majorHAnsi" w:hAnsiTheme="majorHAnsi"/>
            <w:noProof/>
            <w:webHidden/>
            <w:sz w:val="20"/>
            <w:szCs w:val="20"/>
          </w:rPr>
          <w:instrText xml:space="preserve"> PAGEREF _Toc506225845 \h </w:instrText>
        </w:r>
        <w:r w:rsidR="007E7FAA" w:rsidRPr="00165EC6">
          <w:rPr>
            <w:rFonts w:asciiTheme="majorHAnsi" w:hAnsiTheme="majorHAnsi"/>
            <w:noProof/>
            <w:webHidden/>
            <w:sz w:val="20"/>
            <w:szCs w:val="20"/>
          </w:rPr>
        </w:r>
        <w:r w:rsidR="007E7FAA" w:rsidRPr="00165EC6">
          <w:rPr>
            <w:rFonts w:asciiTheme="majorHAnsi" w:hAnsiTheme="majorHAnsi"/>
            <w:noProof/>
            <w:webHidden/>
            <w:sz w:val="20"/>
            <w:szCs w:val="20"/>
          </w:rPr>
          <w:fldChar w:fldCharType="separate"/>
        </w:r>
        <w:r w:rsidR="007E7FAA" w:rsidRPr="00165EC6">
          <w:rPr>
            <w:rFonts w:asciiTheme="majorHAnsi" w:hAnsiTheme="majorHAnsi"/>
            <w:noProof/>
            <w:webHidden/>
            <w:sz w:val="20"/>
            <w:szCs w:val="20"/>
          </w:rPr>
          <w:t>29</w:t>
        </w:r>
        <w:r w:rsidR="007E7FAA" w:rsidRPr="00165EC6">
          <w:rPr>
            <w:rFonts w:asciiTheme="majorHAnsi" w:hAnsiTheme="majorHAnsi"/>
            <w:noProof/>
            <w:webHidden/>
            <w:sz w:val="20"/>
            <w:szCs w:val="20"/>
          </w:rPr>
          <w:fldChar w:fldCharType="end"/>
        </w:r>
      </w:hyperlink>
    </w:p>
    <w:p w:rsidR="007E7FAA" w:rsidRPr="00165EC6" w:rsidRDefault="00DA16A1" w:rsidP="001162E9">
      <w:pPr>
        <w:pStyle w:val="TOC2"/>
        <w:jc w:val="both"/>
        <w:rPr>
          <w:rFonts w:asciiTheme="majorHAnsi" w:eastAsiaTheme="minorEastAsia" w:hAnsiTheme="majorHAnsi" w:cstheme="minorBidi"/>
          <w:noProof/>
          <w:sz w:val="20"/>
          <w:szCs w:val="20"/>
          <w:bdr w:val="none" w:sz="0" w:space="0" w:color="auto"/>
        </w:rPr>
      </w:pPr>
      <w:hyperlink w:anchor="_Toc506225846" w:history="1">
        <w:r w:rsidR="007E7FAA" w:rsidRPr="00165EC6">
          <w:rPr>
            <w:rStyle w:val="Hyperlink"/>
            <w:rFonts w:asciiTheme="majorHAnsi" w:eastAsia="Batang" w:hAnsiTheme="majorHAnsi"/>
            <w:noProof/>
            <w:sz w:val="20"/>
            <w:szCs w:val="20"/>
            <w:lang w:val="es-MX"/>
          </w:rPr>
          <w:t>C.</w:t>
        </w:r>
        <w:r w:rsidR="007E7FAA" w:rsidRPr="00165EC6">
          <w:rPr>
            <w:rFonts w:asciiTheme="majorHAnsi" w:eastAsiaTheme="minorEastAsia" w:hAnsiTheme="majorHAnsi" w:cstheme="minorBidi"/>
            <w:noProof/>
            <w:sz w:val="20"/>
            <w:szCs w:val="20"/>
            <w:bdr w:val="none" w:sz="0" w:space="0" w:color="auto"/>
          </w:rPr>
          <w:tab/>
        </w:r>
        <w:r w:rsidR="007E7FAA" w:rsidRPr="00165EC6">
          <w:rPr>
            <w:rStyle w:val="Hyperlink"/>
            <w:rFonts w:asciiTheme="majorHAnsi" w:eastAsia="Batang" w:hAnsiTheme="majorHAnsi"/>
            <w:noProof/>
            <w:sz w:val="20"/>
            <w:szCs w:val="20"/>
            <w:lang w:val="es-MX"/>
          </w:rPr>
          <w:t>Derechos a las garantías judicial</w:t>
        </w:r>
        <w:r w:rsidR="001162E9" w:rsidRPr="00165EC6">
          <w:rPr>
            <w:rStyle w:val="Hyperlink"/>
            <w:rFonts w:asciiTheme="majorHAnsi" w:eastAsia="Batang" w:hAnsiTheme="majorHAnsi"/>
            <w:noProof/>
            <w:sz w:val="20"/>
            <w:szCs w:val="20"/>
            <w:lang w:val="es-MX"/>
          </w:rPr>
          <w:t>es y a la protección judicial (A</w:t>
        </w:r>
        <w:r w:rsidR="007E7FAA" w:rsidRPr="00165EC6">
          <w:rPr>
            <w:rStyle w:val="Hyperlink"/>
            <w:rFonts w:asciiTheme="majorHAnsi" w:eastAsia="Batang" w:hAnsiTheme="majorHAnsi"/>
            <w:noProof/>
            <w:sz w:val="20"/>
            <w:szCs w:val="20"/>
            <w:lang w:val="es-MX"/>
          </w:rPr>
          <w:t>rtículo</w:t>
        </w:r>
        <w:r w:rsidR="001162E9" w:rsidRPr="00165EC6">
          <w:rPr>
            <w:rStyle w:val="Hyperlink"/>
            <w:rFonts w:asciiTheme="majorHAnsi" w:eastAsia="Batang" w:hAnsiTheme="majorHAnsi"/>
            <w:noProof/>
            <w:sz w:val="20"/>
            <w:szCs w:val="20"/>
            <w:lang w:val="es-MX"/>
          </w:rPr>
          <w:t>s</w:t>
        </w:r>
        <w:r w:rsidR="007E7FAA" w:rsidRPr="00165EC6">
          <w:rPr>
            <w:rStyle w:val="Hyperlink"/>
            <w:rFonts w:asciiTheme="majorHAnsi" w:eastAsia="Batang" w:hAnsiTheme="majorHAnsi"/>
            <w:noProof/>
            <w:sz w:val="20"/>
            <w:szCs w:val="20"/>
            <w:lang w:val="es-MX"/>
          </w:rPr>
          <w:t xml:space="preserve"> 8.1 y 25 de la Convención Americana).</w:t>
        </w:r>
        <w:r w:rsidR="007E7FAA" w:rsidRPr="00165EC6">
          <w:rPr>
            <w:rFonts w:asciiTheme="majorHAnsi" w:hAnsiTheme="majorHAnsi"/>
            <w:noProof/>
            <w:webHidden/>
            <w:sz w:val="20"/>
            <w:szCs w:val="20"/>
          </w:rPr>
          <w:tab/>
        </w:r>
        <w:r w:rsidR="007E7FAA" w:rsidRPr="00165EC6">
          <w:rPr>
            <w:rFonts w:asciiTheme="majorHAnsi" w:hAnsiTheme="majorHAnsi"/>
            <w:noProof/>
            <w:webHidden/>
            <w:sz w:val="20"/>
            <w:szCs w:val="20"/>
          </w:rPr>
          <w:fldChar w:fldCharType="begin"/>
        </w:r>
        <w:r w:rsidR="007E7FAA" w:rsidRPr="00165EC6">
          <w:rPr>
            <w:rFonts w:asciiTheme="majorHAnsi" w:hAnsiTheme="majorHAnsi"/>
            <w:noProof/>
            <w:webHidden/>
            <w:sz w:val="20"/>
            <w:szCs w:val="20"/>
          </w:rPr>
          <w:instrText xml:space="preserve"> PAGEREF _Toc506225846 \h </w:instrText>
        </w:r>
        <w:r w:rsidR="007E7FAA" w:rsidRPr="00165EC6">
          <w:rPr>
            <w:rFonts w:asciiTheme="majorHAnsi" w:hAnsiTheme="majorHAnsi"/>
            <w:noProof/>
            <w:webHidden/>
            <w:sz w:val="20"/>
            <w:szCs w:val="20"/>
          </w:rPr>
        </w:r>
        <w:r w:rsidR="007E7FAA" w:rsidRPr="00165EC6">
          <w:rPr>
            <w:rFonts w:asciiTheme="majorHAnsi" w:hAnsiTheme="majorHAnsi"/>
            <w:noProof/>
            <w:webHidden/>
            <w:sz w:val="20"/>
            <w:szCs w:val="20"/>
          </w:rPr>
          <w:fldChar w:fldCharType="separate"/>
        </w:r>
        <w:r w:rsidR="007E7FAA" w:rsidRPr="00165EC6">
          <w:rPr>
            <w:rFonts w:asciiTheme="majorHAnsi" w:hAnsiTheme="majorHAnsi"/>
            <w:noProof/>
            <w:webHidden/>
            <w:sz w:val="20"/>
            <w:szCs w:val="20"/>
          </w:rPr>
          <w:t>33</w:t>
        </w:r>
        <w:r w:rsidR="007E7FAA" w:rsidRPr="00165EC6">
          <w:rPr>
            <w:rFonts w:asciiTheme="majorHAnsi" w:hAnsiTheme="majorHAnsi"/>
            <w:noProof/>
            <w:webHidden/>
            <w:sz w:val="20"/>
            <w:szCs w:val="20"/>
          </w:rPr>
          <w:fldChar w:fldCharType="end"/>
        </w:r>
      </w:hyperlink>
    </w:p>
    <w:p w:rsidR="007E7FAA" w:rsidRPr="00165EC6" w:rsidRDefault="00DA16A1">
      <w:pPr>
        <w:pStyle w:val="TOC2"/>
        <w:rPr>
          <w:rFonts w:asciiTheme="majorHAnsi" w:eastAsiaTheme="minorEastAsia" w:hAnsiTheme="majorHAnsi" w:cstheme="minorBidi"/>
          <w:noProof/>
          <w:sz w:val="20"/>
          <w:szCs w:val="20"/>
          <w:bdr w:val="none" w:sz="0" w:space="0" w:color="auto"/>
        </w:rPr>
      </w:pPr>
      <w:hyperlink w:anchor="_Toc506225847" w:history="1">
        <w:r w:rsidR="007E7FAA" w:rsidRPr="00165EC6">
          <w:rPr>
            <w:rStyle w:val="Hyperlink"/>
            <w:rFonts w:asciiTheme="majorHAnsi" w:eastAsia="Batang" w:hAnsiTheme="majorHAnsi"/>
            <w:noProof/>
            <w:sz w:val="20"/>
            <w:szCs w:val="20"/>
            <w:lang w:val="es-UY"/>
          </w:rPr>
          <w:t>D.</w:t>
        </w:r>
        <w:r w:rsidR="007E7FAA" w:rsidRPr="00165EC6">
          <w:rPr>
            <w:rFonts w:asciiTheme="majorHAnsi" w:eastAsiaTheme="minorEastAsia" w:hAnsiTheme="majorHAnsi" w:cstheme="minorBidi"/>
            <w:noProof/>
            <w:sz w:val="20"/>
            <w:szCs w:val="20"/>
            <w:bdr w:val="none" w:sz="0" w:space="0" w:color="auto"/>
          </w:rPr>
          <w:tab/>
        </w:r>
        <w:r w:rsidR="007E7FAA" w:rsidRPr="00165EC6">
          <w:rPr>
            <w:rStyle w:val="Hyperlink"/>
            <w:rFonts w:asciiTheme="majorHAnsi" w:eastAsia="Batang" w:hAnsiTheme="majorHAnsi"/>
            <w:noProof/>
            <w:sz w:val="20"/>
            <w:szCs w:val="20"/>
            <w:lang w:val="es-UY"/>
          </w:rPr>
          <w:t>Derecho a la integridad personal de los familiares de las víctimas fallecidas.</w:t>
        </w:r>
        <w:r w:rsidR="007E7FAA" w:rsidRPr="00165EC6">
          <w:rPr>
            <w:rFonts w:asciiTheme="majorHAnsi" w:hAnsiTheme="majorHAnsi"/>
            <w:noProof/>
            <w:webHidden/>
            <w:sz w:val="20"/>
            <w:szCs w:val="20"/>
          </w:rPr>
          <w:tab/>
        </w:r>
        <w:r w:rsidR="007E7FAA" w:rsidRPr="00165EC6">
          <w:rPr>
            <w:rFonts w:asciiTheme="majorHAnsi" w:hAnsiTheme="majorHAnsi"/>
            <w:noProof/>
            <w:webHidden/>
            <w:sz w:val="20"/>
            <w:szCs w:val="20"/>
          </w:rPr>
          <w:fldChar w:fldCharType="begin"/>
        </w:r>
        <w:r w:rsidR="007E7FAA" w:rsidRPr="00165EC6">
          <w:rPr>
            <w:rFonts w:asciiTheme="majorHAnsi" w:hAnsiTheme="majorHAnsi"/>
            <w:noProof/>
            <w:webHidden/>
            <w:sz w:val="20"/>
            <w:szCs w:val="20"/>
          </w:rPr>
          <w:instrText xml:space="preserve"> PAGEREF _Toc506225847 \h </w:instrText>
        </w:r>
        <w:r w:rsidR="007E7FAA" w:rsidRPr="00165EC6">
          <w:rPr>
            <w:rFonts w:asciiTheme="majorHAnsi" w:hAnsiTheme="majorHAnsi"/>
            <w:noProof/>
            <w:webHidden/>
            <w:sz w:val="20"/>
            <w:szCs w:val="20"/>
          </w:rPr>
        </w:r>
        <w:r w:rsidR="007E7FAA" w:rsidRPr="00165EC6">
          <w:rPr>
            <w:rFonts w:asciiTheme="majorHAnsi" w:hAnsiTheme="majorHAnsi"/>
            <w:noProof/>
            <w:webHidden/>
            <w:sz w:val="20"/>
            <w:szCs w:val="20"/>
          </w:rPr>
          <w:fldChar w:fldCharType="separate"/>
        </w:r>
        <w:r w:rsidR="007E7FAA" w:rsidRPr="00165EC6">
          <w:rPr>
            <w:rFonts w:asciiTheme="majorHAnsi" w:hAnsiTheme="majorHAnsi"/>
            <w:noProof/>
            <w:webHidden/>
            <w:sz w:val="20"/>
            <w:szCs w:val="20"/>
          </w:rPr>
          <w:t>36</w:t>
        </w:r>
        <w:r w:rsidR="007E7FAA" w:rsidRPr="00165EC6">
          <w:rPr>
            <w:rFonts w:asciiTheme="majorHAnsi" w:hAnsiTheme="majorHAnsi"/>
            <w:noProof/>
            <w:webHidden/>
            <w:sz w:val="20"/>
            <w:szCs w:val="20"/>
          </w:rPr>
          <w:fldChar w:fldCharType="end"/>
        </w:r>
      </w:hyperlink>
    </w:p>
    <w:p w:rsidR="007E7FAA" w:rsidRPr="00165EC6" w:rsidRDefault="00DA16A1">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06225848" w:history="1">
        <w:r w:rsidR="007E7FAA" w:rsidRPr="00165EC6">
          <w:rPr>
            <w:rStyle w:val="Hyperlink"/>
            <w:rFonts w:asciiTheme="majorHAnsi" w:eastAsia="Batang" w:hAnsiTheme="majorHAnsi"/>
            <w:noProof/>
            <w:sz w:val="20"/>
            <w:szCs w:val="20"/>
            <w:lang w:val="es-ES"/>
          </w:rPr>
          <w:t>VI.</w:t>
        </w:r>
        <w:r w:rsidR="007E7FAA" w:rsidRPr="00165EC6">
          <w:rPr>
            <w:rFonts w:asciiTheme="majorHAnsi" w:eastAsiaTheme="minorEastAsia" w:hAnsiTheme="majorHAnsi" w:cstheme="minorBidi"/>
            <w:noProof/>
            <w:sz w:val="20"/>
            <w:szCs w:val="20"/>
            <w:bdr w:val="none" w:sz="0" w:space="0" w:color="auto"/>
          </w:rPr>
          <w:tab/>
        </w:r>
        <w:r w:rsidR="007E7FAA" w:rsidRPr="00165EC6">
          <w:rPr>
            <w:rStyle w:val="Hyperlink"/>
            <w:rFonts w:asciiTheme="majorHAnsi" w:eastAsia="Batang" w:hAnsiTheme="majorHAnsi"/>
            <w:noProof/>
            <w:sz w:val="20"/>
            <w:szCs w:val="20"/>
            <w:lang w:val="es-ES"/>
          </w:rPr>
          <w:t>CONCLUSIONES Y RECOMENDACIONES</w:t>
        </w:r>
        <w:r w:rsidR="007E7FAA" w:rsidRPr="00165EC6">
          <w:rPr>
            <w:rFonts w:asciiTheme="majorHAnsi" w:hAnsiTheme="majorHAnsi"/>
            <w:noProof/>
            <w:webHidden/>
            <w:sz w:val="20"/>
            <w:szCs w:val="20"/>
          </w:rPr>
          <w:tab/>
        </w:r>
        <w:r w:rsidR="007E7FAA" w:rsidRPr="00165EC6">
          <w:rPr>
            <w:rFonts w:asciiTheme="majorHAnsi" w:hAnsiTheme="majorHAnsi"/>
            <w:noProof/>
            <w:webHidden/>
            <w:sz w:val="20"/>
            <w:szCs w:val="20"/>
          </w:rPr>
          <w:fldChar w:fldCharType="begin"/>
        </w:r>
        <w:r w:rsidR="007E7FAA" w:rsidRPr="00165EC6">
          <w:rPr>
            <w:rFonts w:asciiTheme="majorHAnsi" w:hAnsiTheme="majorHAnsi"/>
            <w:noProof/>
            <w:webHidden/>
            <w:sz w:val="20"/>
            <w:szCs w:val="20"/>
          </w:rPr>
          <w:instrText xml:space="preserve"> PAGEREF _Toc506225848 \h </w:instrText>
        </w:r>
        <w:r w:rsidR="007E7FAA" w:rsidRPr="00165EC6">
          <w:rPr>
            <w:rFonts w:asciiTheme="majorHAnsi" w:hAnsiTheme="majorHAnsi"/>
            <w:noProof/>
            <w:webHidden/>
            <w:sz w:val="20"/>
            <w:szCs w:val="20"/>
          </w:rPr>
        </w:r>
        <w:r w:rsidR="007E7FAA" w:rsidRPr="00165EC6">
          <w:rPr>
            <w:rFonts w:asciiTheme="majorHAnsi" w:hAnsiTheme="majorHAnsi"/>
            <w:noProof/>
            <w:webHidden/>
            <w:sz w:val="20"/>
            <w:szCs w:val="20"/>
          </w:rPr>
          <w:fldChar w:fldCharType="separate"/>
        </w:r>
        <w:r w:rsidR="007E7FAA" w:rsidRPr="00165EC6">
          <w:rPr>
            <w:rFonts w:asciiTheme="majorHAnsi" w:hAnsiTheme="majorHAnsi"/>
            <w:noProof/>
            <w:webHidden/>
            <w:sz w:val="20"/>
            <w:szCs w:val="20"/>
          </w:rPr>
          <w:t>36</w:t>
        </w:r>
        <w:r w:rsidR="007E7FAA" w:rsidRPr="00165EC6">
          <w:rPr>
            <w:rFonts w:asciiTheme="majorHAnsi" w:hAnsiTheme="majorHAnsi"/>
            <w:noProof/>
            <w:webHidden/>
            <w:sz w:val="20"/>
            <w:szCs w:val="20"/>
          </w:rPr>
          <w:fldChar w:fldCharType="end"/>
        </w:r>
      </w:hyperlink>
    </w:p>
    <w:p w:rsidR="00277412" w:rsidRPr="006C7F40" w:rsidRDefault="00AC6466" w:rsidP="006C7F40">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Cambria" w:eastAsia="Batang" w:hAnsi="Cambria" w:cs="Arial"/>
          <w:b/>
          <w:sz w:val="20"/>
          <w:szCs w:val="20"/>
          <w:bdr w:val="none" w:sz="0" w:space="0" w:color="auto"/>
          <w:lang w:val="es-MX"/>
        </w:rPr>
      </w:pPr>
      <w:r w:rsidRPr="00165EC6">
        <w:rPr>
          <w:rFonts w:ascii="Cambria" w:hAnsi="Cambria" w:cs="Calibri"/>
          <w:sz w:val="20"/>
          <w:szCs w:val="20"/>
          <w:lang w:val="es-ES"/>
        </w:rPr>
        <w:fldChar w:fldCharType="end"/>
      </w:r>
      <w:r w:rsidR="00722C9F" w:rsidRPr="00165EC6">
        <w:rPr>
          <w:rFonts w:ascii="Cambria" w:hAnsi="Cambria" w:cs="Calibri"/>
          <w:sz w:val="20"/>
          <w:szCs w:val="20"/>
          <w:lang w:val="es-ES"/>
        </w:rPr>
        <w:br w:type="page"/>
      </w:r>
    </w:p>
    <w:p w:rsidR="00277412" w:rsidRPr="006C7F40"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cs="Arial"/>
          <w:b/>
          <w:sz w:val="20"/>
          <w:szCs w:val="20"/>
          <w:bdr w:val="none" w:sz="0" w:space="0" w:color="auto"/>
          <w:lang w:val="es-MX"/>
        </w:rPr>
      </w:pPr>
    </w:p>
    <w:p w:rsidR="006C7F40" w:rsidRPr="00165EC6" w:rsidRDefault="006C7F40" w:rsidP="006C7F40">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Cambria" w:eastAsia="Batang" w:hAnsi="Cambria" w:cs="Arial"/>
          <w:b/>
          <w:sz w:val="20"/>
          <w:szCs w:val="20"/>
          <w:bdr w:val="none" w:sz="0" w:space="0" w:color="auto"/>
          <w:lang w:val="es-MX"/>
        </w:rPr>
      </w:pPr>
      <w:r>
        <w:rPr>
          <w:rFonts w:ascii="Cambria" w:eastAsia="Batang" w:hAnsi="Cambria" w:cs="Arial"/>
          <w:b/>
          <w:sz w:val="20"/>
          <w:szCs w:val="20"/>
          <w:bdr w:val="none" w:sz="0" w:space="0" w:color="auto"/>
          <w:lang w:val="es-MX"/>
        </w:rPr>
        <w:t>INFORME Nº 25</w:t>
      </w:r>
      <w:r w:rsidRPr="00165EC6">
        <w:rPr>
          <w:rFonts w:ascii="Cambria" w:eastAsia="Batang" w:hAnsi="Cambria" w:cs="Arial"/>
          <w:b/>
          <w:sz w:val="20"/>
          <w:szCs w:val="20"/>
          <w:bdr w:val="none" w:sz="0" w:space="0" w:color="auto"/>
          <w:lang w:val="es-MX"/>
        </w:rPr>
        <w:t>/18</w:t>
      </w:r>
      <w:r>
        <w:rPr>
          <w:rStyle w:val="FootnoteReference"/>
          <w:rFonts w:ascii="Cambria" w:eastAsia="Batang" w:hAnsi="Cambria" w:cs="Arial"/>
          <w:b/>
          <w:sz w:val="20"/>
          <w:szCs w:val="20"/>
          <w:bdr w:val="none" w:sz="0" w:space="0" w:color="auto"/>
          <w:lang w:val="es-MX"/>
        </w:rPr>
        <w:footnoteReference w:id="2"/>
      </w:r>
    </w:p>
    <w:p w:rsidR="006C7F40" w:rsidRPr="00165EC6" w:rsidRDefault="006C7F40" w:rsidP="006C7F40">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Cambria" w:eastAsia="Batang" w:hAnsi="Cambria" w:cs="Arial"/>
          <w:sz w:val="20"/>
          <w:szCs w:val="20"/>
          <w:bdr w:val="none" w:sz="0" w:space="0" w:color="auto"/>
          <w:lang w:val="es-MX"/>
        </w:rPr>
      </w:pPr>
      <w:r w:rsidRPr="00165EC6">
        <w:rPr>
          <w:rFonts w:ascii="Cambria" w:eastAsia="Batang" w:hAnsi="Cambria" w:cs="Arial"/>
          <w:sz w:val="20"/>
          <w:szCs w:val="20"/>
          <w:bdr w:val="none" w:sz="0" w:space="0" w:color="auto"/>
          <w:lang w:val="es-MX"/>
        </w:rPr>
        <w:t>ADMISIBILIDAD Y FONDO</w:t>
      </w:r>
    </w:p>
    <w:p w:rsidR="006C7F40" w:rsidRPr="00165EC6" w:rsidRDefault="006C7F40" w:rsidP="006C7F40">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Cambria" w:eastAsia="Batang" w:hAnsi="Cambria" w:cs="Arial"/>
          <w:sz w:val="20"/>
          <w:szCs w:val="20"/>
          <w:bdr w:val="none" w:sz="0" w:space="0" w:color="auto"/>
          <w:lang w:val="es-MX"/>
        </w:rPr>
      </w:pPr>
      <w:r w:rsidRPr="00165EC6">
        <w:rPr>
          <w:rFonts w:ascii="Cambria" w:eastAsia="Batang" w:hAnsi="Cambria" w:cs="Arial"/>
          <w:sz w:val="20"/>
          <w:szCs w:val="20"/>
          <w:bdr w:val="none" w:sz="0" w:space="0" w:color="auto"/>
          <w:lang w:val="es-MX"/>
        </w:rPr>
        <w:t>CASO 12.428</w:t>
      </w:r>
    </w:p>
    <w:p w:rsidR="006C7F40" w:rsidRPr="00165EC6" w:rsidRDefault="006C7F40" w:rsidP="006C7F40">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Cambria" w:eastAsia="Batang" w:hAnsi="Cambria" w:cs="Arial"/>
          <w:sz w:val="20"/>
          <w:szCs w:val="20"/>
          <w:bdr w:val="none" w:sz="0" w:space="0" w:color="auto"/>
          <w:lang w:val="es-MX"/>
        </w:rPr>
      </w:pPr>
      <w:r w:rsidRPr="00165EC6">
        <w:rPr>
          <w:rFonts w:ascii="Cambria" w:eastAsia="Batang" w:hAnsi="Cambria" w:cs="Arial"/>
          <w:sz w:val="20"/>
          <w:szCs w:val="20"/>
          <w:bdr w:val="none" w:sz="0" w:space="0" w:color="auto"/>
          <w:lang w:val="es-MX"/>
        </w:rPr>
        <w:t>EMPLEADOS DE  LA FÁBRICA DE FUEGOS EN SANTO ANT</w:t>
      </w:r>
      <w:r w:rsidRPr="00165EC6">
        <w:rPr>
          <w:rFonts w:ascii="Cambria" w:eastAsia="Batang" w:hAnsi="Cambria"/>
          <w:sz w:val="20"/>
          <w:szCs w:val="20"/>
          <w:bdr w:val="none" w:sz="0" w:space="0" w:color="auto"/>
          <w:lang w:val="es-CO"/>
        </w:rPr>
        <w:t>Ô</w:t>
      </w:r>
      <w:r w:rsidRPr="00165EC6">
        <w:rPr>
          <w:rFonts w:ascii="Cambria" w:eastAsia="Batang" w:hAnsi="Cambria" w:cs="Arial"/>
          <w:sz w:val="20"/>
          <w:szCs w:val="20"/>
          <w:bdr w:val="none" w:sz="0" w:space="0" w:color="auto"/>
          <w:lang w:val="es-MX"/>
        </w:rPr>
        <w:t>NIO DE JESUS Y SUS FAMILIARES</w:t>
      </w:r>
    </w:p>
    <w:p w:rsidR="006C7F40" w:rsidRPr="00165EC6" w:rsidRDefault="006C7F40" w:rsidP="006C7F40">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Cambria" w:eastAsia="Batang" w:hAnsi="Cambria" w:cs="Arial"/>
          <w:sz w:val="20"/>
          <w:szCs w:val="20"/>
          <w:bdr w:val="none" w:sz="0" w:space="0" w:color="auto"/>
          <w:lang w:val="pt-BR"/>
        </w:rPr>
      </w:pPr>
      <w:r w:rsidRPr="00165EC6">
        <w:rPr>
          <w:rFonts w:ascii="Cambria" w:eastAsia="Batang" w:hAnsi="Cambria" w:cs="Arial"/>
          <w:sz w:val="20"/>
          <w:szCs w:val="20"/>
          <w:bdr w:val="none" w:sz="0" w:space="0" w:color="auto"/>
          <w:lang w:val="pt-BR"/>
        </w:rPr>
        <w:t>BRASIL</w:t>
      </w:r>
    </w:p>
    <w:p w:rsidR="006C7F40" w:rsidRPr="00165EC6" w:rsidRDefault="006C7F40" w:rsidP="006C7F40">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Cambria" w:eastAsia="Batang" w:hAnsi="Cambria" w:cs="Arial"/>
          <w:sz w:val="20"/>
          <w:szCs w:val="20"/>
          <w:bdr w:val="none" w:sz="0" w:space="0" w:color="auto"/>
          <w:lang w:val="pt-BR"/>
        </w:rPr>
      </w:pPr>
      <w:r>
        <w:rPr>
          <w:rFonts w:ascii="Cambria" w:eastAsia="Batang" w:hAnsi="Cambria" w:cs="Arial"/>
          <w:sz w:val="20"/>
          <w:szCs w:val="20"/>
          <w:bdr w:val="none" w:sz="0" w:space="0" w:color="auto"/>
          <w:lang w:val="pt-BR"/>
        </w:rPr>
        <w:t>2</w:t>
      </w:r>
      <w:r w:rsidRPr="00165EC6">
        <w:rPr>
          <w:rFonts w:ascii="Cambria" w:eastAsia="Batang" w:hAnsi="Cambria" w:cs="Arial"/>
          <w:sz w:val="20"/>
          <w:szCs w:val="20"/>
          <w:bdr w:val="none" w:sz="0" w:space="0" w:color="auto"/>
          <w:lang w:val="pt-BR"/>
        </w:rPr>
        <w:t xml:space="preserve"> de </w:t>
      </w:r>
      <w:r>
        <w:rPr>
          <w:rFonts w:ascii="Cambria" w:eastAsia="Batang" w:hAnsi="Cambria" w:cs="Arial"/>
          <w:sz w:val="20"/>
          <w:szCs w:val="20"/>
          <w:bdr w:val="none" w:sz="0" w:space="0" w:color="auto"/>
          <w:lang w:val="pt-BR"/>
        </w:rPr>
        <w:t>marzo</w:t>
      </w:r>
      <w:r w:rsidRPr="00165EC6">
        <w:rPr>
          <w:rFonts w:ascii="Cambria" w:eastAsia="Batang" w:hAnsi="Cambria" w:cs="Arial"/>
          <w:sz w:val="20"/>
          <w:szCs w:val="20"/>
          <w:bdr w:val="none" w:sz="0" w:space="0" w:color="auto"/>
          <w:lang w:val="pt-BR"/>
        </w:rPr>
        <w:t xml:space="preserve"> de 2018</w:t>
      </w: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cs="Arial"/>
          <w:b/>
          <w:sz w:val="20"/>
          <w:szCs w:val="20"/>
          <w:bdr w:val="none" w:sz="0" w:space="0" w:color="auto"/>
          <w:lang w:val="pt-BR"/>
        </w:rPr>
      </w:pPr>
    </w:p>
    <w:p w:rsidR="00277412" w:rsidRPr="00165EC6" w:rsidRDefault="00277412" w:rsidP="00CC5A7E">
      <w:pPr>
        <w:pStyle w:val="Heading1"/>
        <w:ind w:firstLine="0"/>
        <w:rPr>
          <w:rFonts w:eastAsia="Batang"/>
          <w:color w:val="auto"/>
          <w:sz w:val="20"/>
          <w:szCs w:val="20"/>
          <w:bdr w:val="none" w:sz="0" w:space="0" w:color="auto"/>
          <w:lang w:val="es-UY" w:eastAsia="es-ES"/>
        </w:rPr>
      </w:pPr>
      <w:bookmarkStart w:id="2" w:name="_Toc506225817"/>
      <w:r w:rsidRPr="00165EC6">
        <w:rPr>
          <w:rFonts w:eastAsia="Batang"/>
          <w:color w:val="auto"/>
          <w:sz w:val="20"/>
          <w:szCs w:val="20"/>
          <w:bdr w:val="none" w:sz="0" w:space="0" w:color="auto"/>
          <w:lang w:val="es-UY" w:eastAsia="es-ES"/>
        </w:rPr>
        <w:t>RESUMEN</w:t>
      </w:r>
      <w:bookmarkEnd w:id="2"/>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cs="Arial"/>
          <w:bCs/>
          <w:sz w:val="20"/>
          <w:szCs w:val="20"/>
          <w:bdr w:val="none" w:sz="0" w:space="0" w:color="auto"/>
          <w:lang w:val="es-EC"/>
        </w:rPr>
      </w:pPr>
    </w:p>
    <w:p w:rsidR="00277412" w:rsidRPr="00165EC6" w:rsidRDefault="00277412"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jc w:val="both"/>
        <w:rPr>
          <w:rFonts w:ascii="Cambria" w:eastAsia="Batang" w:hAnsi="Cambria" w:cs="Arial"/>
          <w:bCs/>
          <w:iCs/>
          <w:sz w:val="20"/>
          <w:szCs w:val="20"/>
          <w:bdr w:val="none" w:sz="0" w:space="0" w:color="auto"/>
          <w:lang w:val="es-EC"/>
        </w:rPr>
      </w:pPr>
      <w:r w:rsidRPr="00165EC6">
        <w:rPr>
          <w:rFonts w:ascii="Cambria" w:eastAsia="Batang" w:hAnsi="Cambria"/>
          <w:sz w:val="20"/>
          <w:szCs w:val="20"/>
          <w:bdr w:val="none" w:sz="0" w:space="0" w:color="auto"/>
          <w:lang w:val="es-EC"/>
        </w:rPr>
        <w:t xml:space="preserve">El 3 de diciembre de 2001 la Comisión Interamericana de Derechos Humanos (en adelante </w:t>
      </w:r>
      <w:r w:rsidRPr="00165EC6">
        <w:rPr>
          <w:rFonts w:ascii="Cambria" w:eastAsia="Batang" w:hAnsi="Cambria" w:cs="Arial"/>
          <w:bCs/>
          <w:iCs/>
          <w:sz w:val="20"/>
          <w:szCs w:val="20"/>
          <w:bdr w:val="none" w:sz="0" w:space="0" w:color="auto"/>
          <w:lang w:val="es-EC"/>
        </w:rPr>
        <w:t xml:space="preserve">"la Comisión Interamericana", “la Comisión“ o “la CIDH”) recibió una denuncia presentada por el </w:t>
      </w:r>
      <w:r w:rsidRPr="00165EC6">
        <w:rPr>
          <w:rFonts w:ascii="Cambria" w:eastAsia="Batang" w:hAnsi="Cambria"/>
          <w:sz w:val="20"/>
          <w:szCs w:val="20"/>
          <w:bdr w:val="none" w:sz="0" w:space="0" w:color="auto"/>
          <w:lang w:val="es-EC"/>
        </w:rPr>
        <w:t>Centro de Justiça Global, Movimento 11 de Dezembro, Comissão de Direitos Humanos da Ordem dos Advogados do Brasil (OAB) – Subseção de Salvador –, Fórum de Direitos Humanos de Santo Antônio de Jesus/Bahia, Ailton Jose dos Santos, Yulo Oiticica Pereira y Nelson Portela Pellegrino (</w:t>
      </w:r>
      <w:r w:rsidRPr="00165EC6">
        <w:rPr>
          <w:rFonts w:ascii="Cambria" w:eastAsia="Batang" w:hAnsi="Cambria" w:cs="Arial"/>
          <w:bCs/>
          <w:iCs/>
          <w:sz w:val="20"/>
          <w:szCs w:val="20"/>
          <w:bdr w:val="none" w:sz="0" w:space="0" w:color="auto"/>
          <w:lang w:val="es-EC"/>
        </w:rPr>
        <w:t>en adelante “la parte peticionaria”</w:t>
      </w:r>
      <w:r w:rsidRPr="00165EC6">
        <w:rPr>
          <w:rFonts w:ascii="Cambria" w:eastAsia="Batang" w:hAnsi="Cambria"/>
          <w:sz w:val="20"/>
          <w:szCs w:val="20"/>
          <w:bdr w:val="none" w:sz="0" w:space="0" w:color="auto"/>
          <w:lang w:val="es-EC"/>
        </w:rPr>
        <w:t>), en la cual se alega la responsabilidad internacional de la República Federativa de Brasil (</w:t>
      </w:r>
      <w:r w:rsidRPr="00165EC6">
        <w:rPr>
          <w:rFonts w:ascii="Cambria" w:eastAsia="Batang" w:hAnsi="Cambria" w:cs="Arial"/>
          <w:bCs/>
          <w:iCs/>
          <w:sz w:val="20"/>
          <w:szCs w:val="20"/>
          <w:bdr w:val="none" w:sz="0" w:space="0" w:color="auto"/>
          <w:lang w:val="es-EC"/>
        </w:rPr>
        <w:t xml:space="preserve">en adelante “el Estado brasileño”, "el Estado" o “Brasil”) </w:t>
      </w:r>
      <w:r w:rsidR="006F34F3" w:rsidRPr="00165EC6">
        <w:rPr>
          <w:rFonts w:ascii="Cambria" w:eastAsia="Batang" w:hAnsi="Cambria" w:cs="Arial"/>
          <w:bCs/>
          <w:iCs/>
          <w:sz w:val="20"/>
          <w:szCs w:val="20"/>
          <w:bdr w:val="none" w:sz="0" w:space="0" w:color="auto"/>
          <w:lang w:val="es-EC"/>
        </w:rPr>
        <w:t xml:space="preserve">por violaciones de derechos humanos </w:t>
      </w:r>
      <w:r w:rsidRPr="00165EC6">
        <w:rPr>
          <w:rFonts w:ascii="Cambria" w:eastAsia="Batang" w:hAnsi="Cambria" w:cs="Arial"/>
          <w:bCs/>
          <w:iCs/>
          <w:sz w:val="20"/>
          <w:szCs w:val="20"/>
          <w:bdr w:val="none" w:sz="0" w:space="0" w:color="auto"/>
          <w:lang w:val="es-EC"/>
        </w:rPr>
        <w:t>en perjuicio de 70 personas</w:t>
      </w:r>
      <w:r w:rsidR="002740EE" w:rsidRPr="00165EC6">
        <w:rPr>
          <w:rFonts w:ascii="Cambria" w:eastAsia="Batang" w:hAnsi="Cambria" w:cs="Arial"/>
          <w:bCs/>
          <w:iCs/>
          <w:sz w:val="20"/>
          <w:szCs w:val="20"/>
          <w:bdr w:val="none" w:sz="0" w:space="0" w:color="auto"/>
          <w:lang w:val="es-EC"/>
        </w:rPr>
        <w:t xml:space="preserve"> y sus familiares </w:t>
      </w:r>
      <w:r w:rsidRPr="00165EC6">
        <w:rPr>
          <w:rFonts w:ascii="Cambria" w:eastAsia="Batang" w:hAnsi="Cambria" w:cs="Arial"/>
          <w:bCs/>
          <w:iCs/>
          <w:sz w:val="20"/>
          <w:szCs w:val="20"/>
          <w:bdr w:val="none" w:sz="0" w:space="0" w:color="auto"/>
          <w:lang w:val="es-EC"/>
        </w:rPr>
        <w:t>.</w:t>
      </w:r>
    </w:p>
    <w:p w:rsidR="00277412" w:rsidRPr="00165EC6" w:rsidRDefault="006F34F3" w:rsidP="002504F6">
      <w:pPr>
        <w:pBdr>
          <w:top w:val="none" w:sz="0" w:space="0" w:color="auto"/>
          <w:left w:val="none" w:sz="0" w:space="0" w:color="auto"/>
          <w:bottom w:val="none" w:sz="0" w:space="0" w:color="auto"/>
          <w:right w:val="none" w:sz="0" w:space="0" w:color="auto"/>
          <w:between w:val="none" w:sz="0" w:space="0" w:color="auto"/>
          <w:bar w:val="none" w:sz="0" w:color="auto"/>
        </w:pBdr>
        <w:tabs>
          <w:tab w:val="left" w:pos="3609"/>
        </w:tabs>
        <w:suppressAutoHyphens/>
        <w:ind w:firstLine="720"/>
        <w:jc w:val="both"/>
        <w:rPr>
          <w:rFonts w:ascii="Cambria" w:eastAsia="Batang" w:hAnsi="Cambria"/>
          <w:sz w:val="20"/>
          <w:szCs w:val="20"/>
          <w:bdr w:val="none" w:sz="0" w:space="0" w:color="auto"/>
          <w:lang w:val="es-ES"/>
        </w:rPr>
      </w:pPr>
      <w:r w:rsidRPr="00165EC6">
        <w:rPr>
          <w:rFonts w:ascii="Cambria" w:eastAsia="Batang" w:hAnsi="Cambria"/>
          <w:sz w:val="20"/>
          <w:szCs w:val="20"/>
          <w:bdr w:val="none" w:sz="0" w:space="0" w:color="auto"/>
          <w:lang w:val="es-ES"/>
        </w:rPr>
        <w:tab/>
      </w:r>
    </w:p>
    <w:p w:rsidR="00277412" w:rsidRPr="00165EC6" w:rsidRDefault="00277412"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jc w:val="both"/>
        <w:rPr>
          <w:rFonts w:ascii="Cambria" w:eastAsia="Batang" w:hAnsi="Cambria"/>
          <w:sz w:val="20"/>
          <w:szCs w:val="20"/>
          <w:bdr w:val="none" w:sz="0" w:space="0" w:color="auto"/>
          <w:lang w:val="es-ES"/>
        </w:rPr>
      </w:pPr>
      <w:r w:rsidRPr="00165EC6">
        <w:rPr>
          <w:rFonts w:ascii="Cambria" w:eastAsia="Batang" w:hAnsi="Cambria"/>
          <w:sz w:val="20"/>
          <w:szCs w:val="20"/>
          <w:bdr w:val="none" w:sz="0" w:space="0" w:color="auto"/>
          <w:lang w:val="es-CO"/>
        </w:rPr>
        <w:t>El 7 de octubre de 2003, de conformidad con el artículo 37.3 de su Reglamento entonces vigente, la Comisión informó a las partes su decisión de diferir el pronunciamiento de admisibilidad hasta el debate y decisión sobre</w:t>
      </w:r>
      <w:r w:rsidR="00353857" w:rsidRPr="00165EC6">
        <w:rPr>
          <w:rFonts w:ascii="Cambria" w:eastAsia="Batang" w:hAnsi="Cambria"/>
          <w:sz w:val="20"/>
          <w:szCs w:val="20"/>
          <w:bdr w:val="none" w:sz="0" w:space="0" w:color="auto"/>
          <w:lang w:val="es-CO"/>
        </w:rPr>
        <w:t xml:space="preserve"> el fondo</w:t>
      </w:r>
      <w:r w:rsidRPr="00165EC6">
        <w:rPr>
          <w:rFonts w:ascii="Cambria" w:eastAsia="Batang" w:hAnsi="Cambria"/>
          <w:sz w:val="20"/>
          <w:szCs w:val="20"/>
          <w:bdr w:val="none" w:sz="0" w:space="0" w:color="auto"/>
          <w:lang w:val="es-CO"/>
        </w:rPr>
        <w:t xml:space="preserve">. Las partes contaron con los plazos reglamentarios para presentar sus observaciones. </w:t>
      </w:r>
      <w:r w:rsidRPr="00165EC6">
        <w:rPr>
          <w:rFonts w:ascii="Cambria" w:eastAsia="Batang" w:hAnsi="Cambria"/>
          <w:sz w:val="20"/>
          <w:szCs w:val="20"/>
          <w:bdr w:val="none" w:sz="0" w:space="0" w:color="auto"/>
          <w:lang w:val="es-ES"/>
        </w:rPr>
        <w:t>El 19 de octubre de 2006, la Comisión llevó a cabo una audiencia pública sobre el caso. Al día siguiente, se realizó una reunión de trabajo con las partes, en la que acordaron iniciar un proceso de solución amistosa</w:t>
      </w:r>
      <w:r w:rsidRPr="00165EC6">
        <w:rPr>
          <w:rFonts w:ascii="Cambria" w:eastAsia="Batang" w:hAnsi="Cambria"/>
          <w:sz w:val="20"/>
          <w:szCs w:val="20"/>
          <w:bdr w:val="none" w:sz="0" w:space="0" w:color="auto"/>
          <w:lang w:val="es-MX"/>
        </w:rPr>
        <w:t>; sin embargo, e</w:t>
      </w:r>
      <w:r w:rsidRPr="00165EC6">
        <w:rPr>
          <w:rFonts w:ascii="Cambria" w:eastAsia="Batang" w:hAnsi="Cambria"/>
          <w:sz w:val="20"/>
          <w:szCs w:val="20"/>
          <w:bdr w:val="none" w:sz="0" w:space="0" w:color="auto"/>
          <w:lang w:val="es-ES"/>
        </w:rPr>
        <w:t xml:space="preserve">l 18 de octubre de 2010, la parte peticionaria solicitó a la CIDH que emitiera el informe de fondo.  </w:t>
      </w:r>
    </w:p>
    <w:p w:rsidR="00277412" w:rsidRPr="00165EC6" w:rsidRDefault="00277412" w:rsidP="002504F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CO"/>
        </w:rPr>
      </w:pPr>
    </w:p>
    <w:p w:rsidR="00277412" w:rsidRPr="00165EC6" w:rsidRDefault="00277412"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cs="Arial"/>
          <w:bCs/>
          <w:iCs/>
          <w:sz w:val="20"/>
          <w:szCs w:val="20"/>
          <w:bdr w:val="none" w:sz="0" w:space="0" w:color="auto"/>
          <w:lang w:val="es-CO"/>
        </w:rPr>
      </w:pPr>
      <w:r w:rsidRPr="00165EC6">
        <w:rPr>
          <w:rFonts w:ascii="Cambria" w:eastAsia="Batang" w:hAnsi="Cambria"/>
          <w:sz w:val="20"/>
          <w:szCs w:val="20"/>
          <w:bdr w:val="none" w:sz="0" w:space="0" w:color="auto"/>
          <w:lang w:val="es-CO"/>
        </w:rPr>
        <w:t xml:space="preserve">La parte peticionaria señaló que el 11 de diciembre de 1998 explotó una fábrica de fuegos artificiales en Santo Antônio de Jesús, Estado de Bahía, Brasil, en donde murieron 64 personas </w:t>
      </w:r>
      <w:r w:rsidR="001D1087" w:rsidRPr="00165EC6">
        <w:rPr>
          <w:rFonts w:ascii="Cambria" w:eastAsia="Batang" w:hAnsi="Cambria"/>
          <w:sz w:val="20"/>
          <w:szCs w:val="20"/>
          <w:bdr w:val="none" w:sz="0" w:space="0" w:color="auto"/>
          <w:lang w:val="es-CO"/>
        </w:rPr>
        <w:t xml:space="preserve">y </w:t>
      </w:r>
      <w:r w:rsidRPr="00165EC6">
        <w:rPr>
          <w:rFonts w:ascii="Cambria" w:eastAsia="Batang" w:hAnsi="Cambria"/>
          <w:sz w:val="20"/>
          <w:szCs w:val="20"/>
          <w:bdr w:val="none" w:sz="0" w:space="0" w:color="auto"/>
          <w:lang w:val="es-CO"/>
        </w:rPr>
        <w:t>seis resulta</w:t>
      </w:r>
      <w:r w:rsidR="001D1087" w:rsidRPr="00165EC6">
        <w:rPr>
          <w:rFonts w:ascii="Cambria" w:eastAsia="Batang" w:hAnsi="Cambria"/>
          <w:sz w:val="20"/>
          <w:szCs w:val="20"/>
          <w:bdr w:val="none" w:sz="0" w:space="0" w:color="auto"/>
          <w:lang w:val="es-CO"/>
        </w:rPr>
        <w:t xml:space="preserve">ron gravemente </w:t>
      </w:r>
      <w:r w:rsidRPr="00165EC6">
        <w:rPr>
          <w:rFonts w:ascii="Cambria" w:eastAsia="Batang" w:hAnsi="Cambria"/>
          <w:sz w:val="20"/>
          <w:szCs w:val="20"/>
          <w:bdr w:val="none" w:sz="0" w:space="0" w:color="auto"/>
          <w:lang w:val="es-CO"/>
        </w:rPr>
        <w:t xml:space="preserve">heridas. </w:t>
      </w:r>
      <w:r w:rsidR="00AF120E" w:rsidRPr="00165EC6">
        <w:rPr>
          <w:rFonts w:ascii="Cambria" w:eastAsia="Batang" w:hAnsi="Cambria"/>
          <w:sz w:val="20"/>
          <w:szCs w:val="20"/>
          <w:bdr w:val="none" w:sz="0" w:space="0" w:color="auto"/>
          <w:lang w:val="es-CO"/>
        </w:rPr>
        <w:t>I</w:t>
      </w:r>
      <w:r w:rsidRPr="00165EC6">
        <w:rPr>
          <w:rFonts w:ascii="Cambria" w:eastAsia="Batang" w:hAnsi="Cambria"/>
          <w:sz w:val="20"/>
          <w:szCs w:val="20"/>
          <w:bdr w:val="none" w:sz="0" w:space="0" w:color="auto"/>
          <w:lang w:val="es-CO"/>
        </w:rPr>
        <w:t>ndicó que la fábrica funcionaba clandestinamente, guardaba material prohibido y operaba sin las condiciones mínimas de seguridad. Afirmó que, tras la tragedia, se interpusieron acciones penales, civiles y laborales que</w:t>
      </w:r>
      <w:r w:rsidR="0067559B" w:rsidRPr="00165EC6">
        <w:rPr>
          <w:rFonts w:ascii="Cambria" w:eastAsia="Batang" w:hAnsi="Cambria"/>
          <w:sz w:val="20"/>
          <w:szCs w:val="20"/>
          <w:bdr w:val="none" w:sz="0" w:space="0" w:color="auto"/>
          <w:lang w:val="es-CO"/>
        </w:rPr>
        <w:t xml:space="preserve"> </w:t>
      </w:r>
      <w:r w:rsidR="00AF120E" w:rsidRPr="00165EC6">
        <w:rPr>
          <w:rFonts w:ascii="Cambria" w:eastAsia="Batang" w:hAnsi="Cambria"/>
          <w:sz w:val="20"/>
          <w:szCs w:val="20"/>
          <w:bdr w:val="none" w:sz="0" w:space="0" w:color="auto"/>
          <w:lang w:val="es-CO"/>
        </w:rPr>
        <w:t>resultaron inefectivas.</w:t>
      </w:r>
    </w:p>
    <w:p w:rsidR="00277412" w:rsidRPr="00165EC6" w:rsidRDefault="00277412" w:rsidP="002504F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cs="Arial"/>
          <w:bCs/>
          <w:iCs/>
          <w:sz w:val="20"/>
          <w:szCs w:val="20"/>
          <w:bdr w:val="none" w:sz="0" w:space="0" w:color="auto"/>
          <w:lang w:val="es-CO"/>
        </w:rPr>
      </w:pPr>
    </w:p>
    <w:p w:rsidR="00277412" w:rsidRPr="00165EC6" w:rsidRDefault="00277412"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CO"/>
        </w:rPr>
      </w:pPr>
      <w:r w:rsidRPr="00165EC6">
        <w:rPr>
          <w:rFonts w:ascii="Cambria" w:eastAsia="Batang" w:hAnsi="Cambria"/>
          <w:sz w:val="20"/>
          <w:szCs w:val="20"/>
          <w:bdr w:val="none" w:sz="0" w:space="0" w:color="auto"/>
          <w:lang w:val="es-CO"/>
        </w:rPr>
        <w:t>Por su parte, el Estado brasileño señaló que no h</w:t>
      </w:r>
      <w:r w:rsidR="00256DF9" w:rsidRPr="00165EC6">
        <w:rPr>
          <w:rFonts w:ascii="Cambria" w:eastAsia="Batang" w:hAnsi="Cambria"/>
          <w:sz w:val="20"/>
          <w:szCs w:val="20"/>
          <w:bdr w:val="none" w:sz="0" w:space="0" w:color="auto"/>
          <w:lang w:val="es-CO"/>
        </w:rPr>
        <w:t>ubo</w:t>
      </w:r>
      <w:r w:rsidRPr="00165EC6">
        <w:rPr>
          <w:rFonts w:ascii="Cambria" w:eastAsia="Batang" w:hAnsi="Cambria"/>
          <w:sz w:val="20"/>
          <w:szCs w:val="20"/>
          <w:bdr w:val="none" w:sz="0" w:space="0" w:color="auto"/>
          <w:lang w:val="es-CO"/>
        </w:rPr>
        <w:t xml:space="preserve"> omisión ni negligencia en su actuación, puesto que la explosión de la fábrica fue responsabilidad de particulares y no estuvieron involucrados agentes estatales. Según el Estado, </w:t>
      </w:r>
      <w:r w:rsidR="00256DF9" w:rsidRPr="00165EC6">
        <w:rPr>
          <w:rFonts w:ascii="Cambria" w:eastAsia="Batang" w:hAnsi="Cambria"/>
          <w:sz w:val="20"/>
          <w:szCs w:val="20"/>
          <w:bdr w:val="none" w:sz="0" w:space="0" w:color="auto"/>
          <w:lang w:val="es-CO"/>
        </w:rPr>
        <w:t xml:space="preserve">se adoptaron </w:t>
      </w:r>
      <w:r w:rsidRPr="00165EC6">
        <w:rPr>
          <w:rFonts w:ascii="Cambria" w:eastAsia="Batang" w:hAnsi="Cambria"/>
          <w:sz w:val="20"/>
          <w:szCs w:val="20"/>
          <w:bdr w:val="none" w:sz="0" w:space="0" w:color="auto"/>
          <w:lang w:val="es-CO"/>
        </w:rPr>
        <w:t xml:space="preserve">las medidas necesarias </w:t>
      </w:r>
      <w:r w:rsidRPr="00165EC6">
        <w:rPr>
          <w:rFonts w:ascii="Cambria" w:eastAsia="Batang" w:hAnsi="Cambria" w:cs="Arial"/>
          <w:sz w:val="20"/>
          <w:szCs w:val="20"/>
          <w:bdr w:val="none" w:sz="0" w:space="0" w:color="auto"/>
          <w:lang w:val="es-ES_tradnl"/>
        </w:rPr>
        <w:t>para</w:t>
      </w:r>
      <w:r w:rsidRPr="00165EC6">
        <w:rPr>
          <w:rFonts w:ascii="Cambria" w:eastAsia="Batang" w:hAnsi="Cambria"/>
          <w:sz w:val="20"/>
          <w:szCs w:val="20"/>
          <w:bdr w:val="none" w:sz="0" w:space="0" w:color="auto"/>
          <w:lang w:val="es-CO"/>
        </w:rPr>
        <w:t xml:space="preserve"> la reparación de los perjuicios a las víctimas y sus familias, además de que se siguieron procesos penales, laborales y civiles para la resolución de todas las pretensiones jurídicas de la parte peticionaria. El Estado agregó que está intentando cambiar las desfavorables condiciones de vida de los habitantes de aquella región, sobre todo de las trabajadoras y trabajadores que actúan informalmente en fábricas de fuegos artificiales. </w:t>
      </w:r>
    </w:p>
    <w:p w:rsidR="00277412" w:rsidRPr="00165EC6" w:rsidRDefault="00277412" w:rsidP="002504F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CO"/>
        </w:rPr>
      </w:pPr>
    </w:p>
    <w:p w:rsidR="006C6AEE" w:rsidRPr="00165EC6" w:rsidRDefault="00277412"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cs="Arial"/>
          <w:b/>
          <w:sz w:val="20"/>
          <w:szCs w:val="20"/>
          <w:bdr w:val="none" w:sz="0" w:space="0" w:color="auto"/>
          <w:lang w:val="es-MX"/>
        </w:rPr>
      </w:pPr>
      <w:r w:rsidRPr="00165EC6">
        <w:rPr>
          <w:rFonts w:ascii="Cambria" w:eastAsia="Batang" w:hAnsi="Cambria" w:cs="Arial"/>
          <w:bCs/>
          <w:iCs/>
          <w:sz w:val="20"/>
          <w:szCs w:val="20"/>
          <w:bdr w:val="none" w:sz="0" w:space="0" w:color="auto"/>
          <w:lang w:val="es-CO"/>
        </w:rPr>
        <w:t>L</w:t>
      </w:r>
      <w:r w:rsidRPr="00165EC6">
        <w:rPr>
          <w:rFonts w:ascii="Cambria" w:eastAsia="Batang" w:hAnsi="Cambria" w:cs="Arial"/>
          <w:bCs/>
          <w:iCs/>
          <w:sz w:val="20"/>
          <w:szCs w:val="20"/>
          <w:bdr w:val="none" w:sz="0" w:space="0" w:color="auto"/>
          <w:lang w:val="es-EC"/>
        </w:rPr>
        <w:t>a Comisión concluyó que</w:t>
      </w:r>
      <w:r w:rsidR="005560F6" w:rsidRPr="00165EC6">
        <w:rPr>
          <w:rFonts w:ascii="Cambria" w:eastAsia="Batang" w:hAnsi="Cambria" w:cs="Arial"/>
          <w:bCs/>
          <w:iCs/>
          <w:sz w:val="20"/>
          <w:szCs w:val="20"/>
          <w:bdr w:val="none" w:sz="0" w:space="0" w:color="auto"/>
          <w:lang w:val="es-EC"/>
        </w:rPr>
        <w:t xml:space="preserve"> la petición es admisible y</w:t>
      </w:r>
      <w:r w:rsidRPr="00165EC6">
        <w:rPr>
          <w:rFonts w:ascii="Cambria" w:eastAsia="Batang" w:hAnsi="Cambria" w:cs="Arial"/>
          <w:bCs/>
          <w:iCs/>
          <w:sz w:val="20"/>
          <w:szCs w:val="20"/>
          <w:bdr w:val="none" w:sz="0" w:space="0" w:color="auto"/>
          <w:lang w:val="es-EC"/>
        </w:rPr>
        <w:t xml:space="preserve"> el Estado de Brasil</w:t>
      </w:r>
      <w:r w:rsidR="006C6AEE" w:rsidRPr="00165EC6">
        <w:rPr>
          <w:rFonts w:ascii="Cambria" w:eastAsia="Batang" w:hAnsi="Cambria" w:cs="Arial"/>
          <w:b/>
          <w:sz w:val="20"/>
          <w:szCs w:val="20"/>
          <w:bdr w:val="none" w:sz="0" w:space="0" w:color="auto"/>
          <w:lang w:val="es-MX"/>
        </w:rPr>
        <w:t xml:space="preserve"> </w:t>
      </w:r>
      <w:r w:rsidR="006C6AEE" w:rsidRPr="00165EC6">
        <w:rPr>
          <w:rFonts w:ascii="Cambria" w:eastAsia="Batang" w:hAnsi="Cambria" w:cs="Arial"/>
          <w:sz w:val="20"/>
          <w:szCs w:val="20"/>
          <w:bdr w:val="none" w:sz="0" w:space="0" w:color="auto"/>
          <w:lang w:val="es-ES_tradnl"/>
        </w:rPr>
        <w:t xml:space="preserve">es responsable por la violación de los derechos a la vida, a la integridad personal, en relación con el deber de especial protección de la niñez, </w:t>
      </w:r>
      <w:r w:rsidR="002740EE" w:rsidRPr="00165EC6">
        <w:rPr>
          <w:rFonts w:ascii="Cambria" w:eastAsia="Batang" w:hAnsi="Cambria" w:cs="Arial"/>
          <w:sz w:val="20"/>
          <w:szCs w:val="20"/>
          <w:bdr w:val="none" w:sz="0" w:space="0" w:color="auto"/>
          <w:lang w:val="es-ES_tradnl"/>
        </w:rPr>
        <w:t xml:space="preserve">al </w:t>
      </w:r>
      <w:r w:rsidR="006C6AEE" w:rsidRPr="00165EC6">
        <w:rPr>
          <w:rFonts w:ascii="Cambria" w:eastAsia="Batang" w:hAnsi="Cambria" w:cs="Arial"/>
          <w:sz w:val="20"/>
          <w:szCs w:val="20"/>
          <w:bdr w:val="none" w:sz="0" w:space="0" w:color="auto"/>
          <w:lang w:val="es-ES_tradnl"/>
        </w:rPr>
        <w:t xml:space="preserve">derecho al trabajo, a la igualdad y no discriminación, a las garantías judiciales y protección judicial, establecidos en los artículos 4.1, 5.1, 19, </w:t>
      </w:r>
      <w:r w:rsidR="002740EE" w:rsidRPr="00165EC6">
        <w:rPr>
          <w:rFonts w:ascii="Cambria" w:eastAsia="Batang" w:hAnsi="Cambria" w:cs="Arial"/>
          <w:sz w:val="20"/>
          <w:szCs w:val="20"/>
          <w:bdr w:val="none" w:sz="0" w:space="0" w:color="auto"/>
          <w:lang w:val="es-ES_tradnl"/>
        </w:rPr>
        <w:t xml:space="preserve">24, </w:t>
      </w:r>
      <w:r w:rsidR="006C6AEE" w:rsidRPr="00165EC6">
        <w:rPr>
          <w:rFonts w:ascii="Cambria" w:eastAsia="Batang" w:hAnsi="Cambria" w:cs="Arial"/>
          <w:sz w:val="20"/>
          <w:szCs w:val="20"/>
          <w:bdr w:val="none" w:sz="0" w:space="0" w:color="auto"/>
          <w:lang w:val="es-ES_tradnl"/>
        </w:rPr>
        <w:t xml:space="preserve">26, 8.1 y 25.1 de la Convención Americana en relación con las obligaciones establecidas en el artículo 1.1 </w:t>
      </w:r>
      <w:r w:rsidR="00B507F1" w:rsidRPr="00165EC6">
        <w:rPr>
          <w:rFonts w:ascii="Cambria" w:eastAsia="Batang" w:hAnsi="Cambria" w:cs="Arial"/>
          <w:sz w:val="20"/>
          <w:szCs w:val="20"/>
          <w:bdr w:val="none" w:sz="0" w:space="0" w:color="auto"/>
          <w:lang w:val="es-ES_tradnl"/>
        </w:rPr>
        <w:t xml:space="preserve">y 2 </w:t>
      </w:r>
      <w:r w:rsidR="006C6AEE" w:rsidRPr="00165EC6">
        <w:rPr>
          <w:rFonts w:ascii="Cambria" w:eastAsia="Batang" w:hAnsi="Cambria" w:cs="Arial"/>
          <w:sz w:val="20"/>
          <w:szCs w:val="20"/>
          <w:bdr w:val="none" w:sz="0" w:space="0" w:color="auto"/>
          <w:lang w:val="es-ES_tradnl"/>
        </w:rPr>
        <w:t xml:space="preserve">del mismo instrumento, en perjuicio de las personas que se individualizan en el Anexo Único del presente informe. </w:t>
      </w:r>
      <w:r w:rsidR="006C6AEE" w:rsidRPr="00165EC6">
        <w:rPr>
          <w:rFonts w:ascii="Cambria" w:eastAsia="Batang" w:hAnsi="Cambria"/>
          <w:spacing w:val="-2"/>
          <w:sz w:val="20"/>
          <w:szCs w:val="20"/>
          <w:bdr w:val="none" w:sz="0" w:space="0" w:color="auto"/>
          <w:lang w:val="es-ES_tradnl"/>
        </w:rPr>
        <w:t xml:space="preserve"> </w:t>
      </w:r>
    </w:p>
    <w:p w:rsidR="00277412" w:rsidRPr="00165EC6" w:rsidRDefault="00277412" w:rsidP="006C6AE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cs="Arial"/>
          <w:b/>
          <w:sz w:val="20"/>
          <w:szCs w:val="20"/>
          <w:bdr w:val="none" w:sz="0" w:space="0" w:color="auto"/>
          <w:lang w:val="es-MX"/>
        </w:rPr>
      </w:pPr>
      <w:r w:rsidRPr="00165EC6">
        <w:rPr>
          <w:rFonts w:ascii="Cambria" w:eastAsia="Batang" w:hAnsi="Cambria" w:cs="Arial"/>
          <w:bCs/>
          <w:iCs/>
          <w:sz w:val="20"/>
          <w:szCs w:val="20"/>
          <w:bdr w:val="none" w:sz="0" w:space="0" w:color="auto"/>
          <w:lang w:val="es-EC"/>
        </w:rPr>
        <w:t xml:space="preserve"> </w:t>
      </w:r>
    </w:p>
    <w:p w:rsidR="00277412" w:rsidRPr="00165EC6" w:rsidRDefault="00277412" w:rsidP="00CC5A7E">
      <w:pPr>
        <w:pStyle w:val="Heading1"/>
        <w:ind w:firstLine="0"/>
        <w:rPr>
          <w:rFonts w:eastAsia="Batang"/>
          <w:color w:val="auto"/>
          <w:sz w:val="20"/>
          <w:szCs w:val="20"/>
          <w:bdr w:val="none" w:sz="0" w:space="0" w:color="auto"/>
          <w:lang w:val="es-UY" w:eastAsia="es-ES"/>
        </w:rPr>
      </w:pPr>
      <w:bookmarkStart w:id="3" w:name="_Toc506225818"/>
      <w:r w:rsidRPr="00165EC6">
        <w:rPr>
          <w:rFonts w:eastAsia="Batang"/>
          <w:color w:val="auto"/>
          <w:sz w:val="20"/>
          <w:szCs w:val="20"/>
          <w:bdr w:val="none" w:sz="0" w:space="0" w:color="auto"/>
          <w:lang w:val="es-UY" w:eastAsia="es-ES"/>
        </w:rPr>
        <w:lastRenderedPageBreak/>
        <w:t>ALEGATOS DE LAS PARTES</w:t>
      </w:r>
      <w:r w:rsidR="00DE6E25" w:rsidRPr="00165EC6">
        <w:rPr>
          <w:rStyle w:val="FootnoteReference"/>
          <w:rFonts w:eastAsia="Batang"/>
          <w:color w:val="auto"/>
          <w:sz w:val="20"/>
          <w:szCs w:val="20"/>
          <w:bdr w:val="none" w:sz="0" w:space="0" w:color="auto"/>
          <w:lang w:val="es-UY" w:eastAsia="es-ES"/>
        </w:rPr>
        <w:footnoteReference w:id="3"/>
      </w:r>
      <w:bookmarkEnd w:id="3"/>
      <w:r w:rsidRPr="00165EC6">
        <w:rPr>
          <w:rFonts w:eastAsia="Batang"/>
          <w:color w:val="auto"/>
          <w:sz w:val="20"/>
          <w:szCs w:val="20"/>
          <w:bdr w:val="none" w:sz="0" w:space="0" w:color="auto"/>
          <w:lang w:val="es-UY" w:eastAsia="es-ES"/>
        </w:rPr>
        <w:t xml:space="preserve"> </w:t>
      </w:r>
    </w:p>
    <w:p w:rsidR="00277412" w:rsidRPr="00165EC6" w:rsidRDefault="00277412" w:rsidP="00CC5A7E">
      <w:pPr>
        <w:pStyle w:val="Heading2"/>
        <w:ind w:firstLine="720"/>
        <w:rPr>
          <w:rFonts w:asciiTheme="majorHAnsi" w:hAnsiTheme="majorHAnsi"/>
          <w:i w:val="0"/>
          <w:sz w:val="20"/>
          <w:szCs w:val="20"/>
          <w:lang w:val="es-ES"/>
        </w:rPr>
      </w:pPr>
      <w:bookmarkStart w:id="4" w:name="_Toc506225819"/>
      <w:r w:rsidRPr="00165EC6">
        <w:rPr>
          <w:rFonts w:asciiTheme="majorHAnsi" w:hAnsiTheme="majorHAnsi"/>
          <w:i w:val="0"/>
          <w:sz w:val="20"/>
          <w:szCs w:val="20"/>
          <w:lang w:val="es-ES"/>
        </w:rPr>
        <w:t>A.</w:t>
      </w:r>
      <w:r w:rsidRPr="00165EC6">
        <w:rPr>
          <w:rFonts w:asciiTheme="majorHAnsi" w:hAnsiTheme="majorHAnsi"/>
          <w:i w:val="0"/>
          <w:sz w:val="20"/>
          <w:szCs w:val="20"/>
          <w:lang w:val="es-ES"/>
        </w:rPr>
        <w:tab/>
        <w:t>Parte peticionaria</w:t>
      </w:r>
      <w:bookmarkEnd w:id="4"/>
      <w:r w:rsidRPr="00165EC6">
        <w:rPr>
          <w:rFonts w:asciiTheme="majorHAnsi" w:hAnsiTheme="majorHAnsi"/>
          <w:i w:val="0"/>
          <w:sz w:val="20"/>
          <w:szCs w:val="20"/>
          <w:lang w:val="es-ES"/>
        </w:rPr>
        <w:t xml:space="preserve"> </w:t>
      </w: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cs="Arial"/>
          <w:caps/>
          <w:sz w:val="20"/>
          <w:szCs w:val="20"/>
          <w:bdr w:val="none" w:sz="0" w:space="0" w:color="auto"/>
          <w:lang w:val="es-CO"/>
        </w:rPr>
      </w:pPr>
    </w:p>
    <w:p w:rsidR="00277412" w:rsidRPr="00165EC6" w:rsidRDefault="00277412"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CO"/>
        </w:rPr>
      </w:pPr>
      <w:r w:rsidRPr="00165EC6">
        <w:rPr>
          <w:rFonts w:ascii="Cambria" w:eastAsia="Batang" w:hAnsi="Cambria"/>
          <w:sz w:val="20"/>
          <w:szCs w:val="20"/>
          <w:bdr w:val="none" w:sz="0" w:space="0" w:color="auto"/>
          <w:lang w:val="es-CO"/>
        </w:rPr>
        <w:t xml:space="preserve">La parte peticionaria señaló que </w:t>
      </w:r>
      <w:r w:rsidR="008970B7" w:rsidRPr="00165EC6">
        <w:rPr>
          <w:rFonts w:ascii="Cambria" w:eastAsia="Batang" w:hAnsi="Cambria"/>
          <w:sz w:val="20"/>
          <w:szCs w:val="20"/>
          <w:bdr w:val="none" w:sz="0" w:space="0" w:color="auto"/>
          <w:lang w:val="es-CO"/>
        </w:rPr>
        <w:t>el 11 de diciembre de 1998</w:t>
      </w:r>
      <w:r w:rsidR="00B44A22" w:rsidRPr="00165EC6">
        <w:rPr>
          <w:rFonts w:ascii="Cambria" w:eastAsia="Batang" w:hAnsi="Cambria"/>
          <w:sz w:val="20"/>
          <w:szCs w:val="20"/>
          <w:bdr w:val="none" w:sz="0" w:space="0" w:color="auto"/>
          <w:lang w:val="es-CO"/>
        </w:rPr>
        <w:t xml:space="preserve">, explotó una fábrica </w:t>
      </w:r>
      <w:r w:rsidRPr="00165EC6">
        <w:rPr>
          <w:rFonts w:ascii="Cambria" w:eastAsia="Batang" w:hAnsi="Cambria"/>
          <w:sz w:val="20"/>
          <w:szCs w:val="20"/>
          <w:bdr w:val="none" w:sz="0" w:space="0" w:color="auto"/>
          <w:lang w:val="es-CO"/>
        </w:rPr>
        <w:t>fuegos artificiales en Santo Antônio</w:t>
      </w:r>
      <w:r w:rsidR="00FE716D" w:rsidRPr="00165EC6">
        <w:rPr>
          <w:rFonts w:ascii="Cambria" w:eastAsia="Batang" w:hAnsi="Cambria"/>
          <w:sz w:val="20"/>
          <w:szCs w:val="20"/>
          <w:bdr w:val="none" w:sz="0" w:space="0" w:color="auto"/>
          <w:lang w:val="es-CO"/>
        </w:rPr>
        <w:t xml:space="preserve"> de Jesus</w:t>
      </w:r>
      <w:r w:rsidRPr="00165EC6">
        <w:rPr>
          <w:rFonts w:ascii="Cambria" w:eastAsia="Batang" w:hAnsi="Cambria"/>
          <w:sz w:val="20"/>
          <w:szCs w:val="20"/>
          <w:bdr w:val="none" w:sz="0" w:space="0" w:color="auto"/>
          <w:lang w:val="es-CO"/>
        </w:rPr>
        <w:t xml:space="preserve">, </w:t>
      </w:r>
      <w:r w:rsidR="00FE716D" w:rsidRPr="00165EC6">
        <w:rPr>
          <w:rFonts w:ascii="Cambria" w:eastAsia="Batang" w:hAnsi="Cambria"/>
          <w:sz w:val="20"/>
          <w:szCs w:val="20"/>
          <w:bdr w:val="none" w:sz="0" w:space="0" w:color="auto"/>
          <w:lang w:val="es-CO"/>
        </w:rPr>
        <w:t>p</w:t>
      </w:r>
      <w:r w:rsidRPr="00165EC6">
        <w:rPr>
          <w:rFonts w:ascii="Cambria" w:eastAsia="Batang" w:hAnsi="Cambria"/>
          <w:sz w:val="20"/>
          <w:szCs w:val="20"/>
          <w:bdr w:val="none" w:sz="0" w:space="0" w:color="auto"/>
          <w:lang w:val="es-CO"/>
        </w:rPr>
        <w:t>ropiedad del señor Osvaldo Prazeres Bastos, también conocido como “Vardo dos Fogos”. Indicó que murieron 64 personas que trabajaban allí, la mayor</w:t>
      </w:r>
      <w:r w:rsidR="00B44A22" w:rsidRPr="00165EC6">
        <w:rPr>
          <w:rFonts w:ascii="Cambria" w:eastAsia="Batang" w:hAnsi="Cambria"/>
          <w:sz w:val="20"/>
          <w:szCs w:val="20"/>
          <w:bdr w:val="none" w:sz="0" w:space="0" w:color="auto"/>
          <w:lang w:val="es-CO"/>
        </w:rPr>
        <w:t xml:space="preserve">ía mujeres, niños y niñas, y </w:t>
      </w:r>
      <w:r w:rsidRPr="00165EC6">
        <w:rPr>
          <w:rFonts w:ascii="Cambria" w:eastAsia="Batang" w:hAnsi="Cambria"/>
          <w:sz w:val="20"/>
          <w:szCs w:val="20"/>
          <w:bdr w:val="none" w:sz="0" w:space="0" w:color="auto"/>
          <w:lang w:val="es-CO"/>
        </w:rPr>
        <w:t xml:space="preserve"> sólo seis personas sobrevivieron resultando con heridas y quemaduras del 70% del cuerpo.</w:t>
      </w:r>
    </w:p>
    <w:p w:rsidR="00277412" w:rsidRPr="00165EC6" w:rsidRDefault="00277412" w:rsidP="002504F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CO"/>
        </w:rPr>
      </w:pPr>
    </w:p>
    <w:p w:rsidR="00277412" w:rsidRPr="00165EC6" w:rsidRDefault="00277412"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CO"/>
        </w:rPr>
      </w:pPr>
      <w:r w:rsidRPr="00165EC6">
        <w:rPr>
          <w:rFonts w:ascii="Cambria" w:eastAsia="Batang" w:hAnsi="Cambria"/>
          <w:sz w:val="20"/>
          <w:szCs w:val="20"/>
          <w:bdr w:val="none" w:sz="0" w:space="0" w:color="auto"/>
          <w:lang w:val="es-CO"/>
        </w:rPr>
        <w:t>Afirmó que esta fábrica funcionaba clandestinamente, guardaba material prohibido y operaba sin las condiciones mínimas de seguridad. Agregó que las irregularidades en el funcionamiento de la fábrica fueron detectadas por una pericia realizada por el Departamento de Policía Técnica de la Secretaría de Seguridad Pública el mismo día</w:t>
      </w:r>
      <w:r w:rsidR="00F075A9" w:rsidRPr="00165EC6">
        <w:rPr>
          <w:rFonts w:ascii="Cambria" w:eastAsia="Batang" w:hAnsi="Cambria"/>
          <w:sz w:val="20"/>
          <w:szCs w:val="20"/>
          <w:bdr w:val="none" w:sz="0" w:space="0" w:color="auto"/>
          <w:lang w:val="es-CO"/>
        </w:rPr>
        <w:t>, tras</w:t>
      </w:r>
      <w:r w:rsidRPr="00165EC6">
        <w:rPr>
          <w:rFonts w:ascii="Cambria" w:eastAsia="Batang" w:hAnsi="Cambria"/>
          <w:sz w:val="20"/>
          <w:szCs w:val="20"/>
          <w:bdr w:val="none" w:sz="0" w:space="0" w:color="auto"/>
          <w:lang w:val="es-CO"/>
        </w:rPr>
        <w:t xml:space="preserve"> la explosión.</w:t>
      </w:r>
    </w:p>
    <w:p w:rsidR="00277412" w:rsidRPr="00165EC6" w:rsidRDefault="00277412" w:rsidP="002504F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CO"/>
        </w:rPr>
      </w:pPr>
    </w:p>
    <w:p w:rsidR="00277412" w:rsidRPr="00165EC6" w:rsidRDefault="00790F71"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CO"/>
        </w:rPr>
      </w:pPr>
      <w:r w:rsidRPr="00165EC6">
        <w:rPr>
          <w:rFonts w:ascii="Cambria" w:eastAsia="Batang" w:hAnsi="Cambria"/>
          <w:sz w:val="20"/>
          <w:szCs w:val="20"/>
          <w:bdr w:val="none" w:sz="0" w:space="0" w:color="auto"/>
          <w:lang w:val="es-CO"/>
        </w:rPr>
        <w:t xml:space="preserve"> </w:t>
      </w:r>
      <w:r w:rsidR="00277412" w:rsidRPr="00165EC6">
        <w:rPr>
          <w:rFonts w:ascii="Cambria" w:eastAsia="Batang" w:hAnsi="Cambria"/>
          <w:sz w:val="20"/>
          <w:szCs w:val="20"/>
          <w:bdr w:val="none" w:sz="0" w:space="0" w:color="auto"/>
          <w:lang w:val="es-CO"/>
        </w:rPr>
        <w:t xml:space="preserve">La parte peticionaria indicó que, según consta en el </w:t>
      </w:r>
      <w:r w:rsidR="00277412" w:rsidRPr="00165EC6">
        <w:rPr>
          <w:rFonts w:ascii="Cambria" w:eastAsia="Batang" w:hAnsi="Cambria"/>
          <w:b/>
          <w:sz w:val="20"/>
          <w:szCs w:val="20"/>
          <w:bdr w:val="none" w:sz="0" w:space="0" w:color="auto"/>
          <w:lang w:val="es-CO"/>
        </w:rPr>
        <w:t>procedimiento administrativo</w:t>
      </w:r>
      <w:r w:rsidR="00277412" w:rsidRPr="00165EC6">
        <w:rPr>
          <w:rFonts w:ascii="Cambria" w:eastAsia="Batang" w:hAnsi="Cambria"/>
          <w:sz w:val="20"/>
          <w:szCs w:val="20"/>
          <w:bdr w:val="none" w:sz="0" w:space="0" w:color="auto"/>
          <w:lang w:val="es-CO"/>
        </w:rPr>
        <w:t xml:space="preserve"> abierto por el Ministerio del Ejército, la fábrica funcionaba irregularmente con la complicidad de los órganos públicos que no fiscalizaban debidamente. Entre las irregularidades señaló la falta de seguridad en las instalaciones, la fabricación de pólvora sin autorización, el almacenamiento de explosivos en grandes cantidades y la falta de organización en los depósitos. Refirió que al momento de la explosión se encontraban todos los fuegos artificiales en un mismo lugar, en el que no había sistema de alarmas ni de extinción de incendios. </w:t>
      </w:r>
    </w:p>
    <w:p w:rsidR="00277412" w:rsidRPr="00165EC6" w:rsidRDefault="00277412" w:rsidP="002504F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CO"/>
        </w:rPr>
      </w:pPr>
    </w:p>
    <w:p w:rsidR="00277412" w:rsidRPr="00165EC6" w:rsidRDefault="00277412"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CO"/>
        </w:rPr>
      </w:pPr>
      <w:r w:rsidRPr="00165EC6">
        <w:rPr>
          <w:rFonts w:ascii="Cambria" w:eastAsia="Batang" w:hAnsi="Cambria"/>
          <w:sz w:val="20"/>
          <w:szCs w:val="20"/>
          <w:bdr w:val="none" w:sz="0" w:space="0" w:color="auto"/>
          <w:lang w:val="es-CO"/>
        </w:rPr>
        <w:t xml:space="preserve">Indicó que fueron interpuestas acciones penales, civiles y laborales a fin de individualizar a los responsables. Respecto de la </w:t>
      </w:r>
      <w:r w:rsidRPr="00165EC6">
        <w:rPr>
          <w:rFonts w:ascii="Cambria" w:eastAsia="Batang" w:hAnsi="Cambria"/>
          <w:b/>
          <w:sz w:val="20"/>
          <w:szCs w:val="20"/>
          <w:bdr w:val="none" w:sz="0" w:space="0" w:color="auto"/>
          <w:lang w:val="es-CO"/>
        </w:rPr>
        <w:t>acción penal</w:t>
      </w:r>
      <w:r w:rsidR="00C05295" w:rsidRPr="00165EC6">
        <w:rPr>
          <w:rFonts w:ascii="Cambria" w:eastAsia="Batang" w:hAnsi="Cambria"/>
          <w:b/>
          <w:sz w:val="20"/>
          <w:szCs w:val="20"/>
          <w:bdr w:val="none" w:sz="0" w:space="0" w:color="auto"/>
          <w:lang w:val="es-CO"/>
        </w:rPr>
        <w:t xml:space="preserve"> judicial</w:t>
      </w:r>
      <w:r w:rsidRPr="00165EC6">
        <w:rPr>
          <w:rFonts w:ascii="Cambria" w:eastAsia="Batang" w:hAnsi="Cambria"/>
          <w:sz w:val="20"/>
          <w:szCs w:val="20"/>
          <w:bdr w:val="none" w:sz="0" w:space="0" w:color="auto"/>
          <w:lang w:val="es-CO"/>
        </w:rPr>
        <w:t>, señal</w:t>
      </w:r>
      <w:r w:rsidR="00446F5D" w:rsidRPr="00165EC6">
        <w:rPr>
          <w:rFonts w:ascii="Cambria" w:eastAsia="Batang" w:hAnsi="Cambria"/>
          <w:sz w:val="20"/>
          <w:szCs w:val="20"/>
          <w:bdr w:val="none" w:sz="0" w:space="0" w:color="auto"/>
          <w:lang w:val="es-CO"/>
        </w:rPr>
        <w:t>ó</w:t>
      </w:r>
      <w:r w:rsidRPr="00165EC6">
        <w:rPr>
          <w:rFonts w:ascii="Cambria" w:eastAsia="Batang" w:hAnsi="Cambria"/>
          <w:sz w:val="20"/>
          <w:szCs w:val="20"/>
          <w:bdr w:val="none" w:sz="0" w:space="0" w:color="auto"/>
          <w:lang w:val="es-CO"/>
        </w:rPr>
        <w:t xml:space="preserve"> que fue interpuesta por el Ministerio Público el 13 de abril de 1999</w:t>
      </w:r>
      <w:r w:rsidR="00C05295" w:rsidRPr="00165EC6">
        <w:rPr>
          <w:rFonts w:ascii="Cambria" w:eastAsia="Batang" w:hAnsi="Cambria"/>
          <w:sz w:val="20"/>
          <w:szCs w:val="20"/>
          <w:bdr w:val="none" w:sz="0" w:space="0" w:color="auto"/>
          <w:lang w:val="es-CO"/>
        </w:rPr>
        <w:t>, tras las investigaciones iniciales,</w:t>
      </w:r>
      <w:r w:rsidRPr="00165EC6">
        <w:rPr>
          <w:rFonts w:ascii="Cambria" w:eastAsia="Batang" w:hAnsi="Cambria"/>
          <w:sz w:val="20"/>
          <w:szCs w:val="20"/>
          <w:bdr w:val="none" w:sz="0" w:space="0" w:color="auto"/>
          <w:lang w:val="es-CO"/>
        </w:rPr>
        <w:t xml:space="preserve"> y que a la fecha de la presentación de la petición, la etapa de instrucción llevaba </w:t>
      </w:r>
      <w:r w:rsidR="00B96C5C" w:rsidRPr="00165EC6">
        <w:rPr>
          <w:rFonts w:ascii="Cambria" w:eastAsia="Batang" w:hAnsi="Cambria"/>
          <w:sz w:val="20"/>
          <w:szCs w:val="20"/>
          <w:bdr w:val="none" w:sz="0" w:space="0" w:color="auto"/>
          <w:lang w:val="es-CO"/>
        </w:rPr>
        <w:t>tres</w:t>
      </w:r>
      <w:r w:rsidRPr="00165EC6">
        <w:rPr>
          <w:rFonts w:ascii="Cambria" w:eastAsia="Batang" w:hAnsi="Cambria"/>
          <w:sz w:val="20"/>
          <w:szCs w:val="20"/>
          <w:bdr w:val="none" w:sz="0" w:space="0" w:color="auto"/>
          <w:lang w:val="es-CO"/>
        </w:rPr>
        <w:t xml:space="preserve"> años. Agregó que dentro de la acción penal se decretó la prisión preventiva del propietario de la fábrica Osvaldo Prazeres Bastos, quien se encontraba prófugo. Afirmó que la demora en sede penal ha repercutido en </w:t>
      </w:r>
      <w:r w:rsidRPr="00165EC6">
        <w:rPr>
          <w:rFonts w:ascii="Cambria" w:eastAsia="Batang" w:hAnsi="Cambria"/>
          <w:b/>
          <w:sz w:val="20"/>
          <w:szCs w:val="20"/>
          <w:bdr w:val="none" w:sz="0" w:space="0" w:color="auto"/>
          <w:lang w:val="es-CO"/>
        </w:rPr>
        <w:t>sede civil,</w:t>
      </w:r>
      <w:r w:rsidR="00B96C5C" w:rsidRPr="00165EC6">
        <w:rPr>
          <w:rFonts w:ascii="Cambria" w:eastAsia="Batang" w:hAnsi="Cambria"/>
          <w:sz w:val="20"/>
          <w:szCs w:val="20"/>
          <w:bdr w:val="none" w:sz="0" w:space="0" w:color="auto"/>
          <w:lang w:val="es-CO"/>
        </w:rPr>
        <w:t xml:space="preserve"> que</w:t>
      </w:r>
      <w:r w:rsidR="00B96C5C" w:rsidRPr="00165EC6">
        <w:rPr>
          <w:rFonts w:ascii="Cambria" w:eastAsia="Batang" w:hAnsi="Cambria"/>
          <w:b/>
          <w:sz w:val="20"/>
          <w:szCs w:val="20"/>
          <w:bdr w:val="none" w:sz="0" w:space="0" w:color="auto"/>
          <w:lang w:val="es-CO"/>
        </w:rPr>
        <w:t xml:space="preserve"> </w:t>
      </w:r>
      <w:r w:rsidRPr="00165EC6">
        <w:rPr>
          <w:rFonts w:ascii="Cambria" w:eastAsia="Batang" w:hAnsi="Cambria"/>
          <w:sz w:val="20"/>
          <w:szCs w:val="20"/>
          <w:bdr w:val="none" w:sz="0" w:space="0" w:color="auto"/>
          <w:lang w:val="es-CO"/>
        </w:rPr>
        <w:t>se resolvería más rápido si hubiese condena penal. En ese sentido, indicó que se interpuso una acción por indemnización el 9 de febrero de 1999 pero, a la fecha de presentación de la petición, no se había abierto la fase de instrucción o producción de pruebas. Señal</w:t>
      </w:r>
      <w:r w:rsidR="00446F5D" w:rsidRPr="00165EC6">
        <w:rPr>
          <w:rFonts w:ascii="Cambria" w:eastAsia="Batang" w:hAnsi="Cambria"/>
          <w:sz w:val="20"/>
          <w:szCs w:val="20"/>
          <w:bdr w:val="none" w:sz="0" w:space="0" w:color="auto"/>
          <w:lang w:val="es-CO"/>
        </w:rPr>
        <w:t>ó</w:t>
      </w:r>
      <w:r w:rsidRPr="00165EC6">
        <w:rPr>
          <w:rFonts w:ascii="Cambria" w:eastAsia="Batang" w:hAnsi="Cambria"/>
          <w:sz w:val="20"/>
          <w:szCs w:val="20"/>
          <w:bdr w:val="none" w:sz="0" w:space="0" w:color="auto"/>
          <w:lang w:val="es-CO"/>
        </w:rPr>
        <w:t xml:space="preserve"> que en sede </w:t>
      </w:r>
      <w:r w:rsidRPr="00165EC6">
        <w:rPr>
          <w:rFonts w:ascii="Cambria" w:eastAsia="Batang" w:hAnsi="Cambria"/>
          <w:b/>
          <w:sz w:val="20"/>
          <w:szCs w:val="20"/>
          <w:bdr w:val="none" w:sz="0" w:space="0" w:color="auto"/>
          <w:lang w:val="es-CO"/>
        </w:rPr>
        <w:t>laboral</w:t>
      </w:r>
      <w:r w:rsidRPr="00165EC6">
        <w:rPr>
          <w:rFonts w:ascii="Cambria" w:eastAsia="Batang" w:hAnsi="Cambria"/>
          <w:sz w:val="20"/>
          <w:szCs w:val="20"/>
          <w:bdr w:val="none" w:sz="0" w:space="0" w:color="auto"/>
          <w:lang w:val="es-CO"/>
        </w:rPr>
        <w:t xml:space="preserve"> se interpusieron 76 demandas y que la mayoría fueron rechazadas en primera instancia</w:t>
      </w:r>
      <w:r w:rsidR="00EB0342" w:rsidRPr="00165EC6">
        <w:rPr>
          <w:rFonts w:ascii="Cambria" w:eastAsia="Batang" w:hAnsi="Cambria"/>
          <w:sz w:val="20"/>
          <w:szCs w:val="20"/>
          <w:bdr w:val="none" w:sz="0" w:space="0" w:color="auto"/>
          <w:lang w:val="es-CO"/>
        </w:rPr>
        <w:t xml:space="preserve"> pero</w:t>
      </w:r>
      <w:r w:rsidRPr="00165EC6">
        <w:rPr>
          <w:rFonts w:ascii="Cambria" w:eastAsia="Batang" w:hAnsi="Cambria"/>
          <w:sz w:val="20"/>
          <w:szCs w:val="20"/>
          <w:bdr w:val="none" w:sz="0" w:space="0" w:color="auto"/>
          <w:lang w:val="es-CO"/>
        </w:rPr>
        <w:t xml:space="preserve"> que en segunda instancia, </w:t>
      </w:r>
      <w:r w:rsidR="00420C8D" w:rsidRPr="00165EC6">
        <w:rPr>
          <w:rFonts w:ascii="Cambria" w:eastAsia="Batang" w:hAnsi="Cambria"/>
          <w:sz w:val="20"/>
          <w:szCs w:val="20"/>
          <w:bdr w:val="none" w:sz="0" w:space="0" w:color="auto"/>
          <w:lang w:val="es-CO"/>
        </w:rPr>
        <w:t>46</w:t>
      </w:r>
      <w:r w:rsidRPr="00165EC6">
        <w:rPr>
          <w:rFonts w:ascii="Cambria" w:eastAsia="Batang" w:hAnsi="Cambria"/>
          <w:sz w:val="20"/>
          <w:szCs w:val="20"/>
          <w:bdr w:val="none" w:sz="0" w:space="0" w:color="auto"/>
          <w:lang w:val="es-CO"/>
        </w:rPr>
        <w:t xml:space="preserve"> demandas fueron reconsideradas </w:t>
      </w:r>
      <w:r w:rsidR="00EB0342" w:rsidRPr="00165EC6">
        <w:rPr>
          <w:rFonts w:ascii="Cambria" w:eastAsia="Batang" w:hAnsi="Cambria"/>
          <w:sz w:val="20"/>
          <w:szCs w:val="20"/>
          <w:bdr w:val="none" w:sz="0" w:space="0" w:color="auto"/>
          <w:lang w:val="es-CO"/>
        </w:rPr>
        <w:t xml:space="preserve">y se reconocieron </w:t>
      </w:r>
      <w:r w:rsidRPr="00165EC6">
        <w:rPr>
          <w:rFonts w:ascii="Cambria" w:eastAsia="Batang" w:hAnsi="Cambria"/>
          <w:sz w:val="20"/>
          <w:szCs w:val="20"/>
          <w:bdr w:val="none" w:sz="0" w:space="0" w:color="auto"/>
          <w:lang w:val="es-CO"/>
        </w:rPr>
        <w:t xml:space="preserve">los vínculos laborales entre las víctimas y la empresa. </w:t>
      </w:r>
    </w:p>
    <w:p w:rsidR="00277412" w:rsidRPr="00165EC6" w:rsidRDefault="00277412" w:rsidP="002504F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CO"/>
        </w:rPr>
      </w:pPr>
    </w:p>
    <w:p w:rsidR="00EB0342" w:rsidRPr="00165EC6" w:rsidRDefault="00277412"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cs="Arial"/>
          <w:caps/>
          <w:sz w:val="20"/>
          <w:szCs w:val="20"/>
          <w:bdr w:val="none" w:sz="0" w:space="0" w:color="auto"/>
          <w:lang w:val="es-MX"/>
        </w:rPr>
      </w:pPr>
      <w:r w:rsidRPr="00165EC6">
        <w:rPr>
          <w:rFonts w:ascii="Cambria" w:eastAsia="Batang" w:hAnsi="Cambria"/>
          <w:sz w:val="20"/>
          <w:szCs w:val="20"/>
          <w:bdr w:val="none" w:sz="0" w:space="0" w:color="auto"/>
          <w:lang w:val="es-MX"/>
        </w:rPr>
        <w:t>En enero de 2004, la parte peticionaria resaltó que las decisiones de la justicia laboral en favor de las víctimas y sus familias no fueron cumplidas porque la fábrica en cuestión fue registrada en nombre de Mario Fróes Prazeres Bastos, “hijo del real dueño de la empresa”, Osvaldo Prazeres Bastos; por ello, no contaba con patrimonio suficiente para pagar la deuda.</w:t>
      </w:r>
      <w:r w:rsidR="00EB0342" w:rsidRPr="00165EC6">
        <w:rPr>
          <w:rFonts w:ascii="Cambria" w:eastAsia="Batang" w:hAnsi="Cambria"/>
          <w:sz w:val="20"/>
          <w:szCs w:val="20"/>
          <w:bdr w:val="none" w:sz="0" w:space="0" w:color="auto"/>
          <w:lang w:val="es-AR"/>
        </w:rPr>
        <w:t xml:space="preserve"> Afirmó que el Estado no realizó las diligencias necesarias para la identificación de los bienes existentes para </w:t>
      </w:r>
      <w:r w:rsidR="0067559B" w:rsidRPr="00165EC6">
        <w:rPr>
          <w:rFonts w:ascii="Cambria" w:eastAsia="Batang" w:hAnsi="Cambria"/>
          <w:sz w:val="20"/>
          <w:szCs w:val="20"/>
          <w:bdr w:val="none" w:sz="0" w:space="0" w:color="auto"/>
          <w:lang w:val="es-AR"/>
        </w:rPr>
        <w:t>ejecutar e</w:t>
      </w:r>
      <w:r w:rsidR="00EB0342" w:rsidRPr="00165EC6">
        <w:rPr>
          <w:rFonts w:ascii="Cambria" w:eastAsia="Batang" w:hAnsi="Cambria"/>
          <w:sz w:val="20"/>
          <w:szCs w:val="20"/>
          <w:bdr w:val="none" w:sz="0" w:space="0" w:color="auto"/>
          <w:lang w:val="es-AR"/>
        </w:rPr>
        <w:t>l pago correspondiente.</w:t>
      </w:r>
      <w:r w:rsidRPr="00165EC6">
        <w:rPr>
          <w:rFonts w:ascii="Cambria" w:eastAsia="Batang" w:hAnsi="Cambria"/>
          <w:sz w:val="20"/>
          <w:szCs w:val="20"/>
          <w:bdr w:val="none" w:sz="0" w:space="0" w:color="auto"/>
          <w:lang w:val="es-MX"/>
        </w:rPr>
        <w:t xml:space="preserve"> </w:t>
      </w:r>
    </w:p>
    <w:p w:rsidR="00EB0342" w:rsidRPr="00165EC6" w:rsidRDefault="00EB0342" w:rsidP="002504F6">
      <w:pPr>
        <w:pStyle w:val="ListParagraph"/>
        <w:ind w:left="0" w:firstLine="720"/>
        <w:jc w:val="both"/>
        <w:rPr>
          <w:rFonts w:eastAsia="Batang"/>
          <w:color w:val="auto"/>
          <w:sz w:val="20"/>
          <w:szCs w:val="20"/>
          <w:bdr w:val="none" w:sz="0" w:space="0" w:color="auto"/>
          <w:lang w:val="es-MX"/>
        </w:rPr>
      </w:pPr>
    </w:p>
    <w:p w:rsidR="00EB0342" w:rsidRPr="00165EC6" w:rsidRDefault="00277412"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MX"/>
        </w:rPr>
      </w:pPr>
      <w:r w:rsidRPr="00165EC6">
        <w:rPr>
          <w:rFonts w:ascii="Cambria" w:eastAsia="Batang" w:hAnsi="Cambria"/>
          <w:sz w:val="20"/>
          <w:szCs w:val="20"/>
          <w:bdr w:val="none" w:sz="0" w:space="0" w:color="auto"/>
          <w:lang w:val="es-MX"/>
        </w:rPr>
        <w:t>Indicó también que</w:t>
      </w:r>
      <w:r w:rsidR="006C7F40">
        <w:rPr>
          <w:rFonts w:ascii="Cambria" w:eastAsia="Batang" w:hAnsi="Cambria"/>
          <w:sz w:val="20"/>
          <w:szCs w:val="20"/>
          <w:bdr w:val="none" w:sz="0" w:space="0" w:color="auto"/>
          <w:lang w:val="es-MX"/>
        </w:rPr>
        <w:t>,</w:t>
      </w:r>
      <w:r w:rsidRPr="00165EC6">
        <w:rPr>
          <w:rFonts w:ascii="Cambria" w:eastAsia="Batang" w:hAnsi="Cambria"/>
          <w:sz w:val="20"/>
          <w:szCs w:val="20"/>
          <w:bdr w:val="none" w:sz="0" w:space="0" w:color="auto"/>
          <w:lang w:val="es-MX"/>
        </w:rPr>
        <w:t xml:space="preserve"> en 2004</w:t>
      </w:r>
      <w:r w:rsidR="006C7F40">
        <w:rPr>
          <w:rFonts w:ascii="Cambria" w:eastAsia="Batang" w:hAnsi="Cambria"/>
          <w:sz w:val="20"/>
          <w:szCs w:val="20"/>
          <w:bdr w:val="none" w:sz="0" w:space="0" w:color="auto"/>
          <w:lang w:val="es-MX"/>
        </w:rPr>
        <w:t>,</w:t>
      </w:r>
      <w:r w:rsidRPr="00165EC6">
        <w:rPr>
          <w:rFonts w:ascii="Cambria" w:eastAsia="Batang" w:hAnsi="Cambria"/>
          <w:sz w:val="20"/>
          <w:szCs w:val="20"/>
          <w:bdr w:val="none" w:sz="0" w:space="0" w:color="auto"/>
          <w:lang w:val="es-MX"/>
        </w:rPr>
        <w:t xml:space="preserve"> la fábrica aún estaba en actividad y que los trabajadores corrían más riesgo puesto que estaban llevando material explosivo para sus casas. Alegó que no se habían tomado medidas efectivas en favor de las familias ni de los sobrevivientes, quienes requerían tratamientos médicos urgentes. </w:t>
      </w:r>
      <w:r w:rsidR="00EB0342" w:rsidRPr="00165EC6">
        <w:rPr>
          <w:rFonts w:ascii="Cambria" w:eastAsia="Batang" w:hAnsi="Cambria"/>
          <w:sz w:val="20"/>
          <w:szCs w:val="20"/>
          <w:bdr w:val="none" w:sz="0" w:space="0" w:color="auto"/>
          <w:lang w:val="es-MX"/>
        </w:rPr>
        <w:t>La parte peticionaria agregó que la fábrica contaba con permisos del Ministerio del Ejército y la municipalidad. Afirmó que el ejército solamente suspendió la concesión de permiso seis meses después de la explosión. Señaló que otro aspecto a tenerse en cuenta es que “el real el propietario de la fábrica, Osvaldo Prazeres Bastos” fue condenado por homicidio culposo, en abril de 1996, por otra explosión ocurrida en el marco de sus actividades industriales.</w:t>
      </w:r>
    </w:p>
    <w:p w:rsidR="00277412" w:rsidRPr="00165EC6" w:rsidRDefault="00277412" w:rsidP="002504F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CO"/>
        </w:rPr>
      </w:pPr>
    </w:p>
    <w:p w:rsidR="00277412" w:rsidRPr="00165EC6" w:rsidRDefault="00277412"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CO"/>
        </w:rPr>
      </w:pPr>
      <w:r w:rsidRPr="00165EC6">
        <w:rPr>
          <w:rFonts w:ascii="Cambria" w:eastAsia="Batang" w:hAnsi="Cambria"/>
          <w:sz w:val="20"/>
          <w:szCs w:val="20"/>
          <w:bdr w:val="none" w:sz="0" w:space="0" w:color="auto"/>
          <w:lang w:val="es-CO"/>
        </w:rPr>
        <w:t xml:space="preserve">Por otra parte, informó que el gobierno del Estado de Bahía, en conjunto con la municipalidad y otros entes de la sociedad civil organizada, intentó crear en 1999 el proyecto “Fenix”, por </w:t>
      </w:r>
      <w:r w:rsidRPr="00165EC6">
        <w:rPr>
          <w:rFonts w:ascii="Cambria" w:eastAsia="Batang" w:hAnsi="Cambria"/>
          <w:sz w:val="20"/>
          <w:szCs w:val="20"/>
          <w:bdr w:val="none" w:sz="0" w:space="0" w:color="auto"/>
          <w:lang w:val="es-CO"/>
        </w:rPr>
        <w:lastRenderedPageBreak/>
        <w:t xml:space="preserve">medio del cual habría de regularizar el funcionamiento de las fábricas de fuegos artificiales en la región. Alegaron que, a la fecha de presentación de la petición, el proyecto no había sido ejecutado. </w:t>
      </w:r>
    </w:p>
    <w:p w:rsidR="00277412" w:rsidRPr="00165EC6" w:rsidRDefault="00277412" w:rsidP="002504F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CO"/>
        </w:rPr>
      </w:pPr>
    </w:p>
    <w:p w:rsidR="000973E6" w:rsidRPr="00165EC6" w:rsidRDefault="00277412"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CO"/>
        </w:rPr>
      </w:pPr>
      <w:r w:rsidRPr="00165EC6">
        <w:rPr>
          <w:rFonts w:ascii="Cambria" w:eastAsia="Batang" w:hAnsi="Cambria"/>
          <w:sz w:val="20"/>
          <w:szCs w:val="20"/>
          <w:bdr w:val="none" w:sz="0" w:space="0" w:color="auto"/>
          <w:lang w:val="es-CO"/>
        </w:rPr>
        <w:t xml:space="preserve">Afirmó que el Estado violó el derecho a la vida e integridad personal de las víctimas de la explosión pues no adoptó medidas para prevenir los hechos, no obstante </w:t>
      </w:r>
      <w:r w:rsidR="00DE6E25" w:rsidRPr="00165EC6">
        <w:rPr>
          <w:rFonts w:ascii="Cambria" w:eastAsia="Batang" w:hAnsi="Cambria"/>
          <w:sz w:val="20"/>
          <w:szCs w:val="20"/>
          <w:bdr w:val="none" w:sz="0" w:space="0" w:color="auto"/>
          <w:lang w:val="es-CO"/>
        </w:rPr>
        <w:t xml:space="preserve">que fue un hecho notorio que estuvo funcionando y de </w:t>
      </w:r>
      <w:r w:rsidRPr="00165EC6">
        <w:rPr>
          <w:rFonts w:ascii="Cambria" w:eastAsia="Batang" w:hAnsi="Cambria"/>
          <w:sz w:val="20"/>
          <w:szCs w:val="20"/>
          <w:bdr w:val="none" w:sz="0" w:space="0" w:color="auto"/>
          <w:lang w:val="es-CO"/>
        </w:rPr>
        <w:t>tener información suficiente respect</w:t>
      </w:r>
      <w:r w:rsidR="00DE6E25" w:rsidRPr="00165EC6">
        <w:rPr>
          <w:rFonts w:ascii="Cambria" w:eastAsia="Batang" w:hAnsi="Cambria"/>
          <w:sz w:val="20"/>
          <w:szCs w:val="20"/>
          <w:bdr w:val="none" w:sz="0" w:space="0" w:color="auto"/>
          <w:lang w:val="es-CO"/>
        </w:rPr>
        <w:t xml:space="preserve">o de las irregularidades  </w:t>
      </w:r>
      <w:r w:rsidRPr="00165EC6">
        <w:rPr>
          <w:rFonts w:ascii="Cambria" w:eastAsia="Batang" w:hAnsi="Cambria"/>
          <w:sz w:val="20"/>
          <w:szCs w:val="20"/>
          <w:bdr w:val="none" w:sz="0" w:space="0" w:color="auto"/>
          <w:lang w:val="es-CO"/>
        </w:rPr>
        <w:t>de la fábrica y del antecedente de la explosión sucedida unos años antes, en otra empresa del mismo dueño.</w:t>
      </w:r>
      <w:r w:rsidR="000973E6" w:rsidRPr="00165EC6">
        <w:rPr>
          <w:rFonts w:ascii="Cambria" w:eastAsia="Batang" w:hAnsi="Cambria"/>
          <w:sz w:val="20"/>
          <w:szCs w:val="20"/>
          <w:bdr w:val="none" w:sz="0" w:space="0" w:color="auto"/>
          <w:lang w:val="es-CO"/>
        </w:rPr>
        <w:t xml:space="preserve"> Arguyó que el Estado violó los derechos del niño, al permitir que niños y niñas trabajaran en actividades peligrosas, poniendo sus vidas en riesgo.</w:t>
      </w:r>
    </w:p>
    <w:p w:rsidR="00277412" w:rsidRPr="00165EC6" w:rsidRDefault="00277412" w:rsidP="002504F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CO"/>
        </w:rPr>
      </w:pPr>
    </w:p>
    <w:p w:rsidR="00277412" w:rsidRPr="00165EC6" w:rsidRDefault="009B581D"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CO"/>
        </w:rPr>
      </w:pPr>
      <w:r w:rsidRPr="00165EC6">
        <w:rPr>
          <w:rFonts w:ascii="Cambria" w:eastAsia="Batang" w:hAnsi="Cambria"/>
          <w:sz w:val="20"/>
          <w:szCs w:val="20"/>
          <w:bdr w:val="none" w:sz="0" w:space="0" w:color="auto"/>
          <w:lang w:val="es-CO"/>
        </w:rPr>
        <w:t>A</w:t>
      </w:r>
      <w:r w:rsidR="00277412" w:rsidRPr="00165EC6">
        <w:rPr>
          <w:rFonts w:ascii="Cambria" w:eastAsia="Batang" w:hAnsi="Cambria"/>
          <w:sz w:val="20"/>
          <w:szCs w:val="20"/>
          <w:bdr w:val="none" w:sz="0" w:space="0" w:color="auto"/>
          <w:lang w:val="es-CO"/>
        </w:rPr>
        <w:t>rgumentó que no se ha llevado a cabo una investigación adecuada de los hechos</w:t>
      </w:r>
      <w:r w:rsidRPr="00165EC6">
        <w:rPr>
          <w:rFonts w:ascii="Cambria" w:eastAsia="Batang" w:hAnsi="Cambria"/>
          <w:sz w:val="20"/>
          <w:szCs w:val="20"/>
          <w:bdr w:val="none" w:sz="0" w:space="0" w:color="auto"/>
          <w:lang w:val="es-CO"/>
        </w:rPr>
        <w:t xml:space="preserve"> y</w:t>
      </w:r>
      <w:r w:rsidR="00277412" w:rsidRPr="00165EC6">
        <w:rPr>
          <w:rFonts w:ascii="Cambria" w:eastAsia="Batang" w:hAnsi="Cambria"/>
          <w:sz w:val="20"/>
          <w:szCs w:val="20"/>
          <w:bdr w:val="none" w:sz="0" w:space="0" w:color="auto"/>
          <w:lang w:val="es-CO"/>
        </w:rPr>
        <w:t xml:space="preserve"> que los recursos no han sido efectivos</w:t>
      </w:r>
      <w:r w:rsidRPr="00165EC6">
        <w:rPr>
          <w:rFonts w:ascii="Cambria" w:eastAsia="Batang" w:hAnsi="Cambria"/>
          <w:sz w:val="20"/>
          <w:szCs w:val="20"/>
          <w:bdr w:val="none" w:sz="0" w:space="0" w:color="auto"/>
          <w:lang w:val="es-CO"/>
        </w:rPr>
        <w:t xml:space="preserve"> en violación de </w:t>
      </w:r>
      <w:r w:rsidR="00277412" w:rsidRPr="00165EC6">
        <w:rPr>
          <w:rFonts w:ascii="Cambria" w:eastAsia="Batang" w:hAnsi="Cambria"/>
          <w:sz w:val="20"/>
          <w:szCs w:val="20"/>
          <w:bdr w:val="none" w:sz="0" w:space="0" w:color="auto"/>
          <w:lang w:val="es-CO"/>
        </w:rPr>
        <w:t>los derechos a las garantías judiciales y de protección judicial</w:t>
      </w:r>
      <w:r w:rsidR="00F27E4C" w:rsidRPr="00165EC6">
        <w:rPr>
          <w:rFonts w:ascii="Cambria" w:eastAsia="Batang" w:hAnsi="Cambria"/>
          <w:sz w:val="20"/>
          <w:szCs w:val="20"/>
          <w:bdr w:val="none" w:sz="0" w:space="0" w:color="auto"/>
          <w:lang w:val="es-CO"/>
        </w:rPr>
        <w:t>.</w:t>
      </w:r>
    </w:p>
    <w:p w:rsidR="000973E6" w:rsidRPr="00165EC6" w:rsidRDefault="000973E6" w:rsidP="002504F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CO"/>
        </w:rPr>
      </w:pPr>
    </w:p>
    <w:p w:rsidR="00277412" w:rsidRPr="00165EC6" w:rsidRDefault="00277412"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cs="Arial"/>
          <w:caps/>
          <w:sz w:val="20"/>
          <w:szCs w:val="20"/>
          <w:bdr w:val="none" w:sz="0" w:space="0" w:color="auto"/>
          <w:lang w:val="es-MX"/>
        </w:rPr>
      </w:pPr>
      <w:r w:rsidRPr="00165EC6">
        <w:rPr>
          <w:rFonts w:ascii="Cambria" w:eastAsia="Batang" w:hAnsi="Cambria"/>
          <w:sz w:val="20"/>
          <w:szCs w:val="20"/>
          <w:bdr w:val="none" w:sz="0" w:space="0" w:color="auto"/>
          <w:lang w:val="es-MX"/>
        </w:rPr>
        <w:t>En cuanto a los requisitos de admisibilidad, señaló que la Comisión tiene competencia para conocer el caso</w:t>
      </w:r>
      <w:r w:rsidR="000973E6" w:rsidRPr="00165EC6">
        <w:rPr>
          <w:rFonts w:ascii="Cambria" w:eastAsia="Batang" w:hAnsi="Cambria"/>
          <w:sz w:val="20"/>
          <w:szCs w:val="20"/>
          <w:bdr w:val="none" w:sz="0" w:space="0" w:color="auto"/>
          <w:lang w:val="es-MX"/>
        </w:rPr>
        <w:t xml:space="preserve"> y que</w:t>
      </w:r>
      <w:r w:rsidR="004308C2" w:rsidRPr="00165EC6">
        <w:rPr>
          <w:rFonts w:ascii="Cambria" w:eastAsia="Batang" w:hAnsi="Cambria"/>
          <w:sz w:val="20"/>
          <w:szCs w:val="20"/>
          <w:bdr w:val="none" w:sz="0" w:space="0" w:color="auto"/>
          <w:lang w:val="es-MX"/>
        </w:rPr>
        <w:t xml:space="preserve"> resulta aplicable </w:t>
      </w:r>
      <w:r w:rsidRPr="00165EC6">
        <w:rPr>
          <w:rFonts w:ascii="Cambria" w:eastAsia="Batang" w:hAnsi="Cambria"/>
          <w:sz w:val="20"/>
          <w:szCs w:val="20"/>
          <w:bdr w:val="none" w:sz="0" w:space="0" w:color="auto"/>
          <w:lang w:val="es-MX"/>
        </w:rPr>
        <w:t>la excepción del inciso del artículo 46.2.c. de la Convención, por la demora excesiva e injustificada de los recursos internos.</w:t>
      </w:r>
      <w:r w:rsidR="004308C2" w:rsidRPr="00165EC6">
        <w:rPr>
          <w:rFonts w:ascii="Cambria" w:eastAsia="Batang" w:hAnsi="Cambria"/>
          <w:sz w:val="20"/>
          <w:szCs w:val="20"/>
          <w:bdr w:val="none" w:sz="0" w:space="0" w:color="auto"/>
          <w:lang w:val="es-MX"/>
        </w:rPr>
        <w:t xml:space="preserve"> A</w:t>
      </w:r>
      <w:r w:rsidRPr="00165EC6">
        <w:rPr>
          <w:rFonts w:ascii="Cambria" w:eastAsia="Batang" w:hAnsi="Cambria"/>
          <w:sz w:val="20"/>
          <w:szCs w:val="20"/>
          <w:bdr w:val="none" w:sz="0" w:space="0" w:color="auto"/>
          <w:lang w:val="es-MX"/>
        </w:rPr>
        <w:t xml:space="preserve">firmó que </w:t>
      </w:r>
      <w:r w:rsidR="002740EE" w:rsidRPr="00165EC6">
        <w:rPr>
          <w:rFonts w:ascii="Cambria" w:eastAsia="Batang" w:hAnsi="Cambria"/>
          <w:sz w:val="20"/>
          <w:szCs w:val="20"/>
          <w:bdr w:val="none" w:sz="0" w:space="0" w:color="auto"/>
          <w:lang w:val="es-MX"/>
        </w:rPr>
        <w:t xml:space="preserve">la </w:t>
      </w:r>
      <w:r w:rsidRPr="00165EC6">
        <w:rPr>
          <w:rFonts w:ascii="Cambria" w:eastAsia="Batang" w:hAnsi="Cambria"/>
          <w:sz w:val="20"/>
          <w:szCs w:val="20"/>
          <w:bdr w:val="none" w:sz="0" w:space="0" w:color="auto"/>
          <w:lang w:val="es-MX"/>
        </w:rPr>
        <w:t>petición fue</w:t>
      </w:r>
      <w:r w:rsidR="002740EE" w:rsidRPr="00165EC6">
        <w:rPr>
          <w:rFonts w:ascii="Cambria" w:eastAsia="Batang" w:hAnsi="Cambria"/>
          <w:sz w:val="20"/>
          <w:szCs w:val="20"/>
          <w:bdr w:val="none" w:sz="0" w:space="0" w:color="auto"/>
          <w:lang w:val="es-MX"/>
        </w:rPr>
        <w:t xml:space="preserve"> interpuesta en un plazo razonable</w:t>
      </w:r>
      <w:r w:rsidRPr="00165EC6">
        <w:rPr>
          <w:rFonts w:ascii="Cambria" w:eastAsia="Batang" w:hAnsi="Cambria"/>
          <w:sz w:val="20"/>
          <w:szCs w:val="20"/>
          <w:bdr w:val="none" w:sz="0" w:space="0" w:color="auto"/>
          <w:lang w:val="es-MX"/>
        </w:rPr>
        <w:t>, de conformidad con el artículo 32.2 del Reglamento de la Comisión y que no hay otro procedimiento sobre el mismo caso ante otro órgano internacional.</w:t>
      </w:r>
    </w:p>
    <w:p w:rsidR="00277412" w:rsidRPr="00165EC6" w:rsidRDefault="00277412" w:rsidP="002504F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cs="Arial"/>
          <w:caps/>
          <w:sz w:val="20"/>
          <w:szCs w:val="20"/>
          <w:bdr w:val="none" w:sz="0" w:space="0" w:color="auto"/>
          <w:lang w:val="es-MX"/>
        </w:rPr>
      </w:pPr>
    </w:p>
    <w:p w:rsidR="00277412" w:rsidRPr="00165EC6" w:rsidRDefault="00277412"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cs="Arial"/>
          <w:caps/>
          <w:sz w:val="20"/>
          <w:szCs w:val="20"/>
          <w:bdr w:val="none" w:sz="0" w:space="0" w:color="auto"/>
          <w:lang w:val="es-MX"/>
        </w:rPr>
      </w:pPr>
      <w:r w:rsidRPr="00165EC6">
        <w:rPr>
          <w:rFonts w:ascii="Cambria" w:eastAsia="Batang" w:hAnsi="Cambria"/>
          <w:sz w:val="20"/>
          <w:szCs w:val="20"/>
          <w:bdr w:val="none" w:sz="0" w:space="0" w:color="auto"/>
          <w:lang w:val="es-MX"/>
        </w:rPr>
        <w:t xml:space="preserve">En 2010, la parte peticionaria informó que habían ocurrido más muertes en la región a causa de otras explosiones de fábricas de fuegos artificiales. Asimismo, indicó que las víctimas del presente caso permanecían sin reparación o asistencia del Estado. Informó que algunos parientes de las 70 víctimas de la explosión ocurrida el 11 de diciembre de 1998 habían fallecido sin encontrar justicia y sin recibir indemnización por la muerte de sus seres queridos. </w:t>
      </w:r>
      <w:r w:rsidRPr="00165EC6">
        <w:rPr>
          <w:rFonts w:ascii="Cambria" w:eastAsia="Batang" w:hAnsi="Cambria" w:cs="Arial"/>
          <w:sz w:val="20"/>
          <w:szCs w:val="20"/>
          <w:bdr w:val="none" w:sz="0" w:space="0" w:color="auto"/>
          <w:lang w:val="es-ES"/>
        </w:rPr>
        <w:t xml:space="preserve"> </w:t>
      </w:r>
    </w:p>
    <w:p w:rsidR="00277412" w:rsidRPr="00165EC6" w:rsidRDefault="00277412" w:rsidP="00B820BB">
      <w:pPr>
        <w:pStyle w:val="Heading2"/>
        <w:ind w:firstLine="720"/>
        <w:rPr>
          <w:rFonts w:asciiTheme="majorHAnsi" w:hAnsiTheme="majorHAnsi"/>
          <w:i w:val="0"/>
          <w:sz w:val="20"/>
          <w:szCs w:val="20"/>
          <w:lang w:val="es-ES"/>
        </w:rPr>
      </w:pPr>
      <w:bookmarkStart w:id="5" w:name="_Toc506225820"/>
      <w:r w:rsidRPr="00165EC6">
        <w:rPr>
          <w:rFonts w:asciiTheme="majorHAnsi" w:hAnsiTheme="majorHAnsi"/>
          <w:i w:val="0"/>
          <w:sz w:val="20"/>
          <w:szCs w:val="20"/>
          <w:lang w:val="es-ES"/>
        </w:rPr>
        <w:t>B.</w:t>
      </w:r>
      <w:r w:rsidRPr="00165EC6">
        <w:rPr>
          <w:rFonts w:asciiTheme="majorHAnsi" w:hAnsiTheme="majorHAnsi"/>
          <w:i w:val="0"/>
          <w:sz w:val="20"/>
          <w:szCs w:val="20"/>
          <w:lang w:val="es-ES"/>
        </w:rPr>
        <w:tab/>
        <w:t>Alegatos del Estado</w:t>
      </w:r>
      <w:bookmarkEnd w:id="5"/>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cs="Arial"/>
          <w:b/>
          <w:sz w:val="20"/>
          <w:szCs w:val="20"/>
          <w:bdr w:val="none" w:sz="0" w:space="0" w:color="auto"/>
          <w:lang w:val="es-MX"/>
        </w:rPr>
      </w:pPr>
    </w:p>
    <w:p w:rsidR="00277412" w:rsidRPr="00165EC6" w:rsidRDefault="004308C2"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CO"/>
        </w:rPr>
      </w:pPr>
      <w:r w:rsidRPr="00165EC6">
        <w:rPr>
          <w:rFonts w:ascii="Cambria" w:eastAsia="Batang" w:hAnsi="Cambria"/>
          <w:sz w:val="20"/>
          <w:szCs w:val="20"/>
          <w:bdr w:val="none" w:sz="0" w:space="0" w:color="auto"/>
          <w:lang w:val="es-CO"/>
        </w:rPr>
        <w:t>E</w:t>
      </w:r>
      <w:r w:rsidR="00277412" w:rsidRPr="00165EC6">
        <w:rPr>
          <w:rFonts w:ascii="Cambria" w:eastAsia="Batang" w:hAnsi="Cambria"/>
          <w:sz w:val="20"/>
          <w:szCs w:val="20"/>
          <w:bdr w:val="none" w:sz="0" w:space="0" w:color="auto"/>
          <w:lang w:val="es-CO"/>
        </w:rPr>
        <w:t xml:space="preserve">l Estado indicó </w:t>
      </w:r>
      <w:r w:rsidR="005B7F98" w:rsidRPr="00165EC6">
        <w:rPr>
          <w:rFonts w:ascii="Cambria" w:eastAsia="Batang" w:hAnsi="Cambria"/>
          <w:sz w:val="20"/>
          <w:szCs w:val="20"/>
          <w:bdr w:val="none" w:sz="0" w:space="0" w:color="auto"/>
          <w:lang w:val="es-CO"/>
        </w:rPr>
        <w:t xml:space="preserve">el caso es inadmisible </w:t>
      </w:r>
      <w:r w:rsidR="00277412" w:rsidRPr="00165EC6">
        <w:rPr>
          <w:rFonts w:ascii="Cambria" w:eastAsia="Batang" w:hAnsi="Cambria"/>
          <w:sz w:val="20"/>
          <w:szCs w:val="20"/>
          <w:bdr w:val="none" w:sz="0" w:space="0" w:color="auto"/>
          <w:lang w:val="es-CO"/>
        </w:rPr>
        <w:t xml:space="preserve">y solicitó el archivo del caso por falta de agotamiento de los recursos internos. En primer lugar, porque </w:t>
      </w:r>
      <w:r w:rsidR="00277412" w:rsidRPr="00165EC6">
        <w:rPr>
          <w:rFonts w:ascii="Cambria" w:eastAsia="Batang" w:hAnsi="Cambria" w:cs="Arial"/>
          <w:sz w:val="20"/>
          <w:szCs w:val="20"/>
          <w:bdr w:val="none" w:sz="0" w:space="0" w:color="auto"/>
          <w:lang w:val="es-ES"/>
        </w:rPr>
        <w:t xml:space="preserve">aún se encontraba en trámite la acción penal seguida respecto de los hechos. Agregó que los recursos judiciales en Brasil estaban siendo manejados de conformidad con la complejidad del caso y en respeto a los derechos de los acusados. </w:t>
      </w:r>
    </w:p>
    <w:p w:rsidR="00277412" w:rsidRPr="00165EC6" w:rsidRDefault="00277412" w:rsidP="002504F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CO"/>
        </w:rPr>
      </w:pPr>
    </w:p>
    <w:p w:rsidR="00277412" w:rsidRPr="00165EC6" w:rsidRDefault="00277412"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CO"/>
        </w:rPr>
      </w:pPr>
      <w:r w:rsidRPr="00165EC6">
        <w:rPr>
          <w:rFonts w:ascii="Cambria" w:eastAsia="Batang" w:hAnsi="Cambria" w:cs="Arial"/>
          <w:sz w:val="20"/>
          <w:szCs w:val="20"/>
          <w:bdr w:val="none" w:sz="0" w:space="0" w:color="auto"/>
          <w:lang w:val="es-CO"/>
        </w:rPr>
        <w:t xml:space="preserve">Con relación </w:t>
      </w:r>
      <w:r w:rsidRPr="00165EC6">
        <w:rPr>
          <w:rFonts w:ascii="Cambria" w:eastAsia="Batang" w:hAnsi="Cambria" w:cs="Arial"/>
          <w:sz w:val="20"/>
          <w:szCs w:val="20"/>
          <w:bdr w:val="none" w:sz="0" w:space="0" w:color="auto"/>
          <w:lang w:val="es-ES"/>
        </w:rPr>
        <w:t xml:space="preserve"> a la situación laboral, sostuvo que se reconocieron los derechos de las víctimas a una indemnización; sin embargo, aclaró que no la han recibido debido a que no se logró identificar patrimonio del sentenciado para el pago de la deuda. </w:t>
      </w:r>
    </w:p>
    <w:p w:rsidR="00277412" w:rsidRPr="00165EC6" w:rsidRDefault="00277412" w:rsidP="002504F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cs="Arial"/>
          <w:sz w:val="20"/>
          <w:szCs w:val="20"/>
          <w:bdr w:val="none" w:sz="0" w:space="0" w:color="auto"/>
          <w:lang w:val="es-ES"/>
        </w:rPr>
      </w:pPr>
    </w:p>
    <w:p w:rsidR="00277412" w:rsidRPr="00165EC6" w:rsidRDefault="00B44A24"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CO"/>
        </w:rPr>
      </w:pPr>
      <w:r w:rsidRPr="00165EC6">
        <w:rPr>
          <w:rFonts w:ascii="Cambria" w:eastAsia="Batang" w:hAnsi="Cambria" w:cs="Arial"/>
          <w:sz w:val="20"/>
          <w:szCs w:val="20"/>
          <w:bdr w:val="none" w:sz="0" w:space="0" w:color="auto"/>
          <w:lang w:val="es-ES"/>
        </w:rPr>
        <w:t>E</w:t>
      </w:r>
      <w:r w:rsidR="00277412" w:rsidRPr="00165EC6">
        <w:rPr>
          <w:rFonts w:ascii="Cambria" w:eastAsia="Batang" w:hAnsi="Cambria" w:cs="Arial"/>
          <w:sz w:val="20"/>
          <w:szCs w:val="20"/>
          <w:bdr w:val="none" w:sz="0" w:space="0" w:color="auto"/>
          <w:lang w:val="es-ES"/>
        </w:rPr>
        <w:t xml:space="preserve">l Estado indicó que el procedimiento civil contra el Gobierno Federal de Brasil, el Estado de Bahía, la municipalidad de Santo Antônio de Jesús y la firma del señor Mário Fróes Bastos, continuaba en trámite, dada la complejidad del caso. Argumentó violación al principio de </w:t>
      </w:r>
      <w:r w:rsidR="00277412" w:rsidRPr="00165EC6">
        <w:rPr>
          <w:rFonts w:ascii="Cambria" w:eastAsia="Batang" w:hAnsi="Cambria" w:cs="Arial"/>
          <w:i/>
          <w:sz w:val="20"/>
          <w:szCs w:val="20"/>
          <w:bdr w:val="none" w:sz="0" w:space="0" w:color="auto"/>
          <w:lang w:val="es-ES"/>
        </w:rPr>
        <w:t>non bis in idem</w:t>
      </w:r>
      <w:r w:rsidR="00277412" w:rsidRPr="00165EC6">
        <w:rPr>
          <w:rFonts w:ascii="Cambria" w:eastAsia="Batang" w:hAnsi="Cambria" w:cs="Arial"/>
          <w:sz w:val="20"/>
          <w:szCs w:val="20"/>
          <w:bdr w:val="none" w:sz="0" w:space="0" w:color="auto"/>
          <w:lang w:val="es-ES"/>
        </w:rPr>
        <w:t>, al seguirse dos procesos contra Brasil, uno en el plano doméstico y otro en el ámbito internacional.</w:t>
      </w:r>
    </w:p>
    <w:p w:rsidR="00277412" w:rsidRPr="00165EC6" w:rsidRDefault="00277412" w:rsidP="002504F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cs="Arial"/>
          <w:sz w:val="20"/>
          <w:szCs w:val="20"/>
          <w:bdr w:val="none" w:sz="0" w:space="0" w:color="auto"/>
          <w:lang w:val="es-CO"/>
        </w:rPr>
      </w:pPr>
    </w:p>
    <w:p w:rsidR="00277412" w:rsidRPr="00165EC6" w:rsidRDefault="00277412"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CO"/>
        </w:rPr>
      </w:pPr>
      <w:r w:rsidRPr="00165EC6">
        <w:rPr>
          <w:rFonts w:ascii="Cambria" w:eastAsia="Batang" w:hAnsi="Cambria" w:cs="Arial"/>
          <w:sz w:val="20"/>
          <w:szCs w:val="20"/>
          <w:bdr w:val="none" w:sz="0" w:space="0" w:color="auto"/>
          <w:lang w:val="es-ES"/>
        </w:rPr>
        <w:t>Agregó que está</w:t>
      </w:r>
      <w:r w:rsidR="003532F2" w:rsidRPr="00165EC6">
        <w:rPr>
          <w:rFonts w:ascii="Cambria" w:eastAsia="Batang" w:hAnsi="Cambria" w:cs="Arial"/>
          <w:sz w:val="20"/>
          <w:szCs w:val="20"/>
          <w:bdr w:val="none" w:sz="0" w:space="0" w:color="auto"/>
          <w:lang w:val="es-ES"/>
        </w:rPr>
        <w:t xml:space="preserve"> cumpliendo </w:t>
      </w:r>
      <w:r w:rsidRPr="00165EC6">
        <w:rPr>
          <w:rFonts w:ascii="Cambria" w:eastAsia="Batang" w:hAnsi="Cambria" w:cs="Arial"/>
          <w:sz w:val="20"/>
          <w:szCs w:val="20"/>
          <w:bdr w:val="none" w:sz="0" w:space="0" w:color="auto"/>
          <w:lang w:val="es-ES"/>
        </w:rPr>
        <w:t xml:space="preserve">con sus obligaciones de fiscalización, razón por la cual instauró un procedimiento administrativo que resultó en la remoción, en 1999, de la autorización otorgada a la fábrica para continuar sus actividades. Asimismo, informó que se encontraba en trámite un proyecto de ley que concedería indemnización a las víctimas de la explosión. </w:t>
      </w:r>
    </w:p>
    <w:p w:rsidR="00277412" w:rsidRPr="00165EC6" w:rsidRDefault="00277412" w:rsidP="002504F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cs="Arial"/>
          <w:sz w:val="20"/>
          <w:szCs w:val="20"/>
          <w:bdr w:val="none" w:sz="0" w:space="0" w:color="auto"/>
          <w:lang w:val="es-CO"/>
        </w:rPr>
      </w:pPr>
    </w:p>
    <w:p w:rsidR="00277412" w:rsidRPr="00165EC6" w:rsidRDefault="00277412"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CO"/>
        </w:rPr>
      </w:pPr>
      <w:r w:rsidRPr="00165EC6">
        <w:rPr>
          <w:rFonts w:ascii="Cambria" w:eastAsia="Batang" w:hAnsi="Cambria" w:cs="Arial"/>
          <w:sz w:val="20"/>
          <w:szCs w:val="20"/>
          <w:bdr w:val="none" w:sz="0" w:space="0" w:color="auto"/>
          <w:lang w:val="es-ES"/>
        </w:rPr>
        <w:t>El Estado informó que ha tomado medidas para reducir la pobreza de la región, por medio de programas sociales, como el Proyecto Fênix,  con el fin de transformar la actividad empresarial y laboral de la región, para tornarla más segura, eliminando la miseria y el trabajo infantil, sobre todo en actividades peligrosas, esto último por medio del Programa de Erradicación del Trabajo Infantil – PETI</w:t>
      </w:r>
      <w:r w:rsidR="00C54367" w:rsidRPr="00165EC6">
        <w:rPr>
          <w:rFonts w:ascii="Cambria" w:eastAsia="Batang" w:hAnsi="Cambria" w:cs="Arial"/>
          <w:sz w:val="20"/>
          <w:szCs w:val="20"/>
          <w:bdr w:val="none" w:sz="0" w:space="0" w:color="auto"/>
          <w:lang w:val="es-ES"/>
        </w:rPr>
        <w:t xml:space="preserve"> –</w:t>
      </w:r>
      <w:r w:rsidRPr="00165EC6">
        <w:rPr>
          <w:rFonts w:ascii="Cambria" w:eastAsia="Batang" w:hAnsi="Cambria" w:cs="Arial"/>
          <w:sz w:val="20"/>
          <w:szCs w:val="20"/>
          <w:bdr w:val="none" w:sz="0" w:space="0" w:color="auto"/>
          <w:lang w:val="es-ES"/>
        </w:rPr>
        <w:t xml:space="preserve">, que otorga directamente un pago mensual del gobierno federal para las familias de niños y niñas con edad entre 7 y 15 años involucrados en labor infantil para substituir el dinero que ganaban trabajando. </w:t>
      </w:r>
    </w:p>
    <w:p w:rsidR="00277412" w:rsidRPr="00165EC6" w:rsidRDefault="00277412" w:rsidP="002504F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CO"/>
        </w:rPr>
      </w:pPr>
    </w:p>
    <w:p w:rsidR="00277412" w:rsidRPr="00165EC6" w:rsidRDefault="00277412"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CO"/>
        </w:rPr>
      </w:pPr>
      <w:r w:rsidRPr="00165EC6">
        <w:rPr>
          <w:rFonts w:ascii="Cambria" w:eastAsia="Batang" w:hAnsi="Cambria"/>
          <w:sz w:val="20"/>
          <w:szCs w:val="20"/>
          <w:bdr w:val="none" w:sz="0" w:space="0" w:color="auto"/>
          <w:lang w:val="es-CO"/>
        </w:rPr>
        <w:lastRenderedPageBreak/>
        <w:t xml:space="preserve">El 19 de octubre de 2006, durante una audiencia celebrada en el marco del 126 periodo ordinario de sesiones de la CIDH, la representante del Estado manifestó que “son sensibles a los hechos y esperan que no vuelvan a suceder”. Asimismo, reconoció “el tiempo excesivo de 8 años en la tramitación del proceso y [que] esperan que los reos sean condenados el año que viene”. </w:t>
      </w:r>
    </w:p>
    <w:p w:rsidR="00277412" w:rsidRPr="00165EC6" w:rsidRDefault="00277412" w:rsidP="002504F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CO"/>
        </w:rPr>
      </w:pPr>
    </w:p>
    <w:p w:rsidR="00277412" w:rsidRPr="00165EC6" w:rsidRDefault="00277412"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CO"/>
        </w:rPr>
      </w:pPr>
      <w:r w:rsidRPr="00165EC6">
        <w:rPr>
          <w:rFonts w:ascii="Cambria" w:eastAsia="Batang" w:hAnsi="Cambria"/>
          <w:sz w:val="20"/>
          <w:szCs w:val="20"/>
          <w:bdr w:val="none" w:sz="0" w:space="0" w:color="auto"/>
          <w:lang w:val="es-CO"/>
        </w:rPr>
        <w:t xml:space="preserve">Durante la misma audiencia, el Estado indicó que “no cuestionarán la admisibilidad del caso y reconocen que el Estado falló al fiscalizar”. El Estado presentó una propuesta de acuerdo de solución amistosa e informó que en el marco del proceso civil </w:t>
      </w:r>
      <w:r w:rsidR="002740EE" w:rsidRPr="00165EC6">
        <w:rPr>
          <w:rFonts w:ascii="Cambria" w:eastAsia="Batang" w:hAnsi="Cambria"/>
          <w:sz w:val="20"/>
          <w:szCs w:val="20"/>
          <w:bdr w:val="none" w:sz="0" w:space="0" w:color="auto"/>
          <w:lang w:val="es-CO"/>
        </w:rPr>
        <w:t xml:space="preserve">seguido </w:t>
      </w:r>
      <w:r w:rsidRPr="00165EC6">
        <w:rPr>
          <w:rFonts w:ascii="Cambria" w:eastAsia="Batang" w:hAnsi="Cambria"/>
          <w:sz w:val="20"/>
          <w:szCs w:val="20"/>
          <w:bdr w:val="none" w:sz="0" w:space="0" w:color="auto"/>
          <w:lang w:val="es-CO"/>
        </w:rPr>
        <w:t xml:space="preserve">contra </w:t>
      </w:r>
      <w:r w:rsidR="00DE6E25" w:rsidRPr="00165EC6">
        <w:rPr>
          <w:rFonts w:ascii="Cambria" w:eastAsia="Batang" w:hAnsi="Cambria"/>
          <w:sz w:val="20"/>
          <w:szCs w:val="20"/>
          <w:bdr w:val="none" w:sz="0" w:space="0" w:color="auto"/>
          <w:lang w:val="es-CO"/>
        </w:rPr>
        <w:t xml:space="preserve">el gobierno federal </w:t>
      </w:r>
      <w:r w:rsidRPr="00165EC6">
        <w:rPr>
          <w:rFonts w:ascii="Cambria" w:eastAsia="Batang" w:hAnsi="Cambria"/>
          <w:sz w:val="20"/>
          <w:szCs w:val="20"/>
          <w:bdr w:val="none" w:sz="0" w:space="0" w:color="auto"/>
          <w:lang w:val="es-CO"/>
        </w:rPr>
        <w:t xml:space="preserve">fue proferida una medida de “anticipación de tutela” concediendo a los hijos menores de 18 años de las mujeres que murieron en la explosión, un salario mínimo mensual. Reconoció que “hubo un retardo en la tramitación de la acción” y que el Estado tenía dificultades para dar cumplimiento a dicha decisión pues los beneficiarios no se encontraban identificados en la petición inicial del proceso civil, de modo que apenas en 2006 se empezaron a pagar los valores debidos a algunos de ellos. </w:t>
      </w:r>
    </w:p>
    <w:p w:rsidR="00277412" w:rsidRPr="00165EC6" w:rsidRDefault="00277412" w:rsidP="002504F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CO"/>
        </w:rPr>
      </w:pPr>
    </w:p>
    <w:p w:rsidR="00277412" w:rsidRPr="00165EC6" w:rsidRDefault="00277412"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CO"/>
        </w:rPr>
      </w:pPr>
      <w:r w:rsidRPr="00165EC6">
        <w:rPr>
          <w:rFonts w:ascii="Cambria" w:eastAsia="Batang" w:hAnsi="Cambria"/>
          <w:sz w:val="20"/>
          <w:szCs w:val="20"/>
          <w:bdr w:val="none" w:sz="0" w:space="0" w:color="auto"/>
          <w:lang w:val="es-CO"/>
        </w:rPr>
        <w:t xml:space="preserve">El Estado informó que después de la explosión de 1998 se promulgó el Decreto No. 1365 que prevé disposiciones para prevenir situaciones similares. Asimismo, indicó que teniendo en cuenta la extensión de la industria, se emitieron normas de regulación para garantizar la salud e integridad física de los trabajadores, indicando que dichas normas serían publicadas el año siguiente. </w:t>
      </w:r>
    </w:p>
    <w:p w:rsidR="00277412" w:rsidRPr="00165EC6" w:rsidRDefault="00277412" w:rsidP="002504F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CO"/>
        </w:rPr>
      </w:pPr>
    </w:p>
    <w:p w:rsidR="00277412" w:rsidRPr="00165EC6" w:rsidRDefault="00277412"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CO"/>
        </w:rPr>
      </w:pPr>
      <w:r w:rsidRPr="00165EC6">
        <w:rPr>
          <w:rFonts w:ascii="Cambria" w:eastAsia="Batang" w:hAnsi="Cambria"/>
          <w:sz w:val="20"/>
          <w:szCs w:val="20"/>
          <w:bdr w:val="none" w:sz="0" w:space="0" w:color="auto"/>
          <w:lang w:val="es-CO"/>
        </w:rPr>
        <w:t>En 2008, el Estado informó que estaba por adoptar medidas para solucionar el caso, de modo que había formado dos grupos de trabajo para estudiar la situación y proponer medidas de elaboración de políticas públicas y fiscalización.</w:t>
      </w:r>
    </w:p>
    <w:p w:rsidR="00277412" w:rsidRDefault="00277412" w:rsidP="00B820BB">
      <w:pPr>
        <w:pStyle w:val="Heading1"/>
        <w:ind w:firstLine="0"/>
        <w:rPr>
          <w:rFonts w:ascii="Cambria" w:eastAsia="Batang" w:hAnsi="Cambria"/>
          <w:color w:val="auto"/>
          <w:sz w:val="20"/>
          <w:szCs w:val="20"/>
          <w:bdr w:val="none" w:sz="0" w:space="0" w:color="auto"/>
          <w:lang w:val="es-UY" w:eastAsia="es-ES"/>
        </w:rPr>
      </w:pPr>
      <w:bookmarkStart w:id="6" w:name="_Toc506225821"/>
      <w:r w:rsidRPr="00165EC6">
        <w:rPr>
          <w:rFonts w:ascii="Cambria" w:eastAsia="Batang" w:hAnsi="Cambria"/>
          <w:color w:val="auto"/>
          <w:sz w:val="20"/>
          <w:szCs w:val="20"/>
          <w:bdr w:val="none" w:sz="0" w:space="0" w:color="auto"/>
          <w:lang w:val="es-UY" w:eastAsia="es-ES"/>
        </w:rPr>
        <w:t>ANÁLISIS DE ADMISIBILIDAD</w:t>
      </w:r>
      <w:bookmarkEnd w:id="6"/>
    </w:p>
    <w:p w:rsidR="006C7F40" w:rsidRPr="006C7F40" w:rsidRDefault="006C7F40" w:rsidP="006C7F40">
      <w:pPr>
        <w:rPr>
          <w:lang w:val="es-UY" w:eastAsia="es-ES"/>
        </w:rPr>
      </w:pPr>
    </w:p>
    <w:p w:rsidR="00277412" w:rsidRPr="00165EC6" w:rsidRDefault="00277412" w:rsidP="00B820BB">
      <w:pPr>
        <w:pStyle w:val="Heading2"/>
        <w:ind w:firstLine="720"/>
        <w:rPr>
          <w:rFonts w:asciiTheme="majorHAnsi" w:hAnsiTheme="majorHAnsi"/>
          <w:i w:val="0"/>
          <w:sz w:val="20"/>
          <w:szCs w:val="20"/>
          <w:lang w:val="es-ES"/>
        </w:rPr>
      </w:pPr>
      <w:bookmarkStart w:id="7" w:name="_Toc506225822"/>
      <w:r w:rsidRPr="00165EC6">
        <w:rPr>
          <w:rFonts w:asciiTheme="majorHAnsi" w:hAnsiTheme="majorHAnsi"/>
          <w:i w:val="0"/>
          <w:sz w:val="20"/>
          <w:szCs w:val="20"/>
          <w:lang w:val="es-ES"/>
        </w:rPr>
        <w:t xml:space="preserve">A. </w:t>
      </w:r>
      <w:r w:rsidRPr="00165EC6">
        <w:rPr>
          <w:rFonts w:asciiTheme="majorHAnsi" w:hAnsiTheme="majorHAnsi"/>
          <w:i w:val="0"/>
          <w:sz w:val="20"/>
          <w:szCs w:val="20"/>
          <w:lang w:val="es-ES"/>
        </w:rPr>
        <w:tab/>
        <w:t>Competencia, duplicidad de procedimiento y cosa juzgada internacional</w:t>
      </w:r>
      <w:bookmarkEnd w:id="7"/>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cs="Arial"/>
          <w:b/>
          <w:caps/>
          <w:sz w:val="20"/>
          <w:szCs w:val="20"/>
          <w:bdr w:val="none" w:sz="0" w:space="0" w:color="auto"/>
          <w:lang w:val="es-MX"/>
        </w:rPr>
      </w:pP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es-UY"/>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680"/>
        <w:gridCol w:w="4680"/>
      </w:tblGrid>
      <w:tr w:rsidR="00277412" w:rsidRPr="00165EC6" w:rsidTr="00277412">
        <w:trPr>
          <w:cantSplit/>
        </w:trPr>
        <w:tc>
          <w:tcPr>
            <w:tcW w:w="4680" w:type="dxa"/>
            <w:tcBorders>
              <w:top w:val="single" w:sz="4" w:space="0" w:color="auto"/>
              <w:bottom w:val="single" w:sz="6" w:space="0" w:color="auto"/>
            </w:tcBorders>
            <w:shd w:val="clear" w:color="auto" w:fill="386294"/>
            <w:vAlign w:val="center"/>
          </w:tcPr>
          <w:p w:rsidR="00277412" w:rsidRPr="00165EC6" w:rsidRDefault="00277412" w:rsidP="00277412">
            <w:pPr>
              <w:jc w:val="center"/>
              <w:rPr>
                <w:rFonts w:ascii="Cambria" w:eastAsia="Times New Roman" w:hAnsi="Cambria"/>
                <w:b/>
                <w:bCs/>
                <w:i/>
                <w:sz w:val="20"/>
                <w:szCs w:val="20"/>
              </w:rPr>
            </w:pPr>
            <w:r w:rsidRPr="00165EC6">
              <w:rPr>
                <w:rFonts w:ascii="Cambria" w:eastAsia="Times New Roman" w:hAnsi="Cambria"/>
                <w:b/>
                <w:bCs/>
                <w:sz w:val="20"/>
                <w:szCs w:val="20"/>
              </w:rPr>
              <w:t>Competencia</w:t>
            </w:r>
            <w:r w:rsidRPr="00165EC6">
              <w:rPr>
                <w:rFonts w:ascii="Cambria" w:eastAsia="Times New Roman" w:hAnsi="Cambria"/>
                <w:b/>
                <w:bCs/>
                <w:i/>
                <w:sz w:val="20"/>
                <w:szCs w:val="20"/>
              </w:rPr>
              <w:t xml:space="preserve"> Ratione personae:</w:t>
            </w:r>
          </w:p>
        </w:tc>
        <w:tc>
          <w:tcPr>
            <w:tcW w:w="4680" w:type="dxa"/>
            <w:shd w:val="clear" w:color="auto" w:fill="auto"/>
            <w:vAlign w:val="center"/>
          </w:tcPr>
          <w:p w:rsidR="00277412" w:rsidRPr="00165EC6" w:rsidRDefault="00277412" w:rsidP="00277412">
            <w:pPr>
              <w:rPr>
                <w:rFonts w:ascii="Cambria" w:eastAsia="Times New Roman" w:hAnsi="Cambria"/>
                <w:bCs/>
                <w:sz w:val="20"/>
                <w:szCs w:val="20"/>
              </w:rPr>
            </w:pPr>
            <w:r w:rsidRPr="00165EC6">
              <w:rPr>
                <w:rFonts w:ascii="Cambria" w:eastAsia="Times New Roman" w:hAnsi="Cambria"/>
                <w:bCs/>
                <w:sz w:val="20"/>
                <w:szCs w:val="20"/>
              </w:rPr>
              <w:t>Sí.</w:t>
            </w:r>
          </w:p>
        </w:tc>
      </w:tr>
      <w:tr w:rsidR="00277412" w:rsidRPr="00165EC6" w:rsidTr="00277412">
        <w:trPr>
          <w:cantSplit/>
        </w:trPr>
        <w:tc>
          <w:tcPr>
            <w:tcW w:w="4680" w:type="dxa"/>
            <w:tcBorders>
              <w:top w:val="single" w:sz="6" w:space="0" w:color="auto"/>
              <w:bottom w:val="single" w:sz="6" w:space="0" w:color="auto"/>
            </w:tcBorders>
            <w:shd w:val="clear" w:color="auto" w:fill="386294"/>
            <w:vAlign w:val="center"/>
          </w:tcPr>
          <w:p w:rsidR="00277412" w:rsidRPr="00165EC6" w:rsidRDefault="00277412" w:rsidP="00277412">
            <w:pPr>
              <w:jc w:val="center"/>
              <w:rPr>
                <w:rFonts w:ascii="Cambria" w:eastAsia="Times New Roman" w:hAnsi="Cambria"/>
                <w:b/>
                <w:bCs/>
                <w:sz w:val="20"/>
                <w:szCs w:val="20"/>
              </w:rPr>
            </w:pPr>
            <w:r w:rsidRPr="00165EC6">
              <w:rPr>
                <w:rFonts w:ascii="Cambria" w:eastAsia="Times New Roman" w:hAnsi="Cambria"/>
                <w:b/>
                <w:bCs/>
                <w:sz w:val="20"/>
                <w:szCs w:val="20"/>
              </w:rPr>
              <w:t>Competencia</w:t>
            </w:r>
            <w:r w:rsidRPr="00165EC6">
              <w:rPr>
                <w:rFonts w:ascii="Cambria" w:eastAsia="Times New Roman" w:hAnsi="Cambria"/>
                <w:b/>
                <w:bCs/>
                <w:i/>
                <w:sz w:val="20"/>
                <w:szCs w:val="20"/>
              </w:rPr>
              <w:t xml:space="preserve"> Ratione loci</w:t>
            </w:r>
            <w:r w:rsidRPr="00165EC6">
              <w:rPr>
                <w:rFonts w:ascii="Cambria" w:eastAsia="Times New Roman" w:hAnsi="Cambria"/>
                <w:b/>
                <w:bCs/>
                <w:sz w:val="20"/>
                <w:szCs w:val="20"/>
              </w:rPr>
              <w:t>:</w:t>
            </w:r>
          </w:p>
        </w:tc>
        <w:tc>
          <w:tcPr>
            <w:tcW w:w="4680" w:type="dxa"/>
            <w:shd w:val="clear" w:color="auto" w:fill="auto"/>
            <w:vAlign w:val="center"/>
          </w:tcPr>
          <w:p w:rsidR="00277412" w:rsidRPr="00165EC6" w:rsidRDefault="00277412" w:rsidP="00277412">
            <w:pPr>
              <w:rPr>
                <w:rFonts w:ascii="Cambria" w:eastAsia="Times New Roman" w:hAnsi="Cambria"/>
                <w:bCs/>
                <w:sz w:val="20"/>
                <w:szCs w:val="20"/>
              </w:rPr>
            </w:pPr>
            <w:r w:rsidRPr="00165EC6">
              <w:rPr>
                <w:rFonts w:ascii="Cambria" w:eastAsia="Times New Roman" w:hAnsi="Cambria"/>
                <w:bCs/>
                <w:sz w:val="20"/>
                <w:szCs w:val="20"/>
              </w:rPr>
              <w:t>Sí.</w:t>
            </w:r>
          </w:p>
        </w:tc>
      </w:tr>
      <w:tr w:rsidR="00277412" w:rsidRPr="00165EC6" w:rsidTr="00277412">
        <w:trPr>
          <w:cantSplit/>
        </w:trPr>
        <w:tc>
          <w:tcPr>
            <w:tcW w:w="4680" w:type="dxa"/>
            <w:tcBorders>
              <w:top w:val="single" w:sz="6" w:space="0" w:color="auto"/>
              <w:bottom w:val="single" w:sz="6" w:space="0" w:color="auto"/>
            </w:tcBorders>
            <w:shd w:val="clear" w:color="auto" w:fill="386294"/>
            <w:vAlign w:val="center"/>
          </w:tcPr>
          <w:p w:rsidR="00277412" w:rsidRPr="00165EC6" w:rsidRDefault="00277412" w:rsidP="00277412">
            <w:pPr>
              <w:jc w:val="center"/>
              <w:rPr>
                <w:rFonts w:ascii="Cambria" w:eastAsia="Times New Roman" w:hAnsi="Cambria"/>
                <w:b/>
                <w:bCs/>
                <w:sz w:val="20"/>
                <w:szCs w:val="20"/>
              </w:rPr>
            </w:pPr>
            <w:r w:rsidRPr="00165EC6">
              <w:rPr>
                <w:rFonts w:ascii="Cambria" w:eastAsia="Times New Roman" w:hAnsi="Cambria"/>
                <w:b/>
                <w:bCs/>
                <w:sz w:val="20"/>
                <w:szCs w:val="20"/>
              </w:rPr>
              <w:t>Competencia</w:t>
            </w:r>
            <w:r w:rsidRPr="00165EC6">
              <w:rPr>
                <w:rFonts w:ascii="Cambria" w:eastAsia="Times New Roman" w:hAnsi="Cambria"/>
                <w:b/>
                <w:bCs/>
                <w:i/>
                <w:sz w:val="20"/>
                <w:szCs w:val="20"/>
              </w:rPr>
              <w:t xml:space="preserve"> Ratione temporis</w:t>
            </w:r>
            <w:r w:rsidRPr="00165EC6">
              <w:rPr>
                <w:rFonts w:ascii="Cambria" w:eastAsia="Times New Roman" w:hAnsi="Cambria"/>
                <w:b/>
                <w:bCs/>
                <w:sz w:val="20"/>
                <w:szCs w:val="20"/>
              </w:rPr>
              <w:t>:</w:t>
            </w:r>
          </w:p>
        </w:tc>
        <w:tc>
          <w:tcPr>
            <w:tcW w:w="4680" w:type="dxa"/>
            <w:shd w:val="clear" w:color="auto" w:fill="auto"/>
            <w:vAlign w:val="center"/>
          </w:tcPr>
          <w:p w:rsidR="00277412" w:rsidRPr="00165EC6" w:rsidRDefault="00277412" w:rsidP="00277412">
            <w:pPr>
              <w:rPr>
                <w:rFonts w:ascii="Cambria" w:eastAsia="Times New Roman" w:hAnsi="Cambria"/>
                <w:bCs/>
                <w:sz w:val="20"/>
                <w:szCs w:val="20"/>
              </w:rPr>
            </w:pPr>
            <w:r w:rsidRPr="00165EC6">
              <w:rPr>
                <w:rFonts w:ascii="Cambria" w:eastAsia="Times New Roman" w:hAnsi="Cambria"/>
                <w:bCs/>
                <w:sz w:val="20"/>
                <w:szCs w:val="20"/>
              </w:rPr>
              <w:t>Sí.</w:t>
            </w:r>
          </w:p>
        </w:tc>
      </w:tr>
      <w:tr w:rsidR="00277412" w:rsidRPr="00165EC6" w:rsidTr="00277412">
        <w:trPr>
          <w:cantSplit/>
        </w:trPr>
        <w:tc>
          <w:tcPr>
            <w:tcW w:w="4680" w:type="dxa"/>
            <w:tcBorders>
              <w:top w:val="single" w:sz="6" w:space="0" w:color="auto"/>
              <w:bottom w:val="single" w:sz="6" w:space="0" w:color="auto"/>
            </w:tcBorders>
            <w:shd w:val="clear" w:color="auto" w:fill="386294"/>
            <w:vAlign w:val="center"/>
          </w:tcPr>
          <w:p w:rsidR="00277412" w:rsidRPr="00165EC6" w:rsidRDefault="00277412" w:rsidP="00277412">
            <w:pPr>
              <w:jc w:val="center"/>
              <w:rPr>
                <w:rFonts w:ascii="Cambria" w:eastAsia="Times New Roman" w:hAnsi="Cambria"/>
                <w:b/>
                <w:bCs/>
                <w:sz w:val="20"/>
                <w:szCs w:val="20"/>
              </w:rPr>
            </w:pPr>
            <w:r w:rsidRPr="00165EC6">
              <w:rPr>
                <w:rFonts w:ascii="Cambria" w:eastAsia="Times New Roman" w:hAnsi="Cambria"/>
                <w:b/>
                <w:bCs/>
                <w:sz w:val="20"/>
                <w:szCs w:val="20"/>
              </w:rPr>
              <w:t>Competencia</w:t>
            </w:r>
            <w:r w:rsidRPr="00165EC6">
              <w:rPr>
                <w:rFonts w:ascii="Cambria" w:eastAsia="Times New Roman" w:hAnsi="Cambria"/>
                <w:b/>
                <w:bCs/>
                <w:i/>
                <w:sz w:val="20"/>
                <w:szCs w:val="20"/>
              </w:rPr>
              <w:t xml:space="preserve"> Ratione materiae</w:t>
            </w:r>
            <w:r w:rsidRPr="00165EC6">
              <w:rPr>
                <w:rFonts w:ascii="Cambria" w:eastAsia="Times New Roman" w:hAnsi="Cambria"/>
                <w:b/>
                <w:bCs/>
                <w:sz w:val="20"/>
                <w:szCs w:val="20"/>
              </w:rPr>
              <w:t>:</w:t>
            </w:r>
          </w:p>
        </w:tc>
        <w:tc>
          <w:tcPr>
            <w:tcW w:w="4680" w:type="dxa"/>
            <w:shd w:val="clear" w:color="auto" w:fill="auto"/>
            <w:vAlign w:val="center"/>
          </w:tcPr>
          <w:p w:rsidR="00277412" w:rsidRPr="00165EC6" w:rsidRDefault="00277412" w:rsidP="00277412">
            <w:pPr>
              <w:jc w:val="both"/>
              <w:rPr>
                <w:rFonts w:ascii="Cambria" w:eastAsia="Times New Roman" w:hAnsi="Cambria"/>
                <w:bCs/>
                <w:sz w:val="20"/>
                <w:szCs w:val="20"/>
                <w:lang w:val="es-ES"/>
              </w:rPr>
            </w:pPr>
            <w:r w:rsidRPr="00165EC6">
              <w:rPr>
                <w:rFonts w:ascii="Cambria" w:eastAsia="Times New Roman" w:hAnsi="Cambria"/>
                <w:bCs/>
                <w:sz w:val="20"/>
                <w:szCs w:val="20"/>
                <w:lang w:val="es-ES"/>
              </w:rPr>
              <w:t>Sí.</w:t>
            </w:r>
          </w:p>
        </w:tc>
      </w:tr>
      <w:tr w:rsidR="00277412" w:rsidRPr="00165EC6" w:rsidTr="00277412">
        <w:trPr>
          <w:cantSplit/>
        </w:trPr>
        <w:tc>
          <w:tcPr>
            <w:tcW w:w="4680" w:type="dxa"/>
            <w:tcBorders>
              <w:top w:val="single" w:sz="6" w:space="0" w:color="auto"/>
              <w:bottom w:val="single" w:sz="6" w:space="0" w:color="auto"/>
            </w:tcBorders>
            <w:shd w:val="clear" w:color="auto" w:fill="386294"/>
            <w:vAlign w:val="center"/>
          </w:tcPr>
          <w:p w:rsidR="00277412" w:rsidRPr="00165EC6" w:rsidRDefault="00277412" w:rsidP="00277412">
            <w:pPr>
              <w:jc w:val="center"/>
              <w:rPr>
                <w:rFonts w:ascii="Cambria" w:eastAsia="Times New Roman" w:hAnsi="Cambria"/>
                <w:b/>
                <w:bCs/>
                <w:sz w:val="20"/>
                <w:szCs w:val="20"/>
                <w:lang w:val="es-ES"/>
              </w:rPr>
            </w:pPr>
            <w:r w:rsidRPr="00165EC6">
              <w:rPr>
                <w:rFonts w:ascii="Cambria" w:eastAsia="Times New Roman" w:hAnsi="Cambria"/>
                <w:b/>
                <w:bCs/>
                <w:sz w:val="20"/>
                <w:szCs w:val="20"/>
                <w:lang w:val="es-ES"/>
              </w:rPr>
              <w:t>Duplicación de procedimientos y cosa juzgada internacional:</w:t>
            </w:r>
          </w:p>
        </w:tc>
        <w:tc>
          <w:tcPr>
            <w:tcW w:w="4680" w:type="dxa"/>
            <w:shd w:val="clear" w:color="auto" w:fill="auto"/>
            <w:vAlign w:val="center"/>
          </w:tcPr>
          <w:p w:rsidR="00277412" w:rsidRPr="00165EC6" w:rsidRDefault="00277412" w:rsidP="00277412">
            <w:pPr>
              <w:jc w:val="both"/>
              <w:rPr>
                <w:rFonts w:ascii="Cambria" w:eastAsia="Times New Roman" w:hAnsi="Cambria"/>
                <w:bCs/>
                <w:sz w:val="20"/>
                <w:szCs w:val="20"/>
                <w:lang w:val="es-ES"/>
              </w:rPr>
            </w:pPr>
            <w:r w:rsidRPr="00165EC6">
              <w:rPr>
                <w:rFonts w:ascii="Cambria" w:eastAsia="Times New Roman" w:hAnsi="Cambria"/>
                <w:bCs/>
                <w:sz w:val="20"/>
                <w:szCs w:val="20"/>
                <w:lang w:val="es-ES"/>
              </w:rPr>
              <w:t>No.</w:t>
            </w:r>
          </w:p>
        </w:tc>
      </w:tr>
    </w:tbl>
    <w:p w:rsidR="00277412" w:rsidRPr="00165EC6" w:rsidRDefault="00277412" w:rsidP="00277412">
      <w:pPr>
        <w:rPr>
          <w:rFonts w:ascii="Cambria" w:hAnsi="Cambria"/>
          <w:sz w:val="20"/>
          <w:szCs w:val="20"/>
          <w:lang w:val="es-ES_tradnl"/>
        </w:rPr>
      </w:pP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ES_tradnl"/>
        </w:rPr>
      </w:pPr>
    </w:p>
    <w:p w:rsidR="00277412" w:rsidRPr="00165EC6" w:rsidRDefault="00277412"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ES_tradnl"/>
        </w:rPr>
      </w:pPr>
      <w:r w:rsidRPr="00165EC6">
        <w:rPr>
          <w:rFonts w:ascii="Cambria" w:eastAsia="Batang" w:hAnsi="Cambria"/>
          <w:sz w:val="20"/>
          <w:szCs w:val="20"/>
          <w:bdr w:val="none" w:sz="0" w:space="0" w:color="auto"/>
          <w:lang w:val="es-ES_tradnl"/>
        </w:rPr>
        <w:t>Respecto a los alegatos de la parte peticionaria sobre la vulneración de los derechos consagrados en los artículos</w:t>
      </w:r>
      <w:r w:rsidRPr="00165EC6">
        <w:rPr>
          <w:rFonts w:ascii="Cambria" w:eastAsia="Batang" w:hAnsi="Cambria" w:cs="Arial"/>
          <w:bCs/>
          <w:iCs/>
          <w:sz w:val="20"/>
          <w:szCs w:val="20"/>
          <w:bdr w:val="none" w:sz="0" w:space="0" w:color="auto"/>
          <w:lang w:val="es-EC"/>
        </w:rPr>
        <w:t xml:space="preserve"> </w:t>
      </w:r>
      <w:r w:rsidRPr="00165EC6">
        <w:rPr>
          <w:rFonts w:ascii="Cambria" w:eastAsia="Batang" w:hAnsi="Cambria"/>
          <w:sz w:val="20"/>
          <w:szCs w:val="20"/>
          <w:bdr w:val="none" w:sz="0" w:space="0" w:color="auto"/>
          <w:lang w:val="es-CO"/>
        </w:rPr>
        <w:t xml:space="preserve">32 de la Convención sobre los Derechos del Niño y 7 del </w:t>
      </w:r>
      <w:r w:rsidRPr="00165EC6">
        <w:rPr>
          <w:rFonts w:ascii="Cambria" w:eastAsia="Batang" w:hAnsi="Cambria"/>
          <w:sz w:val="20"/>
          <w:szCs w:val="20"/>
          <w:bdr w:val="none" w:sz="0" w:space="0" w:color="auto"/>
          <w:lang w:val="es-UY"/>
        </w:rPr>
        <w:t>Pacto Internacional de Derechos Económicos, Sociales y Culturales</w:t>
      </w:r>
      <w:r w:rsidRPr="00165EC6">
        <w:rPr>
          <w:rFonts w:ascii="Cambria" w:eastAsia="Batang" w:hAnsi="Cambria"/>
          <w:sz w:val="20"/>
          <w:szCs w:val="20"/>
          <w:bdr w:val="none" w:sz="0" w:space="0" w:color="auto"/>
          <w:lang w:val="es-ES_tradnl"/>
        </w:rPr>
        <w:t xml:space="preserve">, la Comisión recuerda que no posee competencia para declarar violaciones de derechos consagrados en esos tratados, pese a lo cual se encuentra facultada para recurrir a sus estándares a los efectos de interpretar la Convención Americana en virtud de su artículo 29. </w:t>
      </w:r>
    </w:p>
    <w:p w:rsidR="00277412" w:rsidRPr="00165EC6" w:rsidRDefault="00277412" w:rsidP="002504F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ES_tradnl"/>
        </w:rPr>
      </w:pPr>
    </w:p>
    <w:p w:rsidR="00277412" w:rsidRPr="00165EC6" w:rsidRDefault="00277412"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ES_tradnl"/>
        </w:rPr>
      </w:pPr>
      <w:r w:rsidRPr="00165EC6">
        <w:rPr>
          <w:rFonts w:ascii="Cambria" w:eastAsia="Batang" w:hAnsi="Cambria"/>
          <w:sz w:val="20"/>
          <w:szCs w:val="20"/>
          <w:bdr w:val="none" w:sz="0" w:space="0" w:color="auto"/>
          <w:lang w:val="es-ES_tradnl"/>
        </w:rPr>
        <w:t xml:space="preserve">Asimismo, la Comisión observa que la parte peticionaria alega la violación de derechos estipulados en la Declaración Americana. </w:t>
      </w:r>
      <w:r w:rsidR="00802D56" w:rsidRPr="00165EC6">
        <w:rPr>
          <w:rFonts w:ascii="Cambria" w:eastAsia="Batang" w:hAnsi="Cambria"/>
          <w:sz w:val="20"/>
          <w:szCs w:val="20"/>
          <w:bdr w:val="none" w:sz="0" w:space="0" w:color="auto"/>
          <w:lang w:val="es-ES_tradnl"/>
        </w:rPr>
        <w:t xml:space="preserve">Al respecto, la Comisión considera que en las circunstancias específicas del presente caso, </w:t>
      </w:r>
      <w:r w:rsidR="00BC492D" w:rsidRPr="00165EC6">
        <w:rPr>
          <w:rFonts w:ascii="Cambria" w:eastAsia="Batang" w:hAnsi="Cambria"/>
          <w:sz w:val="20"/>
          <w:szCs w:val="20"/>
          <w:bdr w:val="none" w:sz="0" w:space="0" w:color="auto"/>
          <w:lang w:val="es-ES_tradnl"/>
        </w:rPr>
        <w:t>corresponde efectuar el análisis de los derechos consagrados en la Declaración que resultan pertinentes, bajo al artículo 26 de la Convención Americana, tal como se analizará</w:t>
      </w:r>
      <w:r w:rsidR="00746BCF" w:rsidRPr="00165EC6">
        <w:rPr>
          <w:rFonts w:ascii="Cambria" w:eastAsia="Batang" w:hAnsi="Cambria"/>
          <w:sz w:val="20"/>
          <w:szCs w:val="20"/>
          <w:bdr w:val="none" w:sz="0" w:space="0" w:color="auto"/>
          <w:lang w:val="es-ES_tradnl"/>
        </w:rPr>
        <w:t xml:space="preserve"> en la secció</w:t>
      </w:r>
      <w:r w:rsidR="00BC492D" w:rsidRPr="00165EC6">
        <w:rPr>
          <w:rFonts w:ascii="Cambria" w:eastAsia="Batang" w:hAnsi="Cambria"/>
          <w:sz w:val="20"/>
          <w:szCs w:val="20"/>
          <w:bdr w:val="none" w:sz="0" w:space="0" w:color="auto"/>
          <w:lang w:val="es-ES_tradnl"/>
        </w:rPr>
        <w:t xml:space="preserve">n de fondo. </w:t>
      </w:r>
    </w:p>
    <w:p w:rsidR="00277412"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ES_tradnl"/>
        </w:rPr>
      </w:pPr>
    </w:p>
    <w:p w:rsidR="006C7F40" w:rsidRDefault="006C7F40" w:rsidP="0027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ES_tradnl"/>
        </w:rPr>
      </w:pPr>
    </w:p>
    <w:p w:rsidR="006C7F40" w:rsidRPr="00165EC6" w:rsidRDefault="006C7F40" w:rsidP="0027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ES_tradnl"/>
        </w:rPr>
      </w:pPr>
    </w:p>
    <w:p w:rsidR="00277412" w:rsidRPr="00165EC6" w:rsidRDefault="00277412" w:rsidP="00B820BB">
      <w:pPr>
        <w:pStyle w:val="Heading2"/>
        <w:ind w:firstLine="720"/>
        <w:rPr>
          <w:rFonts w:asciiTheme="majorHAnsi" w:hAnsiTheme="majorHAnsi"/>
          <w:i w:val="0"/>
          <w:sz w:val="20"/>
          <w:szCs w:val="20"/>
          <w:lang w:val="es-ES"/>
        </w:rPr>
      </w:pPr>
      <w:bookmarkStart w:id="8" w:name="_Toc506225823"/>
      <w:r w:rsidRPr="00165EC6">
        <w:rPr>
          <w:rFonts w:asciiTheme="majorHAnsi" w:hAnsiTheme="majorHAnsi"/>
          <w:i w:val="0"/>
          <w:sz w:val="20"/>
          <w:szCs w:val="20"/>
          <w:lang w:val="es-ES"/>
        </w:rPr>
        <w:lastRenderedPageBreak/>
        <w:t xml:space="preserve">B. </w:t>
      </w:r>
      <w:r w:rsidRPr="00165EC6">
        <w:rPr>
          <w:rFonts w:asciiTheme="majorHAnsi" w:hAnsiTheme="majorHAnsi"/>
          <w:i w:val="0"/>
          <w:sz w:val="20"/>
          <w:szCs w:val="20"/>
          <w:lang w:val="es-ES"/>
        </w:rPr>
        <w:tab/>
        <w:t>Agotamiento de los recursos internos y plazo de presentación</w:t>
      </w:r>
      <w:bookmarkEnd w:id="8"/>
      <w:r w:rsidRPr="00165EC6">
        <w:rPr>
          <w:rFonts w:asciiTheme="majorHAnsi" w:hAnsiTheme="majorHAnsi"/>
          <w:i w:val="0"/>
          <w:sz w:val="20"/>
          <w:szCs w:val="20"/>
          <w:lang w:val="es-ES"/>
        </w:rPr>
        <w:t xml:space="preserve"> </w:t>
      </w: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cs="Arial"/>
          <w:sz w:val="20"/>
          <w:szCs w:val="20"/>
          <w:bdr w:val="none" w:sz="0" w:space="0" w:color="auto"/>
          <w:lang w:val="es-MX"/>
        </w:rPr>
      </w:pPr>
    </w:p>
    <w:p w:rsidR="00277412" w:rsidRPr="00165EC6" w:rsidRDefault="00277412"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cs="Arial"/>
          <w:sz w:val="20"/>
          <w:szCs w:val="20"/>
          <w:bdr w:val="none" w:sz="0" w:space="0" w:color="auto"/>
          <w:lang w:val="es-ES_tradnl"/>
        </w:rPr>
      </w:pPr>
      <w:r w:rsidRPr="00165EC6">
        <w:rPr>
          <w:rFonts w:ascii="Cambria" w:eastAsia="Batang" w:hAnsi="Cambria"/>
          <w:sz w:val="20"/>
          <w:szCs w:val="20"/>
          <w:bdr w:val="none" w:sz="0" w:space="0" w:color="auto"/>
          <w:lang w:val="es-UY"/>
        </w:rPr>
        <w:t>De acuerdo al criterio constante de la CIDH, “(…) el análisis sobre los requisitos previstos en los artículos 46 y 47 de la Convención debe hacerse a la luz de la situación vigente al momento en que se pronuncia sobre la admisibilidad o inadmisibilidad del reclamo”</w:t>
      </w:r>
      <w:r w:rsidRPr="00165EC6">
        <w:rPr>
          <w:rFonts w:ascii="Cambria" w:eastAsia="Batang" w:hAnsi="Cambria"/>
          <w:sz w:val="20"/>
          <w:szCs w:val="20"/>
          <w:bdr w:val="none" w:sz="0" w:space="0" w:color="auto"/>
          <w:vertAlign w:val="superscript"/>
          <w:lang w:val="es-UY"/>
        </w:rPr>
        <w:footnoteReference w:id="4"/>
      </w:r>
      <w:r w:rsidRPr="00165EC6">
        <w:rPr>
          <w:rFonts w:ascii="Cambria" w:eastAsia="Batang" w:hAnsi="Cambria"/>
          <w:sz w:val="20"/>
          <w:szCs w:val="20"/>
          <w:bdr w:val="none" w:sz="0" w:space="0" w:color="auto"/>
          <w:lang w:val="es-UY"/>
        </w:rPr>
        <w:t>.</w:t>
      </w:r>
      <w:r w:rsidRPr="00165EC6">
        <w:rPr>
          <w:rFonts w:ascii="Cambria" w:eastAsia="Batang" w:hAnsi="Cambria" w:cs="Arial"/>
          <w:sz w:val="20"/>
          <w:szCs w:val="20"/>
          <w:bdr w:val="none" w:sz="0" w:space="0" w:color="auto"/>
          <w:lang w:val="es-ES_tradnl"/>
        </w:rPr>
        <w:t xml:space="preserve"> </w:t>
      </w:r>
    </w:p>
    <w:p w:rsidR="00277412" w:rsidRPr="00165EC6" w:rsidRDefault="00277412" w:rsidP="002504F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ES_tradnl"/>
        </w:rPr>
      </w:pPr>
    </w:p>
    <w:p w:rsidR="00277412" w:rsidRPr="00165EC6" w:rsidRDefault="00254CD4"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ES"/>
        </w:rPr>
      </w:pPr>
      <w:r w:rsidRPr="00165EC6">
        <w:rPr>
          <w:rFonts w:ascii="Cambria" w:eastAsia="Batang" w:hAnsi="Cambria"/>
          <w:sz w:val="20"/>
          <w:szCs w:val="20"/>
          <w:bdr w:val="none" w:sz="0" w:space="0" w:color="auto"/>
          <w:lang w:val="es-ES"/>
        </w:rPr>
        <w:t xml:space="preserve">La Comisión observa en primer lugar que si bien en sus primeras presentaciones el Estado alegó falta de agotamiento de los recursos internos, de manera posterior renunció expresamente a cuestionar la admisibilidad del caso. </w:t>
      </w:r>
      <w:r w:rsidR="00277412" w:rsidRPr="00165EC6">
        <w:rPr>
          <w:rFonts w:ascii="Cambria" w:eastAsia="Batang" w:hAnsi="Cambria"/>
          <w:sz w:val="20"/>
          <w:szCs w:val="20"/>
          <w:bdr w:val="none" w:sz="0" w:space="0" w:color="auto"/>
          <w:lang w:val="es-ES"/>
        </w:rPr>
        <w:t xml:space="preserve">En el presente caso, se iniciaron cuatro grupos de procesos diferentes (civiles, laborales, penal y administrativo) respecto de la explosión ocurrida el 11 de diciembre de 1998. La Comisión observa que, a la fecha de aprobación del presente informe, sólo han culminado los procesos en la vía administrativa y laboral, sin que se hubiera logrado la ejecución de la reparación en </w:t>
      </w:r>
      <w:r w:rsidR="00131CC5" w:rsidRPr="00165EC6">
        <w:rPr>
          <w:rFonts w:ascii="Cambria" w:eastAsia="Batang" w:hAnsi="Cambria"/>
          <w:sz w:val="20"/>
          <w:szCs w:val="20"/>
          <w:bdr w:val="none" w:sz="0" w:space="0" w:color="auto"/>
          <w:lang w:val="es-ES"/>
        </w:rPr>
        <w:t>e</w:t>
      </w:r>
      <w:r w:rsidR="00277412" w:rsidRPr="00165EC6">
        <w:rPr>
          <w:rFonts w:ascii="Cambria" w:eastAsia="Batang" w:hAnsi="Cambria"/>
          <w:sz w:val="20"/>
          <w:szCs w:val="20"/>
          <w:bdr w:val="none" w:sz="0" w:space="0" w:color="auto"/>
          <w:lang w:val="es-ES"/>
        </w:rPr>
        <w:t xml:space="preserve">sta última. Los demás procesos, pasados más de 18 años, se encuentran pendientes en etapas diversas, sin que el Estado haya justificado debidamente dicha demora, más allá de la invocación genérica de complejidad. </w:t>
      </w:r>
    </w:p>
    <w:p w:rsidR="00277412" w:rsidRPr="00165EC6" w:rsidRDefault="00277412" w:rsidP="002504F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UY"/>
        </w:rPr>
      </w:pPr>
    </w:p>
    <w:p w:rsidR="00B901BF" w:rsidRPr="00165EC6" w:rsidRDefault="00B901BF"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ES"/>
        </w:rPr>
      </w:pPr>
      <w:r w:rsidRPr="00165EC6">
        <w:rPr>
          <w:rFonts w:ascii="Cambria" w:eastAsia="Batang" w:hAnsi="Cambria"/>
          <w:sz w:val="20"/>
          <w:szCs w:val="20"/>
          <w:bdr w:val="none" w:sz="0" w:space="0" w:color="auto"/>
          <w:lang w:val="es-UY"/>
        </w:rPr>
        <w:t xml:space="preserve"> Tomando en cuenta el lapso transcurrido desde el inicio del proceso penal, que es la vía idónea para esclarecer los hechos y responsabilidades, a través de una investigación diligente y de oficio, la Comisión considera que resulta aplicable la excepción prevista en el artículo 46.2 c) de la Convención Americana.</w:t>
      </w:r>
    </w:p>
    <w:p w:rsidR="00277412" w:rsidRPr="00165EC6" w:rsidRDefault="00277412" w:rsidP="002504F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ES"/>
        </w:rPr>
      </w:pPr>
    </w:p>
    <w:p w:rsidR="00277412" w:rsidRPr="00165EC6" w:rsidRDefault="00277412"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UY"/>
        </w:rPr>
      </w:pPr>
      <w:r w:rsidRPr="00165EC6">
        <w:rPr>
          <w:rFonts w:ascii="Cambria" w:eastAsia="Batang" w:hAnsi="Cambria"/>
          <w:sz w:val="20"/>
          <w:szCs w:val="20"/>
          <w:bdr w:val="none" w:sz="0" w:space="0" w:color="auto"/>
          <w:lang w:val="es-UY"/>
        </w:rPr>
        <w:t>El artículo 32 del Reglamento de la Comisión establece que en los casos en los cuales resulten aplicables las excepciones al previo agotamiento de los recursos internos, la petición deberá presentarse dentro de un plazo razonable, a criterio de la Comisión.</w:t>
      </w:r>
    </w:p>
    <w:p w:rsidR="00277412" w:rsidRPr="00165EC6" w:rsidRDefault="00277412" w:rsidP="002504F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UY"/>
        </w:rPr>
      </w:pPr>
    </w:p>
    <w:p w:rsidR="00277412" w:rsidRPr="00165EC6" w:rsidRDefault="00277412"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UY"/>
        </w:rPr>
      </w:pPr>
      <w:r w:rsidRPr="00165EC6">
        <w:rPr>
          <w:rFonts w:ascii="Cambria" w:eastAsia="Batang" w:hAnsi="Cambria"/>
          <w:sz w:val="20"/>
          <w:szCs w:val="20"/>
          <w:bdr w:val="none" w:sz="0" w:space="0" w:color="auto"/>
          <w:lang w:val="es-UY"/>
        </w:rPr>
        <w:t xml:space="preserve">La petición fue recibida el 3 de diciembre de 2001, tres años después de la explosión de la fábrica. La Comisión advierte que el proceso administrativo y la investigación penal iniciaron el mismo el 11 de diciembre de 1998 y la primera causa civil, seguida en contra de Osvaldo Prazeres Bastos, Mário Fróes Prazeres Bastos y Maria Juelieta Fróes Bastos fue instaurada el 9 de enero de 1999. </w:t>
      </w:r>
      <w:r w:rsidR="00F075A9" w:rsidRPr="00165EC6">
        <w:rPr>
          <w:rFonts w:ascii="Cambria" w:eastAsia="Batang" w:hAnsi="Cambria"/>
          <w:sz w:val="20"/>
          <w:szCs w:val="20"/>
          <w:bdr w:val="none" w:sz="0" w:space="0" w:color="auto"/>
          <w:lang w:val="es-UY"/>
        </w:rPr>
        <w:t>Según la información disponible</w:t>
      </w:r>
      <w:r w:rsidR="00226176" w:rsidRPr="00165EC6">
        <w:rPr>
          <w:rFonts w:ascii="Cambria" w:eastAsia="Batang" w:hAnsi="Cambria"/>
          <w:sz w:val="20"/>
          <w:szCs w:val="20"/>
          <w:bdr w:val="none" w:sz="0" w:space="0" w:color="auto"/>
          <w:lang w:val="es-UY"/>
        </w:rPr>
        <w:t>,</w:t>
      </w:r>
      <w:r w:rsidR="00F075A9" w:rsidRPr="00165EC6">
        <w:rPr>
          <w:rFonts w:ascii="Cambria" w:eastAsia="Batang" w:hAnsi="Cambria"/>
          <w:sz w:val="20"/>
          <w:szCs w:val="20"/>
          <w:bdr w:val="none" w:sz="0" w:space="0" w:color="auto"/>
          <w:lang w:val="es-UY"/>
        </w:rPr>
        <w:t xml:space="preserve"> a</w:t>
      </w:r>
      <w:r w:rsidRPr="00165EC6">
        <w:rPr>
          <w:rFonts w:ascii="Cambria" w:eastAsia="Batang" w:hAnsi="Cambria"/>
          <w:sz w:val="20"/>
          <w:szCs w:val="20"/>
          <w:bdr w:val="none" w:sz="0" w:space="0" w:color="auto"/>
          <w:lang w:val="es-UY"/>
        </w:rPr>
        <w:t xml:space="preserve"> la fecha de aprobación del presente informe, </w:t>
      </w:r>
      <w:r w:rsidR="00C05295" w:rsidRPr="00165EC6">
        <w:rPr>
          <w:rFonts w:ascii="Cambria" w:eastAsia="Batang" w:hAnsi="Cambria"/>
          <w:sz w:val="20"/>
          <w:szCs w:val="20"/>
          <w:bdr w:val="none" w:sz="0" w:space="0" w:color="auto"/>
          <w:lang w:val="es-UY"/>
        </w:rPr>
        <w:t xml:space="preserve">el proceso penal </w:t>
      </w:r>
      <w:r w:rsidR="004E6A2D" w:rsidRPr="00165EC6">
        <w:rPr>
          <w:rFonts w:ascii="Cambria" w:eastAsia="Batang" w:hAnsi="Cambria"/>
          <w:sz w:val="20"/>
          <w:szCs w:val="20"/>
          <w:bdr w:val="none" w:sz="0" w:space="0" w:color="auto"/>
          <w:lang w:val="es-UY"/>
        </w:rPr>
        <w:t>continúa</w:t>
      </w:r>
      <w:r w:rsidR="00C05295" w:rsidRPr="00165EC6">
        <w:rPr>
          <w:rFonts w:ascii="Cambria" w:eastAsia="Batang" w:hAnsi="Cambria"/>
          <w:sz w:val="20"/>
          <w:szCs w:val="20"/>
          <w:bdr w:val="none" w:sz="0" w:space="0" w:color="auto"/>
          <w:lang w:val="es-UY"/>
        </w:rPr>
        <w:t xml:space="preserve"> sin ser resuelto</w:t>
      </w:r>
      <w:r w:rsidRPr="00165EC6">
        <w:rPr>
          <w:rFonts w:ascii="Cambria" w:eastAsia="Batang" w:hAnsi="Cambria"/>
          <w:sz w:val="20"/>
          <w:szCs w:val="20"/>
          <w:bdr w:val="none" w:sz="0" w:space="0" w:color="auto"/>
          <w:lang w:val="es-UY"/>
        </w:rPr>
        <w:t xml:space="preserve">. La Comisión considera que la petición fue presentada dentro de un plazo razonable y que debe darse por satisfecho el requisito de admisibilidad referente al plazo de presentación. </w:t>
      </w:r>
    </w:p>
    <w:p w:rsidR="00277412" w:rsidRPr="00165EC6" w:rsidRDefault="00B820BB" w:rsidP="00B820BB">
      <w:pPr>
        <w:pStyle w:val="Heading2"/>
        <w:ind w:firstLine="720"/>
        <w:rPr>
          <w:rFonts w:asciiTheme="majorHAnsi" w:hAnsiTheme="majorHAnsi"/>
          <w:i w:val="0"/>
          <w:sz w:val="20"/>
          <w:szCs w:val="20"/>
          <w:lang w:val="es-ES"/>
        </w:rPr>
      </w:pPr>
      <w:bookmarkStart w:id="9" w:name="_Toc506225824"/>
      <w:r w:rsidRPr="00165EC6">
        <w:rPr>
          <w:rFonts w:asciiTheme="majorHAnsi" w:hAnsiTheme="majorHAnsi"/>
          <w:i w:val="0"/>
          <w:sz w:val="20"/>
          <w:szCs w:val="20"/>
          <w:lang w:val="es-ES"/>
        </w:rPr>
        <w:t>C</w:t>
      </w:r>
      <w:r w:rsidR="00277412" w:rsidRPr="00165EC6">
        <w:rPr>
          <w:rFonts w:asciiTheme="majorHAnsi" w:hAnsiTheme="majorHAnsi"/>
          <w:i w:val="0"/>
          <w:sz w:val="20"/>
          <w:szCs w:val="20"/>
          <w:lang w:val="es-ES"/>
        </w:rPr>
        <w:t xml:space="preserve">. </w:t>
      </w:r>
      <w:r w:rsidR="00277412" w:rsidRPr="00165EC6">
        <w:rPr>
          <w:rFonts w:asciiTheme="majorHAnsi" w:hAnsiTheme="majorHAnsi"/>
          <w:i w:val="0"/>
          <w:sz w:val="20"/>
          <w:szCs w:val="20"/>
          <w:lang w:val="es-ES"/>
        </w:rPr>
        <w:tab/>
        <w:t>Caracterización de los hechos alegados</w:t>
      </w:r>
      <w:bookmarkEnd w:id="9"/>
    </w:p>
    <w:p w:rsidR="00277412" w:rsidRPr="00165EC6" w:rsidRDefault="00277412" w:rsidP="00277412">
      <w:pPr>
        <w:keepNext/>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2"/>
        <w:rPr>
          <w:rFonts w:ascii="Cambria" w:eastAsia="Times New Roman" w:hAnsi="Cambria" w:cs="Arial"/>
          <w:b/>
          <w:bCs/>
          <w:i/>
          <w:sz w:val="20"/>
          <w:szCs w:val="20"/>
          <w:bdr w:val="none" w:sz="0" w:space="0" w:color="auto"/>
          <w:lang w:val="es-CO"/>
        </w:rPr>
      </w:pPr>
      <w:r w:rsidRPr="00165EC6">
        <w:rPr>
          <w:rFonts w:ascii="Cambria" w:eastAsia="Times New Roman" w:hAnsi="Cambria" w:cs="Arial"/>
          <w:b/>
          <w:bCs/>
          <w:i/>
          <w:sz w:val="20"/>
          <w:szCs w:val="20"/>
          <w:bdr w:val="none" w:sz="0" w:space="0" w:color="auto"/>
          <w:lang w:val="es-CO"/>
        </w:rPr>
        <w:tab/>
      </w:r>
    </w:p>
    <w:p w:rsidR="00E700F5" w:rsidRPr="00165EC6" w:rsidRDefault="00277412"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UY"/>
        </w:rPr>
      </w:pPr>
      <w:r w:rsidRPr="00165EC6">
        <w:rPr>
          <w:rFonts w:ascii="Cambria" w:eastAsia="Batang" w:hAnsi="Cambria" w:cs="Arial"/>
          <w:sz w:val="20"/>
          <w:szCs w:val="20"/>
          <w:bdr w:val="none" w:sz="0" w:space="0" w:color="auto"/>
          <w:lang w:val="es-ES_tradnl"/>
        </w:rPr>
        <w:t>La Comisión considera que de resultar probados los hechos alegados por la parte peticionaria, podrían constituir violación de los derechos a la vida</w:t>
      </w:r>
      <w:r w:rsidR="008737AB" w:rsidRPr="00165EC6">
        <w:rPr>
          <w:rFonts w:ascii="Cambria" w:eastAsia="Batang" w:hAnsi="Cambria" w:cs="Arial"/>
          <w:sz w:val="20"/>
          <w:szCs w:val="20"/>
          <w:bdr w:val="none" w:sz="0" w:space="0" w:color="auto"/>
          <w:lang w:val="es-ES_tradnl"/>
        </w:rPr>
        <w:t xml:space="preserve"> y a la</w:t>
      </w:r>
      <w:r w:rsidRPr="00165EC6">
        <w:rPr>
          <w:rFonts w:ascii="Cambria" w:eastAsia="Batang" w:hAnsi="Cambria" w:cs="Arial"/>
          <w:sz w:val="20"/>
          <w:szCs w:val="20"/>
          <w:bdr w:val="none" w:sz="0" w:space="0" w:color="auto"/>
          <w:lang w:val="es-ES_tradnl"/>
        </w:rPr>
        <w:t xml:space="preserve"> integridad, </w:t>
      </w:r>
      <w:r w:rsidR="008737AB" w:rsidRPr="00165EC6">
        <w:rPr>
          <w:rFonts w:ascii="Cambria" w:eastAsia="Batang" w:hAnsi="Cambria" w:cs="Arial"/>
          <w:sz w:val="20"/>
          <w:szCs w:val="20"/>
          <w:bdr w:val="none" w:sz="0" w:space="0" w:color="auto"/>
          <w:lang w:val="es-ES_tradnl"/>
        </w:rPr>
        <w:t xml:space="preserve">en relación con los derechos </w:t>
      </w:r>
      <w:r w:rsidRPr="00165EC6">
        <w:rPr>
          <w:rFonts w:ascii="Cambria" w:eastAsia="Batang" w:hAnsi="Cambria" w:cs="Arial"/>
          <w:sz w:val="20"/>
          <w:szCs w:val="20"/>
          <w:bdr w:val="none" w:sz="0" w:space="0" w:color="auto"/>
          <w:lang w:val="es-ES_tradnl"/>
        </w:rPr>
        <w:t>de</w:t>
      </w:r>
      <w:r w:rsidR="00F27E4C" w:rsidRPr="00165EC6">
        <w:rPr>
          <w:rFonts w:ascii="Cambria" w:eastAsia="Batang" w:hAnsi="Cambria" w:cs="Arial"/>
          <w:sz w:val="20"/>
          <w:szCs w:val="20"/>
          <w:bdr w:val="none" w:sz="0" w:space="0" w:color="auto"/>
          <w:lang w:val="es-ES_tradnl"/>
        </w:rPr>
        <w:t>l</w:t>
      </w:r>
      <w:r w:rsidRPr="00165EC6">
        <w:rPr>
          <w:rFonts w:ascii="Cambria" w:eastAsia="Batang" w:hAnsi="Cambria" w:cs="Arial"/>
          <w:sz w:val="20"/>
          <w:szCs w:val="20"/>
          <w:bdr w:val="none" w:sz="0" w:space="0" w:color="auto"/>
          <w:lang w:val="es-ES_tradnl"/>
        </w:rPr>
        <w:t xml:space="preserve"> niño</w:t>
      </w:r>
      <w:r w:rsidR="008737AB" w:rsidRPr="00165EC6">
        <w:rPr>
          <w:rFonts w:ascii="Cambria" w:eastAsia="Batang" w:hAnsi="Cambria" w:cs="Arial"/>
          <w:sz w:val="20"/>
          <w:szCs w:val="20"/>
          <w:bdr w:val="none" w:sz="0" w:space="0" w:color="auto"/>
          <w:lang w:val="es-ES_tradnl"/>
        </w:rPr>
        <w:t xml:space="preserve"> y el derecho</w:t>
      </w:r>
      <w:r w:rsidR="0008442D" w:rsidRPr="00165EC6">
        <w:rPr>
          <w:rFonts w:ascii="Cambria" w:eastAsia="Batang" w:hAnsi="Cambria" w:cs="Arial"/>
          <w:sz w:val="20"/>
          <w:szCs w:val="20"/>
          <w:bdr w:val="none" w:sz="0" w:space="0" w:color="auto"/>
          <w:lang w:val="es-ES_tradnl"/>
        </w:rPr>
        <w:t xml:space="preserve"> al </w:t>
      </w:r>
      <w:r w:rsidR="008737AB" w:rsidRPr="00165EC6">
        <w:rPr>
          <w:rFonts w:ascii="Cambria" w:eastAsia="Batang" w:hAnsi="Cambria" w:cs="Arial"/>
          <w:sz w:val="20"/>
          <w:szCs w:val="20"/>
          <w:bdr w:val="none" w:sz="0" w:space="0" w:color="auto"/>
          <w:lang w:val="es-ES_tradnl"/>
        </w:rPr>
        <w:t xml:space="preserve">trabajo; así como a las garantías judiciales y a la </w:t>
      </w:r>
      <w:r w:rsidRPr="00165EC6">
        <w:rPr>
          <w:rFonts w:ascii="Cambria" w:eastAsia="Batang" w:hAnsi="Cambria" w:cs="Arial"/>
          <w:sz w:val="20"/>
          <w:szCs w:val="20"/>
          <w:bdr w:val="none" w:sz="0" w:space="0" w:color="auto"/>
          <w:lang w:val="es-ES_tradnl"/>
        </w:rPr>
        <w:t xml:space="preserve">protección judicial, consagrados en los artículos </w:t>
      </w:r>
      <w:r w:rsidRPr="00165EC6">
        <w:rPr>
          <w:rFonts w:ascii="Cambria" w:eastAsia="Batang" w:hAnsi="Cambria" w:cs="Arial"/>
          <w:bCs/>
          <w:iCs/>
          <w:sz w:val="20"/>
          <w:szCs w:val="20"/>
          <w:bdr w:val="none" w:sz="0" w:space="0" w:color="auto"/>
          <w:lang w:val="es-EC"/>
        </w:rPr>
        <w:t xml:space="preserve">4, 5, 19, </w:t>
      </w:r>
      <w:r w:rsidR="00C05295" w:rsidRPr="00165EC6">
        <w:rPr>
          <w:rFonts w:ascii="Cambria" w:eastAsia="Batang" w:hAnsi="Cambria" w:cs="Arial"/>
          <w:bCs/>
          <w:iCs/>
          <w:sz w:val="20"/>
          <w:szCs w:val="20"/>
          <w:bdr w:val="none" w:sz="0" w:space="0" w:color="auto"/>
          <w:lang w:val="es-EC"/>
        </w:rPr>
        <w:t xml:space="preserve">24, </w:t>
      </w:r>
      <w:r w:rsidRPr="00165EC6">
        <w:rPr>
          <w:rFonts w:ascii="Cambria" w:eastAsia="Batang" w:hAnsi="Cambria" w:cs="Arial"/>
          <w:bCs/>
          <w:iCs/>
          <w:sz w:val="20"/>
          <w:szCs w:val="20"/>
          <w:bdr w:val="none" w:sz="0" w:space="0" w:color="auto"/>
          <w:lang w:val="es-EC"/>
        </w:rPr>
        <w:t>26</w:t>
      </w:r>
      <w:r w:rsidR="008737AB" w:rsidRPr="00165EC6">
        <w:rPr>
          <w:rFonts w:ascii="Cambria" w:eastAsia="Batang" w:hAnsi="Cambria" w:cs="Arial"/>
          <w:bCs/>
          <w:iCs/>
          <w:sz w:val="20"/>
          <w:szCs w:val="20"/>
          <w:bdr w:val="none" w:sz="0" w:space="0" w:color="auto"/>
          <w:lang w:val="es-EC"/>
        </w:rPr>
        <w:t>, 8 y 25</w:t>
      </w:r>
      <w:r w:rsidRPr="00165EC6">
        <w:rPr>
          <w:rFonts w:ascii="Cambria" w:eastAsia="Batang" w:hAnsi="Cambria" w:cs="Arial"/>
          <w:bCs/>
          <w:iCs/>
          <w:sz w:val="20"/>
          <w:szCs w:val="20"/>
          <w:bdr w:val="none" w:sz="0" w:space="0" w:color="auto"/>
          <w:lang w:val="es-EC"/>
        </w:rPr>
        <w:t xml:space="preserve"> de la Convención Americana en relación con las obligaciones contenidas en el artículo 1.1</w:t>
      </w:r>
      <w:r w:rsidR="00C05295" w:rsidRPr="00165EC6">
        <w:rPr>
          <w:rFonts w:ascii="Cambria" w:eastAsia="Batang" w:hAnsi="Cambria" w:cs="Arial"/>
          <w:bCs/>
          <w:iCs/>
          <w:sz w:val="20"/>
          <w:szCs w:val="20"/>
          <w:bdr w:val="none" w:sz="0" w:space="0" w:color="auto"/>
          <w:lang w:val="es-EC"/>
        </w:rPr>
        <w:t xml:space="preserve"> y 2 </w:t>
      </w:r>
      <w:r w:rsidRPr="00165EC6">
        <w:rPr>
          <w:rFonts w:ascii="Cambria" w:eastAsia="Batang" w:hAnsi="Cambria" w:cs="Arial"/>
          <w:bCs/>
          <w:iCs/>
          <w:sz w:val="20"/>
          <w:szCs w:val="20"/>
          <w:bdr w:val="none" w:sz="0" w:space="0" w:color="auto"/>
          <w:lang w:val="es-EC"/>
        </w:rPr>
        <w:t xml:space="preserve"> del mismo instrumento</w:t>
      </w:r>
      <w:r w:rsidRPr="00165EC6">
        <w:rPr>
          <w:rFonts w:ascii="Cambria" w:eastAsia="Batang" w:hAnsi="Cambria"/>
          <w:sz w:val="20"/>
          <w:szCs w:val="20"/>
          <w:bdr w:val="none" w:sz="0" w:space="0" w:color="auto"/>
          <w:lang w:val="es-CO"/>
        </w:rPr>
        <w:t>.</w:t>
      </w:r>
    </w:p>
    <w:p w:rsidR="004E6A2D" w:rsidRPr="00165EC6" w:rsidRDefault="004E6A2D" w:rsidP="00B80E77">
      <w:pPr>
        <w:pStyle w:val="Heading1"/>
        <w:ind w:firstLine="0"/>
        <w:rPr>
          <w:rFonts w:eastAsia="Batang"/>
          <w:color w:val="auto"/>
          <w:sz w:val="20"/>
          <w:szCs w:val="20"/>
          <w:bdr w:val="none" w:sz="0" w:space="0" w:color="auto"/>
          <w:lang w:val="es-UY" w:eastAsia="es-ES"/>
        </w:rPr>
      </w:pPr>
      <w:bookmarkStart w:id="10" w:name="_Toc506225825"/>
      <w:r w:rsidRPr="00165EC6">
        <w:rPr>
          <w:rFonts w:eastAsia="Batang"/>
          <w:color w:val="auto"/>
          <w:sz w:val="20"/>
          <w:szCs w:val="20"/>
          <w:bdr w:val="none" w:sz="0" w:space="0" w:color="auto"/>
          <w:lang w:val="es-UY" w:eastAsia="es-ES"/>
        </w:rPr>
        <w:t>DETERMINACIONES DE HECHO</w:t>
      </w:r>
      <w:bookmarkEnd w:id="10"/>
      <w:r w:rsidRPr="00165EC6">
        <w:rPr>
          <w:rFonts w:eastAsia="Batang"/>
          <w:color w:val="auto"/>
          <w:sz w:val="20"/>
          <w:szCs w:val="20"/>
          <w:bdr w:val="none" w:sz="0" w:space="0" w:color="auto"/>
          <w:lang w:val="es-UY" w:eastAsia="es-ES"/>
        </w:rPr>
        <w:t xml:space="preserve"> </w:t>
      </w:r>
    </w:p>
    <w:p w:rsidR="004E6A2D" w:rsidRPr="00165EC6" w:rsidRDefault="004E6A2D" w:rsidP="004E6A2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Batang" w:hAnsi="Cambria"/>
          <w:sz w:val="20"/>
          <w:szCs w:val="20"/>
          <w:bdr w:val="none" w:sz="0" w:space="0" w:color="auto"/>
          <w:lang w:val="es-UY"/>
        </w:rPr>
      </w:pPr>
    </w:p>
    <w:p w:rsidR="001F1E17" w:rsidRPr="00165EC6" w:rsidRDefault="00B901BF"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UY"/>
        </w:rPr>
      </w:pPr>
      <w:r w:rsidRPr="00165EC6">
        <w:rPr>
          <w:rFonts w:ascii="Cambria" w:eastAsia="Batang" w:hAnsi="Cambria"/>
          <w:sz w:val="20"/>
          <w:szCs w:val="20"/>
          <w:bdr w:val="none" w:sz="0" w:space="0" w:color="auto"/>
          <w:lang w:val="es-CO"/>
        </w:rPr>
        <w:t>De la información disponible, la Comisión advierte que al momento de los hechos las 64 personas fallecidas y seis sobrevivientes, eran empleados de la fábrica en cuestión. De las 64 personas fallecidas, 20 eran niñas</w:t>
      </w:r>
      <w:r w:rsidR="00CD4887" w:rsidRPr="00165EC6">
        <w:rPr>
          <w:rStyle w:val="FootnoteReference"/>
          <w:rFonts w:ascii="Cambria" w:eastAsia="Batang" w:hAnsi="Cambria"/>
          <w:sz w:val="20"/>
          <w:szCs w:val="20"/>
          <w:bdr w:val="none" w:sz="0" w:space="0" w:color="auto"/>
          <w:lang w:val="es-CO"/>
        </w:rPr>
        <w:footnoteReference w:id="5"/>
      </w:r>
      <w:r w:rsidRPr="00165EC6">
        <w:rPr>
          <w:rFonts w:ascii="Cambria" w:eastAsia="Batang" w:hAnsi="Cambria"/>
          <w:sz w:val="20"/>
          <w:szCs w:val="20"/>
          <w:bdr w:val="none" w:sz="0" w:space="0" w:color="auto"/>
          <w:lang w:val="es-CO"/>
        </w:rPr>
        <w:t xml:space="preserve"> y el resto mujeres</w:t>
      </w:r>
      <w:r w:rsidR="00CD4887" w:rsidRPr="00165EC6">
        <w:rPr>
          <w:rStyle w:val="FootnoteReference"/>
          <w:rFonts w:ascii="Cambria" w:eastAsia="Batang" w:hAnsi="Cambria"/>
          <w:sz w:val="20"/>
          <w:szCs w:val="20"/>
          <w:bdr w:val="none" w:sz="0" w:space="0" w:color="auto"/>
          <w:lang w:val="es-CO"/>
        </w:rPr>
        <w:footnoteReference w:id="6"/>
      </w:r>
      <w:r w:rsidRPr="00165EC6">
        <w:rPr>
          <w:rFonts w:ascii="Cambria" w:eastAsia="Batang" w:hAnsi="Cambria"/>
          <w:sz w:val="20"/>
          <w:szCs w:val="20"/>
          <w:bdr w:val="none" w:sz="0" w:space="0" w:color="auto"/>
          <w:lang w:val="es-CO"/>
        </w:rPr>
        <w:t>. De las seis personas sobrevivientes, 2 eran niños y 4 mujeres. Asimismo, de la información de contexto y de los propios señalamientos del Estado, la Comisión advierte que las presuntas víctimas vivían en condición de pobreza.</w:t>
      </w:r>
    </w:p>
    <w:p w:rsidR="00277412" w:rsidRPr="00165EC6" w:rsidRDefault="00277412" w:rsidP="00B74E3A">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Batang" w:hAnsi="Cambria"/>
          <w:sz w:val="20"/>
          <w:szCs w:val="20"/>
          <w:bdr w:val="none" w:sz="0" w:space="0" w:color="auto"/>
          <w:lang w:val="es-UY"/>
        </w:rPr>
      </w:pPr>
    </w:p>
    <w:p w:rsidR="00277412" w:rsidRPr="00165EC6" w:rsidRDefault="003F7B75" w:rsidP="00923454">
      <w:pPr>
        <w:pStyle w:val="Heading2"/>
        <w:numPr>
          <w:ilvl w:val="0"/>
          <w:numId w:val="65"/>
        </w:numPr>
        <w:ind w:left="1440" w:hanging="720"/>
        <w:rPr>
          <w:rFonts w:asciiTheme="majorHAnsi" w:hAnsiTheme="majorHAnsi"/>
          <w:i w:val="0"/>
          <w:sz w:val="20"/>
          <w:szCs w:val="20"/>
          <w:lang w:val="es-ES"/>
        </w:rPr>
      </w:pPr>
      <w:bookmarkStart w:id="11" w:name="_Toc506225826"/>
      <w:r w:rsidRPr="00165EC6">
        <w:rPr>
          <w:rFonts w:asciiTheme="majorHAnsi" w:hAnsiTheme="majorHAnsi"/>
          <w:i w:val="0"/>
          <w:sz w:val="20"/>
          <w:szCs w:val="20"/>
          <w:lang w:val="es-ES"/>
        </w:rPr>
        <w:lastRenderedPageBreak/>
        <w:t xml:space="preserve">La producción de fuegos artificiales en el </w:t>
      </w:r>
      <w:r w:rsidR="00277412" w:rsidRPr="00165EC6">
        <w:rPr>
          <w:rFonts w:asciiTheme="majorHAnsi" w:hAnsiTheme="majorHAnsi"/>
          <w:i w:val="0"/>
          <w:sz w:val="20"/>
          <w:szCs w:val="20"/>
          <w:lang w:val="es-ES"/>
        </w:rPr>
        <w:t>municipio de Santo Antônio de Jesus</w:t>
      </w:r>
      <w:r w:rsidR="00335942" w:rsidRPr="00165EC6">
        <w:rPr>
          <w:rFonts w:asciiTheme="majorHAnsi" w:hAnsiTheme="majorHAnsi"/>
          <w:i w:val="0"/>
          <w:sz w:val="20"/>
          <w:szCs w:val="20"/>
          <w:lang w:val="es-ES"/>
        </w:rPr>
        <w:t>.</w:t>
      </w:r>
      <w:bookmarkEnd w:id="11"/>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ES"/>
        </w:rPr>
      </w:pPr>
    </w:p>
    <w:p w:rsidR="00277412" w:rsidRPr="00165EC6" w:rsidRDefault="00277412"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AR"/>
        </w:rPr>
      </w:pPr>
      <w:r w:rsidRPr="00165EC6">
        <w:rPr>
          <w:rFonts w:ascii="Cambria" w:eastAsia="Batang" w:hAnsi="Cambria"/>
          <w:sz w:val="20"/>
          <w:szCs w:val="20"/>
          <w:bdr w:val="none" w:sz="0" w:space="0" w:color="auto"/>
          <w:lang w:val="es-CO"/>
        </w:rPr>
        <w:t xml:space="preserve">Según información presentada por ambas partes, se advierte que el municipio de Santo Antônio </w:t>
      </w:r>
      <w:r w:rsidR="001A0B3F" w:rsidRPr="00165EC6">
        <w:rPr>
          <w:rFonts w:ascii="Cambria" w:eastAsia="Batang" w:hAnsi="Cambria"/>
          <w:sz w:val="20"/>
          <w:szCs w:val="20"/>
          <w:bdr w:val="none" w:sz="0" w:space="0" w:color="auto"/>
          <w:lang w:val="es-CO"/>
        </w:rPr>
        <w:t xml:space="preserve">de Jesus </w:t>
      </w:r>
      <w:r w:rsidRPr="00165EC6">
        <w:rPr>
          <w:rFonts w:ascii="Cambria" w:eastAsia="Batang" w:hAnsi="Cambria"/>
          <w:sz w:val="20"/>
          <w:szCs w:val="20"/>
          <w:bdr w:val="none" w:sz="0" w:space="0" w:color="auto"/>
          <w:lang w:val="es-CO"/>
        </w:rPr>
        <w:t xml:space="preserve">es conocido por la producción ilegal de fuegos artificiales, así como </w:t>
      </w:r>
      <w:r w:rsidR="00851452" w:rsidRPr="00165EC6">
        <w:rPr>
          <w:rFonts w:ascii="Cambria" w:eastAsia="Batang" w:hAnsi="Cambria"/>
          <w:sz w:val="20"/>
          <w:szCs w:val="20"/>
          <w:bdr w:val="none" w:sz="0" w:space="0" w:color="auto"/>
          <w:lang w:val="es-CO"/>
        </w:rPr>
        <w:t xml:space="preserve">por </w:t>
      </w:r>
      <w:r w:rsidRPr="00165EC6">
        <w:rPr>
          <w:rFonts w:ascii="Cambria" w:eastAsia="Batang" w:hAnsi="Cambria"/>
          <w:sz w:val="20"/>
          <w:szCs w:val="20"/>
          <w:bdr w:val="none" w:sz="0" w:space="0" w:color="auto"/>
          <w:lang w:val="es-CO"/>
        </w:rPr>
        <w:t xml:space="preserve">la situación clandestina y precaria de las fábricas de producción. </w:t>
      </w:r>
    </w:p>
    <w:p w:rsidR="00277412" w:rsidRPr="00165EC6" w:rsidRDefault="00277412" w:rsidP="002504F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AR"/>
        </w:rPr>
      </w:pPr>
    </w:p>
    <w:p w:rsidR="00277412" w:rsidRPr="00165EC6" w:rsidRDefault="00277412"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AR"/>
        </w:rPr>
      </w:pPr>
      <w:r w:rsidRPr="00165EC6">
        <w:rPr>
          <w:rFonts w:ascii="Cambria" w:eastAsia="Batang" w:hAnsi="Cambria"/>
          <w:sz w:val="20"/>
          <w:szCs w:val="20"/>
          <w:bdr w:val="none" w:sz="0" w:space="0" w:color="auto"/>
          <w:lang w:val="es-AR"/>
        </w:rPr>
        <w:t>Mediante comunicación del 12 de octubre de 2005, el Estado presentó un reportaje periodístico que, en referencia a la explosión del 11 de diciembre de 1998, señala:</w:t>
      </w: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16"/>
          <w:szCs w:val="16"/>
          <w:bdr w:val="none" w:sz="0" w:space="0" w:color="auto"/>
          <w:lang w:val="es-AR"/>
        </w:rPr>
      </w:pP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Batang" w:hAnsi="Cambria"/>
          <w:sz w:val="20"/>
          <w:szCs w:val="20"/>
          <w:bdr w:val="none" w:sz="0" w:space="0" w:color="auto"/>
          <w:lang w:val="es-AR"/>
        </w:rPr>
      </w:pPr>
      <w:r w:rsidRPr="00165EC6">
        <w:rPr>
          <w:rFonts w:ascii="Cambria" w:eastAsia="Batang" w:hAnsi="Cambria"/>
          <w:sz w:val="20"/>
          <w:szCs w:val="20"/>
          <w:bdr w:val="none" w:sz="0" w:space="0" w:color="auto"/>
          <w:lang w:val="es-AR"/>
        </w:rPr>
        <w:t xml:space="preserve">Jugar con fuego, nunca más </w:t>
      </w: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Batang" w:hAnsi="Cambria"/>
          <w:sz w:val="20"/>
          <w:szCs w:val="20"/>
          <w:bdr w:val="none" w:sz="0" w:space="0" w:color="auto"/>
          <w:lang w:val="es-AR"/>
        </w:rPr>
      </w:pP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Batang" w:hAnsi="Cambria"/>
          <w:sz w:val="20"/>
          <w:szCs w:val="20"/>
          <w:bdr w:val="none" w:sz="0" w:space="0" w:color="auto"/>
          <w:lang w:val="es-AR"/>
        </w:rPr>
      </w:pPr>
      <w:r w:rsidRPr="00165EC6">
        <w:rPr>
          <w:rFonts w:ascii="Cambria" w:eastAsia="Batang" w:hAnsi="Cambria"/>
          <w:sz w:val="20"/>
          <w:szCs w:val="20"/>
          <w:bdr w:val="none" w:sz="0" w:space="0" w:color="auto"/>
          <w:lang w:val="es-AR"/>
        </w:rPr>
        <w:t xml:space="preserve">[…] </w:t>
      </w: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cs="Courier New"/>
          <w:sz w:val="20"/>
          <w:szCs w:val="20"/>
          <w:bdr w:val="none" w:sz="0" w:space="0" w:color="auto"/>
          <w:lang w:val="es-ES"/>
        </w:rPr>
      </w:pPr>
      <w:r w:rsidRPr="00165EC6">
        <w:rPr>
          <w:rFonts w:ascii="Cambria" w:eastAsia="Times New Roman" w:hAnsi="Cambria" w:cs="Courier New"/>
          <w:sz w:val="20"/>
          <w:szCs w:val="20"/>
          <w:bdr w:val="none" w:sz="0" w:space="0" w:color="auto"/>
          <w:lang w:val="es-ES"/>
        </w:rPr>
        <w:t xml:space="preserve">La tragedia estaba anunciada. En la ciudad de Bahía desde hace más de 100 años que se producen, clandestinamente, fuegos artificiales. Una actividad que viene siendo practicada sin respetar cualquier norma de seguridad y realizada en la forma más rudimentaria. Una choza de barro, el fondo de un patio trasero, cualquier lugar en última instancia servía para manejar la pólvora y producir los fuegos artificiales. </w:t>
      </w: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cs="Courier New"/>
          <w:sz w:val="20"/>
          <w:szCs w:val="20"/>
          <w:bdr w:val="none" w:sz="0" w:space="0" w:color="auto"/>
          <w:lang w:val="es-ES"/>
        </w:rPr>
      </w:pP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lang w:val="es-ES"/>
        </w:rPr>
      </w:pPr>
      <w:r w:rsidRPr="00165EC6">
        <w:rPr>
          <w:rFonts w:ascii="Cambria" w:eastAsia="Times New Roman" w:hAnsi="Cambria" w:cs="Courier New"/>
          <w:sz w:val="20"/>
          <w:szCs w:val="20"/>
          <w:bdr w:val="none" w:sz="0" w:space="0" w:color="auto"/>
          <w:lang w:val="es-ES"/>
        </w:rPr>
        <w:t xml:space="preserve">A pesar del peligro inminente, la producción ilegal genera empleo e ingresos para el municipio. Se estima que el 10% de la población de 80.000 habitantes de Santo Antônio </w:t>
      </w:r>
      <w:r w:rsidRPr="00165EC6">
        <w:rPr>
          <w:rFonts w:ascii="Cambria" w:eastAsia="Batang" w:hAnsi="Cambria"/>
          <w:sz w:val="20"/>
          <w:szCs w:val="20"/>
          <w:bdr w:val="none" w:sz="0" w:space="0" w:color="auto"/>
          <w:lang w:val="es-ES"/>
        </w:rPr>
        <w:t xml:space="preserve">Jesús sobrevive con el pago de esta actividad. El peso económico compensaba </w:t>
      </w:r>
      <w:r w:rsidRPr="00165EC6">
        <w:rPr>
          <w:rFonts w:ascii="Cambria" w:eastAsia="Times New Roman" w:hAnsi="Cambria"/>
          <w:sz w:val="20"/>
          <w:szCs w:val="20"/>
          <w:bdr w:val="none" w:sz="0" w:space="0" w:color="auto"/>
          <w:lang w:val="es-ES"/>
        </w:rPr>
        <w:t>los riesgos de negocio, desmotivando medidas para evitar la tragedia latente.</w:t>
      </w: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lang w:val="es-ES"/>
        </w:rPr>
      </w:pP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cs="Courier New"/>
          <w:sz w:val="20"/>
          <w:szCs w:val="20"/>
          <w:bdr w:val="none" w:sz="0" w:space="0" w:color="auto"/>
          <w:lang w:val="es-ES"/>
        </w:rPr>
      </w:pPr>
      <w:r w:rsidRPr="00165EC6">
        <w:rPr>
          <w:rFonts w:ascii="Cambria" w:eastAsia="Times New Roman" w:hAnsi="Cambria"/>
          <w:sz w:val="20"/>
          <w:szCs w:val="20"/>
          <w:bdr w:val="none" w:sz="0" w:space="0" w:color="auto"/>
          <w:lang w:val="es-ES"/>
        </w:rPr>
        <w:t>[…]</w:t>
      </w:r>
      <w:r w:rsidRPr="00165EC6">
        <w:rPr>
          <w:rFonts w:ascii="Cambria" w:eastAsia="Batang" w:hAnsi="Cambria"/>
          <w:sz w:val="20"/>
          <w:szCs w:val="20"/>
          <w:bdr w:val="none" w:sz="0" w:space="0" w:color="auto"/>
          <w:vertAlign w:val="superscript"/>
          <w:lang w:val="es-ES"/>
        </w:rPr>
        <w:footnoteReference w:id="7"/>
      </w:r>
      <w:r w:rsidRPr="00165EC6">
        <w:rPr>
          <w:rFonts w:ascii="Cambria" w:eastAsia="Times New Roman" w:hAnsi="Cambria"/>
          <w:sz w:val="20"/>
          <w:szCs w:val="20"/>
          <w:bdr w:val="none" w:sz="0" w:space="0" w:color="auto"/>
          <w:lang w:val="es-ES"/>
        </w:rPr>
        <w:t>.</w:t>
      </w: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ES"/>
        </w:rPr>
      </w:pPr>
    </w:p>
    <w:p w:rsidR="00592B13" w:rsidRPr="00165EC6" w:rsidRDefault="00277412"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Times New Roman" w:hAnsi="Cambria" w:cs="Verdana"/>
          <w:sz w:val="20"/>
          <w:szCs w:val="20"/>
          <w:bdr w:val="none" w:sz="0" w:space="0" w:color="auto"/>
          <w:lang w:val="es-ES"/>
        </w:rPr>
      </w:pPr>
      <w:r w:rsidRPr="00165EC6">
        <w:rPr>
          <w:rFonts w:ascii="Cambria" w:eastAsia="Batang" w:hAnsi="Cambria"/>
          <w:sz w:val="20"/>
          <w:szCs w:val="20"/>
          <w:bdr w:val="none" w:sz="0" w:space="0" w:color="auto"/>
          <w:lang w:val="es-CO"/>
        </w:rPr>
        <w:t>Según nota periodística del 23 de diciembre de 1998, se registraron 46 muertes en el país, en relación con fuegos artificiales, entre 1991 y 1998, antes de la explosión del 11 de diciembre de 1998</w:t>
      </w:r>
      <w:r w:rsidRPr="00165EC6">
        <w:rPr>
          <w:rFonts w:ascii="Cambria" w:eastAsia="Batang" w:hAnsi="Cambria"/>
          <w:sz w:val="20"/>
          <w:szCs w:val="20"/>
          <w:bdr w:val="none" w:sz="0" w:space="0" w:color="auto"/>
          <w:vertAlign w:val="superscript"/>
          <w:lang w:val="es-CO"/>
        </w:rPr>
        <w:footnoteReference w:id="8"/>
      </w:r>
      <w:r w:rsidRPr="00165EC6">
        <w:rPr>
          <w:rFonts w:ascii="Cambria" w:eastAsia="Batang" w:hAnsi="Cambria"/>
          <w:sz w:val="20"/>
          <w:szCs w:val="20"/>
          <w:bdr w:val="none" w:sz="0" w:space="0" w:color="auto"/>
          <w:lang w:val="es-CO"/>
        </w:rPr>
        <w:t>.</w:t>
      </w:r>
      <w:r w:rsidR="00592B13" w:rsidRPr="00165EC6">
        <w:rPr>
          <w:rFonts w:ascii="Cambria" w:eastAsia="Batang" w:hAnsi="Cambria"/>
          <w:sz w:val="20"/>
          <w:szCs w:val="20"/>
          <w:bdr w:val="none" w:sz="0" w:space="0" w:color="auto"/>
          <w:lang w:val="es-CO"/>
        </w:rPr>
        <w:t xml:space="preserve"> Cabe señalar también que, con anterioridad a los hechos del presente caso, se siguió un proceso penal contra Osvaldo Prazeres Bastos, por otra explosión ocurrida en el marco de sus actividades con fuegos artificiales, lo que culminó en condena el 22 de abril de 1996, a privación de libertad de </w:t>
      </w:r>
      <w:r w:rsidR="000164FB" w:rsidRPr="00165EC6">
        <w:rPr>
          <w:rFonts w:ascii="Cambria" w:eastAsia="Batang" w:hAnsi="Cambria"/>
          <w:sz w:val="20"/>
          <w:szCs w:val="20"/>
          <w:bdr w:val="none" w:sz="0" w:space="0" w:color="auto"/>
          <w:lang w:val="es-CO"/>
        </w:rPr>
        <w:t>dos</w:t>
      </w:r>
      <w:r w:rsidR="00592B13" w:rsidRPr="00165EC6">
        <w:rPr>
          <w:rFonts w:ascii="Cambria" w:eastAsia="Batang" w:hAnsi="Cambria"/>
          <w:sz w:val="20"/>
          <w:szCs w:val="20"/>
          <w:bdr w:val="none" w:sz="0" w:space="0" w:color="auto"/>
          <w:lang w:val="es-CO"/>
        </w:rPr>
        <w:t xml:space="preserve"> años y </w:t>
      </w:r>
      <w:r w:rsidR="000164FB" w:rsidRPr="00165EC6">
        <w:rPr>
          <w:rFonts w:ascii="Cambria" w:eastAsia="Batang" w:hAnsi="Cambria"/>
          <w:sz w:val="20"/>
          <w:szCs w:val="20"/>
          <w:bdr w:val="none" w:sz="0" w:space="0" w:color="auto"/>
          <w:lang w:val="es-CO"/>
        </w:rPr>
        <w:t>un</w:t>
      </w:r>
      <w:r w:rsidR="00592B13" w:rsidRPr="00165EC6">
        <w:rPr>
          <w:rFonts w:ascii="Cambria" w:eastAsia="Batang" w:hAnsi="Cambria"/>
          <w:sz w:val="20"/>
          <w:szCs w:val="20"/>
          <w:bdr w:val="none" w:sz="0" w:space="0" w:color="auto"/>
          <w:lang w:val="es-CO"/>
        </w:rPr>
        <w:t xml:space="preserve"> mes</w:t>
      </w:r>
      <w:r w:rsidR="00592B13" w:rsidRPr="00165EC6">
        <w:rPr>
          <w:rFonts w:ascii="Cambria" w:eastAsia="Batang" w:hAnsi="Cambria"/>
          <w:sz w:val="20"/>
          <w:szCs w:val="20"/>
          <w:bdr w:val="none" w:sz="0" w:space="0" w:color="auto"/>
          <w:vertAlign w:val="superscript"/>
          <w:lang w:val="es-CO"/>
        </w:rPr>
        <w:footnoteReference w:id="9"/>
      </w:r>
      <w:r w:rsidR="00592B13" w:rsidRPr="00165EC6">
        <w:rPr>
          <w:rFonts w:ascii="Cambria" w:eastAsia="Batang" w:hAnsi="Cambria"/>
          <w:sz w:val="20"/>
          <w:szCs w:val="20"/>
          <w:bdr w:val="none" w:sz="0" w:space="0" w:color="auto"/>
          <w:lang w:val="es-US"/>
        </w:rPr>
        <w:t>.</w:t>
      </w:r>
    </w:p>
    <w:p w:rsidR="00277412" w:rsidRPr="00165EC6" w:rsidRDefault="00277412" w:rsidP="002504F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AR"/>
        </w:rPr>
      </w:pPr>
    </w:p>
    <w:p w:rsidR="00277412" w:rsidRPr="00165EC6" w:rsidRDefault="00277412"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AR"/>
        </w:rPr>
      </w:pPr>
      <w:r w:rsidRPr="00165EC6">
        <w:rPr>
          <w:rFonts w:ascii="Cambria" w:eastAsia="Batang" w:hAnsi="Cambria"/>
          <w:sz w:val="20"/>
          <w:szCs w:val="20"/>
          <w:bdr w:val="none" w:sz="0" w:space="0" w:color="auto"/>
          <w:lang w:val="es-CO"/>
        </w:rPr>
        <w:t xml:space="preserve">En audiencia realizada el 19 de octubre de 2006, ante la CIDH, el Estado afirmó que “hay mucha pobreza en Santo </w:t>
      </w:r>
      <w:r w:rsidR="00FE716D" w:rsidRPr="00165EC6">
        <w:rPr>
          <w:rFonts w:ascii="Cambria" w:eastAsia="Batang" w:hAnsi="Cambria"/>
          <w:sz w:val="20"/>
          <w:szCs w:val="20"/>
          <w:bdr w:val="none" w:sz="0" w:space="0" w:color="auto"/>
          <w:lang w:val="es-CO"/>
        </w:rPr>
        <w:t>Antônio de Jesus</w:t>
      </w:r>
      <w:r w:rsidRPr="00165EC6">
        <w:rPr>
          <w:rFonts w:ascii="Cambria" w:eastAsia="Batang" w:hAnsi="Cambria"/>
          <w:sz w:val="20"/>
          <w:szCs w:val="20"/>
          <w:bdr w:val="none" w:sz="0" w:space="0" w:color="auto"/>
          <w:lang w:val="es-CO"/>
        </w:rPr>
        <w:t>, por lo que muchas familias trabajan en fábricas clandestinas”</w:t>
      </w:r>
      <w:r w:rsidRPr="00165EC6">
        <w:rPr>
          <w:rFonts w:ascii="Cambria" w:eastAsia="Batang" w:hAnsi="Cambria"/>
          <w:sz w:val="20"/>
          <w:szCs w:val="20"/>
          <w:bdr w:val="none" w:sz="0" w:space="0" w:color="auto"/>
          <w:vertAlign w:val="superscript"/>
          <w:lang w:val="es-CO"/>
        </w:rPr>
        <w:footnoteReference w:id="10"/>
      </w:r>
      <w:r w:rsidRPr="00165EC6">
        <w:rPr>
          <w:rFonts w:ascii="Cambria" w:eastAsia="Batang" w:hAnsi="Cambria"/>
          <w:sz w:val="20"/>
          <w:szCs w:val="20"/>
          <w:bdr w:val="none" w:sz="0" w:space="0" w:color="auto"/>
          <w:lang w:val="es-CO"/>
        </w:rPr>
        <w:t>.</w:t>
      </w:r>
    </w:p>
    <w:p w:rsidR="00277412" w:rsidRPr="00165EC6" w:rsidRDefault="00277412" w:rsidP="002504F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AR"/>
        </w:rPr>
      </w:pPr>
    </w:p>
    <w:p w:rsidR="00277412" w:rsidRPr="00165EC6" w:rsidRDefault="00277412"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AR"/>
        </w:rPr>
      </w:pPr>
      <w:r w:rsidRPr="00165EC6">
        <w:rPr>
          <w:rFonts w:ascii="Cambria" w:eastAsia="Batang" w:hAnsi="Cambria"/>
          <w:sz w:val="20"/>
          <w:szCs w:val="20"/>
          <w:bdr w:val="none" w:sz="0" w:space="0" w:color="auto"/>
          <w:lang w:val="es-CO"/>
        </w:rPr>
        <w:t>La clandestinidad de estas fábricas y la falta de fiscalización por parte de las autoridades, e</w:t>
      </w:r>
      <w:r w:rsidR="001966F2" w:rsidRPr="00165EC6">
        <w:rPr>
          <w:rFonts w:ascii="Cambria" w:eastAsia="Batang" w:hAnsi="Cambria"/>
          <w:sz w:val="20"/>
          <w:szCs w:val="20"/>
          <w:bdr w:val="none" w:sz="0" w:space="0" w:color="auto"/>
          <w:lang w:val="es-CO"/>
        </w:rPr>
        <w:t>ra</w:t>
      </w:r>
      <w:r w:rsidRPr="00165EC6">
        <w:rPr>
          <w:rFonts w:ascii="Cambria" w:eastAsia="Batang" w:hAnsi="Cambria"/>
          <w:sz w:val="20"/>
          <w:szCs w:val="20"/>
          <w:bdr w:val="none" w:sz="0" w:space="0" w:color="auto"/>
          <w:lang w:val="es-CO"/>
        </w:rPr>
        <w:t xml:space="preserve"> del conocimiento público. En ese sentido, dentro de los procesos laborales, la Jueza del Trabajo refirió: </w:t>
      </w: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Batang" w:hAnsi="Cambria"/>
          <w:sz w:val="20"/>
          <w:szCs w:val="20"/>
          <w:bdr w:val="none" w:sz="0" w:space="0" w:color="auto"/>
          <w:lang w:val="es-US"/>
        </w:rPr>
      </w:pP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Batang" w:hAnsi="Cambria"/>
          <w:sz w:val="20"/>
          <w:szCs w:val="20"/>
          <w:bdr w:val="none" w:sz="0" w:space="0" w:color="auto"/>
          <w:lang w:val="es-AR"/>
        </w:rPr>
      </w:pPr>
      <w:r w:rsidRPr="00165EC6">
        <w:rPr>
          <w:rFonts w:ascii="Cambria" w:eastAsia="Batang" w:hAnsi="Cambria"/>
          <w:sz w:val="20"/>
          <w:szCs w:val="20"/>
          <w:bdr w:val="none" w:sz="0" w:space="0" w:color="auto"/>
          <w:lang w:val="es-US"/>
        </w:rPr>
        <w:t xml:space="preserve">Es Santo Antônio de Jesus una ciudad de fiestas – aquí se conmemora la fiesta de ‘São João’ con mucha quema de fuegos artificiales (…). Esto todo atrae muchos visitantes que aumentan el comercio regular y el de fuegos artificiales. Es en este contexto que se ubica el comercio de fuegos artificiales irregular, clandestino, sin organización, sin fiscalización, informal. (…) La producción de estos fuegos, en su gran mayoría, es hecha clandestinamente, en los patios de las casas, no está sujeto a ningún tipo de supervisión. El almacenamiento se realiza en los hogares residenciales, en dormitorios, salas de estar, incluso debajo de las camas. Esto siempre ocurrió así y todavía realmente está pasando, todo el mundo sabe, porque es un hecho público y notorio (…) A pesar de ser una actividad permanente, en el sentido de que los empresarios viven de esto, existe un período del año en lo cual los fuegos son fabricados, pues que hay grande demanda (…) La mano de obra utilizada por los </w:t>
      </w:r>
      <w:r w:rsidRPr="00165EC6">
        <w:rPr>
          <w:rFonts w:ascii="Cambria" w:eastAsia="Batang" w:hAnsi="Cambria"/>
          <w:sz w:val="20"/>
          <w:szCs w:val="20"/>
          <w:bdr w:val="none" w:sz="0" w:space="0" w:color="auto"/>
          <w:lang w:val="es-US"/>
        </w:rPr>
        <w:lastRenderedPageBreak/>
        <w:t>fabricante</w:t>
      </w:r>
      <w:r w:rsidR="008C0DD0" w:rsidRPr="00165EC6">
        <w:rPr>
          <w:rFonts w:ascii="Cambria" w:eastAsia="Batang" w:hAnsi="Cambria"/>
          <w:sz w:val="20"/>
          <w:szCs w:val="20"/>
          <w:bdr w:val="none" w:sz="0" w:space="0" w:color="auto"/>
          <w:lang w:val="es-US"/>
        </w:rPr>
        <w:t>s</w:t>
      </w:r>
      <w:r w:rsidRPr="00165EC6">
        <w:rPr>
          <w:rFonts w:ascii="Cambria" w:eastAsia="Batang" w:hAnsi="Cambria"/>
          <w:sz w:val="20"/>
          <w:szCs w:val="20"/>
          <w:bdr w:val="none" w:sz="0" w:space="0" w:color="auto"/>
          <w:lang w:val="es-US"/>
        </w:rPr>
        <w:t xml:space="preserve"> es absolutamente sin cualificación, familias enteras, estas épocas, traba</w:t>
      </w:r>
      <w:r w:rsidR="00DB3915" w:rsidRPr="00165EC6">
        <w:rPr>
          <w:rFonts w:ascii="Cambria" w:eastAsia="Batang" w:hAnsi="Cambria"/>
          <w:sz w:val="20"/>
          <w:szCs w:val="20"/>
          <w:bdr w:val="none" w:sz="0" w:space="0" w:color="auto"/>
          <w:lang w:val="es-US"/>
        </w:rPr>
        <w:t>jan para ganar algún dinero</w:t>
      </w:r>
      <w:r w:rsidRPr="00165EC6">
        <w:rPr>
          <w:rFonts w:ascii="Cambria" w:eastAsia="Batang" w:hAnsi="Cambria"/>
          <w:sz w:val="20"/>
          <w:szCs w:val="20"/>
          <w:bdr w:val="none" w:sz="0" w:space="0" w:color="auto"/>
          <w:vertAlign w:val="superscript"/>
          <w:lang w:val="es-US"/>
        </w:rPr>
        <w:footnoteReference w:id="11"/>
      </w:r>
      <w:r w:rsidRPr="00165EC6">
        <w:rPr>
          <w:rFonts w:ascii="Cambria" w:eastAsia="Batang" w:hAnsi="Cambria"/>
          <w:sz w:val="20"/>
          <w:szCs w:val="20"/>
          <w:bdr w:val="none" w:sz="0" w:space="0" w:color="auto"/>
          <w:lang w:val="es-US"/>
        </w:rPr>
        <w:t>.</w:t>
      </w: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AR"/>
        </w:rPr>
      </w:pPr>
    </w:p>
    <w:p w:rsidR="00277412" w:rsidRPr="00165EC6" w:rsidRDefault="00277412"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AR"/>
        </w:rPr>
      </w:pPr>
      <w:r w:rsidRPr="00165EC6">
        <w:rPr>
          <w:rFonts w:ascii="Cambria" w:eastAsia="Batang" w:hAnsi="Cambria"/>
          <w:sz w:val="20"/>
          <w:szCs w:val="20"/>
          <w:bdr w:val="none" w:sz="0" w:space="0" w:color="auto"/>
          <w:lang w:val="es-CO"/>
        </w:rPr>
        <w:t>El 4 de agosto de 2008, el Estado brasileño presentó a la Comisión el “Documento Síntesis del Grupo de Trabajo – Políticas públicas para la municipalidad de Santo Antônio de Jesus y la región”</w:t>
      </w:r>
      <w:r w:rsidR="00DE3BD9" w:rsidRPr="00165EC6">
        <w:rPr>
          <w:rFonts w:ascii="Cambria" w:eastAsia="Batang" w:hAnsi="Cambria"/>
          <w:sz w:val="20"/>
          <w:szCs w:val="20"/>
          <w:bdr w:val="none" w:sz="0" w:space="0" w:color="auto"/>
          <w:lang w:val="es-CO"/>
        </w:rPr>
        <w:t xml:space="preserve"> (en adelante “el Documento Síntesis”)</w:t>
      </w:r>
      <w:r w:rsidRPr="00165EC6">
        <w:rPr>
          <w:rFonts w:ascii="Cambria" w:eastAsia="Batang" w:hAnsi="Cambria"/>
          <w:sz w:val="20"/>
          <w:szCs w:val="20"/>
          <w:bdr w:val="none" w:sz="0" w:space="0" w:color="auto"/>
          <w:lang w:val="es-CO"/>
        </w:rPr>
        <w:t xml:space="preserve">, que contiene una exposición sobre el  contexto social de la región, con enfoque </w:t>
      </w:r>
      <w:r w:rsidR="005C2AF2" w:rsidRPr="00165EC6">
        <w:rPr>
          <w:rFonts w:ascii="Cambria" w:eastAsia="Batang" w:hAnsi="Cambria"/>
          <w:sz w:val="20"/>
          <w:szCs w:val="20"/>
          <w:bdr w:val="none" w:sz="0" w:space="0" w:color="auto"/>
          <w:lang w:val="es-CO"/>
        </w:rPr>
        <w:t>en</w:t>
      </w:r>
      <w:r w:rsidRPr="00165EC6">
        <w:rPr>
          <w:rFonts w:ascii="Cambria" w:eastAsia="Batang" w:hAnsi="Cambria"/>
          <w:sz w:val="20"/>
          <w:szCs w:val="20"/>
          <w:bdr w:val="none" w:sz="0" w:space="0" w:color="auto"/>
          <w:lang w:val="es-CO"/>
        </w:rPr>
        <w:t xml:space="preserve"> la situación de las personas que trabajan en la producción de fuegos artificiales: </w:t>
      </w: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AR"/>
        </w:rPr>
      </w:pP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Batang" w:hAnsi="Cambria"/>
          <w:sz w:val="20"/>
          <w:szCs w:val="20"/>
          <w:bdr w:val="none" w:sz="0" w:space="0" w:color="auto"/>
          <w:lang w:val="es-AR"/>
        </w:rPr>
      </w:pPr>
      <w:r w:rsidRPr="00165EC6">
        <w:rPr>
          <w:rFonts w:ascii="Cambria" w:eastAsia="Batang" w:hAnsi="Cambria"/>
          <w:sz w:val="20"/>
          <w:szCs w:val="20"/>
          <w:bdr w:val="none" w:sz="0" w:space="0" w:color="auto"/>
          <w:lang w:val="es-CO"/>
        </w:rPr>
        <w:t>La comunidad continúa en la producción de fuegos por falta de alternativas: son mujeres desempleadas, estudiantes, madres y niñas involucradas en la actividad; algunos trabajaban en la fábrica y después de la explosión empezaron a producir en casa. […]</w:t>
      </w:r>
      <w:r w:rsidR="006E5077" w:rsidRPr="00165EC6">
        <w:rPr>
          <w:rFonts w:ascii="Cambria" w:eastAsia="Batang" w:hAnsi="Cambria"/>
          <w:sz w:val="20"/>
          <w:szCs w:val="20"/>
          <w:bdr w:val="none" w:sz="0" w:space="0" w:color="auto"/>
          <w:lang w:val="es-CO"/>
        </w:rPr>
        <w:t xml:space="preserve"> </w:t>
      </w:r>
      <w:r w:rsidRPr="00165EC6">
        <w:rPr>
          <w:rFonts w:ascii="Cambria" w:eastAsia="Batang" w:hAnsi="Cambria"/>
          <w:sz w:val="20"/>
          <w:szCs w:val="20"/>
          <w:bdr w:val="none" w:sz="0" w:space="0" w:color="auto"/>
          <w:lang w:val="es-CO"/>
        </w:rPr>
        <w:t>Se constata poco nivel de escolaridad – la mayoría no concluy</w:t>
      </w:r>
      <w:r w:rsidR="006E5077" w:rsidRPr="00165EC6">
        <w:rPr>
          <w:rFonts w:ascii="Cambria" w:eastAsia="Batang" w:hAnsi="Cambria"/>
          <w:sz w:val="20"/>
          <w:szCs w:val="20"/>
          <w:bdr w:val="none" w:sz="0" w:space="0" w:color="auto"/>
          <w:lang w:val="es-CO"/>
        </w:rPr>
        <w:t>ó</w:t>
      </w:r>
      <w:r w:rsidRPr="00165EC6">
        <w:rPr>
          <w:rFonts w:ascii="Cambria" w:eastAsia="Batang" w:hAnsi="Cambria"/>
          <w:sz w:val="20"/>
          <w:szCs w:val="20"/>
          <w:bdr w:val="none" w:sz="0" w:space="0" w:color="auto"/>
          <w:lang w:val="es-CO"/>
        </w:rPr>
        <w:t xml:space="preserve">  la enseñanza fundamental y muchos tampoco son alfabetizados. […]. Involucramiento de mujeres y de niños en la producción de fuegos artificiales en sus domicilios, sin herramientas adecuadas ni equipos de protección. […] La comunidad reconoce la producción de fuegos como una actividad peligrosa, transmitida de generación en generación hace más de cuatro décadas. Las mujeres laboran predominantemente […] en sus propias residencias, donde almacenan aleatoriamente productos, sin consciencia de la dimensión del riesgo al cual se exponen; la producción se hace de forma colectiva alrededor del núcleo familiar, sobretodo de los niños y adolescentes, cuya destreza y habilidad propician una mayor rentabilidad. Los hombres se concentran en la preparación de la pólvora, en tiendas y/o en fábricas. De modo general, la actividad se desarrolla durante todo el año, […] de forma clandestina, no ciudadana</w:t>
      </w:r>
      <w:r w:rsidR="00F075A9" w:rsidRPr="00165EC6">
        <w:rPr>
          <w:rFonts w:ascii="Cambria" w:eastAsia="Batang" w:hAnsi="Cambria"/>
          <w:sz w:val="20"/>
          <w:szCs w:val="20"/>
          <w:bdr w:val="none" w:sz="0" w:space="0" w:color="auto"/>
          <w:lang w:val="es-CO"/>
        </w:rPr>
        <w:t xml:space="preserve"> (sic)</w:t>
      </w:r>
      <w:r w:rsidRPr="00165EC6">
        <w:rPr>
          <w:rFonts w:ascii="Cambria" w:eastAsia="Batang" w:hAnsi="Cambria"/>
          <w:sz w:val="20"/>
          <w:szCs w:val="20"/>
          <w:bdr w:val="none" w:sz="0" w:space="0" w:color="auto"/>
          <w:lang w:val="es-CO"/>
        </w:rPr>
        <w:t>, precaria, sin fiscalización de los órganos competentes, mal remunerada y con explotación de la mano de obra. Revelan que, a pesar de que laboran con registro formal en documento en el condominio Fênix, no reciben un salario mínimo mensual […]. En las entrevistas hubo relato de problemas de salud originados de la actividad</w:t>
      </w:r>
      <w:r w:rsidR="005C2AF2" w:rsidRPr="00165EC6">
        <w:rPr>
          <w:rFonts w:ascii="Cambria" w:eastAsia="Batang" w:hAnsi="Cambria"/>
          <w:sz w:val="20"/>
          <w:szCs w:val="20"/>
          <w:bdr w:val="none" w:sz="0" w:space="0" w:color="auto"/>
          <w:lang w:val="es-CO"/>
        </w:rPr>
        <w:t xml:space="preserve"> […]</w:t>
      </w:r>
      <w:r w:rsidRPr="00165EC6">
        <w:rPr>
          <w:rFonts w:ascii="Cambria" w:eastAsia="Batang" w:hAnsi="Cambria"/>
          <w:sz w:val="20"/>
          <w:szCs w:val="20"/>
          <w:bdr w:val="none" w:sz="0" w:space="0" w:color="auto"/>
          <w:lang w:val="es-CO"/>
        </w:rPr>
        <w:t>, además de accidentes con graves secuelas, derivados de materia-prima utilizada en la confección de los productos (arena, acido, plata, azufre y aluminio, entre otros)</w:t>
      </w:r>
      <w:r w:rsidRPr="00165EC6">
        <w:rPr>
          <w:rFonts w:ascii="Cambria" w:eastAsia="Batang" w:hAnsi="Cambria"/>
          <w:sz w:val="20"/>
          <w:szCs w:val="20"/>
          <w:bdr w:val="none" w:sz="0" w:space="0" w:color="auto"/>
          <w:vertAlign w:val="superscript"/>
          <w:lang w:val="es-CO"/>
        </w:rPr>
        <w:footnoteReference w:id="12"/>
      </w:r>
      <w:r w:rsidRPr="00165EC6">
        <w:rPr>
          <w:rFonts w:ascii="Cambria" w:eastAsia="Batang" w:hAnsi="Cambria"/>
          <w:sz w:val="20"/>
          <w:szCs w:val="20"/>
          <w:bdr w:val="none" w:sz="0" w:space="0" w:color="auto"/>
          <w:lang w:val="es-CO"/>
        </w:rPr>
        <w:t>.</w:t>
      </w:r>
    </w:p>
    <w:p w:rsidR="00277412" w:rsidRPr="00165EC6" w:rsidRDefault="00A05265" w:rsidP="005B7945">
      <w:pPr>
        <w:pStyle w:val="Heading2"/>
        <w:numPr>
          <w:ilvl w:val="0"/>
          <w:numId w:val="65"/>
        </w:numPr>
        <w:ind w:left="1440" w:hanging="720"/>
        <w:jc w:val="both"/>
        <w:rPr>
          <w:rFonts w:asciiTheme="majorHAnsi" w:hAnsiTheme="majorHAnsi"/>
          <w:i w:val="0"/>
          <w:sz w:val="20"/>
          <w:szCs w:val="20"/>
          <w:lang w:val="es-ES"/>
        </w:rPr>
      </w:pPr>
      <w:bookmarkStart w:id="12" w:name="_Toc506225827"/>
      <w:r w:rsidRPr="00165EC6">
        <w:rPr>
          <w:rFonts w:asciiTheme="majorHAnsi" w:hAnsiTheme="majorHAnsi"/>
          <w:i w:val="0"/>
          <w:sz w:val="20"/>
          <w:szCs w:val="20"/>
          <w:lang w:val="es-ES"/>
        </w:rPr>
        <w:t>C</w:t>
      </w:r>
      <w:r w:rsidR="00277412" w:rsidRPr="00165EC6">
        <w:rPr>
          <w:rFonts w:asciiTheme="majorHAnsi" w:hAnsiTheme="majorHAnsi"/>
          <w:i w:val="0"/>
          <w:sz w:val="20"/>
          <w:szCs w:val="20"/>
          <w:lang w:val="es-ES"/>
        </w:rPr>
        <w:t>ondiciones de la fábrica de fuegos artificiales y explosión de 11 de diciembre de 1998</w:t>
      </w:r>
      <w:r w:rsidR="00335942" w:rsidRPr="00165EC6">
        <w:rPr>
          <w:rFonts w:asciiTheme="majorHAnsi" w:hAnsiTheme="majorHAnsi"/>
          <w:i w:val="0"/>
          <w:sz w:val="20"/>
          <w:szCs w:val="20"/>
          <w:lang w:val="es-ES"/>
        </w:rPr>
        <w:t>.</w:t>
      </w:r>
      <w:bookmarkEnd w:id="12"/>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ES"/>
        </w:rPr>
      </w:pPr>
    </w:p>
    <w:p w:rsidR="00A05265" w:rsidRPr="00165EC6" w:rsidRDefault="00277412"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AR"/>
        </w:rPr>
      </w:pPr>
      <w:r w:rsidRPr="00165EC6">
        <w:rPr>
          <w:rFonts w:ascii="Cambria" w:eastAsia="Batang" w:hAnsi="Cambria"/>
          <w:sz w:val="20"/>
          <w:szCs w:val="20"/>
          <w:bdr w:val="none" w:sz="0" w:space="0" w:color="auto"/>
          <w:lang w:val="es-ES"/>
        </w:rPr>
        <w:t xml:space="preserve">Según la acusación formal del Ministerio Público, en </w:t>
      </w:r>
      <w:r w:rsidR="00C36670" w:rsidRPr="00165EC6">
        <w:rPr>
          <w:rFonts w:ascii="Cambria" w:eastAsia="Batang" w:hAnsi="Cambria"/>
          <w:sz w:val="20"/>
          <w:szCs w:val="20"/>
          <w:bdr w:val="none" w:sz="0" w:space="0" w:color="auto"/>
          <w:lang w:val="es-AR"/>
        </w:rPr>
        <w:t>la H</w:t>
      </w:r>
      <w:r w:rsidRPr="00165EC6">
        <w:rPr>
          <w:rFonts w:ascii="Cambria" w:eastAsia="Batang" w:hAnsi="Cambria"/>
          <w:sz w:val="20"/>
          <w:szCs w:val="20"/>
          <w:bdr w:val="none" w:sz="0" w:space="0" w:color="auto"/>
          <w:lang w:val="es-AR"/>
        </w:rPr>
        <w:t>acienda Joeirana, en la zona rural de de Santo Antônio de Jesus, funcionaba una fábrica de fuegos artificiales, de propiedad de Osvaldo Prazeres Bastos, que estaba registrada a nombre de su hijo, Mário Fróes Prazeres Bastos</w:t>
      </w:r>
      <w:r w:rsidRPr="00165EC6">
        <w:rPr>
          <w:rFonts w:ascii="Cambria" w:eastAsia="Batang" w:hAnsi="Cambria"/>
          <w:sz w:val="20"/>
          <w:szCs w:val="20"/>
          <w:bdr w:val="none" w:sz="0" w:space="0" w:color="auto"/>
          <w:vertAlign w:val="superscript"/>
          <w:lang w:val="es-AR"/>
        </w:rPr>
        <w:footnoteReference w:id="13"/>
      </w:r>
      <w:r w:rsidRPr="00165EC6">
        <w:rPr>
          <w:rFonts w:ascii="Cambria" w:eastAsia="Batang" w:hAnsi="Cambria"/>
          <w:sz w:val="20"/>
          <w:szCs w:val="20"/>
          <w:bdr w:val="none" w:sz="0" w:space="0" w:color="auto"/>
          <w:lang w:val="es-AR"/>
        </w:rPr>
        <w:t>. En su acusación formal, el Ministerio Público afirm</w:t>
      </w:r>
      <w:r w:rsidR="005C2AF2" w:rsidRPr="00165EC6">
        <w:rPr>
          <w:rFonts w:ascii="Cambria" w:eastAsia="Batang" w:hAnsi="Cambria"/>
          <w:sz w:val="20"/>
          <w:szCs w:val="20"/>
          <w:bdr w:val="none" w:sz="0" w:space="0" w:color="auto"/>
          <w:lang w:val="es-AR"/>
        </w:rPr>
        <w:t>ó</w:t>
      </w:r>
      <w:r w:rsidRPr="00165EC6">
        <w:rPr>
          <w:rFonts w:ascii="Cambria" w:eastAsia="Batang" w:hAnsi="Cambria"/>
          <w:sz w:val="20"/>
          <w:szCs w:val="20"/>
          <w:bdr w:val="none" w:sz="0" w:space="0" w:color="auto"/>
          <w:lang w:val="es-AR"/>
        </w:rPr>
        <w:t xml:space="preserve"> que los denunciados tenían conocimiento de que la fábrica “era peligrosa y podría explotar en cualquier momento y provocar una tragedia”</w:t>
      </w:r>
      <w:r w:rsidRPr="00165EC6">
        <w:rPr>
          <w:rFonts w:ascii="Cambria" w:eastAsia="Batang" w:hAnsi="Cambria"/>
          <w:sz w:val="20"/>
          <w:szCs w:val="20"/>
          <w:bdr w:val="none" w:sz="0" w:space="0" w:color="auto"/>
          <w:vertAlign w:val="superscript"/>
          <w:lang w:val="es-AR"/>
        </w:rPr>
        <w:footnoteReference w:id="14"/>
      </w:r>
      <w:r w:rsidR="00C36670" w:rsidRPr="00165EC6">
        <w:rPr>
          <w:rFonts w:ascii="Cambria" w:eastAsia="Batang" w:hAnsi="Cambria"/>
          <w:sz w:val="20"/>
          <w:szCs w:val="20"/>
          <w:bdr w:val="none" w:sz="0" w:space="0" w:color="auto"/>
          <w:lang w:val="es-AR"/>
        </w:rPr>
        <w:t xml:space="preserve"> y</w:t>
      </w:r>
      <w:r w:rsidRPr="00165EC6">
        <w:rPr>
          <w:rFonts w:ascii="Cambria" w:eastAsia="Batang" w:hAnsi="Cambria"/>
          <w:sz w:val="20"/>
          <w:szCs w:val="20"/>
          <w:bdr w:val="none" w:sz="0" w:space="0" w:color="auto"/>
          <w:lang w:val="es-AR"/>
        </w:rPr>
        <w:t xml:space="preserve"> que</w:t>
      </w:r>
      <w:r w:rsidR="00C36670" w:rsidRPr="00165EC6">
        <w:rPr>
          <w:rFonts w:ascii="Cambria" w:eastAsia="Batang" w:hAnsi="Cambria"/>
          <w:sz w:val="20"/>
          <w:szCs w:val="20"/>
          <w:bdr w:val="none" w:sz="0" w:space="0" w:color="auto"/>
          <w:lang w:val="es-AR"/>
        </w:rPr>
        <w:t>,</w:t>
      </w:r>
      <w:r w:rsidRPr="00165EC6">
        <w:rPr>
          <w:rFonts w:ascii="Cambria" w:eastAsia="Batang" w:hAnsi="Cambria"/>
          <w:sz w:val="20"/>
          <w:szCs w:val="20"/>
          <w:bdr w:val="none" w:sz="0" w:space="0" w:color="auto"/>
          <w:lang w:val="es-AR"/>
        </w:rPr>
        <w:t xml:space="preserve"> si bien contaban con autorización del Ministerio del Ejército, las actividades eran llevadas a cabo “de forma irregular”</w:t>
      </w:r>
      <w:r w:rsidRPr="00165EC6">
        <w:rPr>
          <w:rFonts w:ascii="Cambria" w:eastAsia="Batang" w:hAnsi="Cambria"/>
          <w:sz w:val="20"/>
          <w:szCs w:val="20"/>
          <w:bdr w:val="none" w:sz="0" w:space="0" w:color="auto"/>
          <w:vertAlign w:val="superscript"/>
          <w:lang w:val="es-AR"/>
        </w:rPr>
        <w:footnoteReference w:id="15"/>
      </w:r>
      <w:r w:rsidRPr="00165EC6">
        <w:rPr>
          <w:rFonts w:ascii="Cambria" w:eastAsia="Batang" w:hAnsi="Cambria"/>
          <w:sz w:val="20"/>
          <w:szCs w:val="20"/>
          <w:bdr w:val="none" w:sz="0" w:space="0" w:color="auto"/>
          <w:lang w:val="es-AR"/>
        </w:rPr>
        <w:t xml:space="preserve">. </w:t>
      </w:r>
    </w:p>
    <w:p w:rsidR="00277412" w:rsidRPr="00165EC6" w:rsidRDefault="00277412" w:rsidP="002504F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AR"/>
        </w:rPr>
      </w:pPr>
      <w:r w:rsidRPr="00165EC6">
        <w:rPr>
          <w:rFonts w:ascii="Cambria" w:eastAsia="Batang" w:hAnsi="Cambria"/>
          <w:sz w:val="20"/>
          <w:szCs w:val="20"/>
          <w:bdr w:val="none" w:sz="0" w:space="0" w:color="auto"/>
          <w:lang w:val="es-AR"/>
        </w:rPr>
        <w:t xml:space="preserve"> </w:t>
      </w:r>
    </w:p>
    <w:p w:rsidR="00A05265" w:rsidRPr="00165EC6" w:rsidRDefault="00A05265"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AR"/>
        </w:rPr>
      </w:pPr>
      <w:r w:rsidRPr="00165EC6">
        <w:rPr>
          <w:rFonts w:ascii="Cambria" w:eastAsia="Batang" w:hAnsi="Cambria"/>
          <w:sz w:val="20"/>
          <w:szCs w:val="20"/>
          <w:bdr w:val="none" w:sz="0" w:space="0" w:color="auto"/>
          <w:lang w:val="es-ES"/>
        </w:rPr>
        <w:t>Es un hecho no controvertido que el 11 de diciembre de 1998 tuvo lugar una explosión en dicho lugar, que tuvo como resultado la muerte de 64 personas y lesiones a otras seis.</w:t>
      </w:r>
    </w:p>
    <w:p w:rsidR="00277412" w:rsidRPr="00165EC6" w:rsidRDefault="00277412" w:rsidP="002504F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ES"/>
        </w:rPr>
      </w:pPr>
    </w:p>
    <w:p w:rsidR="00277412" w:rsidRPr="00165EC6" w:rsidRDefault="00277412"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MX"/>
        </w:rPr>
      </w:pPr>
      <w:r w:rsidRPr="00165EC6">
        <w:rPr>
          <w:rFonts w:ascii="Cambria" w:eastAsia="Batang" w:hAnsi="Cambria"/>
          <w:sz w:val="20"/>
          <w:szCs w:val="20"/>
          <w:bdr w:val="none" w:sz="0" w:space="0" w:color="auto"/>
          <w:lang w:val="es-AR"/>
        </w:rPr>
        <w:t>Según información presentada por los peticionarios y no controvertida por el Estado, d</w:t>
      </w:r>
      <w:r w:rsidRPr="00165EC6">
        <w:rPr>
          <w:rFonts w:ascii="Cambria" w:eastAsia="Batang" w:hAnsi="Cambria"/>
          <w:sz w:val="20"/>
          <w:szCs w:val="20"/>
          <w:bdr w:val="none" w:sz="0" w:space="0" w:color="auto"/>
          <w:lang w:val="es-MX"/>
        </w:rPr>
        <w:t xml:space="preserve">os de las víctimas sobrevivientes: Bruno Silva dos Santos y Wellington Silva dos Santos, resultaron con lesiones graves que requerían de tratamientos médicos urgentes. La señora Maria Lúcia Rodrigues da Silva, madre de esas dos víctimas declaró en el documental </w:t>
      </w:r>
      <w:r w:rsidRPr="00165EC6">
        <w:rPr>
          <w:rFonts w:ascii="Cambria" w:eastAsia="Batang" w:hAnsi="Cambria"/>
          <w:i/>
          <w:sz w:val="20"/>
          <w:szCs w:val="20"/>
          <w:bdr w:val="none" w:sz="0" w:space="0" w:color="auto"/>
          <w:lang w:val="es-MX"/>
        </w:rPr>
        <w:t>Salve Santo Antonio</w:t>
      </w:r>
      <w:r w:rsidRPr="00165EC6">
        <w:rPr>
          <w:rFonts w:ascii="Cambria" w:eastAsia="Batang" w:hAnsi="Cambria"/>
          <w:sz w:val="20"/>
          <w:szCs w:val="20"/>
          <w:bdr w:val="none" w:sz="0" w:space="0" w:color="auto"/>
          <w:lang w:val="es-MX"/>
        </w:rPr>
        <w:t xml:space="preserve">, de 2004, que “Bruno está siendo </w:t>
      </w:r>
      <w:r w:rsidR="00030F7D" w:rsidRPr="00165EC6">
        <w:rPr>
          <w:rFonts w:ascii="Cambria" w:eastAsia="Batang" w:hAnsi="Cambria"/>
          <w:sz w:val="20"/>
          <w:szCs w:val="20"/>
          <w:bdr w:val="none" w:sz="0" w:space="0" w:color="auto"/>
          <w:lang w:val="es-MX"/>
        </w:rPr>
        <w:t xml:space="preserve">sometido a </w:t>
      </w:r>
      <w:r w:rsidR="00030F7D" w:rsidRPr="00165EC6">
        <w:rPr>
          <w:rFonts w:ascii="Cambria" w:eastAsia="Batang" w:hAnsi="Cambria"/>
          <w:sz w:val="20"/>
          <w:szCs w:val="20"/>
          <w:bdr w:val="none" w:sz="0" w:space="0" w:color="auto"/>
          <w:lang w:val="es-MX"/>
        </w:rPr>
        <w:lastRenderedPageBreak/>
        <w:t>tratamiento casero; é</w:t>
      </w:r>
      <w:r w:rsidRPr="00165EC6">
        <w:rPr>
          <w:rFonts w:ascii="Cambria" w:eastAsia="Batang" w:hAnsi="Cambria"/>
          <w:sz w:val="20"/>
          <w:szCs w:val="20"/>
          <w:bdr w:val="none" w:sz="0" w:space="0" w:color="auto"/>
          <w:lang w:val="es-MX"/>
        </w:rPr>
        <w:t>l necesita de un tratamiento adecuado para sanar su pierna, cada día que pasa está empeorando la pierna del chico, la herida está enorme”</w:t>
      </w:r>
      <w:r w:rsidRPr="00165EC6">
        <w:rPr>
          <w:rFonts w:ascii="Cambria" w:eastAsia="Batang" w:hAnsi="Cambria"/>
          <w:sz w:val="20"/>
          <w:szCs w:val="20"/>
          <w:bdr w:val="none" w:sz="0" w:space="0" w:color="auto"/>
          <w:vertAlign w:val="superscript"/>
          <w:lang w:val="es-MX"/>
        </w:rPr>
        <w:footnoteReference w:id="16"/>
      </w:r>
      <w:r w:rsidRPr="00165EC6">
        <w:rPr>
          <w:rFonts w:ascii="Cambria" w:eastAsia="Batang" w:hAnsi="Cambria"/>
          <w:sz w:val="20"/>
          <w:szCs w:val="20"/>
          <w:bdr w:val="none" w:sz="0" w:space="0" w:color="auto"/>
          <w:lang w:val="es-MX"/>
        </w:rPr>
        <w:t xml:space="preserve">. </w:t>
      </w:r>
      <w:r w:rsidR="005D1AF8" w:rsidRPr="00165EC6">
        <w:rPr>
          <w:rFonts w:ascii="Cambria" w:eastAsia="Batang" w:hAnsi="Cambria"/>
          <w:sz w:val="20"/>
          <w:szCs w:val="20"/>
          <w:bdr w:val="none" w:sz="0" w:space="0" w:color="auto"/>
          <w:lang w:val="es-CO"/>
        </w:rPr>
        <w:t xml:space="preserve">La </w:t>
      </w:r>
      <w:r w:rsidR="00B507F1" w:rsidRPr="00165EC6">
        <w:rPr>
          <w:rFonts w:ascii="Cambria" w:eastAsia="Batang" w:hAnsi="Cambria"/>
          <w:sz w:val="20"/>
          <w:szCs w:val="20"/>
          <w:bdr w:val="none" w:sz="0" w:space="0" w:color="auto"/>
          <w:lang w:val="es-CO"/>
        </w:rPr>
        <w:t>información</w:t>
      </w:r>
      <w:r w:rsidR="005D1AF8" w:rsidRPr="00165EC6">
        <w:rPr>
          <w:rFonts w:ascii="Cambria" w:eastAsia="Batang" w:hAnsi="Cambria"/>
          <w:sz w:val="20"/>
          <w:szCs w:val="20"/>
          <w:bdr w:val="none" w:sz="0" w:space="0" w:color="auto"/>
          <w:lang w:val="es-CO"/>
        </w:rPr>
        <w:t xml:space="preserve"> disponible indica que los sobrevivientes sufrieron quemaduras; sin embargo,</w:t>
      </w:r>
      <w:r w:rsidR="00EA2E09" w:rsidRPr="00165EC6">
        <w:rPr>
          <w:rFonts w:ascii="Cambria" w:eastAsia="Batang" w:hAnsi="Cambria"/>
          <w:sz w:val="20"/>
          <w:szCs w:val="20"/>
          <w:bdr w:val="none" w:sz="0" w:space="0" w:color="auto"/>
          <w:lang w:val="es-CO"/>
        </w:rPr>
        <w:t xml:space="preserve"> l</w:t>
      </w:r>
      <w:r w:rsidRPr="00165EC6">
        <w:rPr>
          <w:rFonts w:ascii="Cambria" w:eastAsia="Batang" w:hAnsi="Cambria"/>
          <w:sz w:val="20"/>
          <w:szCs w:val="20"/>
          <w:bdr w:val="none" w:sz="0" w:space="0" w:color="auto"/>
          <w:lang w:val="es-MX"/>
        </w:rPr>
        <w:t xml:space="preserve">a Comisión no cuenta con información </w:t>
      </w:r>
      <w:r w:rsidR="00F075A9" w:rsidRPr="00165EC6">
        <w:rPr>
          <w:rFonts w:ascii="Cambria" w:eastAsia="Batang" w:hAnsi="Cambria"/>
          <w:sz w:val="20"/>
          <w:szCs w:val="20"/>
          <w:bdr w:val="none" w:sz="0" w:space="0" w:color="auto"/>
          <w:lang w:val="es-MX"/>
        </w:rPr>
        <w:t>detallada</w:t>
      </w:r>
      <w:r w:rsidRPr="00165EC6">
        <w:rPr>
          <w:rFonts w:ascii="Cambria" w:eastAsia="Batang" w:hAnsi="Cambria"/>
          <w:sz w:val="20"/>
          <w:szCs w:val="20"/>
          <w:bdr w:val="none" w:sz="0" w:space="0" w:color="auto"/>
          <w:lang w:val="es-MX"/>
        </w:rPr>
        <w:t xml:space="preserve"> sobre las lesiones sufridas, ni </w:t>
      </w:r>
      <w:r w:rsidR="00846C29" w:rsidRPr="00165EC6">
        <w:rPr>
          <w:rFonts w:ascii="Cambria" w:eastAsia="Batang" w:hAnsi="Cambria"/>
          <w:sz w:val="20"/>
          <w:szCs w:val="20"/>
          <w:bdr w:val="none" w:sz="0" w:space="0" w:color="auto"/>
          <w:lang w:val="es-MX"/>
        </w:rPr>
        <w:t xml:space="preserve"> respecto a </w:t>
      </w:r>
      <w:r w:rsidRPr="00165EC6">
        <w:rPr>
          <w:rFonts w:ascii="Cambria" w:eastAsia="Batang" w:hAnsi="Cambria"/>
          <w:sz w:val="20"/>
          <w:szCs w:val="20"/>
          <w:bdr w:val="none" w:sz="0" w:space="0" w:color="auto"/>
          <w:lang w:val="es-MX"/>
        </w:rPr>
        <w:t>la atención médica que h</w:t>
      </w:r>
      <w:r w:rsidR="00846C29" w:rsidRPr="00165EC6">
        <w:rPr>
          <w:rFonts w:ascii="Cambria" w:eastAsia="Batang" w:hAnsi="Cambria"/>
          <w:sz w:val="20"/>
          <w:szCs w:val="20"/>
          <w:bdr w:val="none" w:sz="0" w:space="0" w:color="auto"/>
          <w:lang w:val="es-MX"/>
        </w:rPr>
        <w:t>ubieren</w:t>
      </w:r>
      <w:r w:rsidRPr="00165EC6">
        <w:rPr>
          <w:rFonts w:ascii="Cambria" w:eastAsia="Batang" w:hAnsi="Cambria"/>
          <w:sz w:val="20"/>
          <w:szCs w:val="20"/>
          <w:bdr w:val="none" w:sz="0" w:space="0" w:color="auto"/>
          <w:lang w:val="es-MX"/>
        </w:rPr>
        <w:t xml:space="preserve"> recibido. </w:t>
      </w:r>
    </w:p>
    <w:p w:rsidR="00277412" w:rsidRPr="00165EC6" w:rsidRDefault="00277412" w:rsidP="002504F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MX"/>
        </w:rPr>
      </w:pPr>
    </w:p>
    <w:p w:rsidR="00277412" w:rsidRPr="00165EC6" w:rsidRDefault="00277412"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CL"/>
        </w:rPr>
      </w:pPr>
      <w:r w:rsidRPr="00165EC6">
        <w:rPr>
          <w:rFonts w:ascii="Cambria" w:eastAsia="Batang" w:hAnsi="Cambria"/>
          <w:sz w:val="20"/>
          <w:szCs w:val="20"/>
          <w:bdr w:val="none" w:sz="0" w:space="0" w:color="auto"/>
          <w:lang w:val="es-CO"/>
        </w:rPr>
        <w:t>La fábrica contaba con permiso del Ministerio del Ejército y del poder público de la Municipalidad</w:t>
      </w:r>
      <w:r w:rsidRPr="00165EC6">
        <w:rPr>
          <w:rFonts w:ascii="Cambria" w:eastAsia="Batang" w:hAnsi="Cambria"/>
          <w:sz w:val="20"/>
          <w:szCs w:val="20"/>
          <w:bdr w:val="none" w:sz="0" w:space="0" w:color="auto"/>
          <w:vertAlign w:val="superscript"/>
          <w:lang w:val="es-CO"/>
        </w:rPr>
        <w:footnoteReference w:id="17"/>
      </w:r>
      <w:r w:rsidRPr="00165EC6">
        <w:rPr>
          <w:rFonts w:ascii="Cambria" w:eastAsia="Batang" w:hAnsi="Cambria"/>
          <w:sz w:val="20"/>
          <w:szCs w:val="20"/>
          <w:bdr w:val="none" w:sz="0" w:space="0" w:color="auto"/>
          <w:lang w:val="es-CO"/>
        </w:rPr>
        <w:t>. El Certificado de Registro número 381, fue emitido el 19 de diciembre de 1995, con vigencia hasta el 31 de diciembre de 1998, en favor de Mário Frões Prazeres Bastos. Mediante el mismo, se le autorizó el almacenamiento en los depósitos de la empresa de “20.000 (veinte mil) kg de nitrato de potasio y 2.500 (dos mil quinientos) kg de pólvora negra”</w:t>
      </w:r>
      <w:r w:rsidRPr="00165EC6">
        <w:rPr>
          <w:rFonts w:ascii="Cambria" w:eastAsia="Batang" w:hAnsi="Cambria"/>
          <w:sz w:val="20"/>
          <w:szCs w:val="20"/>
          <w:bdr w:val="none" w:sz="0" w:space="0" w:color="auto"/>
          <w:vertAlign w:val="superscript"/>
          <w:lang w:val="es-CO"/>
        </w:rPr>
        <w:footnoteReference w:id="18"/>
      </w:r>
      <w:r w:rsidRPr="00165EC6">
        <w:rPr>
          <w:rFonts w:ascii="Cambria" w:eastAsia="Batang" w:hAnsi="Cambria"/>
          <w:sz w:val="20"/>
          <w:szCs w:val="20"/>
          <w:bdr w:val="none" w:sz="0" w:space="0" w:color="auto"/>
          <w:lang w:val="es-CO"/>
        </w:rPr>
        <w:t xml:space="preserve">. </w:t>
      </w:r>
      <w:r w:rsidR="0082173F" w:rsidRPr="00165EC6">
        <w:rPr>
          <w:rFonts w:ascii="Cambria" w:eastAsia="Batang" w:hAnsi="Cambria"/>
          <w:sz w:val="20"/>
          <w:szCs w:val="20"/>
          <w:bdr w:val="none" w:sz="0" w:space="0" w:color="auto"/>
          <w:lang w:val="es-CO"/>
        </w:rPr>
        <w:t>E</w:t>
      </w:r>
      <w:r w:rsidRPr="00165EC6">
        <w:rPr>
          <w:rFonts w:ascii="Cambria" w:eastAsia="Batang" w:hAnsi="Cambria"/>
          <w:sz w:val="20"/>
          <w:szCs w:val="20"/>
          <w:bdr w:val="none" w:sz="0" w:space="0" w:color="auto"/>
          <w:lang w:val="es-CL"/>
        </w:rPr>
        <w:t xml:space="preserve">l 23 de junio de 1999 se publicó la decisión por medio de la cual fue cancelado el </w:t>
      </w:r>
      <w:r w:rsidR="00DB3801" w:rsidRPr="00165EC6">
        <w:rPr>
          <w:rFonts w:ascii="Cambria" w:eastAsia="Batang" w:hAnsi="Cambria"/>
          <w:sz w:val="20"/>
          <w:szCs w:val="20"/>
          <w:bdr w:val="none" w:sz="0" w:space="0" w:color="auto"/>
          <w:lang w:val="es-CL"/>
        </w:rPr>
        <w:t xml:space="preserve">mencionado </w:t>
      </w:r>
      <w:r w:rsidRPr="00165EC6">
        <w:rPr>
          <w:rFonts w:ascii="Cambria" w:eastAsia="Batang" w:hAnsi="Cambria"/>
          <w:sz w:val="20"/>
          <w:szCs w:val="20"/>
          <w:bdr w:val="none" w:sz="0" w:space="0" w:color="auto"/>
          <w:lang w:val="es-CL"/>
        </w:rPr>
        <w:t>certificado de registro</w:t>
      </w:r>
      <w:r w:rsidRPr="00165EC6">
        <w:rPr>
          <w:rFonts w:ascii="Cambria" w:eastAsia="Batang" w:hAnsi="Cambria"/>
          <w:sz w:val="20"/>
          <w:szCs w:val="20"/>
          <w:bdr w:val="none" w:sz="0" w:space="0" w:color="auto"/>
          <w:vertAlign w:val="superscript"/>
          <w:lang w:val="es-CL"/>
        </w:rPr>
        <w:footnoteReference w:id="19"/>
      </w:r>
      <w:r w:rsidRPr="00165EC6">
        <w:rPr>
          <w:rFonts w:ascii="Cambria" w:eastAsia="Batang" w:hAnsi="Cambria"/>
          <w:sz w:val="20"/>
          <w:szCs w:val="20"/>
          <w:bdr w:val="none" w:sz="0" w:space="0" w:color="auto"/>
          <w:lang w:val="es-CL"/>
        </w:rPr>
        <w:t xml:space="preserve">. </w:t>
      </w:r>
    </w:p>
    <w:p w:rsidR="00277412" w:rsidRPr="00165EC6" w:rsidRDefault="00277412" w:rsidP="002504F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CO"/>
        </w:rPr>
      </w:pPr>
    </w:p>
    <w:p w:rsidR="00277412" w:rsidRPr="00165EC6" w:rsidRDefault="00277412"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MX"/>
        </w:rPr>
      </w:pPr>
      <w:r w:rsidRPr="00165EC6">
        <w:rPr>
          <w:rFonts w:ascii="Cambria" w:eastAsia="Batang" w:hAnsi="Cambria"/>
          <w:sz w:val="20"/>
          <w:szCs w:val="20"/>
          <w:bdr w:val="none" w:sz="0" w:space="0" w:color="auto"/>
          <w:lang w:val="es-CO"/>
        </w:rPr>
        <w:t>Consta que</w:t>
      </w:r>
      <w:r w:rsidR="00DB3801" w:rsidRPr="00165EC6">
        <w:rPr>
          <w:rFonts w:ascii="Cambria" w:eastAsia="Batang" w:hAnsi="Cambria"/>
          <w:sz w:val="20"/>
          <w:szCs w:val="20"/>
          <w:bdr w:val="none" w:sz="0" w:space="0" w:color="auto"/>
          <w:lang w:val="es-CO"/>
        </w:rPr>
        <w:t>,</w:t>
      </w:r>
      <w:r w:rsidRPr="00165EC6">
        <w:rPr>
          <w:rFonts w:ascii="Cambria" w:eastAsia="Batang" w:hAnsi="Cambria"/>
          <w:sz w:val="20"/>
          <w:szCs w:val="20"/>
          <w:bdr w:val="none" w:sz="0" w:space="0" w:color="auto"/>
          <w:lang w:val="es-CO"/>
        </w:rPr>
        <w:t xml:space="preserve"> </w:t>
      </w:r>
      <w:r w:rsidR="0082173F" w:rsidRPr="00165EC6">
        <w:rPr>
          <w:rFonts w:ascii="Cambria" w:eastAsia="Batang" w:hAnsi="Cambria"/>
          <w:sz w:val="20"/>
          <w:szCs w:val="20"/>
          <w:bdr w:val="none" w:sz="0" w:space="0" w:color="auto"/>
          <w:lang w:val="es-CO"/>
        </w:rPr>
        <w:t xml:space="preserve">en el marco del procedimiento administrativo, </w:t>
      </w:r>
      <w:r w:rsidRPr="00165EC6">
        <w:rPr>
          <w:rFonts w:ascii="Cambria" w:eastAsia="Batang" w:hAnsi="Cambria"/>
          <w:sz w:val="20"/>
          <w:szCs w:val="20"/>
          <w:bdr w:val="none" w:sz="0" w:space="0" w:color="auto"/>
          <w:lang w:val="es-CO"/>
        </w:rPr>
        <w:t>el 1º Teniente del Ejército, Sr. Ednaldo Ribeiro Santana Júnior, fue al lugar de los hechos dos días después de la explosión, donde confirmó que:</w:t>
      </w: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MX"/>
        </w:rPr>
      </w:pPr>
    </w:p>
    <w:p w:rsidR="00277412" w:rsidRPr="00165EC6" w:rsidRDefault="00F547A9" w:rsidP="0027741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Batang" w:hAnsi="Cambria"/>
          <w:sz w:val="20"/>
          <w:szCs w:val="20"/>
          <w:bdr w:val="none" w:sz="0" w:space="0" w:color="auto"/>
          <w:lang w:val="es-CO"/>
        </w:rPr>
      </w:pPr>
      <w:r>
        <w:rPr>
          <w:rFonts w:ascii="Cambria" w:eastAsia="Batang" w:hAnsi="Cambria"/>
          <w:sz w:val="20"/>
          <w:szCs w:val="20"/>
          <w:bdr w:val="none" w:sz="0" w:space="0" w:color="auto"/>
          <w:lang w:val="es-CO"/>
        </w:rPr>
        <w:t xml:space="preserve">[…] se hallaban depositados </w:t>
      </w:r>
      <w:r w:rsidR="00277412" w:rsidRPr="00165EC6">
        <w:rPr>
          <w:rFonts w:ascii="Cambria" w:eastAsia="Batang" w:hAnsi="Cambria"/>
          <w:sz w:val="20"/>
          <w:szCs w:val="20"/>
          <w:bdr w:val="none" w:sz="0" w:space="0" w:color="auto"/>
          <w:lang w:val="es-CO"/>
        </w:rPr>
        <w:t>en las instalaciones de la Firma MÁRIO FROES PRAZERES BASTOS, instalada en el sitio Juerana, con permiso N.381-CFPC/6, desobedeciendo las normas de seguridad en el manejo y almacenamiento  de los explosivos, almacenaje de productos sin autorización, como consecuencia de la explosión de dos pabellones que ocasionó la muerte de varias personas, contrariando las disposiciones del Reglamento aprobado por el Decreto n. 55.649, de 28 de enero de 1965, relativo a la fiscalización de productos controlados por el Ministerio del Ejercito, procedí a la aprehensión de los mismos, de acuerdo con el artículo 273 del Decreto arriba mencionado</w:t>
      </w:r>
      <w:r w:rsidR="00EF72D2">
        <w:rPr>
          <w:rFonts w:ascii="Cambria" w:eastAsia="Batang" w:hAnsi="Cambria"/>
          <w:sz w:val="20"/>
          <w:szCs w:val="20"/>
          <w:bdr w:val="none" w:sz="0" w:space="0" w:color="auto"/>
          <w:lang w:val="es-CO"/>
        </w:rPr>
        <w:t xml:space="preserve"> […]</w:t>
      </w:r>
      <w:r w:rsidR="00277412" w:rsidRPr="00165EC6">
        <w:rPr>
          <w:rFonts w:ascii="Cambria" w:eastAsia="Batang" w:hAnsi="Cambria"/>
          <w:sz w:val="20"/>
          <w:szCs w:val="20"/>
          <w:bdr w:val="none" w:sz="0" w:space="0" w:color="auto"/>
          <w:vertAlign w:val="superscript"/>
          <w:lang w:val="es-CO"/>
        </w:rPr>
        <w:footnoteReference w:id="20"/>
      </w:r>
      <w:r w:rsidR="00277412" w:rsidRPr="00165EC6">
        <w:rPr>
          <w:rFonts w:ascii="Cambria" w:eastAsia="Batang" w:hAnsi="Cambria"/>
          <w:sz w:val="20"/>
          <w:szCs w:val="20"/>
          <w:bdr w:val="none" w:sz="0" w:space="0" w:color="auto"/>
          <w:lang w:val="es-CO"/>
        </w:rPr>
        <w:t>.</w:t>
      </w: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CO"/>
        </w:rPr>
      </w:pPr>
    </w:p>
    <w:p w:rsidR="00EA2E09" w:rsidRPr="00165EC6" w:rsidRDefault="00EA2E09"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AR"/>
        </w:rPr>
      </w:pPr>
      <w:r w:rsidRPr="00165EC6">
        <w:rPr>
          <w:rFonts w:ascii="Cambria" w:eastAsia="Batang" w:hAnsi="Cambria"/>
          <w:sz w:val="20"/>
          <w:szCs w:val="20"/>
          <w:bdr w:val="none" w:sz="0" w:space="0" w:color="auto"/>
          <w:lang w:val="es-ES_tradnl"/>
        </w:rPr>
        <w:t>La pericia técnica de la policía civil, de 8 de enero de 1999, constató que la explosión fue causada por “la falta de seguridad vigente en el local, no solamente en relación al almacenamiento de los propulsores y accesorios explosivos […]”</w:t>
      </w:r>
      <w:r w:rsidRPr="00165EC6">
        <w:rPr>
          <w:rFonts w:ascii="Cambria" w:eastAsia="Batang" w:hAnsi="Cambria"/>
          <w:sz w:val="20"/>
          <w:szCs w:val="20"/>
          <w:bdr w:val="none" w:sz="0" w:space="0" w:color="auto"/>
          <w:vertAlign w:val="superscript"/>
          <w:lang w:val="es-ES_tradnl"/>
        </w:rPr>
        <w:footnoteReference w:id="21"/>
      </w:r>
      <w:r w:rsidRPr="00165EC6">
        <w:rPr>
          <w:rFonts w:ascii="Cambria" w:eastAsia="Batang" w:hAnsi="Cambria"/>
          <w:sz w:val="20"/>
          <w:szCs w:val="20"/>
          <w:bdr w:val="none" w:sz="0" w:space="0" w:color="auto"/>
          <w:lang w:val="es-ES_tradnl"/>
        </w:rPr>
        <w:t>.</w:t>
      </w:r>
    </w:p>
    <w:p w:rsidR="00EA2E09" w:rsidRPr="00165EC6" w:rsidRDefault="00EA2E09" w:rsidP="002504F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MX"/>
        </w:rPr>
      </w:pPr>
    </w:p>
    <w:p w:rsidR="00277412" w:rsidRPr="00165EC6" w:rsidRDefault="00277412"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MX"/>
        </w:rPr>
      </w:pPr>
      <w:r w:rsidRPr="00165EC6">
        <w:rPr>
          <w:rFonts w:ascii="Cambria" w:eastAsia="Batang" w:hAnsi="Cambria"/>
          <w:sz w:val="20"/>
          <w:szCs w:val="20"/>
          <w:bdr w:val="none" w:sz="0" w:space="0" w:color="auto"/>
          <w:lang w:val="es-MX"/>
        </w:rPr>
        <w:t>La Comisión observa que</w:t>
      </w:r>
      <w:r w:rsidR="0082173F" w:rsidRPr="00165EC6">
        <w:rPr>
          <w:rFonts w:ascii="Cambria" w:eastAsia="Batang" w:hAnsi="Cambria"/>
          <w:sz w:val="20"/>
          <w:szCs w:val="20"/>
          <w:bdr w:val="none" w:sz="0" w:space="0" w:color="auto"/>
          <w:lang w:val="es-MX"/>
        </w:rPr>
        <w:t xml:space="preserve">, nueve meses después, </w:t>
      </w:r>
      <w:r w:rsidRPr="00165EC6">
        <w:rPr>
          <w:rFonts w:ascii="Cambria" w:eastAsia="Batang" w:hAnsi="Cambria"/>
          <w:sz w:val="20"/>
          <w:szCs w:val="20"/>
          <w:bdr w:val="none" w:sz="0" w:space="0" w:color="auto"/>
          <w:lang w:val="es-MX"/>
        </w:rPr>
        <w:t xml:space="preserve">el Comandante de la 6ª Región Militar, envió oficio de fecha 13 de octubre de 1999, al jefe de la Policía Civil de Santo Antônio de Jesus, informándole que una comisión de especialistas inspeccionó el local de los hechos, encontrando indicios de las siguientes irregularidades: </w:t>
      </w: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MX"/>
        </w:rPr>
      </w:pP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jc w:val="both"/>
        <w:rPr>
          <w:rFonts w:ascii="Cambria" w:eastAsia="Batang" w:hAnsi="Cambria"/>
          <w:sz w:val="20"/>
          <w:szCs w:val="20"/>
          <w:bdr w:val="none" w:sz="0" w:space="0" w:color="auto"/>
          <w:lang w:val="es-MX"/>
        </w:rPr>
      </w:pPr>
      <w:r w:rsidRPr="00165EC6">
        <w:rPr>
          <w:rFonts w:ascii="Cambria" w:eastAsia="Batang" w:hAnsi="Cambria"/>
          <w:sz w:val="20"/>
          <w:szCs w:val="20"/>
          <w:bdr w:val="none" w:sz="0" w:space="0" w:color="auto"/>
          <w:lang w:val="es-MX"/>
        </w:rPr>
        <w:t>la existencia de depósitos no registrados y contiguos a los pabellones de la industria; fabricación irregular de pólvora negra y de explosivos, ambos encontrados en la propiedad de la empresa y sin indicación de origen; almacenamiento de pólvora sin humo sin que su certificado autorizase tal actividad; inexistencia de extintores de incendio en la mayoría de sus depósitos; falta de organización en sus depósitos, por falta de acomodación de nitrato potásico, clorato de potasio, pólvora sin humo, pólvora negra y fuegos artificiales manufacturados;  almacenamiento de fuegos artificiales en embalaje con etiqueta de otra firma, con sede en otra Región Militar; falta de comprobación de origen de los productos controlados localizados en sus depósitos</w:t>
      </w:r>
      <w:r w:rsidRPr="00165EC6">
        <w:rPr>
          <w:rFonts w:ascii="Cambria" w:eastAsia="Batang" w:hAnsi="Cambria"/>
          <w:sz w:val="20"/>
          <w:szCs w:val="20"/>
          <w:bdr w:val="none" w:sz="0" w:space="0" w:color="auto"/>
          <w:vertAlign w:val="superscript"/>
          <w:lang w:val="es-MX"/>
        </w:rPr>
        <w:footnoteReference w:id="22"/>
      </w:r>
      <w:r w:rsidRPr="00165EC6">
        <w:rPr>
          <w:rFonts w:ascii="Cambria" w:eastAsia="Batang" w:hAnsi="Cambria"/>
          <w:sz w:val="20"/>
          <w:szCs w:val="20"/>
          <w:bdr w:val="none" w:sz="0" w:space="0" w:color="auto"/>
          <w:lang w:val="es-MX"/>
        </w:rPr>
        <w:t>.</w:t>
      </w: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MX"/>
        </w:rPr>
      </w:pPr>
    </w:p>
    <w:p w:rsidR="00B901BF" w:rsidRPr="00165EC6" w:rsidRDefault="00277412"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MX"/>
        </w:rPr>
      </w:pPr>
      <w:r w:rsidRPr="00165EC6">
        <w:rPr>
          <w:rFonts w:ascii="Cambria" w:eastAsia="Batang" w:hAnsi="Cambria"/>
          <w:sz w:val="20"/>
          <w:szCs w:val="20"/>
          <w:bdr w:val="none" w:sz="0" w:space="0" w:color="auto"/>
          <w:lang w:val="es-MX"/>
        </w:rPr>
        <w:t xml:space="preserve">En </w:t>
      </w:r>
      <w:r w:rsidR="00B901BF" w:rsidRPr="00165EC6">
        <w:rPr>
          <w:rFonts w:ascii="Cambria" w:eastAsia="Batang" w:hAnsi="Cambria"/>
          <w:sz w:val="20"/>
          <w:szCs w:val="20"/>
          <w:bdr w:val="none" w:sz="0" w:space="0" w:color="auto"/>
          <w:lang w:val="es-MX"/>
        </w:rPr>
        <w:t xml:space="preserve">ese mismo oficio, el Comandante de la  6ª Región Militar informó que “en consecuencia, el material encontrado en los pabellones de fabricación, será destruido y los productos almacenados en los </w:t>
      </w:r>
      <w:r w:rsidR="00B901BF" w:rsidRPr="00165EC6">
        <w:rPr>
          <w:rFonts w:ascii="Cambria" w:eastAsia="Batang" w:hAnsi="Cambria"/>
          <w:sz w:val="20"/>
          <w:szCs w:val="20"/>
          <w:bdr w:val="none" w:sz="0" w:space="0" w:color="auto"/>
          <w:lang w:val="es-MX"/>
        </w:rPr>
        <w:lastRenderedPageBreak/>
        <w:t>depósitos serán incautados para ser inspeccionados y para evitar riesgo de nuevas explosiones”. Cuando las irregularidades se remedien, se autorizará el funcionamiento de la fábrica</w:t>
      </w:r>
      <w:r w:rsidR="00B901BF" w:rsidRPr="00165EC6">
        <w:rPr>
          <w:rStyle w:val="FootnoteReference"/>
          <w:rFonts w:ascii="Cambria" w:eastAsia="Batang" w:hAnsi="Cambria"/>
          <w:sz w:val="20"/>
          <w:szCs w:val="20"/>
          <w:bdr w:val="none" w:sz="0" w:space="0" w:color="auto"/>
          <w:lang w:val="es-MX"/>
        </w:rPr>
        <w:footnoteReference w:id="23"/>
      </w:r>
      <w:r w:rsidR="00B901BF" w:rsidRPr="00165EC6">
        <w:rPr>
          <w:rFonts w:ascii="Cambria" w:eastAsia="Batang" w:hAnsi="Cambria"/>
          <w:sz w:val="20"/>
          <w:szCs w:val="20"/>
          <w:bdr w:val="none" w:sz="0" w:space="0" w:color="auto"/>
          <w:lang w:val="es-MX"/>
        </w:rPr>
        <w:t>.</w:t>
      </w:r>
    </w:p>
    <w:p w:rsidR="00B901BF" w:rsidRPr="00165EC6" w:rsidRDefault="00B901BF" w:rsidP="002504F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MX"/>
        </w:rPr>
      </w:pPr>
    </w:p>
    <w:p w:rsidR="00277412" w:rsidRPr="00165EC6" w:rsidRDefault="00B901BF"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MX"/>
        </w:rPr>
      </w:pPr>
      <w:r w:rsidRPr="00165EC6">
        <w:rPr>
          <w:rFonts w:ascii="Cambria" w:eastAsia="Batang" w:hAnsi="Cambria"/>
          <w:sz w:val="20"/>
          <w:szCs w:val="20"/>
          <w:bdr w:val="none" w:sz="0" w:space="0" w:color="auto"/>
          <w:lang w:val="es-MX"/>
        </w:rPr>
        <w:t xml:space="preserve">En </w:t>
      </w:r>
      <w:r w:rsidR="00277412" w:rsidRPr="00165EC6">
        <w:rPr>
          <w:rFonts w:ascii="Cambria" w:eastAsia="Batang" w:hAnsi="Cambria"/>
          <w:sz w:val="20"/>
          <w:szCs w:val="20"/>
          <w:bdr w:val="none" w:sz="0" w:space="0" w:color="auto"/>
          <w:lang w:val="es-MX"/>
        </w:rPr>
        <w:t xml:space="preserve">la resolución del proceso administrativo que se detallará más adelante, el ejército brasileño reconoció que la compañía operaba sin la seguridad debida, lo que ocasionó la explosión. </w:t>
      </w:r>
      <w:r w:rsidR="009014B1" w:rsidRPr="00165EC6">
        <w:rPr>
          <w:rFonts w:ascii="Cambria" w:eastAsia="Batang" w:hAnsi="Cambria"/>
          <w:sz w:val="20"/>
          <w:szCs w:val="20"/>
          <w:bdr w:val="none" w:sz="0" w:space="0" w:color="auto"/>
          <w:lang w:val="es-MX"/>
        </w:rPr>
        <w:t xml:space="preserve">En esta resolución se </w:t>
      </w:r>
      <w:r w:rsidR="00277412" w:rsidRPr="00165EC6">
        <w:rPr>
          <w:rFonts w:ascii="Cambria" w:eastAsia="Batang" w:hAnsi="Cambria"/>
          <w:sz w:val="20"/>
          <w:szCs w:val="20"/>
          <w:bdr w:val="none" w:sz="0" w:space="0" w:color="auto"/>
          <w:lang w:val="es-MX"/>
        </w:rPr>
        <w:t>concluyó que la empresa cometió las infracciones previstas en los incisos I, II, III, V y XV, del artículo 238, y faltas graves de los incisos I, III, IV y VII, del artículo 239, ambos del Decreto número 2998, de 23 de marzo de 1999</w:t>
      </w:r>
      <w:r w:rsidR="00277412" w:rsidRPr="00165EC6">
        <w:rPr>
          <w:rFonts w:ascii="Cambria" w:eastAsia="Batang" w:hAnsi="Cambria"/>
          <w:sz w:val="20"/>
          <w:szCs w:val="20"/>
          <w:bdr w:val="none" w:sz="0" w:space="0" w:color="auto"/>
          <w:vertAlign w:val="superscript"/>
          <w:lang w:val="es-MX"/>
        </w:rPr>
        <w:footnoteReference w:id="24"/>
      </w:r>
      <w:r w:rsidR="00277412" w:rsidRPr="00165EC6">
        <w:rPr>
          <w:rFonts w:ascii="Cambria" w:eastAsia="Batang" w:hAnsi="Cambria"/>
          <w:sz w:val="20"/>
          <w:szCs w:val="20"/>
          <w:bdr w:val="none" w:sz="0" w:space="0" w:color="auto"/>
          <w:lang w:val="es-MX"/>
        </w:rPr>
        <w:t xml:space="preserve">. Las infracciones referidas son las siguientes: </w:t>
      </w: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MX"/>
        </w:rPr>
      </w:pP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Batang" w:hAnsi="Cambria" w:cs="Arial"/>
          <w:sz w:val="20"/>
          <w:szCs w:val="20"/>
          <w:bdr w:val="none" w:sz="0" w:space="0" w:color="auto"/>
          <w:lang w:val="es-ES"/>
        </w:rPr>
      </w:pPr>
      <w:r w:rsidRPr="00165EC6">
        <w:rPr>
          <w:rFonts w:ascii="Cambria" w:eastAsia="Batang" w:hAnsi="Cambria" w:cs="Arial"/>
          <w:sz w:val="20"/>
          <w:szCs w:val="20"/>
          <w:bdr w:val="none" w:sz="0" w:space="0" w:color="auto"/>
          <w:lang w:val="es-ES"/>
        </w:rPr>
        <w:t xml:space="preserve">Art. 238. A los efectos del presente Reglamento, se consideran infracciones graves las siguientes irregularidades en el trato con los productos controlados: I - depositar los productos controlados en lugar no autorizado por el Ministerio de Defensa o en cantidades mayores de las permitidas; II - falta de orden o de separación adecuada de los polvos de depósito de explosivos y accesorios; III - producir productos de embalaje controlados, en violación de las normas técnico-cas de orden; [...] V - comprar, vender, cambiar o prestar los productos controlados sin el permiso de la autoridad competente; […] XV – actuar en actividad laboral con productos controlados sin autorización, o ir más allá de los límites concedidos en su inscripción [...]. </w:t>
      </w: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Batang" w:hAnsi="Cambria" w:cs="Arial"/>
          <w:sz w:val="20"/>
          <w:szCs w:val="20"/>
          <w:bdr w:val="none" w:sz="0" w:space="0" w:color="auto"/>
          <w:lang w:val="es-ES"/>
        </w:rPr>
      </w:pP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lang w:val="es-CO"/>
        </w:rPr>
      </w:pPr>
      <w:r w:rsidRPr="00165EC6">
        <w:rPr>
          <w:rFonts w:ascii="Cambria" w:eastAsia="Batang" w:hAnsi="Cambria" w:cs="Arial"/>
          <w:sz w:val="20"/>
          <w:szCs w:val="20"/>
          <w:bdr w:val="none" w:sz="0" w:space="0" w:color="auto"/>
          <w:lang w:val="es-ES"/>
        </w:rPr>
        <w:t>Art. 239. A los efectos del presente Reglamento, las infracciones graves en el manejo de los productos controlados son las siguientes: I - la práctica, en cualquier actividad que involucre productos controlados, actos perjudiciales para la seguridad pública o cometer delito cuya peligrosidad es perjudicial para la seguridad de la población o de los edificios vecinos; [...] III – producir polvos, explosivos, accesorios y fuegos artificiales en lugares no autorizados; IV - dejar de cumplir con las medidas de seguridad establecidas en el presente Reglamento o en otra norma; [...] VII - realizar actividades con productos controlados sin tener autorización del Departamento del Ejército […]</w:t>
      </w:r>
      <w:r w:rsidRPr="00165EC6">
        <w:rPr>
          <w:rFonts w:ascii="Cambria" w:eastAsia="Batang" w:hAnsi="Cambria" w:cs="Arial"/>
          <w:sz w:val="20"/>
          <w:szCs w:val="20"/>
          <w:bdr w:val="none" w:sz="0" w:space="0" w:color="auto"/>
          <w:vertAlign w:val="superscript"/>
          <w:lang w:val="es-ES"/>
        </w:rPr>
        <w:footnoteReference w:id="25"/>
      </w:r>
      <w:r w:rsidRPr="00165EC6">
        <w:rPr>
          <w:rFonts w:ascii="Cambria" w:eastAsia="Batang" w:hAnsi="Cambria" w:cs="Arial"/>
          <w:sz w:val="20"/>
          <w:szCs w:val="20"/>
          <w:bdr w:val="none" w:sz="0" w:space="0" w:color="auto"/>
          <w:lang w:val="es-ES"/>
        </w:rPr>
        <w:t>.</w:t>
      </w:r>
    </w:p>
    <w:p w:rsidR="00277412" w:rsidRPr="00165EC6" w:rsidRDefault="00277412" w:rsidP="00030F7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AR"/>
        </w:rPr>
      </w:pPr>
    </w:p>
    <w:p w:rsidR="00277412" w:rsidRPr="00165EC6" w:rsidRDefault="00277412"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AR"/>
        </w:rPr>
      </w:pPr>
      <w:r w:rsidRPr="00165EC6">
        <w:rPr>
          <w:rFonts w:ascii="Cambria" w:eastAsia="Batang" w:hAnsi="Cambria"/>
          <w:sz w:val="20"/>
          <w:szCs w:val="20"/>
          <w:bdr w:val="none" w:sz="0" w:space="0" w:color="auto"/>
          <w:lang w:val="es-ES"/>
        </w:rPr>
        <w:t xml:space="preserve">En virtud de lo dicho hasta el momento, está probado que la </w:t>
      </w:r>
      <w:r w:rsidRPr="00165EC6">
        <w:rPr>
          <w:rFonts w:ascii="Cambria" w:eastAsia="Batang" w:hAnsi="Cambria"/>
          <w:sz w:val="20"/>
          <w:szCs w:val="20"/>
          <w:bdr w:val="none" w:sz="0" w:space="0" w:color="auto"/>
          <w:lang w:val="es-CO"/>
        </w:rPr>
        <w:t>fábrica en cuestión funcionaba irregularmente, guardaba material prohibido, operaba sin las condiciones mínimas de seguridad para</w:t>
      </w:r>
      <w:r w:rsidR="003C48E0" w:rsidRPr="00165EC6">
        <w:rPr>
          <w:rFonts w:ascii="Cambria" w:eastAsia="Batang" w:hAnsi="Cambria"/>
          <w:sz w:val="20"/>
          <w:szCs w:val="20"/>
          <w:bdr w:val="none" w:sz="0" w:space="0" w:color="auto"/>
          <w:lang w:val="es-CO"/>
        </w:rPr>
        <w:t xml:space="preserve"> quienes trabajaban en el lugar </w:t>
      </w:r>
      <w:r w:rsidRPr="00165EC6">
        <w:rPr>
          <w:rFonts w:ascii="Cambria" w:eastAsia="Batang" w:hAnsi="Cambria"/>
          <w:sz w:val="20"/>
          <w:szCs w:val="20"/>
          <w:bdr w:val="none" w:sz="0" w:space="0" w:color="auto"/>
          <w:lang w:val="es-CO"/>
        </w:rPr>
        <w:t xml:space="preserve">y </w:t>
      </w:r>
      <w:r w:rsidR="003C48E0" w:rsidRPr="00165EC6">
        <w:rPr>
          <w:rFonts w:ascii="Cambria" w:eastAsia="Batang" w:hAnsi="Cambria"/>
          <w:sz w:val="20"/>
          <w:szCs w:val="20"/>
          <w:bdr w:val="none" w:sz="0" w:space="0" w:color="auto"/>
          <w:lang w:val="es-CO"/>
        </w:rPr>
        <w:t xml:space="preserve">que </w:t>
      </w:r>
      <w:r w:rsidRPr="00165EC6">
        <w:rPr>
          <w:rFonts w:ascii="Cambria" w:eastAsia="Batang" w:hAnsi="Cambria"/>
          <w:sz w:val="20"/>
          <w:szCs w:val="20"/>
          <w:bdr w:val="none" w:sz="0" w:space="0" w:color="auto"/>
          <w:lang w:val="es-CO"/>
        </w:rPr>
        <w:t xml:space="preserve">las autoridades tenían conocimiento de ello. Así lo refirió la </w:t>
      </w:r>
      <w:r w:rsidR="00085FF6" w:rsidRPr="00165EC6">
        <w:rPr>
          <w:rFonts w:ascii="Cambria" w:eastAsia="Batang" w:hAnsi="Cambria"/>
          <w:sz w:val="20"/>
          <w:szCs w:val="20"/>
          <w:bdr w:val="none" w:sz="0" w:space="0" w:color="auto"/>
          <w:lang w:val="es-CO"/>
        </w:rPr>
        <w:t>J</w:t>
      </w:r>
      <w:r w:rsidRPr="00165EC6">
        <w:rPr>
          <w:rFonts w:ascii="Cambria" w:eastAsia="Batang" w:hAnsi="Cambria"/>
          <w:sz w:val="20"/>
          <w:szCs w:val="20"/>
          <w:bdr w:val="none" w:sz="0" w:space="0" w:color="auto"/>
          <w:lang w:val="es-CO"/>
        </w:rPr>
        <w:t xml:space="preserve">ueza del Trabajo: </w:t>
      </w: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CO"/>
        </w:rPr>
      </w:pPr>
    </w:p>
    <w:p w:rsidR="00277412" w:rsidRPr="00165EC6" w:rsidRDefault="00277412" w:rsidP="0099526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Batang" w:hAnsi="Cambria"/>
          <w:sz w:val="20"/>
          <w:szCs w:val="20"/>
          <w:bdr w:val="none" w:sz="0" w:space="0" w:color="auto"/>
          <w:lang w:val="es-CO"/>
        </w:rPr>
      </w:pPr>
      <w:r w:rsidRPr="00165EC6">
        <w:rPr>
          <w:rFonts w:ascii="Cambria" w:eastAsia="Batang" w:hAnsi="Cambria"/>
          <w:sz w:val="20"/>
          <w:szCs w:val="20"/>
          <w:bdr w:val="none" w:sz="0" w:space="0" w:color="auto"/>
          <w:lang w:val="es-US"/>
        </w:rPr>
        <w:t>La producción de estos fuegos, en su gran mayoría, es hecha clandestinamente, en los patios de las casas, no está sujeta a ningún tipo de supervisión. […]</w:t>
      </w:r>
      <w:r w:rsidR="003C48E0" w:rsidRPr="00165EC6">
        <w:rPr>
          <w:rFonts w:ascii="Cambria" w:eastAsia="Batang" w:hAnsi="Cambria"/>
          <w:sz w:val="20"/>
          <w:szCs w:val="20"/>
          <w:bdr w:val="none" w:sz="0" w:space="0" w:color="auto"/>
          <w:lang w:val="es-US"/>
        </w:rPr>
        <w:t xml:space="preserve"> </w:t>
      </w:r>
      <w:r w:rsidRPr="00165EC6">
        <w:rPr>
          <w:rFonts w:ascii="Cambria" w:eastAsia="Batang" w:hAnsi="Cambria"/>
          <w:sz w:val="20"/>
          <w:szCs w:val="20"/>
          <w:bdr w:val="none" w:sz="0" w:space="0" w:color="auto"/>
          <w:lang w:val="es-US"/>
        </w:rPr>
        <w:t>Esto siempre ocurrió así y todavía está pasando, todo</w:t>
      </w:r>
      <w:r w:rsidR="008C5447">
        <w:rPr>
          <w:rFonts w:ascii="Cambria" w:eastAsia="Batang" w:hAnsi="Cambria"/>
          <w:sz w:val="20"/>
          <w:szCs w:val="20"/>
          <w:bdr w:val="none" w:sz="0" w:space="0" w:color="auto"/>
          <w:lang w:val="es-US"/>
        </w:rPr>
        <w:t>s saben de esto</w:t>
      </w:r>
      <w:r w:rsidRPr="00165EC6">
        <w:rPr>
          <w:rFonts w:ascii="Cambria" w:eastAsia="Batang" w:hAnsi="Cambria"/>
          <w:sz w:val="20"/>
          <w:szCs w:val="20"/>
          <w:bdr w:val="none" w:sz="0" w:space="0" w:color="auto"/>
          <w:lang w:val="es-US"/>
        </w:rPr>
        <w:t>, porque es un hecho público y notorio: el Ministerio del Trabajo, el Instituto del Seguro Social</w:t>
      </w:r>
      <w:r w:rsidR="008C5447">
        <w:rPr>
          <w:rFonts w:ascii="Cambria" w:eastAsia="Batang" w:hAnsi="Cambria"/>
          <w:sz w:val="20"/>
          <w:szCs w:val="20"/>
          <w:bdr w:val="none" w:sz="0" w:space="0" w:color="auto"/>
          <w:lang w:val="es-US"/>
        </w:rPr>
        <w:t xml:space="preserve"> (INS)</w:t>
      </w:r>
      <w:r w:rsidRPr="00165EC6">
        <w:rPr>
          <w:rFonts w:ascii="Cambria" w:eastAsia="Batang" w:hAnsi="Cambria"/>
          <w:sz w:val="20"/>
          <w:szCs w:val="20"/>
          <w:bdr w:val="none" w:sz="0" w:space="0" w:color="auto"/>
          <w:lang w:val="es-US"/>
        </w:rPr>
        <w:t>, la Asociación Comercial, el Alcaide, el Ministerio Publico, el Poder Judiciario, las Policías Civil y Militar, la Iglesia, la sociedad en general</w:t>
      </w:r>
      <w:r w:rsidR="008C5447">
        <w:rPr>
          <w:rFonts w:ascii="Cambria" w:eastAsia="Batang" w:hAnsi="Cambria"/>
          <w:sz w:val="20"/>
          <w:szCs w:val="20"/>
          <w:bdr w:val="none" w:sz="0" w:space="0" w:color="auto"/>
          <w:lang w:val="es-US"/>
        </w:rPr>
        <w:t>, sin que l</w:t>
      </w:r>
      <w:r w:rsidRPr="00165EC6">
        <w:rPr>
          <w:rFonts w:ascii="Cambria" w:eastAsia="Batang" w:hAnsi="Cambria"/>
          <w:sz w:val="20"/>
          <w:szCs w:val="20"/>
          <w:bdr w:val="none" w:sz="0" w:space="0" w:color="auto"/>
          <w:lang w:val="es-US"/>
        </w:rPr>
        <w:t xml:space="preserve">os fabricantes </w:t>
      </w:r>
      <w:r w:rsidR="008C5447">
        <w:rPr>
          <w:rFonts w:ascii="Cambria" w:eastAsia="Batang" w:hAnsi="Cambria"/>
          <w:sz w:val="20"/>
          <w:szCs w:val="20"/>
          <w:bdr w:val="none" w:sz="0" w:space="0" w:color="auto"/>
          <w:lang w:val="es-US"/>
        </w:rPr>
        <w:t>sean</w:t>
      </w:r>
      <w:r w:rsidRPr="00165EC6">
        <w:rPr>
          <w:rFonts w:ascii="Cambria" w:eastAsia="Batang" w:hAnsi="Cambria"/>
          <w:sz w:val="20"/>
          <w:szCs w:val="20"/>
          <w:bdr w:val="none" w:sz="0" w:space="0" w:color="auto"/>
          <w:lang w:val="es-US"/>
        </w:rPr>
        <w:t xml:space="preserve"> molestados por desarrollar la actividad de manera clandestina y, por lo tanto, ilegal […]</w:t>
      </w:r>
      <w:r w:rsidRPr="00165EC6">
        <w:rPr>
          <w:rFonts w:ascii="Cambria" w:eastAsia="Batang" w:hAnsi="Cambria"/>
          <w:sz w:val="20"/>
          <w:szCs w:val="20"/>
          <w:bdr w:val="none" w:sz="0" w:space="0" w:color="auto"/>
          <w:vertAlign w:val="superscript"/>
          <w:lang w:val="es-US"/>
        </w:rPr>
        <w:footnoteReference w:id="26"/>
      </w:r>
      <w:r w:rsidRPr="00165EC6">
        <w:rPr>
          <w:rFonts w:ascii="Cambria" w:eastAsia="Batang" w:hAnsi="Cambria"/>
          <w:sz w:val="20"/>
          <w:szCs w:val="20"/>
          <w:bdr w:val="none" w:sz="0" w:space="0" w:color="auto"/>
          <w:lang w:val="es-US"/>
        </w:rPr>
        <w:t>.</w:t>
      </w:r>
    </w:p>
    <w:p w:rsidR="00277412" w:rsidRPr="00165EC6" w:rsidRDefault="00277412" w:rsidP="00030F7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AR"/>
        </w:rPr>
      </w:pPr>
    </w:p>
    <w:p w:rsidR="00277412" w:rsidRPr="00165EC6" w:rsidRDefault="00CC77CD"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AR"/>
        </w:rPr>
      </w:pPr>
      <w:r w:rsidRPr="00165EC6">
        <w:rPr>
          <w:rFonts w:ascii="Cambria" w:eastAsia="Batang" w:hAnsi="Cambria"/>
          <w:sz w:val="20"/>
          <w:szCs w:val="20"/>
          <w:bdr w:val="none" w:sz="0" w:space="0" w:color="auto"/>
          <w:lang w:val="es-CO"/>
        </w:rPr>
        <w:t>El Estado no indicó</w:t>
      </w:r>
      <w:r w:rsidR="00D41CB9" w:rsidRPr="00165EC6">
        <w:rPr>
          <w:rFonts w:ascii="Cambria" w:eastAsia="Batang" w:hAnsi="Cambria"/>
          <w:sz w:val="20"/>
          <w:szCs w:val="20"/>
          <w:bdr w:val="none" w:sz="0" w:space="0" w:color="auto"/>
          <w:lang w:val="es-CO"/>
        </w:rPr>
        <w:t xml:space="preserve"> ni se desprende del expediente que </w:t>
      </w:r>
      <w:r w:rsidR="00277412" w:rsidRPr="00165EC6">
        <w:rPr>
          <w:rFonts w:ascii="Cambria" w:eastAsia="Batang" w:hAnsi="Cambria"/>
          <w:sz w:val="20"/>
          <w:szCs w:val="20"/>
          <w:bdr w:val="none" w:sz="0" w:space="0" w:color="auto"/>
          <w:lang w:val="es-CO"/>
        </w:rPr>
        <w:t xml:space="preserve">hubiera realizado acciones de fiscalización antes de la explosión. </w:t>
      </w: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CL"/>
        </w:rPr>
      </w:pPr>
    </w:p>
    <w:p w:rsidR="00277412" w:rsidRPr="00165EC6" w:rsidRDefault="00277412" w:rsidP="005B7945">
      <w:pPr>
        <w:pStyle w:val="Heading2"/>
        <w:numPr>
          <w:ilvl w:val="0"/>
          <w:numId w:val="65"/>
        </w:numPr>
        <w:ind w:left="1440" w:hanging="720"/>
        <w:jc w:val="both"/>
        <w:rPr>
          <w:rFonts w:ascii="Cambria" w:hAnsi="Cambria"/>
          <w:b w:val="0"/>
          <w:bCs w:val="0"/>
          <w:i w:val="0"/>
          <w:sz w:val="20"/>
          <w:szCs w:val="20"/>
          <w:lang w:val="es-ES"/>
        </w:rPr>
      </w:pPr>
      <w:bookmarkStart w:id="13" w:name="_Toc506225828"/>
      <w:r w:rsidRPr="00165EC6">
        <w:rPr>
          <w:rFonts w:ascii="Cambria" w:hAnsi="Cambria"/>
          <w:i w:val="0"/>
          <w:sz w:val="20"/>
          <w:szCs w:val="20"/>
          <w:lang w:val="es-ES"/>
        </w:rPr>
        <w:t>Información sobre hechos posteriores a la explosión de 1998</w:t>
      </w:r>
      <w:r w:rsidR="005B7945" w:rsidRPr="00165EC6">
        <w:rPr>
          <w:rFonts w:ascii="Cambria" w:hAnsi="Cambria"/>
          <w:i w:val="0"/>
          <w:sz w:val="20"/>
          <w:szCs w:val="20"/>
          <w:lang w:val="es-ES"/>
        </w:rPr>
        <w:t>.</w:t>
      </w:r>
      <w:bookmarkEnd w:id="13"/>
      <w:r w:rsidRPr="00165EC6">
        <w:rPr>
          <w:rFonts w:ascii="Cambria" w:hAnsi="Cambria"/>
          <w:i w:val="0"/>
          <w:sz w:val="20"/>
          <w:szCs w:val="20"/>
          <w:lang w:val="es-ES"/>
        </w:rPr>
        <w:t xml:space="preserve"> </w:t>
      </w: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MX"/>
        </w:rPr>
      </w:pPr>
    </w:p>
    <w:p w:rsidR="00277412" w:rsidRPr="00165EC6" w:rsidRDefault="00277412"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MX"/>
        </w:rPr>
      </w:pPr>
      <w:r w:rsidRPr="00165EC6">
        <w:rPr>
          <w:rFonts w:ascii="Cambria" w:eastAsia="Batang" w:hAnsi="Cambria"/>
          <w:sz w:val="20"/>
          <w:szCs w:val="20"/>
          <w:bdr w:val="none" w:sz="0" w:space="0" w:color="auto"/>
          <w:lang w:val="es-MX"/>
        </w:rPr>
        <w:t>Al 26 de octubre de 1999, Mário Fróes Prazeres Bastos continuaba ejerciendo actividades irregulares de producción de fuegos artificiales, lo que ocurría con consentimiento del Poder Público Municipal</w:t>
      </w:r>
      <w:r w:rsidRPr="00165EC6">
        <w:rPr>
          <w:rFonts w:ascii="Cambria" w:eastAsia="Batang" w:hAnsi="Cambria"/>
          <w:sz w:val="20"/>
          <w:szCs w:val="20"/>
          <w:bdr w:val="none" w:sz="0" w:space="0" w:color="auto"/>
          <w:vertAlign w:val="superscript"/>
          <w:lang w:val="es-MX"/>
        </w:rPr>
        <w:footnoteReference w:id="27"/>
      </w:r>
      <w:r w:rsidRPr="00165EC6">
        <w:rPr>
          <w:rFonts w:ascii="Cambria" w:eastAsia="Batang" w:hAnsi="Cambria"/>
          <w:sz w:val="20"/>
          <w:szCs w:val="20"/>
          <w:bdr w:val="none" w:sz="0" w:space="0" w:color="auto"/>
          <w:lang w:val="es-MX"/>
        </w:rPr>
        <w:t xml:space="preserve">. En ese sentido, cabe recalcar la información presentada, en dicha fecha, por el comandante </w:t>
      </w:r>
      <w:r w:rsidRPr="00165EC6">
        <w:rPr>
          <w:rFonts w:ascii="Cambria" w:eastAsia="Batang" w:hAnsi="Cambria"/>
          <w:sz w:val="20"/>
          <w:szCs w:val="20"/>
          <w:bdr w:val="none" w:sz="0" w:space="0" w:color="auto"/>
          <w:lang w:val="es-MX"/>
        </w:rPr>
        <w:lastRenderedPageBreak/>
        <w:t>coronel Fernando José de Matos Oliveira, del servicio de fiscalizació</w:t>
      </w:r>
      <w:r w:rsidR="00506B68" w:rsidRPr="00165EC6">
        <w:rPr>
          <w:rFonts w:ascii="Cambria" w:eastAsia="Batang" w:hAnsi="Cambria"/>
          <w:sz w:val="20"/>
          <w:szCs w:val="20"/>
          <w:bdr w:val="none" w:sz="0" w:space="0" w:color="auto"/>
          <w:lang w:val="es-MX"/>
        </w:rPr>
        <w:t>n de servicios controlados, al J</w:t>
      </w:r>
      <w:r w:rsidRPr="00165EC6">
        <w:rPr>
          <w:rFonts w:ascii="Cambria" w:eastAsia="Batang" w:hAnsi="Cambria"/>
          <w:sz w:val="20"/>
          <w:szCs w:val="20"/>
          <w:bdr w:val="none" w:sz="0" w:space="0" w:color="auto"/>
          <w:lang w:val="es-MX"/>
        </w:rPr>
        <w:t xml:space="preserve">uzgado </w:t>
      </w:r>
      <w:r w:rsidR="00506B68" w:rsidRPr="00165EC6">
        <w:rPr>
          <w:rFonts w:ascii="Cambria" w:eastAsia="Batang" w:hAnsi="Cambria"/>
          <w:sz w:val="20"/>
          <w:szCs w:val="20"/>
          <w:bdr w:val="none" w:sz="0" w:space="0" w:color="auto"/>
          <w:lang w:val="es-MX"/>
        </w:rPr>
        <w:t>Penal</w:t>
      </w:r>
      <w:r w:rsidRPr="00165EC6">
        <w:rPr>
          <w:rFonts w:ascii="Cambria" w:eastAsia="Batang" w:hAnsi="Cambria"/>
          <w:sz w:val="20"/>
          <w:szCs w:val="20"/>
          <w:bdr w:val="none" w:sz="0" w:space="0" w:color="auto"/>
          <w:lang w:val="es-MX"/>
        </w:rPr>
        <w:t xml:space="preserve"> de Santo </w:t>
      </w:r>
      <w:r w:rsidRPr="00165EC6">
        <w:rPr>
          <w:rFonts w:ascii="Cambria" w:eastAsia="Batang" w:hAnsi="Cambria"/>
          <w:sz w:val="20"/>
          <w:szCs w:val="20"/>
          <w:bdr w:val="none" w:sz="0" w:space="0" w:color="auto"/>
          <w:lang w:val="es-CO"/>
        </w:rPr>
        <w:t>Antônio</w:t>
      </w:r>
      <w:r w:rsidRPr="00165EC6">
        <w:rPr>
          <w:rFonts w:ascii="Cambria" w:eastAsia="Batang" w:hAnsi="Cambria"/>
          <w:sz w:val="20"/>
          <w:szCs w:val="20"/>
          <w:bdr w:val="none" w:sz="0" w:space="0" w:color="auto"/>
          <w:lang w:val="es-MX"/>
        </w:rPr>
        <w:t xml:space="preserve"> de Jesus:</w:t>
      </w: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MX"/>
        </w:rPr>
      </w:pP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Batang" w:hAnsi="Cambria"/>
          <w:sz w:val="20"/>
          <w:szCs w:val="20"/>
          <w:bdr w:val="none" w:sz="0" w:space="0" w:color="auto"/>
          <w:lang w:val="es-MX"/>
        </w:rPr>
      </w:pPr>
      <w:r w:rsidRPr="00165EC6">
        <w:rPr>
          <w:rFonts w:ascii="Cambria" w:eastAsia="Batang" w:hAnsi="Cambria"/>
          <w:sz w:val="20"/>
          <w:szCs w:val="20"/>
          <w:bdr w:val="none" w:sz="0" w:space="0" w:color="auto"/>
          <w:lang w:val="es-MX"/>
        </w:rPr>
        <w:t xml:space="preserve">1. </w:t>
      </w:r>
      <w:r w:rsidR="00421656" w:rsidRPr="00165EC6">
        <w:rPr>
          <w:rFonts w:ascii="Cambria" w:eastAsia="Batang" w:hAnsi="Cambria"/>
          <w:sz w:val="20"/>
          <w:szCs w:val="20"/>
          <w:bdr w:val="none" w:sz="0" w:space="0" w:color="auto"/>
          <w:lang w:val="es-MX"/>
        </w:rPr>
        <w:t xml:space="preserve">Trata el presente expediente de denuncia sobre uso irregular de productos controlados en la región de Santo </w:t>
      </w:r>
      <w:r w:rsidR="00421656" w:rsidRPr="00165EC6">
        <w:rPr>
          <w:rFonts w:ascii="Cambria" w:eastAsia="Batang" w:hAnsi="Cambria"/>
          <w:sz w:val="20"/>
          <w:szCs w:val="20"/>
          <w:bdr w:val="none" w:sz="0" w:space="0" w:color="auto"/>
          <w:lang w:val="es-CO"/>
        </w:rPr>
        <w:t>Antônio</w:t>
      </w:r>
      <w:r w:rsidR="00421656" w:rsidRPr="00165EC6">
        <w:rPr>
          <w:rFonts w:ascii="Cambria" w:eastAsia="Batang" w:hAnsi="Cambria"/>
          <w:sz w:val="20"/>
          <w:szCs w:val="20"/>
          <w:bdr w:val="none" w:sz="0" w:space="0" w:color="auto"/>
          <w:lang w:val="es-MX"/>
        </w:rPr>
        <w:t xml:space="preserve"> de Jesus/BA.</w:t>
      </w: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Batang" w:hAnsi="Cambria"/>
          <w:sz w:val="20"/>
          <w:szCs w:val="20"/>
          <w:bdr w:val="none" w:sz="0" w:space="0" w:color="auto"/>
          <w:lang w:val="es-MX"/>
        </w:rPr>
      </w:pP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Batang" w:hAnsi="Cambria"/>
          <w:sz w:val="20"/>
          <w:szCs w:val="20"/>
          <w:bdr w:val="none" w:sz="0" w:space="0" w:color="auto"/>
          <w:lang w:val="es-MX"/>
        </w:rPr>
      </w:pPr>
      <w:r w:rsidRPr="00165EC6">
        <w:rPr>
          <w:rFonts w:ascii="Cambria" w:eastAsia="Batang" w:hAnsi="Cambria"/>
          <w:sz w:val="20"/>
          <w:szCs w:val="20"/>
          <w:bdr w:val="none" w:sz="0" w:space="0" w:color="auto"/>
          <w:lang w:val="es-MX"/>
        </w:rPr>
        <w:t>2. […]en contacto telefónico</w:t>
      </w:r>
      <w:r w:rsidR="00506B68" w:rsidRPr="00165EC6">
        <w:rPr>
          <w:rFonts w:ascii="Cambria" w:eastAsia="Batang" w:hAnsi="Cambria"/>
          <w:sz w:val="20"/>
          <w:szCs w:val="20"/>
          <w:bdr w:val="none" w:sz="0" w:space="0" w:color="auto"/>
          <w:lang w:val="es-MX"/>
        </w:rPr>
        <w:t>, el 26 de octubre de 1999,</w:t>
      </w:r>
      <w:r w:rsidRPr="00165EC6">
        <w:rPr>
          <w:rFonts w:ascii="Cambria" w:eastAsia="Batang" w:hAnsi="Cambria"/>
          <w:sz w:val="20"/>
          <w:szCs w:val="20"/>
          <w:bdr w:val="none" w:sz="0" w:space="0" w:color="auto"/>
          <w:lang w:val="es-MX"/>
        </w:rPr>
        <w:t xml:space="preserve"> </w:t>
      </w:r>
      <w:r w:rsidR="002B2315">
        <w:rPr>
          <w:rFonts w:ascii="Cambria" w:eastAsia="Batang" w:hAnsi="Cambria"/>
          <w:sz w:val="20"/>
          <w:szCs w:val="20"/>
          <w:bdr w:val="none" w:sz="0" w:space="0" w:color="auto"/>
          <w:lang w:val="es-MX"/>
        </w:rPr>
        <w:t>con el</w:t>
      </w:r>
      <w:r w:rsidRPr="00165EC6">
        <w:rPr>
          <w:rFonts w:ascii="Cambria" w:eastAsia="Batang" w:hAnsi="Cambria"/>
          <w:sz w:val="20"/>
          <w:szCs w:val="20"/>
          <w:bdr w:val="none" w:sz="0" w:space="0" w:color="auto"/>
          <w:lang w:val="es-MX"/>
        </w:rPr>
        <w:t xml:space="preserve"> servicio de fiscalización de </w:t>
      </w:r>
      <w:r w:rsidR="00421656" w:rsidRPr="00165EC6">
        <w:rPr>
          <w:rFonts w:ascii="Cambria" w:eastAsia="Batang" w:hAnsi="Cambria"/>
          <w:sz w:val="20"/>
          <w:szCs w:val="20"/>
          <w:bdr w:val="none" w:sz="0" w:space="0" w:color="auto"/>
          <w:lang w:val="es-MX"/>
        </w:rPr>
        <w:t>productos</w:t>
      </w:r>
      <w:r w:rsidRPr="00165EC6">
        <w:rPr>
          <w:rFonts w:ascii="Cambria" w:eastAsia="Batang" w:hAnsi="Cambria"/>
          <w:sz w:val="20"/>
          <w:szCs w:val="20"/>
          <w:bdr w:val="none" w:sz="0" w:space="0" w:color="auto"/>
          <w:lang w:val="es-MX"/>
        </w:rPr>
        <w:t xml:space="preserve"> con</w:t>
      </w:r>
      <w:r w:rsidR="00421656" w:rsidRPr="00165EC6">
        <w:rPr>
          <w:rFonts w:ascii="Cambria" w:eastAsia="Batang" w:hAnsi="Cambria"/>
          <w:sz w:val="20"/>
          <w:szCs w:val="20"/>
          <w:bdr w:val="none" w:sz="0" w:space="0" w:color="auto"/>
          <w:lang w:val="es-MX"/>
        </w:rPr>
        <w:t>trolados</w:t>
      </w:r>
      <w:r w:rsidRPr="00165EC6">
        <w:rPr>
          <w:rFonts w:ascii="Cambria" w:eastAsia="Batang" w:hAnsi="Cambria"/>
          <w:sz w:val="20"/>
          <w:szCs w:val="20"/>
          <w:bdr w:val="none" w:sz="0" w:space="0" w:color="auto"/>
          <w:lang w:val="es-MX"/>
        </w:rPr>
        <w:t xml:space="preserve">, </w:t>
      </w:r>
      <w:r w:rsidR="00C550EC">
        <w:rPr>
          <w:rFonts w:ascii="Cambria" w:eastAsia="Batang" w:hAnsi="Cambria"/>
          <w:sz w:val="20"/>
          <w:szCs w:val="20"/>
          <w:bdr w:val="none" w:sz="0" w:space="0" w:color="auto"/>
          <w:lang w:val="es-MX"/>
        </w:rPr>
        <w:t xml:space="preserve">[…] </w:t>
      </w:r>
      <w:r w:rsidRPr="00165EC6">
        <w:rPr>
          <w:rFonts w:ascii="Cambria" w:eastAsia="Batang" w:hAnsi="Cambria"/>
          <w:sz w:val="20"/>
          <w:szCs w:val="20"/>
          <w:bdr w:val="none" w:sz="0" w:space="0" w:color="auto"/>
          <w:lang w:val="es-MX"/>
        </w:rPr>
        <w:t xml:space="preserve">informó que la fabricación de fuegos artificiales en ese municipio es realizada libremente, con la anuencia de la Prefectura local, que concede </w:t>
      </w:r>
      <w:r w:rsidR="002B2315">
        <w:rPr>
          <w:rFonts w:ascii="Cambria" w:eastAsia="Batang" w:hAnsi="Cambria"/>
          <w:sz w:val="20"/>
          <w:szCs w:val="20"/>
          <w:bdr w:val="none" w:sz="0" w:space="0" w:color="auto"/>
          <w:lang w:val="es-MX"/>
        </w:rPr>
        <w:t xml:space="preserve">licencias </w:t>
      </w:r>
      <w:r w:rsidRPr="00165EC6">
        <w:rPr>
          <w:rFonts w:ascii="Cambria" w:eastAsia="Batang" w:hAnsi="Cambria"/>
          <w:sz w:val="20"/>
          <w:szCs w:val="20"/>
          <w:bdr w:val="none" w:sz="0" w:space="0" w:color="auto"/>
          <w:lang w:val="es-MX"/>
        </w:rPr>
        <w:t>para estas fábricas artesanales. En segundo lugar</w:t>
      </w:r>
      <w:r w:rsidR="00167E85">
        <w:rPr>
          <w:rFonts w:ascii="Cambria" w:eastAsia="Batang" w:hAnsi="Cambria"/>
          <w:sz w:val="20"/>
          <w:szCs w:val="20"/>
          <w:bdr w:val="none" w:sz="0" w:space="0" w:color="auto"/>
          <w:lang w:val="es-MX"/>
        </w:rPr>
        <w:t>,</w:t>
      </w:r>
      <w:r w:rsidRPr="00165EC6">
        <w:rPr>
          <w:rFonts w:ascii="Cambria" w:eastAsia="Batang" w:hAnsi="Cambria"/>
          <w:sz w:val="20"/>
          <w:szCs w:val="20"/>
          <w:bdr w:val="none" w:sz="0" w:space="0" w:color="auto"/>
          <w:lang w:val="es-MX"/>
        </w:rPr>
        <w:t xml:space="preserve"> miembros de su familia participa</w:t>
      </w:r>
      <w:r w:rsidR="00167E85">
        <w:rPr>
          <w:rFonts w:ascii="Cambria" w:eastAsia="Batang" w:hAnsi="Cambria"/>
          <w:sz w:val="20"/>
          <w:szCs w:val="20"/>
          <w:bdr w:val="none" w:sz="0" w:space="0" w:color="auto"/>
          <w:lang w:val="es-MX"/>
        </w:rPr>
        <w:t>rían</w:t>
      </w:r>
      <w:r w:rsidRPr="00165EC6">
        <w:rPr>
          <w:rFonts w:ascii="Cambria" w:eastAsia="Batang" w:hAnsi="Cambria"/>
          <w:sz w:val="20"/>
          <w:szCs w:val="20"/>
          <w:bdr w:val="none" w:sz="0" w:space="0" w:color="auto"/>
          <w:lang w:val="es-MX"/>
        </w:rPr>
        <w:t xml:space="preserve"> de esta actividad (incluso el señor Mário</w:t>
      </w:r>
      <w:r w:rsidR="00506B68" w:rsidRPr="00165EC6">
        <w:rPr>
          <w:rFonts w:ascii="Cambria" w:eastAsia="Batang" w:hAnsi="Cambria"/>
          <w:sz w:val="20"/>
          <w:szCs w:val="20"/>
          <w:bdr w:val="none" w:sz="0" w:space="0" w:color="auto"/>
          <w:lang w:val="es-MX"/>
        </w:rPr>
        <w:t xml:space="preserve"> </w:t>
      </w:r>
      <w:r w:rsidRPr="00165EC6">
        <w:rPr>
          <w:rFonts w:ascii="Cambria" w:eastAsia="Batang" w:hAnsi="Cambria"/>
          <w:sz w:val="20"/>
          <w:szCs w:val="20"/>
          <w:bdr w:val="none" w:sz="0" w:space="0" w:color="auto"/>
          <w:lang w:val="es-MX"/>
        </w:rPr>
        <w:t>Fróes Prazeres Bastos, propietario de la empresa del mismo nombre que explotó el 11 de diciembre de 1998 y que tuvo su registro revocado por el Ejército).</w:t>
      </w:r>
    </w:p>
    <w:p w:rsidR="00277412" w:rsidRPr="00165EC6" w:rsidRDefault="000C24D3" w:rsidP="000C24D3">
      <w:pPr>
        <w:pBdr>
          <w:top w:val="none" w:sz="0" w:space="0" w:color="auto"/>
          <w:left w:val="none" w:sz="0" w:space="0" w:color="auto"/>
          <w:bottom w:val="none" w:sz="0" w:space="0" w:color="auto"/>
          <w:right w:val="none" w:sz="0" w:space="0" w:color="auto"/>
          <w:between w:val="none" w:sz="0" w:space="0" w:color="auto"/>
          <w:bar w:val="none" w:sz="0" w:color="auto"/>
        </w:pBdr>
        <w:tabs>
          <w:tab w:val="left" w:pos="1834"/>
          <w:tab w:val="left" w:pos="5428"/>
        </w:tabs>
        <w:ind w:left="720" w:right="720"/>
        <w:jc w:val="both"/>
        <w:rPr>
          <w:rFonts w:ascii="Cambria" w:eastAsia="Batang" w:hAnsi="Cambria"/>
          <w:sz w:val="20"/>
          <w:szCs w:val="20"/>
          <w:bdr w:val="none" w:sz="0" w:space="0" w:color="auto"/>
          <w:lang w:val="es-MX"/>
        </w:rPr>
      </w:pPr>
      <w:r w:rsidRPr="00165EC6">
        <w:rPr>
          <w:rFonts w:ascii="Cambria" w:eastAsia="Batang" w:hAnsi="Cambria"/>
          <w:sz w:val="20"/>
          <w:szCs w:val="20"/>
          <w:bdr w:val="none" w:sz="0" w:space="0" w:color="auto"/>
          <w:lang w:val="es-MX"/>
        </w:rPr>
        <w:tab/>
      </w:r>
      <w:r w:rsidRPr="00165EC6">
        <w:rPr>
          <w:rFonts w:ascii="Cambria" w:eastAsia="Batang" w:hAnsi="Cambria"/>
          <w:sz w:val="20"/>
          <w:szCs w:val="20"/>
          <w:bdr w:val="none" w:sz="0" w:space="0" w:color="auto"/>
          <w:lang w:val="es-MX"/>
        </w:rPr>
        <w:tab/>
      </w: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Batang" w:hAnsi="Cambria"/>
          <w:sz w:val="20"/>
          <w:szCs w:val="20"/>
          <w:bdr w:val="none" w:sz="0" w:space="0" w:color="auto"/>
          <w:lang w:val="es-MX"/>
        </w:rPr>
      </w:pPr>
      <w:r w:rsidRPr="00165EC6">
        <w:rPr>
          <w:rFonts w:ascii="Cambria" w:eastAsia="Batang" w:hAnsi="Cambria"/>
          <w:sz w:val="20"/>
          <w:szCs w:val="20"/>
          <w:bdr w:val="none" w:sz="0" w:space="0" w:color="auto"/>
          <w:lang w:val="es-MX"/>
        </w:rPr>
        <w:t>3. El concejal alegó que no hay restricciones de ninguna especie al ejercicio de esta actividad;</w:t>
      </w:r>
      <w:r w:rsidR="00C550EC">
        <w:rPr>
          <w:rFonts w:ascii="Cambria" w:eastAsia="Batang" w:hAnsi="Cambria"/>
          <w:sz w:val="20"/>
          <w:szCs w:val="20"/>
          <w:bdr w:val="none" w:sz="0" w:space="0" w:color="auto"/>
          <w:lang w:val="es-MX"/>
        </w:rPr>
        <w:t xml:space="preserve"> […]</w:t>
      </w:r>
      <w:r w:rsidRPr="00165EC6">
        <w:rPr>
          <w:rFonts w:ascii="Cambria" w:eastAsia="Batang" w:hAnsi="Cambria"/>
          <w:sz w:val="20"/>
          <w:szCs w:val="20"/>
          <w:bdr w:val="none" w:sz="0" w:space="0" w:color="auto"/>
          <w:lang w:val="es-MX"/>
        </w:rPr>
        <w:t>.</w:t>
      </w: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Batang" w:hAnsi="Cambria"/>
          <w:sz w:val="20"/>
          <w:szCs w:val="20"/>
          <w:bdr w:val="none" w:sz="0" w:space="0" w:color="auto"/>
          <w:lang w:val="es-MX"/>
        </w:rPr>
      </w:pP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Batang" w:hAnsi="Cambria"/>
          <w:sz w:val="20"/>
          <w:szCs w:val="20"/>
          <w:bdr w:val="none" w:sz="0" w:space="0" w:color="auto"/>
          <w:lang w:val="es-MX"/>
        </w:rPr>
      </w:pPr>
      <w:r w:rsidRPr="00165EC6">
        <w:rPr>
          <w:rFonts w:ascii="Cambria" w:eastAsia="Batang" w:hAnsi="Cambria"/>
          <w:sz w:val="20"/>
          <w:szCs w:val="20"/>
          <w:bdr w:val="none" w:sz="0" w:space="0" w:color="auto"/>
          <w:lang w:val="es-MX"/>
        </w:rPr>
        <w:t xml:space="preserve">4. De lo anterior y considerando que la utilización ilegal de pólvora constituye un crimen previsto en el artículo 253 del código penal, solicito a su Excelencia que determine las providencias pertinentes para restringir la practica citada de gran </w:t>
      </w:r>
      <w:r w:rsidR="00506B68" w:rsidRPr="00165EC6">
        <w:rPr>
          <w:rFonts w:ascii="Cambria" w:eastAsia="Batang" w:hAnsi="Cambria"/>
          <w:sz w:val="20"/>
          <w:szCs w:val="20"/>
          <w:bdr w:val="none" w:sz="0" w:space="0" w:color="auto"/>
          <w:lang w:val="es-MX"/>
        </w:rPr>
        <w:t xml:space="preserve">riesgo </w:t>
      </w:r>
      <w:r w:rsidR="004106E0">
        <w:rPr>
          <w:rFonts w:ascii="Cambria" w:eastAsia="Batang" w:hAnsi="Cambria"/>
          <w:sz w:val="20"/>
          <w:szCs w:val="20"/>
          <w:bdr w:val="none" w:sz="0" w:space="0" w:color="auto"/>
          <w:lang w:val="es-MX"/>
        </w:rPr>
        <w:t>a la seguridad pública</w:t>
      </w:r>
      <w:r w:rsidRPr="00165EC6">
        <w:rPr>
          <w:rFonts w:ascii="Cambria" w:eastAsia="Batang" w:hAnsi="Cambria"/>
          <w:sz w:val="20"/>
          <w:szCs w:val="20"/>
          <w:bdr w:val="none" w:sz="0" w:space="0" w:color="auto"/>
          <w:vertAlign w:val="superscript"/>
          <w:lang w:val="es-MX"/>
        </w:rPr>
        <w:footnoteReference w:id="28"/>
      </w:r>
      <w:r w:rsidRPr="00165EC6">
        <w:rPr>
          <w:rFonts w:ascii="Cambria" w:eastAsia="Batang" w:hAnsi="Cambria"/>
          <w:sz w:val="20"/>
          <w:szCs w:val="20"/>
          <w:bdr w:val="none" w:sz="0" w:space="0" w:color="auto"/>
          <w:lang w:val="es-MX"/>
        </w:rPr>
        <w:t xml:space="preserve">. </w:t>
      </w: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Batang" w:hAnsi="Cambria"/>
          <w:sz w:val="20"/>
          <w:szCs w:val="20"/>
          <w:bdr w:val="none" w:sz="0" w:space="0" w:color="auto"/>
          <w:lang w:val="es-MX"/>
        </w:rPr>
      </w:pPr>
    </w:p>
    <w:p w:rsidR="00277412" w:rsidRPr="00165EC6" w:rsidRDefault="00277412"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MX"/>
        </w:rPr>
      </w:pPr>
      <w:r w:rsidRPr="00165EC6">
        <w:rPr>
          <w:rFonts w:ascii="Cambria" w:eastAsia="Batang" w:hAnsi="Cambria"/>
          <w:sz w:val="20"/>
          <w:szCs w:val="20"/>
          <w:bdr w:val="none" w:sz="0" w:space="0" w:color="auto"/>
          <w:lang w:val="es-MX"/>
        </w:rPr>
        <w:t>Como quedó establecido, a</w:t>
      </w:r>
      <w:r w:rsidRPr="00165EC6">
        <w:rPr>
          <w:rFonts w:ascii="Cambria" w:eastAsia="Batang" w:hAnsi="Cambria"/>
          <w:sz w:val="20"/>
          <w:szCs w:val="20"/>
          <w:bdr w:val="none" w:sz="0" w:space="0" w:color="auto"/>
          <w:lang w:val="es-CO"/>
        </w:rPr>
        <w:t>l 29 de marzo de 2001, fecha de la resolución emitida por la Jueza del Trabajo, las actividades irregulares de producción de fuegos artificiales continuaban en la ciudad de Santo Antônio de Jesus</w:t>
      </w:r>
      <w:r w:rsidRPr="00165EC6">
        <w:rPr>
          <w:rFonts w:ascii="Cambria" w:eastAsia="Batang" w:hAnsi="Cambria"/>
          <w:sz w:val="20"/>
          <w:szCs w:val="20"/>
          <w:bdr w:val="none" w:sz="0" w:space="0" w:color="auto"/>
          <w:vertAlign w:val="superscript"/>
          <w:lang w:val="es-CO"/>
        </w:rPr>
        <w:footnoteReference w:id="29"/>
      </w:r>
      <w:r w:rsidRPr="00165EC6">
        <w:rPr>
          <w:rFonts w:ascii="Cambria" w:eastAsia="Batang" w:hAnsi="Cambria"/>
          <w:sz w:val="20"/>
          <w:szCs w:val="20"/>
          <w:bdr w:val="none" w:sz="0" w:space="0" w:color="auto"/>
          <w:lang w:val="es-CO"/>
        </w:rPr>
        <w:t>.</w:t>
      </w:r>
    </w:p>
    <w:p w:rsidR="00277412" w:rsidRPr="00165EC6" w:rsidRDefault="00277412" w:rsidP="002504F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MX"/>
        </w:rPr>
      </w:pPr>
    </w:p>
    <w:p w:rsidR="00277412" w:rsidRPr="00165EC6" w:rsidRDefault="00277412"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MX"/>
        </w:rPr>
      </w:pPr>
      <w:r w:rsidRPr="00165EC6">
        <w:rPr>
          <w:rFonts w:ascii="Cambria" w:eastAsia="Batang" w:hAnsi="Cambria"/>
          <w:sz w:val="20"/>
          <w:szCs w:val="20"/>
          <w:bdr w:val="none" w:sz="0" w:space="0" w:color="auto"/>
          <w:lang w:val="es-MX"/>
        </w:rPr>
        <w:t>Mediante comunicación del</w:t>
      </w:r>
      <w:r w:rsidR="00EE1A75" w:rsidRPr="00165EC6">
        <w:rPr>
          <w:rFonts w:ascii="Cambria" w:eastAsia="Batang" w:hAnsi="Cambria"/>
          <w:sz w:val="20"/>
          <w:szCs w:val="20"/>
          <w:bdr w:val="none" w:sz="0" w:space="0" w:color="auto"/>
          <w:lang w:val="es-MX"/>
        </w:rPr>
        <w:t xml:space="preserve"> </w:t>
      </w:r>
      <w:r w:rsidRPr="00165EC6">
        <w:rPr>
          <w:rFonts w:ascii="Cambria" w:eastAsia="Batang" w:hAnsi="Cambria"/>
          <w:sz w:val="20"/>
          <w:szCs w:val="20"/>
          <w:bdr w:val="none" w:sz="0" w:space="0" w:color="auto"/>
          <w:lang w:val="es-MX"/>
        </w:rPr>
        <w:t>15 de junio de 2007, la parte peticionaria indicó que “</w:t>
      </w:r>
      <w:r w:rsidRPr="00165EC6">
        <w:rPr>
          <w:rFonts w:ascii="Cambria" w:eastAsia="Batang" w:hAnsi="Cambria"/>
          <w:sz w:val="20"/>
          <w:szCs w:val="20"/>
          <w:bdr w:val="none" w:sz="0" w:space="0" w:color="auto"/>
          <w:lang w:val="es-ES"/>
        </w:rPr>
        <w:t>las acciones no han sido efectivas para frenar la distribución clandestina de materias primas, especialmente de pólvora, no</w:t>
      </w:r>
      <w:r w:rsidRPr="00165EC6">
        <w:rPr>
          <w:rFonts w:ascii="Cambria" w:eastAsia="Batang" w:hAnsi="Cambria"/>
          <w:sz w:val="20"/>
          <w:szCs w:val="20"/>
          <w:bdr w:val="none" w:sz="0" w:space="0" w:color="auto"/>
          <w:lang w:val="es-MX"/>
        </w:rPr>
        <w:t xml:space="preserve"> obstante en audiencia pública ante la CIDH, e</w:t>
      </w:r>
      <w:r w:rsidRPr="00165EC6">
        <w:rPr>
          <w:rFonts w:ascii="Cambria" w:eastAsia="Batang" w:hAnsi="Cambria"/>
          <w:sz w:val="20"/>
          <w:szCs w:val="20"/>
          <w:bdr w:val="none" w:sz="0" w:space="0" w:color="auto"/>
          <w:lang w:val="es-ES"/>
        </w:rPr>
        <w:t>l Estado federal se comprometió a instar a las autoridades competentes a controlar la fabricación de fuegos artificiales</w:t>
      </w:r>
      <w:r w:rsidR="00F46639" w:rsidRPr="00165EC6">
        <w:rPr>
          <w:rFonts w:ascii="Cambria" w:eastAsia="Batang" w:hAnsi="Cambria"/>
          <w:sz w:val="20"/>
          <w:szCs w:val="20"/>
          <w:bdr w:val="none" w:sz="0" w:space="0" w:color="auto"/>
          <w:lang w:val="es-ES"/>
        </w:rPr>
        <w:t xml:space="preserve"> […]</w:t>
      </w:r>
      <w:r w:rsidRPr="00165EC6">
        <w:rPr>
          <w:rFonts w:ascii="Cambria" w:eastAsia="Batang" w:hAnsi="Cambria"/>
          <w:sz w:val="20"/>
          <w:szCs w:val="20"/>
          <w:bdr w:val="none" w:sz="0" w:space="0" w:color="auto"/>
          <w:lang w:val="es-ES"/>
        </w:rPr>
        <w:t>”</w:t>
      </w:r>
      <w:r w:rsidRPr="00165EC6">
        <w:rPr>
          <w:rFonts w:ascii="Cambria" w:eastAsia="Batang" w:hAnsi="Cambria"/>
          <w:sz w:val="20"/>
          <w:szCs w:val="20"/>
          <w:bdr w:val="none" w:sz="0" w:space="0" w:color="auto"/>
          <w:vertAlign w:val="superscript"/>
          <w:lang w:val="es-CO"/>
        </w:rPr>
        <w:footnoteReference w:id="30"/>
      </w:r>
      <w:r w:rsidRPr="00165EC6">
        <w:rPr>
          <w:rFonts w:ascii="Cambria" w:eastAsia="Batang" w:hAnsi="Cambria"/>
          <w:sz w:val="20"/>
          <w:szCs w:val="20"/>
          <w:bdr w:val="none" w:sz="0" w:space="0" w:color="auto"/>
          <w:lang w:val="es-ES"/>
        </w:rPr>
        <w:t>.</w:t>
      </w:r>
    </w:p>
    <w:p w:rsidR="00277412" w:rsidRPr="00165EC6" w:rsidRDefault="00277412" w:rsidP="002504F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b/>
          <w:bCs/>
          <w:sz w:val="20"/>
          <w:szCs w:val="20"/>
          <w:bdr w:val="none" w:sz="0" w:space="0" w:color="auto"/>
          <w:lang w:val="es-MX"/>
        </w:rPr>
      </w:pPr>
    </w:p>
    <w:p w:rsidR="00277412" w:rsidRPr="00165EC6" w:rsidRDefault="00277412"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MX"/>
        </w:rPr>
      </w:pPr>
      <w:r w:rsidRPr="00165EC6">
        <w:rPr>
          <w:rFonts w:ascii="Cambria" w:eastAsia="Batang" w:hAnsi="Cambria"/>
          <w:sz w:val="20"/>
          <w:szCs w:val="20"/>
          <w:bdr w:val="none" w:sz="0" w:space="0" w:color="auto"/>
          <w:lang w:val="es-CO"/>
        </w:rPr>
        <w:t xml:space="preserve">En </w:t>
      </w:r>
      <w:r w:rsidR="00D425EA" w:rsidRPr="00165EC6">
        <w:rPr>
          <w:rFonts w:ascii="Cambria" w:eastAsia="Batang" w:hAnsi="Cambria"/>
          <w:sz w:val="20"/>
          <w:szCs w:val="20"/>
          <w:bdr w:val="none" w:sz="0" w:space="0" w:color="auto"/>
          <w:lang w:val="es-CO"/>
        </w:rPr>
        <w:t xml:space="preserve">el </w:t>
      </w:r>
      <w:r w:rsidRPr="00165EC6">
        <w:rPr>
          <w:rFonts w:ascii="Cambria" w:eastAsia="Batang" w:hAnsi="Cambria"/>
          <w:sz w:val="20"/>
          <w:szCs w:val="20"/>
          <w:bdr w:val="none" w:sz="0" w:space="0" w:color="auto"/>
          <w:lang w:val="es-CO"/>
        </w:rPr>
        <w:t>reportaje presentado por el Estado en octubre de 2005</w:t>
      </w:r>
      <w:r w:rsidR="00D425EA" w:rsidRPr="00165EC6">
        <w:rPr>
          <w:rFonts w:ascii="Cambria" w:eastAsia="Batang" w:hAnsi="Cambria"/>
          <w:sz w:val="20"/>
          <w:szCs w:val="20"/>
          <w:bdr w:val="none" w:sz="0" w:space="0" w:color="auto"/>
          <w:lang w:val="es-CO"/>
        </w:rPr>
        <w:t xml:space="preserve"> y ya referido anteriormente, </w:t>
      </w:r>
      <w:r w:rsidRPr="00165EC6">
        <w:rPr>
          <w:rFonts w:ascii="Cambria" w:eastAsia="Batang" w:hAnsi="Cambria"/>
          <w:sz w:val="20"/>
          <w:szCs w:val="20"/>
          <w:bdr w:val="none" w:sz="0" w:space="0" w:color="auto"/>
          <w:lang w:val="es-CO"/>
        </w:rPr>
        <w:t>se informa que se implementó el proyecto Fênix en el año 2002, el cual generó la construcción de una nave industrial (Condominio Fénix), para legalizar y revitalizar el sector industrial de pirotecnia de la ciudad de Santo Antônio de Jesus, de conformidad con las normas de seguridad</w:t>
      </w:r>
      <w:r w:rsidRPr="00165EC6">
        <w:rPr>
          <w:rFonts w:ascii="Cambria" w:eastAsia="Batang" w:hAnsi="Cambria"/>
          <w:sz w:val="20"/>
          <w:szCs w:val="20"/>
          <w:bdr w:val="none" w:sz="0" w:space="0" w:color="auto"/>
          <w:vertAlign w:val="superscript"/>
          <w:lang w:val="es-CO"/>
        </w:rPr>
        <w:footnoteReference w:id="31"/>
      </w:r>
      <w:r w:rsidRPr="00165EC6">
        <w:rPr>
          <w:rFonts w:ascii="Cambria" w:eastAsia="Batang" w:hAnsi="Cambria"/>
          <w:sz w:val="20"/>
          <w:szCs w:val="20"/>
          <w:bdr w:val="none" w:sz="0" w:space="0" w:color="auto"/>
          <w:lang w:val="es-CO"/>
        </w:rPr>
        <w:t>.</w:t>
      </w:r>
      <w:r w:rsidRPr="00165EC6">
        <w:rPr>
          <w:rFonts w:ascii="Cambria" w:eastAsia="Batang" w:hAnsi="Cambria"/>
          <w:sz w:val="20"/>
          <w:szCs w:val="20"/>
          <w:bdr w:val="none" w:sz="0" w:space="0" w:color="auto"/>
          <w:lang w:val="es-ES"/>
        </w:rPr>
        <w:t xml:space="preserve"> Asimismo, </w:t>
      </w:r>
      <w:r w:rsidR="00EA2E09" w:rsidRPr="00165EC6">
        <w:rPr>
          <w:rFonts w:ascii="Cambria" w:eastAsia="Batang" w:hAnsi="Cambria"/>
          <w:sz w:val="20"/>
          <w:szCs w:val="20"/>
          <w:bdr w:val="none" w:sz="0" w:space="0" w:color="auto"/>
          <w:lang w:val="es-ES"/>
        </w:rPr>
        <w:t xml:space="preserve">el reportaje </w:t>
      </w:r>
      <w:r w:rsidRPr="00165EC6">
        <w:rPr>
          <w:rFonts w:ascii="Cambria" w:eastAsia="Batang" w:hAnsi="Cambria"/>
          <w:sz w:val="20"/>
          <w:szCs w:val="20"/>
          <w:bdr w:val="none" w:sz="0" w:space="0" w:color="auto"/>
          <w:lang w:val="es-ES"/>
        </w:rPr>
        <w:t xml:space="preserve">indica que más de 1,6 mil personas ya habían cambiado la precaria forma artesanal de producción por un nuevo método, lo que fue hecho </w:t>
      </w:r>
      <w:r w:rsidR="00504F6A" w:rsidRPr="00165EC6">
        <w:rPr>
          <w:rFonts w:ascii="Cambria" w:eastAsia="Batang" w:hAnsi="Cambria"/>
          <w:sz w:val="20"/>
          <w:szCs w:val="20"/>
          <w:bdr w:val="none" w:sz="0" w:space="0" w:color="auto"/>
          <w:lang w:val="es-ES"/>
        </w:rPr>
        <w:t xml:space="preserve">mediante talleres </w:t>
      </w:r>
      <w:r w:rsidRPr="00165EC6">
        <w:rPr>
          <w:rFonts w:ascii="Cambria" w:eastAsia="Batang" w:hAnsi="Cambria"/>
          <w:sz w:val="20"/>
          <w:szCs w:val="20"/>
          <w:bdr w:val="none" w:sz="0" w:space="0" w:color="auto"/>
          <w:lang w:val="es-ES"/>
        </w:rPr>
        <w:t xml:space="preserve">y capacitación </w:t>
      </w:r>
      <w:r w:rsidR="00504F6A" w:rsidRPr="00165EC6">
        <w:rPr>
          <w:rFonts w:ascii="Cambria" w:eastAsia="Batang" w:hAnsi="Cambria"/>
          <w:sz w:val="20"/>
          <w:szCs w:val="20"/>
          <w:bdr w:val="none" w:sz="0" w:space="0" w:color="auto"/>
          <w:lang w:val="es-ES"/>
        </w:rPr>
        <w:t>a</w:t>
      </w:r>
      <w:r w:rsidRPr="00165EC6">
        <w:rPr>
          <w:rFonts w:ascii="Cambria" w:eastAsia="Batang" w:hAnsi="Cambria"/>
          <w:sz w:val="20"/>
          <w:szCs w:val="20"/>
          <w:bdr w:val="none" w:sz="0" w:space="0" w:color="auto"/>
          <w:lang w:val="es-ES"/>
        </w:rPr>
        <w:t xml:space="preserve"> los empleados</w:t>
      </w:r>
      <w:r w:rsidRPr="00165EC6">
        <w:rPr>
          <w:rFonts w:ascii="Cambria" w:eastAsia="Batang" w:hAnsi="Cambria"/>
          <w:sz w:val="20"/>
          <w:szCs w:val="20"/>
          <w:bdr w:val="none" w:sz="0" w:space="0" w:color="auto"/>
          <w:vertAlign w:val="superscript"/>
          <w:lang w:val="es-ES"/>
        </w:rPr>
        <w:footnoteReference w:id="32"/>
      </w:r>
      <w:r w:rsidRPr="00165EC6">
        <w:rPr>
          <w:rFonts w:ascii="Cambria" w:eastAsia="Batang" w:hAnsi="Cambria"/>
          <w:sz w:val="20"/>
          <w:szCs w:val="20"/>
          <w:bdr w:val="none" w:sz="0" w:space="0" w:color="auto"/>
          <w:lang w:val="es-ES"/>
        </w:rPr>
        <w:t>.</w:t>
      </w:r>
    </w:p>
    <w:p w:rsidR="00277412" w:rsidRPr="00165EC6" w:rsidRDefault="00277412" w:rsidP="002504F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MX"/>
        </w:rPr>
      </w:pPr>
    </w:p>
    <w:p w:rsidR="00277412" w:rsidRPr="00165EC6" w:rsidRDefault="00277412" w:rsidP="00250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MX"/>
        </w:rPr>
      </w:pPr>
      <w:r w:rsidRPr="00165EC6">
        <w:rPr>
          <w:rFonts w:ascii="Cambria" w:eastAsia="Batang" w:hAnsi="Cambria"/>
          <w:sz w:val="20"/>
          <w:szCs w:val="20"/>
          <w:bdr w:val="none" w:sz="0" w:space="0" w:color="auto"/>
          <w:lang w:val="es-CO"/>
        </w:rPr>
        <w:t xml:space="preserve">En agosto de 2008, el Estado brasileño presentó a la Comisión el Documento Síntesis, en el cual reconoce que el Proyecto Fénix no funcionó adecuadamente. Así, señaló que: </w:t>
      </w: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MX"/>
        </w:rPr>
      </w:pP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Batang" w:hAnsi="Cambria"/>
          <w:sz w:val="20"/>
          <w:szCs w:val="20"/>
          <w:bdr w:val="none" w:sz="0" w:space="0" w:color="auto"/>
          <w:lang w:val="es-MX"/>
        </w:rPr>
      </w:pPr>
      <w:r w:rsidRPr="00165EC6">
        <w:rPr>
          <w:rFonts w:ascii="Cambria" w:eastAsia="Batang" w:hAnsi="Cambria"/>
          <w:sz w:val="20"/>
          <w:szCs w:val="20"/>
          <w:bdr w:val="none" w:sz="0" w:space="0" w:color="auto"/>
          <w:lang w:val="es-MX"/>
        </w:rPr>
        <w:t>[…]-el Proyecto Fénix-, resultó en una alternativa inviable, frustrante y que mantiene un cuadro de irregularidades [ilegible], precariedad y degradación en cuanto a las formas de utilización del trabajo en el ámbito de la producción de fuegos en el municipio</w:t>
      </w:r>
      <w:r w:rsidRPr="00165EC6">
        <w:rPr>
          <w:rFonts w:ascii="Cambria" w:eastAsia="Batang" w:hAnsi="Cambria"/>
          <w:sz w:val="20"/>
          <w:szCs w:val="20"/>
          <w:bdr w:val="none" w:sz="0" w:space="0" w:color="auto"/>
          <w:vertAlign w:val="superscript"/>
          <w:lang w:val="es-MX"/>
        </w:rPr>
        <w:footnoteReference w:id="33"/>
      </w:r>
      <w:r w:rsidRPr="00165EC6">
        <w:rPr>
          <w:rFonts w:ascii="Cambria" w:eastAsia="Batang" w:hAnsi="Cambria"/>
          <w:sz w:val="20"/>
          <w:szCs w:val="20"/>
          <w:bdr w:val="none" w:sz="0" w:space="0" w:color="auto"/>
          <w:lang w:val="es-MX"/>
        </w:rPr>
        <w:t>.</w:t>
      </w: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Batang" w:hAnsi="Cambria"/>
          <w:sz w:val="20"/>
          <w:szCs w:val="20"/>
          <w:bdr w:val="none" w:sz="0" w:space="0" w:color="auto"/>
          <w:lang w:val="es-MX"/>
        </w:rPr>
      </w:pPr>
    </w:p>
    <w:p w:rsidR="00277412" w:rsidRPr="00165EC6" w:rsidRDefault="00277412" w:rsidP="00D04C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MX"/>
        </w:rPr>
      </w:pPr>
      <w:r w:rsidRPr="00165EC6">
        <w:rPr>
          <w:rFonts w:ascii="Cambria" w:eastAsia="Batang" w:hAnsi="Cambria"/>
          <w:sz w:val="20"/>
          <w:szCs w:val="20"/>
          <w:bdr w:val="none" w:sz="0" w:space="0" w:color="auto"/>
          <w:lang w:val="es-CO"/>
        </w:rPr>
        <w:t xml:space="preserve">Asimismo, refirió que para julio de 2008: </w:t>
      </w: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CO"/>
        </w:rPr>
      </w:pP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ind w:left="720" w:right="720"/>
        <w:jc w:val="both"/>
        <w:rPr>
          <w:rFonts w:ascii="Cambria" w:eastAsia="Batang" w:hAnsi="Cambria"/>
          <w:sz w:val="20"/>
          <w:szCs w:val="20"/>
          <w:bdr w:val="none" w:sz="0" w:space="0" w:color="auto"/>
          <w:lang w:val="es-MX"/>
        </w:rPr>
      </w:pPr>
      <w:r w:rsidRPr="00165EC6">
        <w:rPr>
          <w:rFonts w:ascii="Cambria" w:eastAsia="Batang" w:hAnsi="Cambria"/>
          <w:sz w:val="20"/>
          <w:szCs w:val="20"/>
          <w:bdr w:val="none" w:sz="0" w:space="0" w:color="auto"/>
          <w:lang w:val="es-CO"/>
        </w:rPr>
        <w:lastRenderedPageBreak/>
        <w:t>[…] la fabricación de fuegos artificiales continúa a todo vapor en el patio de las casas o en las tiendas clandestinas, envolviendo un número estimado de 10 mil personas, sin observación alguna a las normas técnicas y a los derechos laborales, en un proceso continuado de empobrecimiento de la población involucrada</w:t>
      </w:r>
      <w:r w:rsidRPr="00165EC6">
        <w:rPr>
          <w:rFonts w:ascii="Cambria" w:eastAsia="Batang" w:hAnsi="Cambria"/>
          <w:sz w:val="20"/>
          <w:szCs w:val="20"/>
          <w:bdr w:val="none" w:sz="0" w:space="0" w:color="auto"/>
          <w:vertAlign w:val="superscript"/>
          <w:lang w:val="es-CO"/>
        </w:rPr>
        <w:footnoteReference w:id="34"/>
      </w:r>
      <w:r w:rsidRPr="00165EC6">
        <w:rPr>
          <w:rFonts w:ascii="Cambria" w:eastAsia="Batang" w:hAnsi="Cambria"/>
          <w:sz w:val="20"/>
          <w:szCs w:val="20"/>
          <w:bdr w:val="none" w:sz="0" w:space="0" w:color="auto"/>
          <w:lang w:val="es-CO"/>
        </w:rPr>
        <w:t>.</w:t>
      </w: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ind w:firstLine="720"/>
        <w:jc w:val="both"/>
        <w:rPr>
          <w:rFonts w:ascii="Cambria" w:eastAsia="Batang" w:hAnsi="Cambria"/>
          <w:sz w:val="20"/>
          <w:szCs w:val="20"/>
          <w:bdr w:val="none" w:sz="0" w:space="0" w:color="auto"/>
          <w:lang w:val="es-MX"/>
        </w:rPr>
      </w:pPr>
    </w:p>
    <w:p w:rsidR="00277412" w:rsidRPr="00165EC6" w:rsidRDefault="00277412" w:rsidP="003B61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jc w:val="both"/>
        <w:rPr>
          <w:rFonts w:ascii="Cambria" w:eastAsia="Batang" w:hAnsi="Cambria"/>
          <w:sz w:val="20"/>
          <w:szCs w:val="20"/>
          <w:bdr w:val="none" w:sz="0" w:space="0" w:color="auto"/>
          <w:lang w:val="es-MX"/>
        </w:rPr>
      </w:pPr>
      <w:r w:rsidRPr="00165EC6">
        <w:rPr>
          <w:rFonts w:ascii="Cambria" w:eastAsia="Batang" w:hAnsi="Cambria"/>
          <w:sz w:val="20"/>
          <w:szCs w:val="20"/>
          <w:bdr w:val="none" w:sz="0" w:space="0" w:color="auto"/>
          <w:lang w:val="es-CO"/>
        </w:rPr>
        <w:t>Consta también un</w:t>
      </w:r>
      <w:r w:rsidR="00547A62" w:rsidRPr="00165EC6">
        <w:rPr>
          <w:rFonts w:ascii="Cambria" w:eastAsia="Batang" w:hAnsi="Cambria"/>
          <w:sz w:val="20"/>
          <w:szCs w:val="20"/>
          <w:bdr w:val="none" w:sz="0" w:space="0" w:color="auto"/>
          <w:lang w:val="es-CO"/>
        </w:rPr>
        <w:t>a nota periodística</w:t>
      </w:r>
      <w:r w:rsidRPr="00165EC6">
        <w:rPr>
          <w:rFonts w:ascii="Cambria" w:eastAsia="Batang" w:hAnsi="Cambria"/>
          <w:sz w:val="20"/>
          <w:szCs w:val="20"/>
          <w:bdr w:val="none" w:sz="0" w:space="0" w:color="auto"/>
          <w:lang w:val="es-CO"/>
        </w:rPr>
        <w:t xml:space="preserve"> informando de la muerte de una persona en una explosión ocurrida el 29 de marzo de 2007</w:t>
      </w:r>
      <w:r w:rsidR="00547A62" w:rsidRPr="00165EC6">
        <w:rPr>
          <w:rFonts w:ascii="Cambria" w:eastAsia="Batang" w:hAnsi="Cambria"/>
          <w:sz w:val="20"/>
          <w:szCs w:val="20"/>
          <w:bdr w:val="none" w:sz="0" w:space="0" w:color="auto"/>
          <w:lang w:val="es-CO"/>
        </w:rPr>
        <w:t>,</w:t>
      </w:r>
      <w:r w:rsidRPr="00165EC6">
        <w:rPr>
          <w:rFonts w:ascii="Cambria" w:eastAsia="Batang" w:hAnsi="Cambria"/>
          <w:sz w:val="20"/>
          <w:szCs w:val="20"/>
          <w:bdr w:val="none" w:sz="0" w:space="0" w:color="auto"/>
          <w:lang w:val="es-CO"/>
        </w:rPr>
        <w:t xml:space="preserve"> en la municipalidad de Santo Antônio de Jesus, cuando trabajaba en la producción de fuegos artificiales</w:t>
      </w:r>
      <w:r w:rsidRPr="00165EC6">
        <w:rPr>
          <w:rFonts w:ascii="Cambria" w:eastAsia="Batang" w:hAnsi="Cambria"/>
          <w:sz w:val="20"/>
          <w:szCs w:val="20"/>
          <w:bdr w:val="none" w:sz="0" w:space="0" w:color="auto"/>
          <w:vertAlign w:val="superscript"/>
          <w:lang w:val="es-CO"/>
        </w:rPr>
        <w:footnoteReference w:id="35"/>
      </w:r>
      <w:r w:rsidRPr="00165EC6">
        <w:rPr>
          <w:rFonts w:ascii="Cambria" w:eastAsia="Batang" w:hAnsi="Cambria"/>
          <w:sz w:val="20"/>
          <w:szCs w:val="20"/>
          <w:bdr w:val="none" w:sz="0" w:space="0" w:color="auto"/>
          <w:lang w:val="es-CO"/>
        </w:rPr>
        <w:t>.</w:t>
      </w:r>
      <w:r w:rsidR="00547A62" w:rsidRPr="00165EC6">
        <w:rPr>
          <w:rFonts w:ascii="Cambria" w:eastAsia="Batang" w:hAnsi="Cambria"/>
          <w:sz w:val="20"/>
          <w:szCs w:val="20"/>
          <w:bdr w:val="none" w:sz="0" w:space="0" w:color="auto"/>
          <w:lang w:val="es-CO"/>
        </w:rPr>
        <w:t xml:space="preserve"> La nota refiere que el municipio es conocido “por ser un polvorín”.</w:t>
      </w:r>
    </w:p>
    <w:p w:rsidR="00277412" w:rsidRPr="00165EC6" w:rsidRDefault="00277412" w:rsidP="003B61D3">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ind w:firstLine="720"/>
        <w:jc w:val="both"/>
        <w:rPr>
          <w:rFonts w:ascii="Cambria" w:eastAsia="Batang" w:hAnsi="Cambria"/>
          <w:sz w:val="20"/>
          <w:szCs w:val="20"/>
          <w:bdr w:val="none" w:sz="0" w:space="0" w:color="auto"/>
          <w:lang w:val="es-MX"/>
        </w:rPr>
      </w:pPr>
    </w:p>
    <w:p w:rsidR="00277412" w:rsidRPr="00165EC6" w:rsidRDefault="00277412" w:rsidP="003B61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4500"/>
        </w:tabs>
        <w:ind w:left="0"/>
        <w:jc w:val="both"/>
        <w:rPr>
          <w:rFonts w:ascii="Cambria" w:eastAsia="Batang" w:hAnsi="Cambria"/>
          <w:sz w:val="20"/>
          <w:szCs w:val="20"/>
          <w:bdr w:val="none" w:sz="0" w:space="0" w:color="auto"/>
          <w:lang w:val="es-MX"/>
        </w:rPr>
      </w:pPr>
      <w:r w:rsidRPr="00165EC6">
        <w:rPr>
          <w:rFonts w:ascii="Cambria" w:eastAsia="Batang" w:hAnsi="Cambria"/>
          <w:sz w:val="20"/>
          <w:szCs w:val="20"/>
          <w:bdr w:val="none" w:sz="0" w:space="0" w:color="auto"/>
          <w:lang w:val="es-CO"/>
        </w:rPr>
        <w:t>Igualmente</w:t>
      </w:r>
      <w:r w:rsidR="00547A62" w:rsidRPr="00165EC6">
        <w:rPr>
          <w:rFonts w:ascii="Cambria" w:eastAsia="Batang" w:hAnsi="Cambria"/>
          <w:sz w:val="20"/>
          <w:szCs w:val="20"/>
          <w:bdr w:val="none" w:sz="0" w:space="0" w:color="auto"/>
          <w:lang w:val="es-CO"/>
        </w:rPr>
        <w:t>,</w:t>
      </w:r>
      <w:r w:rsidRPr="00165EC6">
        <w:rPr>
          <w:rFonts w:ascii="Cambria" w:eastAsia="Batang" w:hAnsi="Cambria"/>
          <w:sz w:val="20"/>
          <w:szCs w:val="20"/>
          <w:bdr w:val="none" w:sz="0" w:space="0" w:color="auto"/>
          <w:lang w:val="es-CO"/>
        </w:rPr>
        <w:t xml:space="preserve"> la red de televisión brasileña Record produjo y divulgó una serie de reportajes sobre el caso, los días 21 a 23 de marzo de 2007, revelando que en aquella época la familia “Prazeres” continuaba empleando mano de obra de personas pobres en condiciones de gran peligro, además de pagar solamente 50 centavos de reales por cada mil fuegos producidos por las obreras, algunas de ellas niñas</w:t>
      </w:r>
      <w:r w:rsidRPr="00165EC6">
        <w:rPr>
          <w:rFonts w:ascii="Cambria" w:eastAsia="Batang" w:hAnsi="Cambria"/>
          <w:sz w:val="20"/>
          <w:szCs w:val="20"/>
          <w:bdr w:val="none" w:sz="0" w:space="0" w:color="auto"/>
          <w:vertAlign w:val="superscript"/>
          <w:lang w:val="es-CO"/>
        </w:rPr>
        <w:footnoteReference w:id="36"/>
      </w:r>
      <w:r w:rsidRPr="00165EC6">
        <w:rPr>
          <w:rFonts w:ascii="Cambria" w:eastAsia="Batang" w:hAnsi="Cambria"/>
          <w:sz w:val="20"/>
          <w:szCs w:val="20"/>
          <w:bdr w:val="none" w:sz="0" w:space="0" w:color="auto"/>
          <w:lang w:val="es-CO"/>
        </w:rPr>
        <w:t>.</w:t>
      </w:r>
    </w:p>
    <w:p w:rsidR="00277412" w:rsidRPr="00165EC6" w:rsidRDefault="00277412" w:rsidP="003B61D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MX"/>
        </w:rPr>
      </w:pPr>
    </w:p>
    <w:p w:rsidR="00277412" w:rsidRPr="00165EC6" w:rsidRDefault="00277412" w:rsidP="003B61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MX"/>
        </w:rPr>
      </w:pPr>
      <w:r w:rsidRPr="00165EC6">
        <w:rPr>
          <w:rFonts w:ascii="Cambria" w:eastAsia="Batang" w:hAnsi="Cambria"/>
          <w:sz w:val="20"/>
          <w:szCs w:val="20"/>
          <w:bdr w:val="none" w:sz="0" w:space="0" w:color="auto"/>
          <w:lang w:val="es-MX"/>
        </w:rPr>
        <w:t xml:space="preserve">Según información aportada por el Estado, se implementó el </w:t>
      </w:r>
      <w:r w:rsidRPr="00165EC6">
        <w:rPr>
          <w:rFonts w:ascii="Cambria" w:eastAsia="Batang" w:hAnsi="Cambria"/>
          <w:sz w:val="20"/>
          <w:szCs w:val="20"/>
          <w:bdr w:val="none" w:sz="0" w:space="0" w:color="auto"/>
          <w:lang w:val="es-CO"/>
        </w:rPr>
        <w:t>Programa de Erradicación del Trabajo Infantil, que, en 2005, aportaba recursos mensuales de 45 mil reales y asistía a mil niños, niñas y adolescentes de 7 a 15 años, con el objetivo de removerlos del trabajo y ponerlos en la escuela</w:t>
      </w:r>
      <w:r w:rsidRPr="00165EC6">
        <w:rPr>
          <w:rFonts w:ascii="Cambria" w:eastAsia="Batang" w:hAnsi="Cambria"/>
          <w:sz w:val="20"/>
          <w:szCs w:val="20"/>
          <w:bdr w:val="none" w:sz="0" w:space="0" w:color="auto"/>
          <w:vertAlign w:val="superscript"/>
          <w:lang w:val="es-CO"/>
        </w:rPr>
        <w:footnoteReference w:id="37"/>
      </w:r>
      <w:r w:rsidRPr="00165EC6">
        <w:rPr>
          <w:rFonts w:ascii="Cambria" w:eastAsia="Batang" w:hAnsi="Cambria"/>
          <w:sz w:val="20"/>
          <w:szCs w:val="20"/>
          <w:bdr w:val="none" w:sz="0" w:space="0" w:color="auto"/>
          <w:lang w:val="es-CO"/>
        </w:rPr>
        <w:t xml:space="preserve">. La Comisión no tiene información sobre la eficacia o continuidad de dicho Programa. </w:t>
      </w:r>
      <w:r w:rsidR="00591B43" w:rsidRPr="00165EC6">
        <w:rPr>
          <w:rFonts w:ascii="Cambria" w:eastAsia="Batang" w:hAnsi="Cambria"/>
          <w:sz w:val="20"/>
          <w:szCs w:val="20"/>
          <w:bdr w:val="none" w:sz="0" w:space="0" w:color="auto"/>
          <w:lang w:val="es-CO"/>
        </w:rPr>
        <w:t>Tampoco se cuenta con información sobre el impacto del mismo en el municipio en el cual ocurrieron los hechos de este caso.</w:t>
      </w:r>
    </w:p>
    <w:p w:rsidR="00591B43" w:rsidRPr="00165EC6" w:rsidRDefault="00591B43" w:rsidP="003B61D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MX"/>
        </w:rPr>
      </w:pPr>
    </w:p>
    <w:p w:rsidR="00591B43" w:rsidRPr="00165EC6" w:rsidRDefault="00591B43" w:rsidP="003B61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MX"/>
        </w:rPr>
      </w:pPr>
      <w:r w:rsidRPr="00165EC6">
        <w:rPr>
          <w:rFonts w:ascii="Cambria" w:eastAsia="Batang" w:hAnsi="Cambria"/>
          <w:sz w:val="20"/>
          <w:szCs w:val="20"/>
          <w:bdr w:val="none" w:sz="0" w:space="0" w:color="auto"/>
          <w:lang w:val="es-CO"/>
        </w:rPr>
        <w:t xml:space="preserve">En suma, la Comisión no cuenta con información que indique que la situación que dio lugar a los hechos del caso, ha sido erradicada por el Estado de manera integral y efectiva. Los anterior será tomando en cuenta en la sección relevante del presente informe respecto de las recomendaciones. </w:t>
      </w:r>
    </w:p>
    <w:p w:rsidR="00277412" w:rsidRPr="00165EC6" w:rsidRDefault="00277412" w:rsidP="00B96A2C">
      <w:pPr>
        <w:pStyle w:val="Heading2"/>
        <w:numPr>
          <w:ilvl w:val="0"/>
          <w:numId w:val="65"/>
        </w:numPr>
        <w:ind w:left="1440" w:hanging="720"/>
        <w:jc w:val="both"/>
        <w:rPr>
          <w:rFonts w:ascii="Cambria" w:hAnsi="Cambria"/>
          <w:i w:val="0"/>
          <w:sz w:val="20"/>
          <w:szCs w:val="20"/>
          <w:lang w:val="es-ES"/>
        </w:rPr>
      </w:pPr>
      <w:bookmarkStart w:id="14" w:name="_Toc506225829"/>
      <w:r w:rsidRPr="00165EC6">
        <w:rPr>
          <w:rFonts w:ascii="Cambria" w:hAnsi="Cambria"/>
          <w:i w:val="0"/>
          <w:sz w:val="20"/>
          <w:szCs w:val="20"/>
          <w:lang w:val="es-ES"/>
        </w:rPr>
        <w:t>Marco normativo relevante</w:t>
      </w:r>
      <w:r w:rsidR="009C17FA" w:rsidRPr="00165EC6">
        <w:rPr>
          <w:rFonts w:ascii="Cambria" w:hAnsi="Cambria"/>
          <w:i w:val="0"/>
          <w:sz w:val="20"/>
          <w:szCs w:val="20"/>
          <w:lang w:val="es-ES"/>
        </w:rPr>
        <w:t>.</w:t>
      </w:r>
      <w:bookmarkEnd w:id="14"/>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b/>
          <w:bCs/>
          <w:sz w:val="20"/>
          <w:szCs w:val="20"/>
          <w:bdr w:val="none" w:sz="0" w:space="0" w:color="auto"/>
          <w:lang w:val="es-AR"/>
        </w:rPr>
      </w:pPr>
    </w:p>
    <w:p w:rsidR="00277412" w:rsidRPr="00165EC6" w:rsidRDefault="00277412" w:rsidP="003B61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MX"/>
        </w:rPr>
      </w:pPr>
      <w:r w:rsidRPr="00165EC6">
        <w:rPr>
          <w:rFonts w:ascii="Cambria" w:eastAsia="Batang" w:hAnsi="Cambria"/>
          <w:sz w:val="20"/>
          <w:szCs w:val="20"/>
          <w:bdr w:val="none" w:sz="0" w:space="0" w:color="auto"/>
          <w:lang w:val="es-MX"/>
        </w:rPr>
        <w:t>La Constitución de la República Federativa de Brasil, promulgada en 1988</w:t>
      </w:r>
      <w:r w:rsidRPr="00165EC6">
        <w:rPr>
          <w:rFonts w:ascii="Cambria" w:eastAsia="Batang" w:hAnsi="Cambria"/>
          <w:sz w:val="20"/>
          <w:szCs w:val="20"/>
          <w:bdr w:val="none" w:sz="0" w:space="0" w:color="auto"/>
          <w:vertAlign w:val="superscript"/>
          <w:lang w:val="es-MX"/>
        </w:rPr>
        <w:footnoteReference w:id="38"/>
      </w:r>
      <w:r w:rsidRPr="00165EC6">
        <w:rPr>
          <w:rFonts w:ascii="Cambria" w:eastAsia="Batang" w:hAnsi="Cambria"/>
          <w:sz w:val="20"/>
          <w:szCs w:val="20"/>
          <w:bdr w:val="none" w:sz="0" w:space="0" w:color="auto"/>
          <w:lang w:val="es-MX"/>
        </w:rPr>
        <w:t xml:space="preserve">, establece, en lo pertinente: </w:t>
      </w: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MX"/>
        </w:rPr>
      </w:pP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Batang" w:hAnsi="Cambria"/>
          <w:sz w:val="20"/>
          <w:szCs w:val="20"/>
          <w:bdr w:val="none" w:sz="0" w:space="0" w:color="auto"/>
          <w:lang w:val="es-UY"/>
        </w:rPr>
      </w:pPr>
      <w:r w:rsidRPr="00165EC6">
        <w:rPr>
          <w:rFonts w:ascii="Cambria" w:eastAsia="Batang" w:hAnsi="Cambria"/>
          <w:sz w:val="20"/>
          <w:szCs w:val="20"/>
          <w:bdr w:val="none" w:sz="0" w:space="0" w:color="auto"/>
          <w:lang w:val="es-UY"/>
        </w:rPr>
        <w:t>Art. 6. Son derechos sociales la educación, la salud, el trabajo, el descanso, la seguridad, la previsión social, la proyección de la maternidad.</w:t>
      </w: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Batang" w:hAnsi="Cambria"/>
          <w:sz w:val="20"/>
          <w:szCs w:val="20"/>
          <w:bdr w:val="none" w:sz="0" w:space="0" w:color="auto"/>
          <w:lang w:val="es-UY"/>
        </w:rPr>
      </w:pP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Batang" w:hAnsi="Cambria"/>
          <w:sz w:val="20"/>
          <w:szCs w:val="20"/>
          <w:bdr w:val="none" w:sz="0" w:space="0" w:color="auto"/>
          <w:lang w:val="es-MX"/>
        </w:rPr>
      </w:pPr>
      <w:r w:rsidRPr="00165EC6">
        <w:rPr>
          <w:rFonts w:ascii="Cambria" w:eastAsia="Batang" w:hAnsi="Cambria"/>
          <w:sz w:val="20"/>
          <w:szCs w:val="20"/>
          <w:bdr w:val="none" w:sz="0" w:space="0" w:color="auto"/>
          <w:lang w:val="es-UY"/>
        </w:rPr>
        <w:t>Art. 7. Son derechos de los trabajadores urbanos y rurales,[…] 22. la reducción de riesgos inherentes al trabajo, por medio de normas de salud, higiene y seguridad; […] 33. la prohibición del trabajo nocturno, peligroso o insalubre a los menores de dieciocho años y de cualquier trabajo a las menores de catorce, salvo en condición de aprendiz […]</w:t>
      </w:r>
      <w:r w:rsidRPr="00165EC6">
        <w:rPr>
          <w:rFonts w:ascii="Cambria" w:eastAsia="Batang" w:hAnsi="Cambria"/>
          <w:sz w:val="20"/>
          <w:szCs w:val="20"/>
          <w:bdr w:val="none" w:sz="0" w:space="0" w:color="auto"/>
          <w:vertAlign w:val="superscript"/>
          <w:lang w:val="es-UY"/>
        </w:rPr>
        <w:footnoteReference w:id="39"/>
      </w:r>
      <w:r w:rsidRPr="00165EC6">
        <w:rPr>
          <w:rFonts w:ascii="Cambria" w:eastAsia="Batang" w:hAnsi="Cambria"/>
          <w:sz w:val="20"/>
          <w:szCs w:val="20"/>
          <w:bdr w:val="none" w:sz="0" w:space="0" w:color="auto"/>
          <w:lang w:val="es-UY"/>
        </w:rPr>
        <w:t>.</w:t>
      </w: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CO"/>
        </w:rPr>
      </w:pPr>
    </w:p>
    <w:p w:rsidR="00277412" w:rsidRPr="00165EC6" w:rsidRDefault="00277412" w:rsidP="003B61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CO"/>
        </w:rPr>
      </w:pPr>
      <w:r w:rsidRPr="00165EC6">
        <w:rPr>
          <w:rFonts w:ascii="Cambria" w:eastAsia="Batang" w:hAnsi="Cambria" w:cs="Arial"/>
          <w:sz w:val="20"/>
          <w:szCs w:val="20"/>
          <w:bdr w:val="none" w:sz="0" w:space="0" w:color="auto"/>
          <w:lang w:val="es-AR"/>
        </w:rPr>
        <w:t xml:space="preserve">El Decreto </w:t>
      </w:r>
      <w:r w:rsidRPr="00165EC6">
        <w:rPr>
          <w:rFonts w:ascii="Cambria" w:eastAsia="Batang" w:hAnsi="Cambria"/>
          <w:sz w:val="20"/>
          <w:szCs w:val="20"/>
          <w:bdr w:val="none" w:sz="0" w:space="0" w:color="auto"/>
          <w:lang w:val="es-CO"/>
        </w:rPr>
        <w:t>número 55</w:t>
      </w:r>
      <w:r w:rsidR="00275229" w:rsidRPr="00165EC6">
        <w:rPr>
          <w:rFonts w:ascii="Cambria" w:eastAsia="Batang" w:hAnsi="Cambria"/>
          <w:sz w:val="20"/>
          <w:szCs w:val="20"/>
          <w:bdr w:val="none" w:sz="0" w:space="0" w:color="auto"/>
          <w:lang w:val="es-CO"/>
        </w:rPr>
        <w:t>.</w:t>
      </w:r>
      <w:r w:rsidRPr="00165EC6">
        <w:rPr>
          <w:rFonts w:ascii="Cambria" w:eastAsia="Batang" w:hAnsi="Cambria"/>
          <w:sz w:val="20"/>
          <w:szCs w:val="20"/>
          <w:bdr w:val="none" w:sz="0" w:space="0" w:color="auto"/>
          <w:lang w:val="es-CO"/>
        </w:rPr>
        <w:t>649 de 28 de enero de 1965</w:t>
      </w:r>
      <w:r w:rsidRPr="00165EC6">
        <w:rPr>
          <w:rFonts w:ascii="Cambria" w:eastAsia="Batang" w:hAnsi="Cambria"/>
          <w:sz w:val="20"/>
          <w:szCs w:val="20"/>
          <w:bdr w:val="none" w:sz="0" w:space="0" w:color="auto"/>
          <w:vertAlign w:val="superscript"/>
          <w:lang w:val="es-CO"/>
        </w:rPr>
        <w:footnoteReference w:id="40"/>
      </w:r>
      <w:r w:rsidRPr="00165EC6">
        <w:rPr>
          <w:rFonts w:ascii="Cambria" w:eastAsia="Batang" w:hAnsi="Cambria"/>
          <w:sz w:val="20"/>
          <w:szCs w:val="20"/>
          <w:bdr w:val="none" w:sz="0" w:space="0" w:color="auto"/>
          <w:lang w:val="es-CO"/>
        </w:rPr>
        <w:t>,</w:t>
      </w:r>
      <w:r w:rsidR="00591B43" w:rsidRPr="00165EC6">
        <w:rPr>
          <w:rFonts w:ascii="Cambria" w:eastAsia="Batang" w:hAnsi="Cambria"/>
          <w:sz w:val="20"/>
          <w:szCs w:val="20"/>
          <w:bdr w:val="none" w:sz="0" w:space="0" w:color="auto"/>
          <w:lang w:val="es-CO"/>
        </w:rPr>
        <w:t xml:space="preserve"> </w:t>
      </w:r>
      <w:r w:rsidRPr="00165EC6">
        <w:rPr>
          <w:rFonts w:ascii="Cambria" w:eastAsia="Batang" w:hAnsi="Cambria"/>
          <w:sz w:val="20"/>
          <w:szCs w:val="20"/>
          <w:bdr w:val="none" w:sz="0" w:space="0" w:color="auto"/>
          <w:lang w:val="es-CO"/>
        </w:rPr>
        <w:t xml:space="preserve">vigente a la fecha de los hechos, establecía que: </w:t>
      </w: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Batang" w:hAnsi="Cambria"/>
          <w:sz w:val="20"/>
          <w:szCs w:val="20"/>
          <w:bdr w:val="none" w:sz="0" w:space="0" w:color="auto"/>
          <w:lang w:val="es-CO"/>
        </w:rPr>
      </w:pP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720"/>
        <w:jc w:val="both"/>
        <w:rPr>
          <w:rFonts w:ascii="Cambria" w:eastAsia="Times New Roman" w:hAnsi="Cambria" w:cs="Courier New"/>
          <w:sz w:val="20"/>
          <w:szCs w:val="20"/>
          <w:bdr w:val="none" w:sz="0" w:space="0" w:color="auto"/>
          <w:lang w:val="es-ES"/>
        </w:rPr>
      </w:pPr>
      <w:r w:rsidRPr="00165EC6">
        <w:rPr>
          <w:rFonts w:ascii="Cambria" w:eastAsia="Times New Roman" w:hAnsi="Cambria" w:cs="Courier New"/>
          <w:sz w:val="20"/>
          <w:szCs w:val="20"/>
          <w:bdr w:val="none" w:sz="0" w:space="0" w:color="auto"/>
          <w:lang w:val="es-ES"/>
        </w:rPr>
        <w:t>Art. 11. El Ministerio de Guerra es competente para autorizar la producción y supervisar el comercio de productos controlados al que se refiere el presente Reglamento […].</w:t>
      </w: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720"/>
        <w:jc w:val="both"/>
        <w:rPr>
          <w:rFonts w:ascii="Cambria" w:eastAsia="Times New Roman" w:hAnsi="Cambria" w:cs="Courier New"/>
          <w:sz w:val="20"/>
          <w:szCs w:val="20"/>
          <w:bdr w:val="none" w:sz="0" w:space="0" w:color="auto"/>
          <w:lang w:val="es-ES"/>
        </w:rPr>
      </w:pP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720"/>
        <w:jc w:val="both"/>
        <w:rPr>
          <w:rFonts w:ascii="Cambria" w:eastAsia="Batang" w:hAnsi="Cambria"/>
          <w:sz w:val="20"/>
          <w:szCs w:val="20"/>
          <w:bdr w:val="none" w:sz="0" w:space="0" w:color="auto"/>
          <w:lang w:val="es-ES"/>
        </w:rPr>
      </w:pPr>
      <w:r w:rsidRPr="00165EC6">
        <w:rPr>
          <w:rFonts w:ascii="Cambria" w:eastAsia="Times New Roman" w:hAnsi="Cambria" w:cs="Courier New"/>
          <w:sz w:val="20"/>
          <w:szCs w:val="20"/>
          <w:bdr w:val="none" w:sz="0" w:space="0" w:color="auto"/>
          <w:lang w:val="es-ES"/>
        </w:rPr>
        <w:t xml:space="preserve">Art 21. Son competencia exclusiva del Ministerio de Guerra: a) decidir sobre los productos que han de considerarse como controlados; b) decidir sobre las empresas de registro civil que tienen por finalidad la fabricación, la recuperación, mantenimiento, industriales, manipulación, exportación, importación, almacenamiento y comercio de productos </w:t>
      </w:r>
      <w:r w:rsidRPr="00165EC6">
        <w:rPr>
          <w:rFonts w:ascii="Cambria" w:eastAsia="Times New Roman" w:hAnsi="Cambria" w:cs="Courier New"/>
          <w:sz w:val="20"/>
          <w:szCs w:val="20"/>
          <w:bdr w:val="none" w:sz="0" w:space="0" w:color="auto"/>
          <w:lang w:val="es-ES"/>
        </w:rPr>
        <w:lastRenderedPageBreak/>
        <w:t xml:space="preserve">controlados, incluyendo talleres de pirotecnia; </w:t>
      </w:r>
      <w:r w:rsidRPr="00165EC6">
        <w:rPr>
          <w:rFonts w:ascii="Cambria" w:eastAsia="Times New Roman" w:hAnsi="Cambria"/>
          <w:sz w:val="20"/>
          <w:szCs w:val="20"/>
          <w:bdr w:val="none" w:sz="0" w:space="0" w:color="auto"/>
          <w:lang w:val="es-ES"/>
        </w:rPr>
        <w:t xml:space="preserve">c) decidir sobre la cancelación de registros otorgados cuando no cumple con los requisitos legales y reglamentarios, o aplicar las sanciones establecidas en el capítulo del presente documento; </w:t>
      </w:r>
      <w:r w:rsidRPr="00165EC6">
        <w:rPr>
          <w:rFonts w:ascii="Cambria" w:eastAsia="Times New Roman" w:hAnsi="Cambria" w:cs="Arial"/>
          <w:sz w:val="20"/>
          <w:szCs w:val="20"/>
          <w:bdr w:val="none" w:sz="0" w:space="0" w:color="auto"/>
          <w:lang w:val="es-CO"/>
        </w:rPr>
        <w:t xml:space="preserve">[…] </w:t>
      </w:r>
      <w:r w:rsidRPr="00165EC6">
        <w:rPr>
          <w:rFonts w:ascii="Cambria" w:eastAsia="Batang" w:hAnsi="Cambria"/>
          <w:sz w:val="20"/>
          <w:szCs w:val="20"/>
          <w:bdr w:val="none" w:sz="0" w:space="0" w:color="auto"/>
          <w:lang w:val="es-ES"/>
        </w:rPr>
        <w:t>g) inspeccionar la fabricación, recuperación, utilización industrial, manipulación, exportación, importación, despacho de aduanas, almacenamiento, el comercio y el tráfico de productos controlados.</w:t>
      </w: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720"/>
        <w:jc w:val="both"/>
        <w:rPr>
          <w:rFonts w:ascii="Cambria" w:eastAsia="Times New Roman" w:hAnsi="Cambria" w:cs="Courier New"/>
          <w:sz w:val="20"/>
          <w:szCs w:val="20"/>
          <w:bdr w:val="none" w:sz="0" w:space="0" w:color="auto"/>
          <w:lang w:val="es-ES"/>
        </w:rPr>
      </w:pP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720"/>
        <w:jc w:val="both"/>
        <w:rPr>
          <w:rFonts w:ascii="Cambria" w:eastAsia="Times New Roman" w:hAnsi="Cambria" w:cs="Arial"/>
          <w:sz w:val="20"/>
          <w:szCs w:val="20"/>
          <w:bdr w:val="none" w:sz="0" w:space="0" w:color="auto"/>
          <w:lang w:val="es-CO"/>
        </w:rPr>
      </w:pPr>
      <w:r w:rsidRPr="00165EC6">
        <w:rPr>
          <w:rFonts w:ascii="Cambria" w:eastAsia="Times New Roman" w:hAnsi="Cambria" w:cs="Courier New"/>
          <w:sz w:val="20"/>
          <w:szCs w:val="20"/>
          <w:bdr w:val="none" w:sz="0" w:space="0" w:color="auto"/>
          <w:lang w:val="es-ES"/>
        </w:rPr>
        <w:t xml:space="preserve">Art. 23. A cada región militar, a través de su Supervisión de Servicios de Importación, almacenamiento y tráfico de Productos Controlados (SFIDT / Regional), corresponde: a) </w:t>
      </w:r>
      <w:r w:rsidR="00275229" w:rsidRPr="00165EC6">
        <w:rPr>
          <w:rFonts w:ascii="Cambria" w:eastAsia="Times New Roman" w:hAnsi="Cambria" w:cs="Courier New"/>
          <w:sz w:val="20"/>
          <w:szCs w:val="20"/>
          <w:bdr w:val="none" w:sz="0" w:space="0" w:color="auto"/>
          <w:lang w:val="es-ES"/>
        </w:rPr>
        <w:t>abrir</w:t>
      </w:r>
      <w:r w:rsidRPr="00165EC6">
        <w:rPr>
          <w:rFonts w:ascii="Cambria" w:eastAsia="Times New Roman" w:hAnsi="Cambria" w:cs="Courier New"/>
          <w:sz w:val="20"/>
          <w:szCs w:val="20"/>
          <w:bdr w:val="none" w:sz="0" w:space="0" w:color="auto"/>
          <w:lang w:val="es-ES"/>
        </w:rPr>
        <w:t xml:space="preserve"> el registro de empresas prevista en el art. 10, que se estableció en el territorio de la Región Militar respectivo; b) realizar la supervisión establecido en este Reglamento en el área territorial de su jurisdicción y las análisis previstas en el art. 28; c) preparar los documentos iniciales necesarios para la inscripción del título de fábricas de productos sometidos a control, la organización del proceso correspondiente y enviarlo, informó a la DPO; </w:t>
      </w:r>
      <w:r w:rsidRPr="00165EC6">
        <w:rPr>
          <w:rFonts w:ascii="Cambria" w:eastAsia="Times New Roman" w:hAnsi="Cambria"/>
          <w:sz w:val="20"/>
          <w:szCs w:val="20"/>
          <w:bdr w:val="none" w:sz="0" w:space="0" w:color="auto"/>
          <w:lang w:val="es-ES"/>
        </w:rPr>
        <w:t>d) realizar las inspecciones necesarias en los establecimientos de las empresas en el área de su jurisdicción […]</w:t>
      </w:r>
      <w:r w:rsidRPr="00165EC6">
        <w:rPr>
          <w:rFonts w:ascii="Cambria" w:eastAsia="Times New Roman" w:hAnsi="Cambria"/>
          <w:sz w:val="20"/>
          <w:szCs w:val="20"/>
          <w:bdr w:val="none" w:sz="0" w:space="0" w:color="auto"/>
          <w:vertAlign w:val="superscript"/>
          <w:lang w:val="es-ES"/>
        </w:rPr>
        <w:footnoteReference w:id="41"/>
      </w:r>
      <w:r w:rsidRPr="00165EC6">
        <w:rPr>
          <w:rFonts w:ascii="Cambria" w:eastAsia="Times New Roman" w:hAnsi="Cambria"/>
          <w:sz w:val="20"/>
          <w:szCs w:val="20"/>
          <w:bdr w:val="none" w:sz="0" w:space="0" w:color="auto"/>
          <w:lang w:val="es-ES"/>
        </w:rPr>
        <w:t>.</w:t>
      </w: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Arial"/>
          <w:sz w:val="20"/>
          <w:szCs w:val="20"/>
          <w:bdr w:val="none" w:sz="0" w:space="0" w:color="auto"/>
          <w:lang w:val="es-CO"/>
        </w:rPr>
      </w:pPr>
    </w:p>
    <w:p w:rsidR="00277412" w:rsidRPr="00165EC6" w:rsidRDefault="00277412" w:rsidP="003B61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cs="Segoe UI"/>
          <w:sz w:val="20"/>
          <w:szCs w:val="20"/>
          <w:bdr w:val="none" w:sz="0" w:space="0" w:color="auto"/>
          <w:lang w:val="es-CO"/>
        </w:rPr>
      </w:pPr>
      <w:r w:rsidRPr="00165EC6">
        <w:rPr>
          <w:rFonts w:ascii="Cambria" w:eastAsia="Batang" w:hAnsi="Cambria" w:cs="Segoe UI"/>
          <w:sz w:val="20"/>
          <w:szCs w:val="20"/>
          <w:bdr w:val="none" w:sz="0" w:space="0" w:color="auto"/>
          <w:lang w:val="es-CO"/>
        </w:rPr>
        <w:t>El artículo 193 de la Consolidación de las Leyes Labora</w:t>
      </w:r>
      <w:r w:rsidR="00300016" w:rsidRPr="00165EC6">
        <w:rPr>
          <w:rFonts w:ascii="Cambria" w:eastAsia="Batang" w:hAnsi="Cambria" w:cs="Segoe UI"/>
          <w:sz w:val="20"/>
          <w:szCs w:val="20"/>
          <w:bdr w:val="none" w:sz="0" w:space="0" w:color="auto"/>
          <w:lang w:val="es-CO"/>
        </w:rPr>
        <w:t>l</w:t>
      </w:r>
      <w:r w:rsidRPr="00165EC6">
        <w:rPr>
          <w:rFonts w:ascii="Cambria" w:eastAsia="Batang" w:hAnsi="Cambria" w:cs="Segoe UI"/>
          <w:sz w:val="20"/>
          <w:szCs w:val="20"/>
          <w:bdr w:val="none" w:sz="0" w:space="0" w:color="auto"/>
          <w:lang w:val="es-CO"/>
        </w:rPr>
        <w:t>es de Brasil, vigente al tiempo de los hechos, señalaba que eran consideradas actividades u operaciones peligrosas, de acuerdo con la reglamentación aprobada por el Ministerio del Trabajo, aquellas que implicaran el contacto permanente con explosivos en condición de riesgo acentuado. Asimismo, el artículo 405 disponía que “al menor no le será permitido el trabajo: I- en locales o servicios peligrosos o insalubres […]</w:t>
      </w:r>
      <w:r w:rsidRPr="00165EC6">
        <w:rPr>
          <w:rFonts w:ascii="Cambria" w:eastAsia="Batang" w:hAnsi="Cambria" w:cs="Segoe UI"/>
          <w:sz w:val="20"/>
          <w:szCs w:val="20"/>
          <w:bdr w:val="none" w:sz="0" w:space="0" w:color="auto"/>
          <w:vertAlign w:val="superscript"/>
          <w:lang w:val="es-CO"/>
        </w:rPr>
        <w:footnoteReference w:id="42"/>
      </w:r>
      <w:r w:rsidRPr="00165EC6">
        <w:rPr>
          <w:rFonts w:ascii="Cambria" w:eastAsia="Batang" w:hAnsi="Cambria" w:cs="Segoe UI"/>
          <w:sz w:val="20"/>
          <w:szCs w:val="20"/>
          <w:bdr w:val="none" w:sz="0" w:space="0" w:color="auto"/>
          <w:lang w:val="es-CO"/>
        </w:rPr>
        <w:t>.</w:t>
      </w:r>
    </w:p>
    <w:p w:rsidR="00277412" w:rsidRPr="00165EC6" w:rsidRDefault="00277412" w:rsidP="003B61D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cs="Segoe UI"/>
          <w:sz w:val="20"/>
          <w:szCs w:val="20"/>
          <w:bdr w:val="none" w:sz="0" w:space="0" w:color="auto"/>
          <w:lang w:val="es-CO"/>
        </w:rPr>
      </w:pPr>
    </w:p>
    <w:p w:rsidR="00277412" w:rsidRPr="00165EC6" w:rsidRDefault="00277412" w:rsidP="003B61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cs="Segoe UI"/>
          <w:sz w:val="20"/>
          <w:szCs w:val="20"/>
          <w:bdr w:val="none" w:sz="0" w:space="0" w:color="auto"/>
          <w:lang w:val="es-CO"/>
        </w:rPr>
      </w:pPr>
      <w:r w:rsidRPr="00165EC6">
        <w:rPr>
          <w:rFonts w:ascii="Cambria" w:eastAsia="Batang" w:hAnsi="Cambria" w:cs="Segoe UI"/>
          <w:sz w:val="20"/>
          <w:szCs w:val="20"/>
          <w:bdr w:val="none" w:sz="0" w:space="0" w:color="auto"/>
          <w:lang w:val="es-CO"/>
        </w:rPr>
        <w:t xml:space="preserve">La reglamentación de las condiciones de peligrosidad fue hecha por medio del Decreto número 3.214/1978, que contiene la Norma Regulatoria (NR) 16. Dicha norma </w:t>
      </w:r>
      <w:r w:rsidR="0004360D" w:rsidRPr="00165EC6">
        <w:rPr>
          <w:rFonts w:ascii="Cambria" w:eastAsia="Batang" w:hAnsi="Cambria" w:cs="Segoe UI"/>
          <w:sz w:val="20"/>
          <w:szCs w:val="20"/>
          <w:bdr w:val="none" w:sz="0" w:space="0" w:color="auto"/>
          <w:lang w:val="es-CO"/>
        </w:rPr>
        <w:t>definió las actividades peligrosas;</w:t>
      </w:r>
      <w:r w:rsidRPr="00165EC6">
        <w:rPr>
          <w:rFonts w:ascii="Cambria" w:eastAsia="Batang" w:hAnsi="Cambria" w:cs="Segoe UI"/>
          <w:sz w:val="20"/>
          <w:szCs w:val="20"/>
          <w:bdr w:val="none" w:sz="0" w:space="0" w:color="auto"/>
          <w:lang w:val="es-CO"/>
        </w:rPr>
        <w:t xml:space="preserve"> entre </w:t>
      </w:r>
      <w:r w:rsidR="0004360D" w:rsidRPr="00165EC6">
        <w:rPr>
          <w:rFonts w:ascii="Cambria" w:eastAsia="Batang" w:hAnsi="Cambria" w:cs="Segoe UI"/>
          <w:sz w:val="20"/>
          <w:szCs w:val="20"/>
          <w:bdr w:val="none" w:sz="0" w:space="0" w:color="auto"/>
          <w:lang w:val="es-CO"/>
        </w:rPr>
        <w:t>ellas,</w:t>
      </w:r>
      <w:r w:rsidRPr="00165EC6">
        <w:rPr>
          <w:rFonts w:ascii="Cambria" w:eastAsia="Batang" w:hAnsi="Cambria" w:cs="Segoe UI"/>
          <w:sz w:val="20"/>
          <w:szCs w:val="20"/>
          <w:bdr w:val="none" w:sz="0" w:space="0" w:color="auto"/>
          <w:lang w:val="es-CO"/>
        </w:rPr>
        <w:t xml:space="preserve"> el almacenamiento de explosivos y las operaciones de manipulación de explosivos</w:t>
      </w:r>
      <w:r w:rsidRPr="00165EC6">
        <w:rPr>
          <w:rFonts w:ascii="Cambria" w:eastAsia="Batang" w:hAnsi="Cambria" w:cs="Segoe UI"/>
          <w:sz w:val="20"/>
          <w:szCs w:val="20"/>
          <w:bdr w:val="none" w:sz="0" w:space="0" w:color="auto"/>
          <w:vertAlign w:val="superscript"/>
          <w:lang w:val="es-CO"/>
        </w:rPr>
        <w:footnoteReference w:id="43"/>
      </w:r>
      <w:r w:rsidRPr="00165EC6">
        <w:rPr>
          <w:rFonts w:ascii="Cambria" w:eastAsia="Batang" w:hAnsi="Cambria" w:cs="Segoe UI"/>
          <w:sz w:val="20"/>
          <w:szCs w:val="20"/>
          <w:bdr w:val="none" w:sz="0" w:space="0" w:color="auto"/>
          <w:lang w:val="es-CO"/>
        </w:rPr>
        <w:t>.</w:t>
      </w:r>
    </w:p>
    <w:p w:rsidR="00277412" w:rsidRPr="00165EC6" w:rsidRDefault="00277412" w:rsidP="00B96A2C">
      <w:pPr>
        <w:pStyle w:val="Heading2"/>
        <w:numPr>
          <w:ilvl w:val="0"/>
          <w:numId w:val="65"/>
        </w:numPr>
        <w:ind w:left="1440" w:hanging="720"/>
        <w:jc w:val="both"/>
        <w:rPr>
          <w:rFonts w:ascii="Cambria" w:hAnsi="Cambria"/>
          <w:i w:val="0"/>
          <w:sz w:val="20"/>
          <w:szCs w:val="20"/>
          <w:lang w:val="pt-BR"/>
        </w:rPr>
      </w:pPr>
      <w:bookmarkStart w:id="15" w:name="_Toc506225830"/>
      <w:r w:rsidRPr="00165EC6">
        <w:rPr>
          <w:rFonts w:ascii="Cambria" w:hAnsi="Cambria"/>
          <w:i w:val="0"/>
          <w:sz w:val="20"/>
          <w:szCs w:val="20"/>
          <w:lang w:val="pt-BR"/>
        </w:rPr>
        <w:t>Procesos internos</w:t>
      </w:r>
      <w:r w:rsidR="009C17FA" w:rsidRPr="00165EC6">
        <w:rPr>
          <w:rFonts w:ascii="Cambria" w:hAnsi="Cambria"/>
          <w:i w:val="0"/>
          <w:sz w:val="20"/>
          <w:szCs w:val="20"/>
          <w:lang w:val="pt-BR"/>
        </w:rPr>
        <w:t>.</w:t>
      </w:r>
      <w:bookmarkEnd w:id="15"/>
      <w:r w:rsidRPr="00165EC6">
        <w:rPr>
          <w:rFonts w:ascii="Cambria" w:hAnsi="Cambria"/>
          <w:i w:val="0"/>
          <w:sz w:val="20"/>
          <w:szCs w:val="20"/>
          <w:lang w:val="pt-BR"/>
        </w:rPr>
        <w:t xml:space="preserve"> </w:t>
      </w:r>
    </w:p>
    <w:p w:rsidR="00277412" w:rsidRPr="00165EC6" w:rsidRDefault="00277412" w:rsidP="00B96A2C">
      <w:pPr>
        <w:pStyle w:val="Heading3"/>
        <w:numPr>
          <w:ilvl w:val="2"/>
          <w:numId w:val="55"/>
        </w:numPr>
        <w:tabs>
          <w:tab w:val="clear" w:pos="2160"/>
          <w:tab w:val="num" w:pos="1440"/>
        </w:tabs>
        <w:ind w:hanging="1440"/>
        <w:rPr>
          <w:rFonts w:asciiTheme="majorHAnsi" w:hAnsiTheme="majorHAnsi"/>
          <w:sz w:val="20"/>
          <w:szCs w:val="20"/>
          <w:lang w:val="pt-BR"/>
        </w:rPr>
      </w:pPr>
      <w:bookmarkStart w:id="16" w:name="_Toc506225831"/>
      <w:r w:rsidRPr="00165EC6">
        <w:rPr>
          <w:rFonts w:asciiTheme="majorHAnsi" w:hAnsiTheme="majorHAnsi"/>
          <w:sz w:val="20"/>
          <w:szCs w:val="20"/>
          <w:lang w:val="pt-BR"/>
        </w:rPr>
        <w:t>Penal</w:t>
      </w:r>
      <w:r w:rsidR="009C17FA" w:rsidRPr="00165EC6">
        <w:rPr>
          <w:rFonts w:asciiTheme="majorHAnsi" w:hAnsiTheme="majorHAnsi"/>
          <w:sz w:val="20"/>
          <w:szCs w:val="20"/>
          <w:lang w:val="pt-BR"/>
        </w:rPr>
        <w:t>.</w:t>
      </w:r>
      <w:bookmarkEnd w:id="16"/>
      <w:r w:rsidRPr="00165EC6">
        <w:rPr>
          <w:rFonts w:asciiTheme="majorHAnsi" w:hAnsiTheme="majorHAnsi"/>
          <w:sz w:val="20"/>
          <w:szCs w:val="20"/>
          <w:lang w:val="pt-BR"/>
        </w:rPr>
        <w:t xml:space="preserve"> </w:t>
      </w: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b/>
          <w:sz w:val="20"/>
          <w:szCs w:val="20"/>
          <w:bdr w:val="none" w:sz="0" w:space="0" w:color="auto"/>
          <w:lang w:val="pt-BR"/>
        </w:rPr>
      </w:pPr>
    </w:p>
    <w:p w:rsidR="00277412" w:rsidRPr="00165EC6" w:rsidRDefault="00277412" w:rsidP="009C17FA">
      <w:pPr>
        <w:keepNext/>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2"/>
        <w:rPr>
          <w:rFonts w:asciiTheme="majorHAnsi" w:eastAsia="Times New Roman" w:hAnsiTheme="majorHAnsi" w:cs="Arial"/>
          <w:b/>
          <w:bCs/>
          <w:sz w:val="20"/>
          <w:szCs w:val="20"/>
          <w:bdr w:val="none" w:sz="0" w:space="0" w:color="auto"/>
          <w:lang w:val="pt-BR"/>
        </w:rPr>
      </w:pPr>
      <w:bookmarkStart w:id="17" w:name="_Toc506225832"/>
      <w:r w:rsidRPr="00165EC6">
        <w:rPr>
          <w:rFonts w:asciiTheme="majorHAnsi" w:eastAsia="Times New Roman" w:hAnsiTheme="majorHAnsi" w:cs="Arial"/>
          <w:b/>
          <w:bCs/>
          <w:sz w:val="20"/>
          <w:szCs w:val="20"/>
          <w:bdr w:val="none" w:sz="0" w:space="0" w:color="auto"/>
          <w:lang w:val="pt-BR"/>
        </w:rPr>
        <w:t>Causa penal contra los acusados Mário Fróes Prazeres Bastos, Osvaldo Prazeres Bastos, Ana Cláudia Almeida Reis Bastos, Helenice Fróes Bastos Lírio, Adriana Fróes Bastos de Cerqueira, Berenice Prazeres Bastos da Silva, Elísio de Santana Brit</w:t>
      </w:r>
      <w:r w:rsidR="00A1305E" w:rsidRPr="00165EC6">
        <w:rPr>
          <w:rFonts w:asciiTheme="majorHAnsi" w:eastAsia="Times New Roman" w:hAnsiTheme="majorHAnsi" w:cs="Arial"/>
          <w:b/>
          <w:bCs/>
          <w:sz w:val="20"/>
          <w:szCs w:val="20"/>
          <w:bdr w:val="none" w:sz="0" w:space="0" w:color="auto"/>
          <w:lang w:val="pt-BR"/>
        </w:rPr>
        <w:t>o y Raimundo da Conceição Alves</w:t>
      </w:r>
      <w:r w:rsidR="009C17FA" w:rsidRPr="00165EC6">
        <w:rPr>
          <w:rFonts w:asciiTheme="majorHAnsi" w:eastAsia="Times New Roman" w:hAnsiTheme="majorHAnsi" w:cs="Arial"/>
          <w:b/>
          <w:bCs/>
          <w:sz w:val="20"/>
          <w:szCs w:val="20"/>
          <w:bdr w:val="none" w:sz="0" w:space="0" w:color="auto"/>
          <w:lang w:val="pt-BR"/>
        </w:rPr>
        <w:t>.</w:t>
      </w:r>
      <w:bookmarkEnd w:id="17"/>
      <w:r w:rsidRPr="00165EC6">
        <w:rPr>
          <w:rFonts w:asciiTheme="majorHAnsi" w:eastAsia="Times New Roman" w:hAnsiTheme="majorHAnsi" w:cs="Arial"/>
          <w:b/>
          <w:bCs/>
          <w:sz w:val="20"/>
          <w:szCs w:val="20"/>
          <w:bdr w:val="none" w:sz="0" w:space="0" w:color="auto"/>
          <w:lang w:val="pt-BR"/>
        </w:rPr>
        <w:t xml:space="preserve"> </w:t>
      </w: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pt-BR"/>
        </w:rPr>
      </w:pPr>
    </w:p>
    <w:p w:rsidR="00277412" w:rsidRPr="00165EC6" w:rsidRDefault="00277412" w:rsidP="003B61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AR"/>
        </w:rPr>
      </w:pPr>
      <w:r w:rsidRPr="00165EC6">
        <w:rPr>
          <w:rFonts w:ascii="Cambria" w:eastAsia="Batang" w:hAnsi="Cambria"/>
          <w:sz w:val="20"/>
          <w:szCs w:val="20"/>
          <w:bdr w:val="none" w:sz="0" w:space="0" w:color="auto"/>
          <w:lang w:val="es-MX"/>
        </w:rPr>
        <w:t xml:space="preserve">Tras la explosión del 11 de diciembre de 1998, se inició </w:t>
      </w:r>
      <w:r w:rsidR="00276E52" w:rsidRPr="00165EC6">
        <w:rPr>
          <w:rFonts w:ascii="Cambria" w:eastAsia="Batang" w:hAnsi="Cambria"/>
          <w:sz w:val="20"/>
          <w:szCs w:val="20"/>
          <w:bdr w:val="none" w:sz="0" w:space="0" w:color="auto"/>
          <w:lang w:val="es-MX"/>
        </w:rPr>
        <w:t xml:space="preserve">una </w:t>
      </w:r>
      <w:r w:rsidRPr="00165EC6">
        <w:rPr>
          <w:rFonts w:ascii="Cambria" w:eastAsia="Batang" w:hAnsi="Cambria"/>
          <w:sz w:val="20"/>
          <w:szCs w:val="20"/>
          <w:bdr w:val="none" w:sz="0" w:space="0" w:color="auto"/>
          <w:lang w:val="es-MX"/>
        </w:rPr>
        <w:t xml:space="preserve">investigación de oficio por la policía civil, la cual fue registrada </w:t>
      </w:r>
      <w:r w:rsidRPr="00165EC6">
        <w:rPr>
          <w:rFonts w:ascii="Cambria" w:eastAsia="Batang" w:hAnsi="Cambria"/>
          <w:sz w:val="20"/>
          <w:szCs w:val="20"/>
          <w:bdr w:val="none" w:sz="0" w:space="0" w:color="auto"/>
          <w:lang w:val="es-AR"/>
        </w:rPr>
        <w:t>como Investigación Policial No. 26/98. El 12 de abril de 1999, el Ministerio Público del Estado de Pará presentó acusación formal contra</w:t>
      </w:r>
      <w:r w:rsidR="00103DC0" w:rsidRPr="00165EC6">
        <w:rPr>
          <w:rFonts w:ascii="Cambria" w:eastAsia="Batang" w:hAnsi="Cambria"/>
          <w:sz w:val="20"/>
          <w:szCs w:val="20"/>
          <w:bdr w:val="none" w:sz="0" w:space="0" w:color="auto"/>
          <w:lang w:val="es-AR"/>
        </w:rPr>
        <w:t xml:space="preserve"> el dueño de la fábrica</w:t>
      </w:r>
      <w:r w:rsidRPr="00165EC6">
        <w:rPr>
          <w:rFonts w:ascii="Cambria" w:eastAsia="Batang" w:hAnsi="Cambria"/>
          <w:sz w:val="20"/>
          <w:szCs w:val="20"/>
          <w:bdr w:val="none" w:sz="0" w:space="0" w:color="auto"/>
          <w:lang w:val="es-AR"/>
        </w:rPr>
        <w:t xml:space="preserve"> Mário Fróes Prazeres</w:t>
      </w:r>
      <w:r w:rsidR="00103DC0" w:rsidRPr="00165EC6">
        <w:rPr>
          <w:rFonts w:ascii="Cambria" w:eastAsia="Batang" w:hAnsi="Cambria"/>
          <w:sz w:val="20"/>
          <w:szCs w:val="20"/>
          <w:bdr w:val="none" w:sz="0" w:space="0" w:color="auto"/>
          <w:lang w:val="es-AR"/>
        </w:rPr>
        <w:t xml:space="preserve">, </w:t>
      </w:r>
      <w:r w:rsidRPr="00165EC6">
        <w:rPr>
          <w:rFonts w:ascii="Cambria" w:eastAsia="Batang" w:hAnsi="Cambria"/>
          <w:sz w:val="20"/>
          <w:szCs w:val="20"/>
          <w:bdr w:val="none" w:sz="0" w:space="0" w:color="auto"/>
          <w:lang w:val="es-AR"/>
        </w:rPr>
        <w:t xml:space="preserve"> Bastos</w:t>
      </w:r>
      <w:r w:rsidR="00103DC0" w:rsidRPr="00165EC6">
        <w:rPr>
          <w:rFonts w:ascii="Cambria" w:eastAsia="Batang" w:hAnsi="Cambria"/>
          <w:sz w:val="20"/>
          <w:szCs w:val="20"/>
          <w:bdr w:val="none" w:sz="0" w:space="0" w:color="auto"/>
          <w:lang w:val="es-AR"/>
        </w:rPr>
        <w:t xml:space="preserve">, contra su padre </w:t>
      </w:r>
      <w:r w:rsidRPr="00165EC6">
        <w:rPr>
          <w:rFonts w:ascii="Cambria" w:eastAsia="Batang" w:hAnsi="Cambria"/>
          <w:sz w:val="20"/>
          <w:szCs w:val="20"/>
          <w:bdr w:val="none" w:sz="0" w:space="0" w:color="auto"/>
          <w:lang w:val="es-AR"/>
        </w:rPr>
        <w:t>Osvaldo Prazeres Bastos</w:t>
      </w:r>
      <w:r w:rsidR="00103DC0" w:rsidRPr="00165EC6">
        <w:rPr>
          <w:rFonts w:ascii="Cambria" w:eastAsia="Batang" w:hAnsi="Cambria"/>
          <w:sz w:val="20"/>
          <w:szCs w:val="20"/>
          <w:bdr w:val="none" w:sz="0" w:space="0" w:color="auto"/>
          <w:lang w:val="es-AR"/>
        </w:rPr>
        <w:t xml:space="preserve"> y</w:t>
      </w:r>
      <w:r w:rsidR="00830EBD" w:rsidRPr="00165EC6">
        <w:rPr>
          <w:rFonts w:ascii="Cambria" w:eastAsia="Batang" w:hAnsi="Cambria"/>
          <w:sz w:val="20"/>
          <w:szCs w:val="20"/>
          <w:bdr w:val="none" w:sz="0" w:space="0" w:color="auto"/>
          <w:lang w:val="es-AR"/>
        </w:rPr>
        <w:t xml:space="preserve"> contra las personas que ejercían funciones </w:t>
      </w:r>
      <w:r w:rsidR="00AD225E" w:rsidRPr="00165EC6">
        <w:rPr>
          <w:rFonts w:ascii="Cambria" w:eastAsia="Batang" w:hAnsi="Cambria"/>
          <w:sz w:val="20"/>
          <w:szCs w:val="20"/>
          <w:bdr w:val="none" w:sz="0" w:space="0" w:color="auto"/>
          <w:lang w:val="es-AR"/>
        </w:rPr>
        <w:t>administrativas en</w:t>
      </w:r>
      <w:r w:rsidR="00830EBD" w:rsidRPr="00165EC6">
        <w:rPr>
          <w:rFonts w:ascii="Cambria" w:eastAsia="Batang" w:hAnsi="Cambria"/>
          <w:sz w:val="20"/>
          <w:szCs w:val="20"/>
          <w:bdr w:val="none" w:sz="0" w:space="0" w:color="auto"/>
          <w:lang w:val="es-AR"/>
        </w:rPr>
        <w:t xml:space="preserve"> la fábrica: </w:t>
      </w:r>
      <w:r w:rsidRPr="00165EC6">
        <w:rPr>
          <w:rFonts w:ascii="Cambria" w:eastAsia="Batang" w:hAnsi="Cambria"/>
          <w:sz w:val="20"/>
          <w:szCs w:val="20"/>
          <w:bdr w:val="none" w:sz="0" w:space="0" w:color="auto"/>
          <w:lang w:val="es-AR"/>
        </w:rPr>
        <w:t>Ana Cláudia Almeida Reis Bastos, Helenice Fróes Bastos Lírio, Adriana Fróes Bastos de Cerqueira, Berenice Prazeres Bastos da Silva, Elísio de Santana Brito y Raimundo da Conceição Alves, por los crímenes de homicidio doloso y tentativa de homicidio</w:t>
      </w:r>
      <w:r w:rsidR="00830EBD" w:rsidRPr="00165EC6">
        <w:rPr>
          <w:rFonts w:ascii="Cambria" w:eastAsia="Batang" w:hAnsi="Cambria"/>
          <w:sz w:val="20"/>
          <w:szCs w:val="20"/>
          <w:bdr w:val="none" w:sz="0" w:space="0" w:color="auto"/>
          <w:lang w:val="es-AR"/>
        </w:rPr>
        <w:t>.</w:t>
      </w:r>
      <w:r w:rsidRPr="00165EC6">
        <w:rPr>
          <w:rFonts w:ascii="Cambria" w:eastAsia="Batang" w:hAnsi="Cambria"/>
          <w:sz w:val="20"/>
          <w:szCs w:val="20"/>
          <w:bdr w:val="none" w:sz="0" w:space="0" w:color="auto"/>
          <w:vertAlign w:val="superscript"/>
          <w:lang w:val="es-AR"/>
        </w:rPr>
        <w:footnoteReference w:id="44"/>
      </w:r>
      <w:r w:rsidR="00830EBD" w:rsidRPr="00165EC6">
        <w:rPr>
          <w:rFonts w:ascii="Cambria" w:eastAsia="Batang" w:hAnsi="Cambria"/>
          <w:sz w:val="20"/>
          <w:szCs w:val="20"/>
          <w:bdr w:val="none" w:sz="0" w:space="0" w:color="auto"/>
          <w:lang w:val="es-AR"/>
        </w:rPr>
        <w:t xml:space="preserve">  </w:t>
      </w:r>
      <w:r w:rsidRPr="00165EC6">
        <w:rPr>
          <w:rFonts w:ascii="Cambria" w:eastAsia="Batang" w:hAnsi="Cambria"/>
          <w:sz w:val="20"/>
          <w:szCs w:val="20"/>
          <w:bdr w:val="none" w:sz="0" w:space="0" w:color="auto"/>
          <w:lang w:val="es-AR"/>
        </w:rPr>
        <w:t xml:space="preserve"> </w:t>
      </w:r>
    </w:p>
    <w:p w:rsidR="00277412" w:rsidRPr="00165EC6" w:rsidRDefault="00277412" w:rsidP="003B61D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AR"/>
        </w:rPr>
      </w:pPr>
    </w:p>
    <w:p w:rsidR="00277412" w:rsidRPr="00165EC6" w:rsidRDefault="00277412" w:rsidP="003B61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AR"/>
        </w:rPr>
      </w:pPr>
      <w:r w:rsidRPr="00165EC6">
        <w:rPr>
          <w:rFonts w:ascii="Cambria" w:eastAsia="Batang" w:hAnsi="Cambria"/>
          <w:sz w:val="20"/>
          <w:szCs w:val="20"/>
          <w:bdr w:val="none" w:sz="0" w:space="0" w:color="auto"/>
          <w:lang w:val="es-AR"/>
        </w:rPr>
        <w:t xml:space="preserve">La Comisión no cuenta con información específica sobre las diligencias </w:t>
      </w:r>
      <w:r w:rsidR="00A1305E" w:rsidRPr="00165EC6">
        <w:rPr>
          <w:rFonts w:ascii="Cambria" w:eastAsia="Batang" w:hAnsi="Cambria"/>
          <w:sz w:val="20"/>
          <w:szCs w:val="20"/>
          <w:bdr w:val="none" w:sz="0" w:space="0" w:color="auto"/>
          <w:lang w:val="es-AR"/>
        </w:rPr>
        <w:t>realizadas</w:t>
      </w:r>
      <w:r w:rsidRPr="00165EC6">
        <w:rPr>
          <w:rFonts w:ascii="Cambria" w:eastAsia="Batang" w:hAnsi="Cambria"/>
          <w:sz w:val="20"/>
          <w:szCs w:val="20"/>
          <w:bdr w:val="none" w:sz="0" w:space="0" w:color="auto"/>
          <w:lang w:val="es-AR"/>
        </w:rPr>
        <w:t xml:space="preserve"> entre abril de 1999 y el 9 de noviembre de 2004; fecha en que fue emitida resolución en la que se resolvió que los acusados debían ser juzgados por Tribunal de Jurados: </w:t>
      </w: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AR"/>
        </w:rPr>
      </w:pP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Batang" w:hAnsi="Cambria"/>
          <w:sz w:val="20"/>
          <w:szCs w:val="20"/>
          <w:bdr w:val="none" w:sz="0" w:space="0" w:color="auto"/>
          <w:lang w:val="es-AR"/>
        </w:rPr>
      </w:pPr>
      <w:r w:rsidRPr="00165EC6">
        <w:rPr>
          <w:rFonts w:ascii="Cambria" w:eastAsia="Batang" w:hAnsi="Cambria"/>
          <w:sz w:val="20"/>
          <w:szCs w:val="20"/>
          <w:bdr w:val="none" w:sz="0" w:space="0" w:color="auto"/>
          <w:lang w:val="es-AR"/>
        </w:rPr>
        <w:t>[…]</w:t>
      </w: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Batang" w:hAnsi="Cambria"/>
          <w:sz w:val="20"/>
          <w:szCs w:val="20"/>
          <w:bdr w:val="none" w:sz="0" w:space="0" w:color="auto"/>
          <w:lang w:val="es-AR"/>
        </w:rPr>
      </w:pP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Batang" w:hAnsi="Cambria"/>
          <w:sz w:val="20"/>
          <w:szCs w:val="20"/>
          <w:bdr w:val="none" w:sz="0" w:space="0" w:color="auto"/>
          <w:lang w:val="es-AR"/>
        </w:rPr>
      </w:pPr>
      <w:r w:rsidRPr="00165EC6">
        <w:rPr>
          <w:rFonts w:ascii="Cambria" w:eastAsia="Batang" w:hAnsi="Cambria"/>
          <w:sz w:val="20"/>
          <w:szCs w:val="20"/>
          <w:bdr w:val="none" w:sz="0" w:space="0" w:color="auto"/>
          <w:lang w:val="es-AR"/>
        </w:rPr>
        <w:lastRenderedPageBreak/>
        <w:t>No está descartada la ocurrencia del llamado dolo eventual, pues como está demostrado en autos, los acusados sabían de las condiciones de trabajo a que estaban sometiendo a las víctimas que trabajaban directamente con explosivos directamente, sin entrenami</w:t>
      </w:r>
      <w:r w:rsidR="00295150" w:rsidRPr="00165EC6">
        <w:rPr>
          <w:rFonts w:ascii="Cambria" w:eastAsia="Batang" w:hAnsi="Cambria"/>
          <w:sz w:val="20"/>
          <w:szCs w:val="20"/>
          <w:bdr w:val="none" w:sz="0" w:space="0" w:color="auto"/>
          <w:lang w:val="es-AR"/>
        </w:rPr>
        <w:t>ento o fiscalización apropiada [</w:t>
      </w:r>
      <w:r w:rsidRPr="00165EC6">
        <w:rPr>
          <w:rFonts w:ascii="Cambria" w:eastAsia="Batang" w:hAnsi="Cambria"/>
          <w:sz w:val="20"/>
          <w:szCs w:val="20"/>
          <w:bdr w:val="none" w:sz="0" w:space="0" w:color="auto"/>
          <w:lang w:val="es-AR"/>
        </w:rPr>
        <w:t>…]</w:t>
      </w:r>
      <w:r w:rsidRPr="00165EC6">
        <w:rPr>
          <w:rFonts w:ascii="Cambria" w:eastAsia="Batang" w:hAnsi="Cambria"/>
          <w:sz w:val="20"/>
          <w:szCs w:val="20"/>
          <w:bdr w:val="none" w:sz="0" w:space="0" w:color="auto"/>
          <w:vertAlign w:val="superscript"/>
          <w:lang w:val="es-AR"/>
        </w:rPr>
        <w:footnoteReference w:id="45"/>
      </w:r>
      <w:r w:rsidRPr="00165EC6">
        <w:rPr>
          <w:rFonts w:ascii="Cambria" w:eastAsia="Batang" w:hAnsi="Cambria"/>
          <w:sz w:val="20"/>
          <w:szCs w:val="20"/>
          <w:bdr w:val="none" w:sz="0" w:space="0" w:color="auto"/>
          <w:lang w:val="es-AR"/>
        </w:rPr>
        <w:t>.</w:t>
      </w: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AR"/>
        </w:rPr>
      </w:pPr>
    </w:p>
    <w:p w:rsidR="00277412" w:rsidRPr="00165EC6" w:rsidRDefault="00277412" w:rsidP="003B61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AR"/>
        </w:rPr>
      </w:pPr>
      <w:r w:rsidRPr="00165EC6">
        <w:rPr>
          <w:rFonts w:ascii="Cambria" w:eastAsia="Batang" w:hAnsi="Cambria"/>
          <w:sz w:val="20"/>
          <w:szCs w:val="20"/>
          <w:bdr w:val="none" w:sz="0" w:space="0" w:color="auto"/>
          <w:lang w:val="es-AR"/>
        </w:rPr>
        <w:t>Contra esta decisión, los denunciados presentaron recurso (“en sentido estricto”)</w:t>
      </w:r>
      <w:r w:rsidRPr="00165EC6">
        <w:rPr>
          <w:rFonts w:ascii="Cambria" w:eastAsia="Batang" w:hAnsi="Cambria"/>
          <w:sz w:val="20"/>
          <w:szCs w:val="20"/>
          <w:bdr w:val="none" w:sz="0" w:space="0" w:color="auto"/>
          <w:vertAlign w:val="superscript"/>
          <w:lang w:val="es-AR"/>
        </w:rPr>
        <w:footnoteReference w:id="46"/>
      </w:r>
      <w:r w:rsidRPr="00165EC6">
        <w:rPr>
          <w:rFonts w:ascii="Cambria" w:eastAsia="Batang" w:hAnsi="Cambria"/>
          <w:sz w:val="20"/>
          <w:szCs w:val="20"/>
          <w:bdr w:val="none" w:sz="0" w:space="0" w:color="auto"/>
          <w:lang w:val="es-AR"/>
        </w:rPr>
        <w:t xml:space="preserve"> ante el Tribunal de Justicia del Estado de Bahía, </w:t>
      </w:r>
      <w:r w:rsidR="00A1305E" w:rsidRPr="00165EC6">
        <w:rPr>
          <w:rFonts w:ascii="Cambria" w:eastAsia="Batang" w:hAnsi="Cambria"/>
          <w:sz w:val="20"/>
          <w:szCs w:val="20"/>
          <w:bdr w:val="none" w:sz="0" w:space="0" w:color="auto"/>
          <w:lang w:val="es-AR"/>
        </w:rPr>
        <w:t xml:space="preserve">el cual </w:t>
      </w:r>
      <w:r w:rsidRPr="00165EC6">
        <w:rPr>
          <w:rFonts w:ascii="Cambria" w:eastAsia="Batang" w:hAnsi="Cambria"/>
          <w:sz w:val="20"/>
          <w:szCs w:val="20"/>
          <w:bdr w:val="none" w:sz="0" w:space="0" w:color="auto"/>
          <w:lang w:val="es-AR"/>
        </w:rPr>
        <w:t>fue rechazado el 27 de octubre de 2005</w:t>
      </w:r>
      <w:r w:rsidRPr="00165EC6">
        <w:rPr>
          <w:rFonts w:ascii="Cambria" w:eastAsia="Batang" w:hAnsi="Cambria"/>
          <w:sz w:val="20"/>
          <w:szCs w:val="20"/>
          <w:bdr w:val="none" w:sz="0" w:space="0" w:color="auto"/>
          <w:vertAlign w:val="superscript"/>
          <w:lang w:val="es-AR"/>
        </w:rPr>
        <w:footnoteReference w:id="47"/>
      </w:r>
      <w:r w:rsidRPr="00165EC6">
        <w:rPr>
          <w:rFonts w:ascii="Cambria" w:eastAsia="Batang" w:hAnsi="Cambria"/>
          <w:sz w:val="20"/>
          <w:szCs w:val="20"/>
          <w:bdr w:val="none" w:sz="0" w:space="0" w:color="auto"/>
          <w:lang w:val="es-AR"/>
        </w:rPr>
        <w:t>. El 19 de octubre de 2006, durante la audiencia ante la Comisión, el Estado informó que la sesión del Tribunal de Jurado estaba prevista para el primer semestre de 2007</w:t>
      </w:r>
      <w:r w:rsidRPr="00165EC6">
        <w:rPr>
          <w:rFonts w:ascii="Cambria" w:eastAsia="Batang" w:hAnsi="Cambria"/>
          <w:sz w:val="20"/>
          <w:szCs w:val="20"/>
          <w:bdr w:val="none" w:sz="0" w:space="0" w:color="auto"/>
          <w:vertAlign w:val="superscript"/>
          <w:lang w:val="es-AR"/>
        </w:rPr>
        <w:footnoteReference w:id="48"/>
      </w:r>
      <w:r w:rsidRPr="00165EC6">
        <w:rPr>
          <w:rFonts w:ascii="Cambria" w:eastAsia="Batang" w:hAnsi="Cambria"/>
          <w:sz w:val="20"/>
          <w:szCs w:val="20"/>
          <w:bdr w:val="none" w:sz="0" w:space="0" w:color="auto"/>
          <w:lang w:val="es-AR"/>
        </w:rPr>
        <w:t>.</w:t>
      </w:r>
    </w:p>
    <w:p w:rsidR="00277412" w:rsidRPr="00165EC6" w:rsidRDefault="00277412" w:rsidP="003B61D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AR"/>
        </w:rPr>
      </w:pPr>
    </w:p>
    <w:p w:rsidR="00277412" w:rsidRPr="00165EC6" w:rsidRDefault="00277412" w:rsidP="003B61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AR"/>
        </w:rPr>
      </w:pPr>
      <w:r w:rsidRPr="00165EC6">
        <w:rPr>
          <w:rFonts w:ascii="Cambria" w:eastAsia="Batang" w:hAnsi="Cambria"/>
          <w:sz w:val="20"/>
          <w:szCs w:val="20"/>
          <w:bdr w:val="none" w:sz="0" w:space="0" w:color="auto"/>
          <w:lang w:val="es-AR"/>
        </w:rPr>
        <w:t>El 18 de julio de 2007</w:t>
      </w:r>
      <w:r w:rsidR="00295150" w:rsidRPr="00165EC6">
        <w:rPr>
          <w:rFonts w:ascii="Cambria" w:eastAsia="Batang" w:hAnsi="Cambria"/>
          <w:sz w:val="20"/>
          <w:szCs w:val="20"/>
          <w:bdr w:val="none" w:sz="0" w:space="0" w:color="auto"/>
          <w:lang w:val="es-AR"/>
        </w:rPr>
        <w:t>,</w:t>
      </w:r>
      <w:r w:rsidRPr="00165EC6">
        <w:rPr>
          <w:rFonts w:ascii="Cambria" w:eastAsia="Batang" w:hAnsi="Cambria"/>
          <w:sz w:val="20"/>
          <w:szCs w:val="20"/>
          <w:bdr w:val="none" w:sz="0" w:space="0" w:color="auto"/>
          <w:lang w:val="es-AR"/>
        </w:rPr>
        <w:t xml:space="preserve"> el Ministerio Público solicitó al Tribunal de Justicia de Bahía que trasladara el caso para el condado de la ciudad de Salvador, por considerar que la influencia económica y política de los acusados podría obstaculizar la toma de decisión, lo que fue acogido el 7 de noviembre de 2007. El 26 de junio de 2008, los acusados presentaron recurso especial contra esta decisión, el cual fue inadmitido. Interpusieron otro recurso especial ante el Superior Tribunal de Justicia en Brasilia (</w:t>
      </w:r>
      <w:r w:rsidR="00295150" w:rsidRPr="00165EC6">
        <w:rPr>
          <w:rFonts w:ascii="Cambria" w:eastAsia="Batang" w:hAnsi="Cambria"/>
          <w:sz w:val="20"/>
          <w:szCs w:val="20"/>
          <w:bdr w:val="none" w:sz="0" w:space="0" w:color="auto"/>
          <w:lang w:val="es-AR"/>
        </w:rPr>
        <w:t>“</w:t>
      </w:r>
      <w:r w:rsidRPr="00165EC6">
        <w:rPr>
          <w:rFonts w:ascii="Cambria" w:eastAsia="Batang" w:hAnsi="Cambria"/>
          <w:sz w:val="20"/>
          <w:szCs w:val="20"/>
          <w:bdr w:val="none" w:sz="0" w:space="0" w:color="auto"/>
          <w:lang w:val="es-AR"/>
        </w:rPr>
        <w:t>agravo de instrumento</w:t>
      </w:r>
      <w:r w:rsidR="00295150" w:rsidRPr="00165EC6">
        <w:rPr>
          <w:rFonts w:ascii="Cambria" w:eastAsia="Batang" w:hAnsi="Cambria"/>
          <w:sz w:val="20"/>
          <w:szCs w:val="20"/>
          <w:bdr w:val="none" w:sz="0" w:space="0" w:color="auto"/>
          <w:lang w:val="es-AR"/>
        </w:rPr>
        <w:t>”</w:t>
      </w:r>
      <w:r w:rsidRPr="00165EC6">
        <w:rPr>
          <w:rFonts w:ascii="Cambria" w:eastAsia="Batang" w:hAnsi="Cambria"/>
          <w:sz w:val="20"/>
          <w:szCs w:val="20"/>
          <w:bdr w:val="none" w:sz="0" w:space="0" w:color="auto"/>
          <w:lang w:val="es-AR"/>
        </w:rPr>
        <w:t>), que fue resuelto improcedente el 27 de agosto de 2009, de modo que el expediente fue remitido de Brasilia al Tribunal de Justicia de Bahía el 9 de noviembre de 2009</w:t>
      </w:r>
      <w:r w:rsidRPr="00165EC6">
        <w:rPr>
          <w:rFonts w:ascii="Cambria" w:eastAsia="Batang" w:hAnsi="Cambria"/>
          <w:sz w:val="20"/>
          <w:szCs w:val="20"/>
          <w:bdr w:val="none" w:sz="0" w:space="0" w:color="auto"/>
          <w:vertAlign w:val="superscript"/>
          <w:lang w:val="es-AR"/>
        </w:rPr>
        <w:footnoteReference w:id="49"/>
      </w:r>
      <w:r w:rsidRPr="00165EC6">
        <w:rPr>
          <w:rFonts w:ascii="Cambria" w:eastAsia="Batang" w:hAnsi="Cambria"/>
          <w:sz w:val="20"/>
          <w:szCs w:val="20"/>
          <w:bdr w:val="none" w:sz="0" w:space="0" w:color="auto"/>
          <w:lang w:val="es-AR"/>
        </w:rPr>
        <w:t>.  El Tribunal de Justicia de Bahía lo remitió el 27 de abril de 2010 al condado de Santo Antônio de Jesus; sin embargo, según decisión del 18 de julio de 2007, éste no era competente. Por lo anterior, el 30 de junio de 2010</w:t>
      </w:r>
      <w:r w:rsidR="00295150" w:rsidRPr="00165EC6">
        <w:rPr>
          <w:rFonts w:ascii="Cambria" w:eastAsia="Batang" w:hAnsi="Cambria"/>
          <w:sz w:val="20"/>
          <w:szCs w:val="20"/>
          <w:bdr w:val="none" w:sz="0" w:space="0" w:color="auto"/>
          <w:lang w:val="es-AR"/>
        </w:rPr>
        <w:t>,</w:t>
      </w:r>
      <w:r w:rsidRPr="00165EC6">
        <w:rPr>
          <w:rFonts w:ascii="Cambria" w:eastAsia="Batang" w:hAnsi="Cambria"/>
          <w:sz w:val="20"/>
          <w:szCs w:val="20"/>
          <w:bdr w:val="none" w:sz="0" w:space="0" w:color="auto"/>
          <w:lang w:val="es-AR"/>
        </w:rPr>
        <w:t xml:space="preserve"> el proceso fue recibido nuevamente por el Tribunal de Justicia de Bahía que, a su vez, lo envió al Primer Circuito Judicial Criminal de Salvador</w:t>
      </w:r>
      <w:r w:rsidRPr="00165EC6">
        <w:rPr>
          <w:rFonts w:ascii="Cambria" w:eastAsia="Batang" w:hAnsi="Cambria"/>
          <w:sz w:val="20"/>
          <w:szCs w:val="20"/>
          <w:bdr w:val="none" w:sz="0" w:space="0" w:color="auto"/>
          <w:vertAlign w:val="superscript"/>
          <w:lang w:val="es-AR"/>
        </w:rPr>
        <w:footnoteReference w:id="50"/>
      </w:r>
      <w:r w:rsidRPr="00165EC6">
        <w:rPr>
          <w:rFonts w:ascii="Cambria" w:eastAsia="Batang" w:hAnsi="Cambria"/>
          <w:sz w:val="20"/>
          <w:szCs w:val="20"/>
          <w:bdr w:val="none" w:sz="0" w:space="0" w:color="auto"/>
          <w:lang w:val="es-AR"/>
        </w:rPr>
        <w:t>.</w:t>
      </w:r>
    </w:p>
    <w:p w:rsidR="00277412" w:rsidRPr="00165EC6" w:rsidRDefault="00277412" w:rsidP="003B61D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AR"/>
        </w:rPr>
      </w:pPr>
    </w:p>
    <w:p w:rsidR="00277412" w:rsidRPr="00165EC6" w:rsidRDefault="00277412" w:rsidP="003B61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AR"/>
        </w:rPr>
      </w:pPr>
      <w:r w:rsidRPr="00165EC6">
        <w:rPr>
          <w:rFonts w:ascii="Cambria" w:eastAsia="Batang" w:hAnsi="Cambria"/>
          <w:sz w:val="20"/>
          <w:szCs w:val="20"/>
          <w:bdr w:val="none" w:sz="0" w:space="0" w:color="auto"/>
          <w:lang w:val="es-AR"/>
        </w:rPr>
        <w:t>El 20 de octubre de 2010 fueron condenad</w:t>
      </w:r>
      <w:r w:rsidR="00295150" w:rsidRPr="00165EC6">
        <w:rPr>
          <w:rFonts w:ascii="Cambria" w:eastAsia="Batang" w:hAnsi="Cambria"/>
          <w:sz w:val="20"/>
          <w:szCs w:val="20"/>
          <w:bdr w:val="none" w:sz="0" w:space="0" w:color="auto"/>
          <w:lang w:val="es-AR"/>
        </w:rPr>
        <w:t>a</w:t>
      </w:r>
      <w:r w:rsidRPr="00165EC6">
        <w:rPr>
          <w:rFonts w:ascii="Cambria" w:eastAsia="Batang" w:hAnsi="Cambria"/>
          <w:sz w:val="20"/>
          <w:szCs w:val="20"/>
          <w:bdr w:val="none" w:sz="0" w:space="0" w:color="auto"/>
          <w:lang w:val="es-AR"/>
        </w:rPr>
        <w:t xml:space="preserve">s cinco personas (Osvaldo Prazeres Bastos, Mário Fróes Prazeres Bastos, Ana Cláudia Almeida Reis Bastos, Helenice Fróe Bastos Lyrio y Adriana Fróes Bastos de Cerqueira) y absueltos tres acusados (Berenice Prazeres Bastos da Silva, Elísio de Santana Brito y Raimundo da Conceição Alves). </w:t>
      </w:r>
      <w:r w:rsidR="006F2F18" w:rsidRPr="00165EC6">
        <w:rPr>
          <w:rFonts w:ascii="Cambria" w:eastAsia="Batang" w:hAnsi="Cambria"/>
          <w:sz w:val="20"/>
          <w:szCs w:val="20"/>
          <w:bdr w:val="none" w:sz="0" w:space="0" w:color="auto"/>
          <w:lang w:val="es-AR"/>
        </w:rPr>
        <w:t>De información de público conocimiento, la Comisión entiende que l</w:t>
      </w:r>
      <w:r w:rsidR="00295150" w:rsidRPr="00165EC6">
        <w:rPr>
          <w:rFonts w:ascii="Cambria" w:eastAsia="Batang" w:hAnsi="Cambria"/>
          <w:sz w:val="20"/>
          <w:szCs w:val="20"/>
          <w:bdr w:val="none" w:sz="0" w:space="0" w:color="auto"/>
          <w:lang w:val="es-AR"/>
        </w:rPr>
        <w:t xml:space="preserve">as personas </w:t>
      </w:r>
      <w:r w:rsidRPr="00165EC6">
        <w:rPr>
          <w:rFonts w:ascii="Cambria" w:eastAsia="Batang" w:hAnsi="Cambria"/>
          <w:sz w:val="20"/>
          <w:szCs w:val="20"/>
          <w:bdr w:val="none" w:sz="0" w:space="0" w:color="auto"/>
          <w:lang w:val="es-AR"/>
        </w:rPr>
        <w:t>condenad</w:t>
      </w:r>
      <w:r w:rsidR="00295150" w:rsidRPr="00165EC6">
        <w:rPr>
          <w:rFonts w:ascii="Cambria" w:eastAsia="Batang" w:hAnsi="Cambria"/>
          <w:sz w:val="20"/>
          <w:szCs w:val="20"/>
          <w:bdr w:val="none" w:sz="0" w:space="0" w:color="auto"/>
          <w:lang w:val="es-AR"/>
        </w:rPr>
        <w:t>a</w:t>
      </w:r>
      <w:r w:rsidRPr="00165EC6">
        <w:rPr>
          <w:rFonts w:ascii="Cambria" w:eastAsia="Batang" w:hAnsi="Cambria"/>
          <w:sz w:val="20"/>
          <w:szCs w:val="20"/>
          <w:bdr w:val="none" w:sz="0" w:space="0" w:color="auto"/>
          <w:lang w:val="es-AR"/>
        </w:rPr>
        <w:t>s presentaron recursos ordinarios contra su condena y el expediente fue remitido al Tribunal de Justicia de Bahía el 9 de noviembre de 2011 para su decisión, la cual fue emitida  el 26 de abril de 2012, desestimando de manera unánime los recursos.</w:t>
      </w:r>
    </w:p>
    <w:p w:rsidR="00277412" w:rsidRPr="00165EC6" w:rsidRDefault="00277412" w:rsidP="003B61D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AR"/>
        </w:rPr>
      </w:pPr>
    </w:p>
    <w:p w:rsidR="00277412" w:rsidRPr="00165EC6" w:rsidRDefault="00277412" w:rsidP="003B61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AR"/>
        </w:rPr>
      </w:pPr>
      <w:r w:rsidRPr="00165EC6">
        <w:rPr>
          <w:rFonts w:ascii="Cambria" w:eastAsia="Batang" w:hAnsi="Cambria"/>
          <w:sz w:val="20"/>
          <w:szCs w:val="20"/>
          <w:bdr w:val="none" w:sz="0" w:space="0" w:color="auto"/>
          <w:lang w:val="es-AR"/>
        </w:rPr>
        <w:t>El 6 de junio de 2012</w:t>
      </w:r>
      <w:r w:rsidR="00295150" w:rsidRPr="00165EC6">
        <w:rPr>
          <w:rFonts w:ascii="Cambria" w:eastAsia="Batang" w:hAnsi="Cambria"/>
          <w:sz w:val="20"/>
          <w:szCs w:val="20"/>
          <w:bdr w:val="none" w:sz="0" w:space="0" w:color="auto"/>
          <w:lang w:val="es-AR"/>
        </w:rPr>
        <w:t>,</w:t>
      </w:r>
      <w:r w:rsidRPr="00165EC6">
        <w:rPr>
          <w:rFonts w:ascii="Cambria" w:eastAsia="Batang" w:hAnsi="Cambria"/>
          <w:sz w:val="20"/>
          <w:szCs w:val="20"/>
          <w:bdr w:val="none" w:sz="0" w:space="0" w:color="auto"/>
          <w:lang w:val="es-AR"/>
        </w:rPr>
        <w:t xml:space="preserve"> los acusados presentaron recursos especiales y extraordinarios contra la sentencia condenatoria, ante el Tribunal Superior de Justicia y Supremo Tribunal Federal en Brasilia, respectivamente. El 18 de septiembre de 2014</w:t>
      </w:r>
      <w:r w:rsidR="00295150" w:rsidRPr="00165EC6">
        <w:rPr>
          <w:rFonts w:ascii="Cambria" w:eastAsia="Batang" w:hAnsi="Cambria"/>
          <w:sz w:val="20"/>
          <w:szCs w:val="20"/>
          <w:bdr w:val="none" w:sz="0" w:space="0" w:color="auto"/>
          <w:lang w:val="es-AR"/>
        </w:rPr>
        <w:t>,</w:t>
      </w:r>
      <w:r w:rsidRPr="00165EC6">
        <w:rPr>
          <w:rFonts w:ascii="Cambria" w:eastAsia="Batang" w:hAnsi="Cambria"/>
          <w:sz w:val="20"/>
          <w:szCs w:val="20"/>
          <w:bdr w:val="none" w:sz="0" w:space="0" w:color="auto"/>
          <w:lang w:val="es-AR"/>
        </w:rPr>
        <w:t xml:space="preserve"> el Tribunal Superior de Justicia determinó no acceder a los pedidos </w:t>
      </w:r>
      <w:r w:rsidR="00295150" w:rsidRPr="00165EC6">
        <w:rPr>
          <w:rFonts w:ascii="Cambria" w:eastAsia="Batang" w:hAnsi="Cambria"/>
          <w:sz w:val="20"/>
          <w:szCs w:val="20"/>
          <w:bdr w:val="none" w:sz="0" w:space="0" w:color="auto"/>
          <w:lang w:val="es-AR"/>
        </w:rPr>
        <w:t>formulados por los denunciados. E</w:t>
      </w:r>
      <w:r w:rsidRPr="00165EC6">
        <w:rPr>
          <w:rFonts w:ascii="Cambria" w:eastAsia="Batang" w:hAnsi="Cambria"/>
          <w:sz w:val="20"/>
          <w:szCs w:val="20"/>
          <w:bdr w:val="none" w:sz="0" w:space="0" w:color="auto"/>
          <w:lang w:val="es-AR"/>
        </w:rPr>
        <w:t>stos presentaron recurso de inconstitucionalidad el 28 de octubre de 2014, por lo que el expediente fue enviado al Supremo Tribunal Federal</w:t>
      </w:r>
      <w:r w:rsidR="006F2F18" w:rsidRPr="00165EC6">
        <w:rPr>
          <w:rFonts w:ascii="Cambria" w:eastAsia="Batang" w:hAnsi="Cambria"/>
          <w:sz w:val="20"/>
          <w:szCs w:val="20"/>
          <w:bdr w:val="none" w:sz="0" w:space="0" w:color="auto"/>
          <w:lang w:val="es-AR"/>
        </w:rPr>
        <w:t xml:space="preserve">. De la información disponible, se desprende que este recurso no ha sido resuelto a la fecha. </w:t>
      </w:r>
    </w:p>
    <w:p w:rsidR="00277412" w:rsidRPr="00165EC6" w:rsidRDefault="00C679C0" w:rsidP="009C17FA">
      <w:pPr>
        <w:pStyle w:val="Heading3"/>
        <w:ind w:firstLine="720"/>
        <w:rPr>
          <w:rFonts w:ascii="Cambria" w:hAnsi="Cambria"/>
          <w:b w:val="0"/>
          <w:bCs w:val="0"/>
          <w:sz w:val="20"/>
          <w:szCs w:val="20"/>
          <w:lang w:val="es-ES"/>
        </w:rPr>
      </w:pPr>
      <w:bookmarkStart w:id="18" w:name="_Toc506225833"/>
      <w:r w:rsidRPr="00165EC6">
        <w:rPr>
          <w:rFonts w:asciiTheme="majorHAnsi" w:hAnsiTheme="majorHAnsi"/>
          <w:sz w:val="20"/>
          <w:szCs w:val="20"/>
          <w:lang w:val="pt-BR"/>
        </w:rPr>
        <w:t>2</w:t>
      </w:r>
      <w:r w:rsidR="009C17FA" w:rsidRPr="00165EC6">
        <w:rPr>
          <w:rFonts w:asciiTheme="majorHAnsi" w:hAnsiTheme="majorHAnsi"/>
          <w:sz w:val="20"/>
          <w:szCs w:val="20"/>
          <w:lang w:val="pt-BR"/>
        </w:rPr>
        <w:t>.</w:t>
      </w:r>
      <w:r w:rsidRPr="00165EC6">
        <w:rPr>
          <w:rFonts w:asciiTheme="majorHAnsi" w:hAnsiTheme="majorHAnsi"/>
          <w:sz w:val="20"/>
          <w:szCs w:val="20"/>
          <w:lang w:val="pt-BR"/>
        </w:rPr>
        <w:tab/>
      </w:r>
      <w:r w:rsidR="00277412" w:rsidRPr="00165EC6">
        <w:rPr>
          <w:rFonts w:asciiTheme="majorHAnsi" w:hAnsiTheme="majorHAnsi"/>
          <w:sz w:val="20"/>
          <w:szCs w:val="20"/>
          <w:lang w:val="pt-BR"/>
        </w:rPr>
        <w:t>Civil</w:t>
      </w:r>
      <w:r w:rsidR="009C17FA" w:rsidRPr="00165EC6">
        <w:rPr>
          <w:rFonts w:asciiTheme="majorHAnsi" w:hAnsiTheme="majorHAnsi"/>
          <w:sz w:val="20"/>
          <w:szCs w:val="20"/>
          <w:lang w:val="pt-BR"/>
        </w:rPr>
        <w:t>.</w:t>
      </w:r>
      <w:bookmarkEnd w:id="18"/>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AR"/>
        </w:rPr>
      </w:pPr>
    </w:p>
    <w:p w:rsidR="00277412" w:rsidRPr="00165EC6" w:rsidRDefault="00277412" w:rsidP="003B61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AR"/>
        </w:rPr>
      </w:pPr>
      <w:r w:rsidRPr="00165EC6">
        <w:rPr>
          <w:rFonts w:ascii="Cambria" w:eastAsia="Batang" w:hAnsi="Cambria"/>
          <w:sz w:val="20"/>
          <w:szCs w:val="20"/>
          <w:bdr w:val="none" w:sz="0" w:space="0" w:color="auto"/>
          <w:lang w:val="es-AR"/>
        </w:rPr>
        <w:t>En el ámbito civil, fue</w:t>
      </w:r>
      <w:r w:rsidR="005C61BA" w:rsidRPr="00165EC6">
        <w:rPr>
          <w:rFonts w:ascii="Cambria" w:eastAsia="Batang" w:hAnsi="Cambria"/>
          <w:sz w:val="20"/>
          <w:szCs w:val="20"/>
          <w:bdr w:val="none" w:sz="0" w:space="0" w:color="auto"/>
          <w:lang w:val="es-AR"/>
        </w:rPr>
        <w:t>ron iniciados dos procesos: a</w:t>
      </w:r>
      <w:r w:rsidRPr="00165EC6">
        <w:rPr>
          <w:rFonts w:ascii="Cambria" w:eastAsia="Batang" w:hAnsi="Cambria"/>
          <w:sz w:val="20"/>
          <w:szCs w:val="20"/>
          <w:bdr w:val="none" w:sz="0" w:space="0" w:color="auto"/>
          <w:lang w:val="es-AR"/>
        </w:rPr>
        <w:t>) contra el Estado d</w:t>
      </w:r>
      <w:r w:rsidR="00B92764" w:rsidRPr="00165EC6">
        <w:rPr>
          <w:rFonts w:ascii="Cambria" w:eastAsia="Batang" w:hAnsi="Cambria"/>
          <w:sz w:val="20"/>
          <w:szCs w:val="20"/>
          <w:bdr w:val="none" w:sz="0" w:space="0" w:color="auto"/>
          <w:lang w:val="es-AR"/>
        </w:rPr>
        <w:t>e</w:t>
      </w:r>
      <w:r w:rsidRPr="00165EC6">
        <w:rPr>
          <w:rFonts w:ascii="Cambria" w:eastAsia="Batang" w:hAnsi="Cambria"/>
          <w:sz w:val="20"/>
          <w:szCs w:val="20"/>
          <w:bdr w:val="none" w:sz="0" w:space="0" w:color="auto"/>
          <w:lang w:val="es-AR"/>
        </w:rPr>
        <w:t xml:space="preserve"> Brasil, contra el Estado de Bahía, contra la municipalidad de Santo Antônio de Jesús y contra </w:t>
      </w:r>
      <w:r w:rsidR="005C61BA" w:rsidRPr="00165EC6">
        <w:rPr>
          <w:rFonts w:ascii="Cambria" w:eastAsia="Batang" w:hAnsi="Cambria"/>
          <w:sz w:val="20"/>
          <w:szCs w:val="20"/>
          <w:bdr w:val="none" w:sz="0" w:space="0" w:color="auto"/>
          <w:lang w:val="es-AR"/>
        </w:rPr>
        <w:t>Mário Fróes Prazeres Bastos; y b</w:t>
      </w:r>
      <w:r w:rsidRPr="00165EC6">
        <w:rPr>
          <w:rFonts w:ascii="Cambria" w:eastAsia="Batang" w:hAnsi="Cambria"/>
          <w:sz w:val="20"/>
          <w:szCs w:val="20"/>
          <w:bdr w:val="none" w:sz="0" w:space="0" w:color="auto"/>
          <w:lang w:val="es-AR"/>
        </w:rPr>
        <w:t xml:space="preserve">) contra </w:t>
      </w:r>
      <w:r w:rsidRPr="00165EC6">
        <w:rPr>
          <w:rFonts w:ascii="Cambria" w:eastAsia="Batang" w:hAnsi="Cambria"/>
          <w:sz w:val="20"/>
          <w:szCs w:val="20"/>
          <w:bdr w:val="none" w:sz="0" w:space="0" w:color="auto"/>
          <w:lang w:val="es-UY"/>
        </w:rPr>
        <w:t>Osvaldo Prazeres Bastos, Maria Juelieta Fróes Bastos y Mário Fróes Prazeres Bastos.</w:t>
      </w:r>
    </w:p>
    <w:p w:rsidR="00277412" w:rsidRPr="00165EC6" w:rsidRDefault="00277412" w:rsidP="00B74E3A">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ind w:left="1440" w:hanging="720"/>
        <w:jc w:val="both"/>
        <w:outlineLvl w:val="3"/>
        <w:rPr>
          <w:rFonts w:ascii="Cambria" w:eastAsia="Times New Roman" w:hAnsi="Cambria"/>
          <w:b/>
          <w:bCs/>
          <w:sz w:val="20"/>
          <w:szCs w:val="20"/>
          <w:bdr w:val="none" w:sz="0" w:space="0" w:color="auto"/>
          <w:lang w:val="es-ES"/>
        </w:rPr>
      </w:pPr>
      <w:r w:rsidRPr="00165EC6">
        <w:rPr>
          <w:rFonts w:ascii="Cambria" w:eastAsia="Times New Roman" w:hAnsi="Cambria"/>
          <w:b/>
          <w:bCs/>
          <w:sz w:val="20"/>
          <w:szCs w:val="20"/>
          <w:bdr w:val="none" w:sz="0" w:space="0" w:color="auto"/>
          <w:lang w:val="es-AR"/>
        </w:rPr>
        <w:t>a</w:t>
      </w:r>
      <w:r w:rsidR="009C17FA" w:rsidRPr="00165EC6">
        <w:rPr>
          <w:rFonts w:ascii="Cambria" w:eastAsia="Times New Roman" w:hAnsi="Cambria"/>
          <w:b/>
          <w:bCs/>
          <w:sz w:val="20"/>
          <w:szCs w:val="20"/>
          <w:bdr w:val="none" w:sz="0" w:space="0" w:color="auto"/>
          <w:lang w:val="es-AR"/>
        </w:rPr>
        <w:t>.</w:t>
      </w:r>
      <w:r w:rsidRPr="00165EC6">
        <w:rPr>
          <w:rFonts w:ascii="Cambria" w:eastAsia="Times New Roman" w:hAnsi="Cambria"/>
          <w:b/>
          <w:bCs/>
          <w:sz w:val="20"/>
          <w:szCs w:val="20"/>
          <w:bdr w:val="none" w:sz="0" w:space="0" w:color="auto"/>
          <w:lang w:val="es-ES"/>
        </w:rPr>
        <w:t xml:space="preserve"> </w:t>
      </w:r>
      <w:r w:rsidRPr="00165EC6">
        <w:rPr>
          <w:rFonts w:ascii="Cambria" w:eastAsia="Times New Roman" w:hAnsi="Cambria"/>
          <w:b/>
          <w:bCs/>
          <w:sz w:val="20"/>
          <w:szCs w:val="20"/>
          <w:bdr w:val="none" w:sz="0" w:space="0" w:color="auto"/>
          <w:lang w:val="es-ES"/>
        </w:rPr>
        <w:tab/>
        <w:t>Causa civi</w:t>
      </w:r>
      <w:r w:rsidR="009C17FA" w:rsidRPr="00165EC6">
        <w:rPr>
          <w:rFonts w:ascii="Cambria" w:eastAsia="Times New Roman" w:hAnsi="Cambria"/>
          <w:b/>
          <w:bCs/>
          <w:sz w:val="20"/>
          <w:szCs w:val="20"/>
          <w:bdr w:val="none" w:sz="0" w:space="0" w:color="auto"/>
          <w:lang w:val="es-ES"/>
        </w:rPr>
        <w:t>l</w:t>
      </w:r>
      <w:r w:rsidRPr="00165EC6">
        <w:rPr>
          <w:rFonts w:ascii="Cambria" w:eastAsia="Times New Roman" w:hAnsi="Cambria"/>
          <w:b/>
          <w:bCs/>
          <w:sz w:val="20"/>
          <w:szCs w:val="20"/>
          <w:bdr w:val="none" w:sz="0" w:space="0" w:color="auto"/>
          <w:lang w:val="es-ES"/>
        </w:rPr>
        <w:t xml:space="preserve"> contra el Estado de Brasil, el Estado de Bahía,  la Municipalidad de Santo Antônio de Jesus y Mário Fróes Prazeres Bastos</w:t>
      </w:r>
      <w:r w:rsidR="009C17FA" w:rsidRPr="00165EC6">
        <w:rPr>
          <w:rFonts w:ascii="Cambria" w:eastAsia="Times New Roman" w:hAnsi="Cambria"/>
          <w:b/>
          <w:bCs/>
          <w:sz w:val="20"/>
          <w:szCs w:val="20"/>
          <w:bdr w:val="none" w:sz="0" w:space="0" w:color="auto"/>
          <w:lang w:val="es-ES"/>
        </w:rPr>
        <w:t>.</w:t>
      </w: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CO"/>
        </w:rPr>
      </w:pPr>
    </w:p>
    <w:p w:rsidR="00277412" w:rsidRPr="00165EC6" w:rsidRDefault="00277412" w:rsidP="003B61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AR"/>
        </w:rPr>
      </w:pPr>
      <w:r w:rsidRPr="00165EC6">
        <w:rPr>
          <w:rFonts w:ascii="Cambria" w:eastAsia="Batang" w:hAnsi="Cambria"/>
          <w:sz w:val="20"/>
          <w:szCs w:val="20"/>
          <w:bdr w:val="none" w:sz="0" w:space="0" w:color="auto"/>
          <w:lang w:val="es-AR"/>
        </w:rPr>
        <w:lastRenderedPageBreak/>
        <w:t xml:space="preserve">El 4 de marzo de 2002, </w:t>
      </w:r>
      <w:r w:rsidR="000A2E76" w:rsidRPr="00165EC6">
        <w:rPr>
          <w:rFonts w:ascii="Cambria" w:eastAsia="Batang" w:hAnsi="Cambria"/>
          <w:sz w:val="20"/>
          <w:szCs w:val="20"/>
          <w:bdr w:val="none" w:sz="0" w:space="0" w:color="auto"/>
          <w:lang w:val="es-AR"/>
        </w:rPr>
        <w:t>presuntas víctimas</w:t>
      </w:r>
      <w:r w:rsidRPr="00165EC6">
        <w:rPr>
          <w:rFonts w:ascii="Cambria" w:eastAsia="Batang" w:hAnsi="Cambria"/>
          <w:sz w:val="20"/>
          <w:szCs w:val="20"/>
          <w:bdr w:val="none" w:sz="0" w:space="0" w:color="auto"/>
          <w:lang w:val="es-AR"/>
        </w:rPr>
        <w:t xml:space="preserve"> y familiares de</w:t>
      </w:r>
      <w:r w:rsidR="000A2E76" w:rsidRPr="00165EC6">
        <w:rPr>
          <w:rFonts w:ascii="Cambria" w:eastAsia="Batang" w:hAnsi="Cambria"/>
          <w:sz w:val="20"/>
          <w:szCs w:val="20"/>
          <w:bdr w:val="none" w:sz="0" w:space="0" w:color="auto"/>
          <w:lang w:val="es-AR"/>
        </w:rPr>
        <w:t xml:space="preserve"> presuntas víctimas</w:t>
      </w:r>
      <w:r w:rsidRPr="00165EC6">
        <w:rPr>
          <w:rFonts w:ascii="Cambria" w:eastAsia="Batang" w:hAnsi="Cambria"/>
          <w:sz w:val="20"/>
          <w:szCs w:val="20"/>
          <w:bdr w:val="none" w:sz="0" w:space="0" w:color="auto"/>
          <w:lang w:val="es-AR"/>
        </w:rPr>
        <w:t xml:space="preserve"> presentaron una demanda ante el Juez Federal de la Sección Judicial Feder</w:t>
      </w:r>
      <w:r w:rsidR="005C61BA" w:rsidRPr="00165EC6">
        <w:rPr>
          <w:rFonts w:ascii="Cambria" w:eastAsia="Batang" w:hAnsi="Cambria"/>
          <w:sz w:val="20"/>
          <w:szCs w:val="20"/>
          <w:bdr w:val="none" w:sz="0" w:space="0" w:color="auto"/>
          <w:lang w:val="es-AR"/>
        </w:rPr>
        <w:t>al de la ciudad de Salvador-Bahí</w:t>
      </w:r>
      <w:r w:rsidRPr="00165EC6">
        <w:rPr>
          <w:rFonts w:ascii="Cambria" w:eastAsia="Batang" w:hAnsi="Cambria"/>
          <w:sz w:val="20"/>
          <w:szCs w:val="20"/>
          <w:bdr w:val="none" w:sz="0" w:space="0" w:color="auto"/>
          <w:lang w:val="es-AR"/>
        </w:rPr>
        <w:t>a, exigiendo el pago del valor relativo a daños morales y materiales</w:t>
      </w:r>
      <w:r w:rsidRPr="00165EC6">
        <w:rPr>
          <w:rFonts w:ascii="Cambria" w:eastAsia="Batang" w:hAnsi="Cambria"/>
          <w:sz w:val="20"/>
          <w:szCs w:val="20"/>
          <w:bdr w:val="none" w:sz="0" w:space="0" w:color="auto"/>
          <w:vertAlign w:val="superscript"/>
          <w:lang w:val="es-AR"/>
        </w:rPr>
        <w:footnoteReference w:id="51"/>
      </w:r>
      <w:r w:rsidRPr="00165EC6">
        <w:rPr>
          <w:rFonts w:ascii="Cambria" w:eastAsia="Batang" w:hAnsi="Cambria"/>
          <w:sz w:val="20"/>
          <w:szCs w:val="20"/>
          <w:bdr w:val="none" w:sz="0" w:space="0" w:color="auto"/>
          <w:lang w:val="es-AR"/>
        </w:rPr>
        <w:t>. Solicitaron además, la anticipación de tutela para los menores de 18 años, cuyas madres fallecieron en la explosión. Esto último fue aceptado por el Juez Federal el 5 de marzo de 2002</w:t>
      </w:r>
      <w:r w:rsidRPr="00165EC6">
        <w:rPr>
          <w:rFonts w:ascii="Cambria" w:eastAsia="Batang" w:hAnsi="Cambria"/>
          <w:sz w:val="20"/>
          <w:szCs w:val="20"/>
          <w:bdr w:val="none" w:sz="0" w:space="0" w:color="auto"/>
          <w:vertAlign w:val="superscript"/>
          <w:lang w:val="es-AR"/>
        </w:rPr>
        <w:footnoteReference w:id="52"/>
      </w:r>
      <w:r w:rsidRPr="00165EC6">
        <w:rPr>
          <w:rFonts w:ascii="Cambria" w:eastAsia="Batang" w:hAnsi="Cambria"/>
          <w:sz w:val="20"/>
          <w:szCs w:val="20"/>
          <w:bdr w:val="none" w:sz="0" w:space="0" w:color="auto"/>
          <w:lang w:val="es-AR"/>
        </w:rPr>
        <w:t>.</w:t>
      </w:r>
    </w:p>
    <w:p w:rsidR="00277412" w:rsidRPr="00165EC6" w:rsidRDefault="00277412" w:rsidP="003B61D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AR"/>
        </w:rPr>
      </w:pPr>
    </w:p>
    <w:p w:rsidR="00277412" w:rsidRPr="00165EC6" w:rsidRDefault="0084215A" w:rsidP="003B61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ES"/>
        </w:rPr>
      </w:pPr>
      <w:r w:rsidRPr="00165EC6">
        <w:rPr>
          <w:rFonts w:ascii="Cambria" w:eastAsia="Batang" w:hAnsi="Cambria"/>
          <w:sz w:val="20"/>
          <w:szCs w:val="20"/>
          <w:bdr w:val="none" w:sz="0" w:space="0" w:color="auto"/>
          <w:lang w:val="es-AR"/>
        </w:rPr>
        <w:t>L</w:t>
      </w:r>
      <w:r w:rsidR="00C16151" w:rsidRPr="00165EC6">
        <w:rPr>
          <w:rFonts w:ascii="Cambria" w:eastAsia="Batang" w:hAnsi="Cambria"/>
          <w:sz w:val="20"/>
          <w:szCs w:val="20"/>
          <w:bdr w:val="none" w:sz="0" w:space="0" w:color="auto"/>
          <w:lang w:val="es-AR"/>
        </w:rPr>
        <w:t>a parte peticionaria</w:t>
      </w:r>
      <w:r w:rsidR="00277412" w:rsidRPr="00165EC6">
        <w:rPr>
          <w:rFonts w:ascii="Cambria" w:eastAsia="Batang" w:hAnsi="Cambria"/>
          <w:sz w:val="20"/>
          <w:szCs w:val="20"/>
          <w:bdr w:val="none" w:sz="0" w:space="0" w:color="auto"/>
          <w:lang w:val="es-AR"/>
        </w:rPr>
        <w:t xml:space="preserve"> afirm</w:t>
      </w:r>
      <w:r w:rsidR="00C16151" w:rsidRPr="00165EC6">
        <w:rPr>
          <w:rFonts w:ascii="Cambria" w:eastAsia="Batang" w:hAnsi="Cambria"/>
          <w:sz w:val="20"/>
          <w:szCs w:val="20"/>
          <w:bdr w:val="none" w:sz="0" w:space="0" w:color="auto"/>
          <w:lang w:val="es-AR"/>
        </w:rPr>
        <w:t>ó</w:t>
      </w:r>
      <w:r w:rsidR="00277412" w:rsidRPr="00165EC6">
        <w:rPr>
          <w:rFonts w:ascii="Cambria" w:eastAsia="Batang" w:hAnsi="Cambria"/>
          <w:sz w:val="20"/>
          <w:szCs w:val="20"/>
          <w:bdr w:val="none" w:sz="0" w:space="0" w:color="auto"/>
          <w:lang w:val="es-AR"/>
        </w:rPr>
        <w:t xml:space="preserve"> que la decisión de anticipación de tutela fue parcialmente cumplida. Así, en su escrito de 18 de octubre de 2010, señal</w:t>
      </w:r>
      <w:r w:rsidRPr="00165EC6">
        <w:rPr>
          <w:rFonts w:ascii="Cambria" w:eastAsia="Batang" w:hAnsi="Cambria"/>
          <w:sz w:val="20"/>
          <w:szCs w:val="20"/>
          <w:bdr w:val="none" w:sz="0" w:space="0" w:color="auto"/>
          <w:lang w:val="es-AR"/>
        </w:rPr>
        <w:t>ó</w:t>
      </w:r>
      <w:r w:rsidR="00277412" w:rsidRPr="00165EC6">
        <w:rPr>
          <w:rFonts w:ascii="Cambria" w:eastAsia="Batang" w:hAnsi="Cambria"/>
          <w:sz w:val="20"/>
          <w:szCs w:val="20"/>
          <w:bdr w:val="none" w:sz="0" w:space="0" w:color="auto"/>
          <w:lang w:val="es-AR"/>
        </w:rPr>
        <w:t xml:space="preserve"> que: i) de las 44 personas que perdieron a sus padres y demandan en este proceso civil contra la Unión, 39 fueron beneficiados por la decisión preliminar de tutela de una pensión mensual de un salario mínimo por mes, pero sólo 16 de ellos recibieron efectivamente dicho pago; ii) por el transcurso del tiempo, los demás ya contaban con 18 años, edad máxima para recibir la pensión, según la determinación judicial; iii) los demás familiares no habían recibido reparación alguna del Estado</w:t>
      </w:r>
      <w:r w:rsidR="00277412" w:rsidRPr="00165EC6">
        <w:rPr>
          <w:rFonts w:ascii="Cambria" w:eastAsia="Batang" w:hAnsi="Cambria"/>
          <w:sz w:val="20"/>
          <w:szCs w:val="20"/>
          <w:bdr w:val="none" w:sz="0" w:space="0" w:color="auto"/>
          <w:vertAlign w:val="superscript"/>
          <w:lang w:val="es-AR"/>
        </w:rPr>
        <w:footnoteReference w:id="53"/>
      </w:r>
      <w:r w:rsidR="00277412" w:rsidRPr="00165EC6">
        <w:rPr>
          <w:rFonts w:ascii="Cambria" w:eastAsia="Batang" w:hAnsi="Cambria"/>
          <w:sz w:val="20"/>
          <w:szCs w:val="20"/>
          <w:bdr w:val="none" w:sz="0" w:space="0" w:color="auto"/>
          <w:lang w:val="es-AR"/>
        </w:rPr>
        <w:t xml:space="preserve">. </w:t>
      </w:r>
    </w:p>
    <w:p w:rsidR="00277412" w:rsidRPr="00165EC6" w:rsidRDefault="00277412" w:rsidP="003B61D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AR"/>
        </w:rPr>
      </w:pPr>
    </w:p>
    <w:p w:rsidR="00277412" w:rsidRPr="00165EC6" w:rsidRDefault="00277412" w:rsidP="003B61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ES"/>
        </w:rPr>
      </w:pPr>
      <w:r w:rsidRPr="00165EC6">
        <w:rPr>
          <w:rFonts w:ascii="Cambria" w:eastAsia="Batang" w:hAnsi="Cambria"/>
          <w:sz w:val="20"/>
          <w:szCs w:val="20"/>
          <w:bdr w:val="none" w:sz="0" w:space="0" w:color="auto"/>
          <w:lang w:val="es-AR"/>
        </w:rPr>
        <w:t xml:space="preserve">El Estado informó que en </w:t>
      </w:r>
      <w:r w:rsidRPr="00165EC6">
        <w:rPr>
          <w:rFonts w:ascii="Cambria" w:eastAsia="Batang" w:hAnsi="Cambria"/>
          <w:sz w:val="20"/>
          <w:szCs w:val="20"/>
          <w:bdr w:val="none" w:sz="0" w:space="0" w:color="auto"/>
          <w:lang w:val="es-CO"/>
        </w:rPr>
        <w:t>septiembre de 2006 empezó a pagar las pensiones a cinco de los beneficiarios de la tutela</w:t>
      </w:r>
      <w:r w:rsidRPr="00165EC6">
        <w:rPr>
          <w:rFonts w:ascii="Cambria" w:eastAsia="Batang" w:hAnsi="Cambria"/>
          <w:sz w:val="20"/>
          <w:szCs w:val="20"/>
          <w:bdr w:val="none" w:sz="0" w:space="0" w:color="auto"/>
          <w:vertAlign w:val="superscript"/>
          <w:lang w:val="es-CO"/>
        </w:rPr>
        <w:footnoteReference w:id="54"/>
      </w:r>
      <w:r w:rsidRPr="00165EC6">
        <w:rPr>
          <w:rFonts w:ascii="Cambria" w:eastAsia="Batang" w:hAnsi="Cambria"/>
          <w:sz w:val="20"/>
          <w:szCs w:val="20"/>
          <w:bdr w:val="none" w:sz="0" w:space="0" w:color="auto"/>
          <w:lang w:val="es-ES"/>
        </w:rPr>
        <w:t>. Indicó que únicamente se pagó a estas cinco personas puesto que las demás no se encontraban individualizadas en la decisión de tutela; porque no eran menores; porque no estaban representados por los padres sobrevivientes o porque no se demostró la guarda de los parientes que pretendían representarlos</w:t>
      </w:r>
      <w:r w:rsidRPr="00165EC6">
        <w:rPr>
          <w:rFonts w:ascii="Cambria" w:eastAsia="Batang" w:hAnsi="Cambria"/>
          <w:sz w:val="20"/>
          <w:szCs w:val="20"/>
          <w:bdr w:val="none" w:sz="0" w:space="0" w:color="auto"/>
          <w:vertAlign w:val="superscript"/>
          <w:lang w:val="es-ES"/>
        </w:rPr>
        <w:footnoteReference w:id="55"/>
      </w:r>
      <w:r w:rsidRPr="00165EC6">
        <w:rPr>
          <w:rFonts w:ascii="Cambria" w:eastAsia="Batang" w:hAnsi="Cambria"/>
          <w:sz w:val="20"/>
          <w:szCs w:val="20"/>
          <w:bdr w:val="none" w:sz="0" w:space="0" w:color="auto"/>
          <w:lang w:val="es-ES"/>
        </w:rPr>
        <w:t xml:space="preserve">. </w:t>
      </w:r>
    </w:p>
    <w:p w:rsidR="00277412" w:rsidRPr="00165EC6" w:rsidRDefault="00277412" w:rsidP="003B61D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ES"/>
        </w:rPr>
      </w:pPr>
    </w:p>
    <w:p w:rsidR="00277412" w:rsidRPr="00165EC6" w:rsidRDefault="00277412" w:rsidP="003B61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AR"/>
        </w:rPr>
      </w:pPr>
      <w:r w:rsidRPr="00165EC6">
        <w:rPr>
          <w:rFonts w:ascii="Cambria" w:eastAsia="Batang" w:hAnsi="Cambria"/>
          <w:sz w:val="20"/>
          <w:szCs w:val="20"/>
          <w:bdr w:val="none" w:sz="0" w:space="0" w:color="auto"/>
          <w:lang w:val="es-AR"/>
        </w:rPr>
        <w:t xml:space="preserve">Después de la emisión de la decisión de tutela, </w:t>
      </w:r>
      <w:r w:rsidR="00995E95" w:rsidRPr="00165EC6">
        <w:rPr>
          <w:rFonts w:ascii="Cambria" w:eastAsia="Batang" w:hAnsi="Cambria"/>
          <w:sz w:val="20"/>
          <w:szCs w:val="20"/>
          <w:bdr w:val="none" w:sz="0" w:space="0" w:color="auto"/>
          <w:lang w:val="es-AR"/>
        </w:rPr>
        <w:t xml:space="preserve">se realizó un </w:t>
      </w:r>
      <w:r w:rsidRPr="00165EC6">
        <w:rPr>
          <w:rFonts w:ascii="Cambria" w:eastAsia="Batang" w:hAnsi="Cambria"/>
          <w:sz w:val="20"/>
          <w:szCs w:val="20"/>
          <w:bdr w:val="none" w:sz="0" w:space="0" w:color="auto"/>
          <w:lang w:val="es-AR"/>
        </w:rPr>
        <w:t>desglose del proceso civil debido al alto número de litisconsortes (84)</w:t>
      </w:r>
      <w:r w:rsidRPr="00165EC6">
        <w:rPr>
          <w:rFonts w:ascii="Cambria" w:eastAsia="Batang" w:hAnsi="Cambria"/>
          <w:sz w:val="20"/>
          <w:szCs w:val="20"/>
          <w:bdr w:val="none" w:sz="0" w:space="0" w:color="auto"/>
          <w:vertAlign w:val="superscript"/>
          <w:lang w:val="es-AR"/>
        </w:rPr>
        <w:footnoteReference w:id="56"/>
      </w:r>
      <w:r w:rsidRPr="00165EC6">
        <w:rPr>
          <w:rFonts w:ascii="Cambria" w:eastAsia="Batang" w:hAnsi="Cambria"/>
          <w:sz w:val="20"/>
          <w:szCs w:val="20"/>
          <w:bdr w:val="none" w:sz="0" w:space="0" w:color="auto"/>
          <w:lang w:val="es-AR"/>
        </w:rPr>
        <w:t xml:space="preserve">. </w:t>
      </w:r>
    </w:p>
    <w:p w:rsidR="00290FFE" w:rsidRPr="00165EC6" w:rsidRDefault="00290FFE" w:rsidP="003B61D3">
      <w:pPr>
        <w:pStyle w:val="ListParagraph"/>
        <w:ind w:left="0" w:firstLine="720"/>
        <w:rPr>
          <w:rFonts w:eastAsia="Batang"/>
          <w:sz w:val="20"/>
          <w:szCs w:val="20"/>
          <w:bdr w:val="none" w:sz="0" w:space="0" w:color="auto"/>
          <w:lang w:val="es-AR"/>
        </w:rPr>
      </w:pPr>
    </w:p>
    <w:p w:rsidR="00277412" w:rsidRPr="00165EC6" w:rsidRDefault="00C47029" w:rsidP="003B61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AR"/>
        </w:rPr>
      </w:pPr>
      <w:r w:rsidRPr="00165EC6">
        <w:rPr>
          <w:rFonts w:ascii="Cambria" w:eastAsia="Batang" w:hAnsi="Cambria"/>
          <w:sz w:val="20"/>
          <w:szCs w:val="20"/>
          <w:bdr w:val="none" w:sz="0" w:space="0" w:color="auto"/>
          <w:lang w:val="es-AR"/>
        </w:rPr>
        <w:t xml:space="preserve">De la </w:t>
      </w:r>
      <w:r w:rsidR="00277412" w:rsidRPr="00165EC6">
        <w:rPr>
          <w:rFonts w:ascii="Cambria" w:eastAsia="Batang" w:hAnsi="Cambria"/>
          <w:sz w:val="20"/>
          <w:szCs w:val="20"/>
          <w:bdr w:val="none" w:sz="0" w:space="0" w:color="auto"/>
          <w:lang w:val="es-AR"/>
        </w:rPr>
        <w:t xml:space="preserve">información disponible </w:t>
      </w:r>
      <w:r w:rsidRPr="00165EC6">
        <w:rPr>
          <w:rFonts w:ascii="Cambria" w:eastAsia="Batang" w:hAnsi="Cambria"/>
          <w:sz w:val="20"/>
          <w:szCs w:val="20"/>
          <w:bdr w:val="none" w:sz="0" w:space="0" w:color="auto"/>
          <w:lang w:val="es-AR"/>
        </w:rPr>
        <w:t>surge que</w:t>
      </w:r>
      <w:r w:rsidR="00277412" w:rsidRPr="00165EC6">
        <w:rPr>
          <w:rFonts w:ascii="Cambria" w:eastAsia="Batang" w:hAnsi="Cambria"/>
          <w:sz w:val="20"/>
          <w:szCs w:val="20"/>
          <w:bdr w:val="none" w:sz="0" w:space="0" w:color="auto"/>
          <w:lang w:val="es-AR"/>
        </w:rPr>
        <w:t>, al día de aprobación del presente informe, ninguno de estos procesos civiles ha sido resuelto de manera definitiva. Tampoco se cuenta con información sobre el pago de reparaciones</w:t>
      </w:r>
      <w:r w:rsidRPr="00165EC6">
        <w:rPr>
          <w:rFonts w:ascii="Cambria" w:eastAsia="Batang" w:hAnsi="Cambria"/>
          <w:sz w:val="20"/>
          <w:szCs w:val="20"/>
          <w:bdr w:val="none" w:sz="0" w:space="0" w:color="auto"/>
          <w:lang w:val="es-AR"/>
        </w:rPr>
        <w:t xml:space="preserve"> por parte </w:t>
      </w:r>
      <w:r w:rsidR="00277412" w:rsidRPr="00165EC6">
        <w:rPr>
          <w:rFonts w:ascii="Cambria" w:eastAsia="Batang" w:hAnsi="Cambria"/>
          <w:sz w:val="20"/>
          <w:szCs w:val="20"/>
          <w:bdr w:val="none" w:sz="0" w:space="0" w:color="auto"/>
          <w:lang w:val="es-AR"/>
        </w:rPr>
        <w:t>del Estado, más allá de los pagos parciales, relativos a la decisión de anticipación de tutela en los términos ya descritos.</w:t>
      </w:r>
    </w:p>
    <w:p w:rsidR="00277412" w:rsidRPr="00165EC6" w:rsidRDefault="00277412" w:rsidP="00B74E3A">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ind w:left="1440" w:hanging="720"/>
        <w:jc w:val="both"/>
        <w:outlineLvl w:val="3"/>
        <w:rPr>
          <w:rFonts w:ascii="Cambria" w:eastAsia="Times New Roman" w:hAnsi="Cambria"/>
          <w:b/>
          <w:bCs/>
          <w:sz w:val="20"/>
          <w:szCs w:val="20"/>
          <w:bdr w:val="none" w:sz="0" w:space="0" w:color="auto"/>
          <w:lang w:val="es-ES"/>
        </w:rPr>
      </w:pPr>
      <w:r w:rsidRPr="00165EC6">
        <w:rPr>
          <w:rFonts w:ascii="Cambria" w:eastAsia="Times New Roman" w:hAnsi="Cambria"/>
          <w:b/>
          <w:bCs/>
          <w:sz w:val="20"/>
          <w:szCs w:val="20"/>
          <w:bdr w:val="none" w:sz="0" w:space="0" w:color="auto"/>
          <w:lang w:val="es-ES"/>
        </w:rPr>
        <w:t>b</w:t>
      </w:r>
      <w:r w:rsidR="009C17FA" w:rsidRPr="00165EC6">
        <w:rPr>
          <w:rFonts w:ascii="Cambria" w:eastAsia="Times New Roman" w:hAnsi="Cambria"/>
          <w:b/>
          <w:bCs/>
          <w:sz w:val="20"/>
          <w:szCs w:val="20"/>
          <w:bdr w:val="none" w:sz="0" w:space="0" w:color="auto"/>
          <w:lang w:val="es-ES"/>
        </w:rPr>
        <w:t>.</w:t>
      </w:r>
      <w:r w:rsidRPr="00165EC6">
        <w:rPr>
          <w:rFonts w:ascii="Cambria" w:eastAsia="Times New Roman" w:hAnsi="Cambria"/>
          <w:b/>
          <w:bCs/>
          <w:sz w:val="20"/>
          <w:szCs w:val="20"/>
          <w:bdr w:val="none" w:sz="0" w:space="0" w:color="auto"/>
          <w:lang w:val="es-ES"/>
        </w:rPr>
        <w:t xml:space="preserve"> </w:t>
      </w:r>
      <w:r w:rsidRPr="00165EC6">
        <w:rPr>
          <w:rFonts w:ascii="Cambria" w:eastAsia="Times New Roman" w:hAnsi="Cambria"/>
          <w:b/>
          <w:bCs/>
          <w:sz w:val="20"/>
          <w:szCs w:val="20"/>
          <w:bdr w:val="none" w:sz="0" w:space="0" w:color="auto"/>
          <w:lang w:val="es-ES"/>
        </w:rPr>
        <w:tab/>
        <w:t>Causa civil contra los demandados Osvaldo Prazeres Bastos, Maria Juelieta Fróes Bastos y Mário Fróes Prazeres Bastos (proceso número 0000186-40.1999.8.05.0229)</w:t>
      </w: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AR"/>
        </w:rPr>
      </w:pPr>
    </w:p>
    <w:p w:rsidR="00277412" w:rsidRPr="00165EC6" w:rsidRDefault="00277412" w:rsidP="003B61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CO"/>
        </w:rPr>
      </w:pPr>
      <w:r w:rsidRPr="00165EC6">
        <w:rPr>
          <w:rFonts w:ascii="Cambria" w:eastAsia="Batang" w:hAnsi="Cambria"/>
          <w:sz w:val="20"/>
          <w:szCs w:val="20"/>
          <w:bdr w:val="none" w:sz="0" w:space="0" w:color="auto"/>
          <w:lang w:val="es-MX"/>
        </w:rPr>
        <w:t xml:space="preserve">La Comisión tiene conocimiento </w:t>
      </w:r>
      <w:r w:rsidR="00613482" w:rsidRPr="00165EC6">
        <w:rPr>
          <w:rFonts w:ascii="Cambria" w:eastAsia="Batang" w:hAnsi="Cambria"/>
          <w:sz w:val="20"/>
          <w:szCs w:val="20"/>
          <w:bdr w:val="none" w:sz="0" w:space="0" w:color="auto"/>
          <w:lang w:val="es-MX"/>
        </w:rPr>
        <w:t xml:space="preserve">de </w:t>
      </w:r>
      <w:r w:rsidRPr="00165EC6">
        <w:rPr>
          <w:rFonts w:ascii="Cambria" w:eastAsia="Batang" w:hAnsi="Cambria"/>
          <w:sz w:val="20"/>
          <w:szCs w:val="20"/>
          <w:bdr w:val="none" w:sz="0" w:space="0" w:color="auto"/>
          <w:lang w:val="es-MX"/>
        </w:rPr>
        <w:t>que el 9 de enero de 1999 se instauró un segundo proceso civil ante el Juzgado de Primera instancia de lo Civil en el Estado de Bahía, por el Ministerio Público del Estado de Bahía y por</w:t>
      </w:r>
      <w:r w:rsidR="00E30D65" w:rsidRPr="00165EC6">
        <w:rPr>
          <w:rFonts w:ascii="Cambria" w:eastAsia="Batang" w:hAnsi="Cambria"/>
          <w:sz w:val="20"/>
          <w:szCs w:val="20"/>
          <w:bdr w:val="none" w:sz="0" w:space="0" w:color="auto"/>
          <w:lang w:val="es-MX"/>
        </w:rPr>
        <w:t xml:space="preserve"> varias personas</w:t>
      </w:r>
      <w:r w:rsidR="00E30D65" w:rsidRPr="00165EC6">
        <w:rPr>
          <w:rStyle w:val="FootnoteReference"/>
          <w:rFonts w:ascii="Cambria" w:eastAsia="Batang" w:hAnsi="Cambria"/>
          <w:sz w:val="20"/>
          <w:szCs w:val="20"/>
          <w:bdr w:val="none" w:sz="0" w:space="0" w:color="auto"/>
          <w:lang w:val="pt-BR"/>
        </w:rPr>
        <w:footnoteReference w:id="57"/>
      </w:r>
      <w:r w:rsidRPr="00165EC6">
        <w:rPr>
          <w:rFonts w:ascii="Cambria" w:eastAsia="Batang" w:hAnsi="Cambria"/>
          <w:sz w:val="20"/>
          <w:szCs w:val="20"/>
          <w:bdr w:val="none" w:sz="0" w:space="0" w:color="auto"/>
          <w:lang w:val="es-MX"/>
        </w:rPr>
        <w:t xml:space="preserve">, contra Osvaldo Prazeres Bastos, Mário Fróes Prazeres Bastos y Maria Juelieta Fróes Bastos. Este proceso se interpuso con la finalidad de obtener reparaciones </w:t>
      </w:r>
      <w:r w:rsidR="00613482" w:rsidRPr="00165EC6">
        <w:rPr>
          <w:rFonts w:ascii="Cambria" w:eastAsia="Batang" w:hAnsi="Cambria"/>
          <w:sz w:val="20"/>
          <w:szCs w:val="20"/>
          <w:bdr w:val="none" w:sz="0" w:space="0" w:color="auto"/>
          <w:lang w:val="es-MX"/>
        </w:rPr>
        <w:t>por</w:t>
      </w:r>
      <w:r w:rsidRPr="00165EC6">
        <w:rPr>
          <w:rFonts w:ascii="Cambria" w:eastAsia="Batang" w:hAnsi="Cambria"/>
          <w:sz w:val="20"/>
          <w:szCs w:val="20"/>
          <w:bdr w:val="none" w:sz="0" w:space="0" w:color="auto"/>
          <w:lang w:val="es-MX"/>
        </w:rPr>
        <w:t xml:space="preserve"> daños</w:t>
      </w:r>
      <w:r w:rsidRPr="00165EC6">
        <w:rPr>
          <w:rFonts w:ascii="Cambria" w:eastAsia="Batang" w:hAnsi="Cambria"/>
          <w:sz w:val="20"/>
          <w:szCs w:val="20"/>
          <w:bdr w:val="none" w:sz="0" w:space="0" w:color="auto"/>
          <w:vertAlign w:val="superscript"/>
          <w:lang w:val="pt-BR"/>
        </w:rPr>
        <w:footnoteReference w:id="58"/>
      </w:r>
      <w:r w:rsidRPr="00165EC6">
        <w:rPr>
          <w:rFonts w:ascii="Cambria" w:eastAsia="Batang" w:hAnsi="Cambria"/>
          <w:sz w:val="20"/>
          <w:szCs w:val="20"/>
          <w:bdr w:val="none" w:sz="0" w:space="0" w:color="auto"/>
          <w:lang w:val="es-MX"/>
        </w:rPr>
        <w:t xml:space="preserve">. </w:t>
      </w:r>
    </w:p>
    <w:p w:rsidR="00277412" w:rsidRPr="00165EC6" w:rsidRDefault="00277412" w:rsidP="003B61D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CO"/>
        </w:rPr>
      </w:pPr>
    </w:p>
    <w:p w:rsidR="00277412" w:rsidRPr="00165EC6" w:rsidRDefault="00277412" w:rsidP="003B61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CO"/>
        </w:rPr>
      </w:pPr>
      <w:r w:rsidRPr="00165EC6">
        <w:rPr>
          <w:rFonts w:ascii="Cambria" w:eastAsia="Batang" w:hAnsi="Cambria"/>
          <w:sz w:val="20"/>
          <w:szCs w:val="20"/>
          <w:bdr w:val="none" w:sz="0" w:space="0" w:color="auto"/>
          <w:lang w:val="es-MX"/>
        </w:rPr>
        <w:t xml:space="preserve">La fase inicial de este proceso terminó por medio de acuerdo entre las víctimas y parientes y los demandados, acuerdo que fue homologado por el Juzgado de primera instancia el 10 de diciembre de </w:t>
      </w:r>
      <w:r w:rsidRPr="00165EC6">
        <w:rPr>
          <w:rFonts w:ascii="Cambria" w:eastAsia="Batang" w:hAnsi="Cambria"/>
          <w:sz w:val="20"/>
          <w:szCs w:val="20"/>
          <w:bdr w:val="none" w:sz="0" w:space="0" w:color="auto"/>
          <w:lang w:val="es-MX"/>
        </w:rPr>
        <w:lastRenderedPageBreak/>
        <w:t xml:space="preserve">2013. </w:t>
      </w:r>
      <w:r w:rsidRPr="00165EC6">
        <w:rPr>
          <w:rFonts w:ascii="Cambria" w:eastAsia="Batang" w:hAnsi="Cambria"/>
          <w:sz w:val="20"/>
          <w:szCs w:val="20"/>
          <w:bdr w:val="none" w:sz="0" w:space="0" w:color="auto"/>
          <w:lang w:val="es-CO"/>
        </w:rPr>
        <w:t>A la fecha de aprobación del presente informe, la Comisión no cuenta con información respecto del contenido ni cumplimiento de este acuerdo</w:t>
      </w:r>
      <w:r w:rsidRPr="00165EC6">
        <w:rPr>
          <w:rFonts w:ascii="Cambria" w:eastAsia="Batang" w:hAnsi="Cambria"/>
          <w:sz w:val="20"/>
          <w:szCs w:val="20"/>
          <w:bdr w:val="none" w:sz="0" w:space="0" w:color="auto"/>
          <w:vertAlign w:val="superscript"/>
          <w:lang w:val="es-CO"/>
        </w:rPr>
        <w:footnoteReference w:id="59"/>
      </w:r>
      <w:r w:rsidRPr="00165EC6">
        <w:rPr>
          <w:rFonts w:ascii="Cambria" w:eastAsia="Batang" w:hAnsi="Cambria"/>
          <w:sz w:val="20"/>
          <w:szCs w:val="20"/>
          <w:bdr w:val="none" w:sz="0" w:space="0" w:color="auto"/>
          <w:lang w:val="es-CO"/>
        </w:rPr>
        <w:t xml:space="preserve">, únicamente se conoce que </w:t>
      </w:r>
      <w:r w:rsidR="00613482" w:rsidRPr="00165EC6">
        <w:rPr>
          <w:rFonts w:ascii="Cambria" w:eastAsia="Batang" w:hAnsi="Cambria"/>
          <w:sz w:val="20"/>
          <w:szCs w:val="20"/>
          <w:bdr w:val="none" w:sz="0" w:space="0" w:color="auto"/>
          <w:lang w:val="es-CO"/>
        </w:rPr>
        <w:t>el mi</w:t>
      </w:r>
      <w:r w:rsidR="00DC38F2" w:rsidRPr="00165EC6">
        <w:rPr>
          <w:rFonts w:ascii="Cambria" w:eastAsia="Batang" w:hAnsi="Cambria"/>
          <w:sz w:val="20"/>
          <w:szCs w:val="20"/>
          <w:bdr w:val="none" w:sz="0" w:space="0" w:color="auto"/>
          <w:lang w:val="es-CO"/>
        </w:rPr>
        <w:t>s</w:t>
      </w:r>
      <w:r w:rsidR="00613482" w:rsidRPr="00165EC6">
        <w:rPr>
          <w:rFonts w:ascii="Cambria" w:eastAsia="Batang" w:hAnsi="Cambria"/>
          <w:sz w:val="20"/>
          <w:szCs w:val="20"/>
          <w:bdr w:val="none" w:sz="0" w:space="0" w:color="auto"/>
          <w:lang w:val="es-CO"/>
        </w:rPr>
        <w:t xml:space="preserve">mo </w:t>
      </w:r>
      <w:r w:rsidRPr="00165EC6">
        <w:rPr>
          <w:rFonts w:ascii="Cambria" w:eastAsia="Batang" w:hAnsi="Cambria"/>
          <w:sz w:val="20"/>
          <w:szCs w:val="20"/>
          <w:bdr w:val="none" w:sz="0" w:space="0" w:color="auto"/>
          <w:lang w:val="es-MX"/>
        </w:rPr>
        <w:t>estipula que no tendría efectos en el proceso penal, en los procesos laborales ni en el otro proceso civil seguido contra el Estado</w:t>
      </w:r>
      <w:r w:rsidRPr="00165EC6">
        <w:rPr>
          <w:rFonts w:ascii="Cambria" w:eastAsia="Batang" w:hAnsi="Cambria"/>
          <w:sz w:val="20"/>
          <w:szCs w:val="20"/>
          <w:bdr w:val="none" w:sz="0" w:space="0" w:color="auto"/>
          <w:vertAlign w:val="superscript"/>
          <w:lang w:val="es-MX"/>
        </w:rPr>
        <w:footnoteReference w:id="60"/>
      </w:r>
      <w:r w:rsidRPr="00165EC6">
        <w:rPr>
          <w:rFonts w:ascii="Cambria" w:eastAsia="Batang" w:hAnsi="Cambria"/>
          <w:sz w:val="20"/>
          <w:szCs w:val="20"/>
          <w:bdr w:val="none" w:sz="0" w:space="0" w:color="auto"/>
          <w:lang w:val="es-MX"/>
        </w:rPr>
        <w:t>.</w:t>
      </w:r>
    </w:p>
    <w:p w:rsidR="00277412" w:rsidRPr="00165EC6" w:rsidRDefault="004A4612" w:rsidP="004A4612">
      <w:pPr>
        <w:pStyle w:val="Heading3"/>
        <w:ind w:firstLine="720"/>
        <w:rPr>
          <w:rFonts w:asciiTheme="majorHAnsi" w:hAnsiTheme="majorHAnsi"/>
          <w:sz w:val="20"/>
          <w:szCs w:val="20"/>
          <w:lang w:val="pt-BR"/>
        </w:rPr>
      </w:pPr>
      <w:bookmarkStart w:id="19" w:name="_Toc506225834"/>
      <w:r w:rsidRPr="00165EC6">
        <w:rPr>
          <w:rFonts w:asciiTheme="majorHAnsi" w:hAnsiTheme="majorHAnsi"/>
          <w:sz w:val="20"/>
          <w:szCs w:val="20"/>
          <w:lang w:val="pt-BR"/>
        </w:rPr>
        <w:t>3.</w:t>
      </w:r>
      <w:r w:rsidRPr="00165EC6">
        <w:rPr>
          <w:rFonts w:asciiTheme="majorHAnsi" w:hAnsiTheme="majorHAnsi"/>
          <w:sz w:val="20"/>
          <w:szCs w:val="20"/>
          <w:lang w:val="pt-BR"/>
        </w:rPr>
        <w:tab/>
        <w:t>Laboral.</w:t>
      </w:r>
      <w:bookmarkEnd w:id="19"/>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b/>
          <w:sz w:val="20"/>
          <w:szCs w:val="20"/>
          <w:bdr w:val="none" w:sz="0" w:space="0" w:color="auto"/>
          <w:lang w:val="pt-BR"/>
        </w:rPr>
      </w:pPr>
    </w:p>
    <w:p w:rsidR="00277412" w:rsidRPr="00165EC6" w:rsidRDefault="00277412" w:rsidP="004A461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Batang" w:hAnsi="Cambria"/>
          <w:b/>
          <w:sz w:val="20"/>
          <w:szCs w:val="20"/>
          <w:bdr w:val="none" w:sz="0" w:space="0" w:color="auto"/>
          <w:lang w:val="pt-BR"/>
        </w:rPr>
      </w:pPr>
      <w:r w:rsidRPr="00165EC6">
        <w:rPr>
          <w:rFonts w:ascii="Cambria" w:eastAsia="Batang" w:hAnsi="Cambria"/>
          <w:b/>
          <w:sz w:val="20"/>
          <w:szCs w:val="20"/>
          <w:bdr w:val="none" w:sz="0" w:space="0" w:color="auto"/>
          <w:lang w:val="pt-BR"/>
        </w:rPr>
        <w:t>Causas laborales contra Osvaldo Prazeres Bastos, Maria Juelieta Fróes Bastos y Mário</w:t>
      </w:r>
      <w:r w:rsidR="004D7CD1" w:rsidRPr="00165EC6">
        <w:rPr>
          <w:rFonts w:ascii="Cambria" w:eastAsia="Batang" w:hAnsi="Cambria"/>
          <w:b/>
          <w:sz w:val="20"/>
          <w:szCs w:val="20"/>
          <w:bdr w:val="none" w:sz="0" w:space="0" w:color="auto"/>
          <w:lang w:val="pt-BR"/>
        </w:rPr>
        <w:t xml:space="preserve"> </w:t>
      </w:r>
      <w:r w:rsidRPr="00165EC6">
        <w:rPr>
          <w:rFonts w:ascii="Cambria" w:eastAsia="Batang" w:hAnsi="Cambria"/>
          <w:b/>
          <w:sz w:val="20"/>
          <w:szCs w:val="20"/>
          <w:bdr w:val="none" w:sz="0" w:space="0" w:color="auto"/>
          <w:lang w:val="pt-BR"/>
        </w:rPr>
        <w:t>Fróes Prazeres Bastos (proceso número 447-05.1999.8.05.2291)</w:t>
      </w:r>
      <w:r w:rsidR="004A4612" w:rsidRPr="00165EC6">
        <w:rPr>
          <w:rFonts w:ascii="Cambria" w:eastAsia="Batang" w:hAnsi="Cambria"/>
          <w:b/>
          <w:sz w:val="20"/>
          <w:szCs w:val="20"/>
          <w:bdr w:val="none" w:sz="0" w:space="0" w:color="auto"/>
          <w:lang w:val="pt-BR"/>
        </w:rPr>
        <w:t>.</w:t>
      </w: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pt-BR"/>
        </w:rPr>
      </w:pPr>
    </w:p>
    <w:p w:rsidR="00277412" w:rsidRPr="00165EC6" w:rsidRDefault="00277412" w:rsidP="003B61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i/>
          <w:sz w:val="20"/>
          <w:szCs w:val="20"/>
          <w:bdr w:val="none" w:sz="0" w:space="0" w:color="auto"/>
          <w:lang w:val="es-CL"/>
        </w:rPr>
      </w:pPr>
      <w:r w:rsidRPr="00165EC6">
        <w:rPr>
          <w:rFonts w:ascii="Cambria" w:eastAsia="Batang" w:hAnsi="Cambria"/>
          <w:sz w:val="20"/>
          <w:szCs w:val="20"/>
          <w:bdr w:val="none" w:sz="0" w:space="0" w:color="auto"/>
          <w:lang w:val="es-CO"/>
        </w:rPr>
        <w:t xml:space="preserve">Se siguieron 76 procesos laborales ante la Justicia del Trabajo de Santo Antônio de Jesus, de los cuales 30 fueron archivados definitivamente de inicio y otros 46 fueron declarados improcedentes. La Comisión únicamente cuenta con copia de una sentencia de primera instancia </w:t>
      </w:r>
      <w:r w:rsidR="00583E78" w:rsidRPr="00165EC6">
        <w:rPr>
          <w:rFonts w:ascii="Cambria" w:eastAsia="Batang" w:hAnsi="Cambria"/>
          <w:sz w:val="20"/>
          <w:szCs w:val="20"/>
          <w:bdr w:val="none" w:sz="0" w:space="0" w:color="auto"/>
          <w:lang w:val="es-CO"/>
        </w:rPr>
        <w:t>aportada</w:t>
      </w:r>
      <w:r w:rsidRPr="00165EC6">
        <w:rPr>
          <w:rFonts w:ascii="Cambria" w:eastAsia="Batang" w:hAnsi="Cambria"/>
          <w:sz w:val="20"/>
          <w:szCs w:val="20"/>
          <w:bdr w:val="none" w:sz="0" w:space="0" w:color="auto"/>
          <w:lang w:val="es-CO"/>
        </w:rPr>
        <w:t xml:space="preserve"> por Valdelice Cunha Reis, madre de una de las víctimas que fallecieron en la explosión, Joseane Cunha Reis. En dicha sentenci</w:t>
      </w:r>
      <w:r w:rsidR="00E30D65" w:rsidRPr="00165EC6">
        <w:rPr>
          <w:rFonts w:ascii="Cambria" w:eastAsia="Batang" w:hAnsi="Cambria"/>
          <w:sz w:val="20"/>
          <w:szCs w:val="20"/>
          <w:bdr w:val="none" w:sz="0" w:space="0" w:color="auto"/>
          <w:lang w:val="es-CO"/>
        </w:rPr>
        <w:t>a, del 29 de marzo de 2001, la Jueza de T</w:t>
      </w:r>
      <w:r w:rsidRPr="00165EC6">
        <w:rPr>
          <w:rFonts w:ascii="Cambria" w:eastAsia="Batang" w:hAnsi="Cambria"/>
          <w:sz w:val="20"/>
          <w:szCs w:val="20"/>
          <w:bdr w:val="none" w:sz="0" w:space="0" w:color="auto"/>
          <w:lang w:val="es-CO"/>
        </w:rPr>
        <w:t xml:space="preserve">rabajo resolvió la acción improcedente porque no se reconoció el vínculo laboral con ninguno de los demandados. </w:t>
      </w:r>
    </w:p>
    <w:p w:rsidR="00277412" w:rsidRPr="00165EC6" w:rsidRDefault="00277412" w:rsidP="003B61D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i/>
          <w:sz w:val="20"/>
          <w:szCs w:val="20"/>
          <w:bdr w:val="none" w:sz="0" w:space="0" w:color="auto"/>
          <w:lang w:val="es-CL"/>
        </w:rPr>
      </w:pPr>
    </w:p>
    <w:p w:rsidR="00277412" w:rsidRPr="00165EC6" w:rsidRDefault="00277412" w:rsidP="003B61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i/>
          <w:sz w:val="20"/>
          <w:szCs w:val="20"/>
          <w:bdr w:val="none" w:sz="0" w:space="0" w:color="auto"/>
          <w:lang w:val="es-CL"/>
        </w:rPr>
      </w:pPr>
      <w:r w:rsidRPr="00165EC6">
        <w:rPr>
          <w:rFonts w:ascii="Cambria" w:eastAsia="Batang" w:hAnsi="Cambria"/>
          <w:sz w:val="20"/>
          <w:szCs w:val="20"/>
          <w:bdr w:val="none" w:sz="0" w:space="0" w:color="auto"/>
          <w:lang w:val="es-CL"/>
        </w:rPr>
        <w:t xml:space="preserve">Después de la resolución de improcedencia, los reclamantes de 46 acciones laborales interpusieron recurso ordinario ante el Tribunal Regional de Trabajo de la Quinta Región en Bahía; consiguiendo </w:t>
      </w:r>
      <w:r w:rsidR="00E30D65" w:rsidRPr="00165EC6">
        <w:rPr>
          <w:rFonts w:ascii="Cambria" w:eastAsia="Batang" w:hAnsi="Cambria"/>
          <w:sz w:val="20"/>
          <w:szCs w:val="20"/>
          <w:bdr w:val="none" w:sz="0" w:space="0" w:color="auto"/>
          <w:lang w:val="es-CL"/>
        </w:rPr>
        <w:t xml:space="preserve">que </w:t>
      </w:r>
      <w:r w:rsidRPr="00165EC6">
        <w:rPr>
          <w:rFonts w:ascii="Cambria" w:eastAsia="Batang" w:hAnsi="Cambria"/>
          <w:sz w:val="20"/>
          <w:szCs w:val="20"/>
          <w:bdr w:val="none" w:sz="0" w:space="0" w:color="auto"/>
          <w:lang w:val="es-CL"/>
        </w:rPr>
        <w:t xml:space="preserve">se revirtiera  la sentencia de primera instancia y se ordenara </w:t>
      </w:r>
      <w:r w:rsidR="00E30D65" w:rsidRPr="00165EC6">
        <w:rPr>
          <w:rFonts w:ascii="Cambria" w:eastAsia="Batang" w:hAnsi="Cambria"/>
          <w:sz w:val="20"/>
          <w:szCs w:val="20"/>
          <w:bdr w:val="none" w:sz="0" w:space="0" w:color="auto"/>
          <w:lang w:val="es-CL"/>
        </w:rPr>
        <w:t>nuevo pronunciamiento</w:t>
      </w:r>
      <w:r w:rsidRPr="00165EC6">
        <w:rPr>
          <w:rFonts w:ascii="Cambria" w:eastAsia="Batang" w:hAnsi="Cambria"/>
          <w:sz w:val="20"/>
          <w:szCs w:val="20"/>
          <w:bdr w:val="none" w:sz="0" w:space="0" w:color="auto"/>
          <w:lang w:val="es-CL"/>
        </w:rPr>
        <w:t xml:space="preserve">.  La nueva resolución </w:t>
      </w:r>
      <w:r w:rsidRPr="00165EC6">
        <w:rPr>
          <w:rFonts w:ascii="Cambria" w:eastAsia="Batang" w:hAnsi="Cambria"/>
          <w:sz w:val="20"/>
          <w:szCs w:val="20"/>
          <w:bdr w:val="none" w:sz="0" w:space="0" w:color="auto"/>
          <w:lang w:val="es-CO"/>
        </w:rPr>
        <w:t xml:space="preserve">reconoció el vínculo laboral con Mário Fróes Prazeres Bastos y resolvió parcialmente el derecho de varias de las víctimas y sus familiares a indemnización. </w:t>
      </w:r>
    </w:p>
    <w:p w:rsidR="00277412" w:rsidRPr="00165EC6" w:rsidRDefault="00277412" w:rsidP="003B61D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i/>
          <w:sz w:val="20"/>
          <w:szCs w:val="20"/>
          <w:bdr w:val="none" w:sz="0" w:space="0" w:color="auto"/>
          <w:lang w:val="es-CL"/>
        </w:rPr>
      </w:pPr>
    </w:p>
    <w:p w:rsidR="00277412" w:rsidRPr="00165EC6" w:rsidRDefault="00277412" w:rsidP="003B61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CL"/>
        </w:rPr>
      </w:pPr>
      <w:r w:rsidRPr="00165EC6">
        <w:rPr>
          <w:rFonts w:ascii="Cambria" w:eastAsia="Batang" w:hAnsi="Cambria"/>
          <w:sz w:val="20"/>
          <w:szCs w:val="20"/>
          <w:bdr w:val="none" w:sz="0" w:space="0" w:color="auto"/>
          <w:lang w:val="es-CL"/>
        </w:rPr>
        <w:t xml:space="preserve">La sentencia de segunda instancia, de fecha 12 de junio de 2001, respecto del proceso seguido por </w:t>
      </w:r>
      <w:r w:rsidRPr="00165EC6">
        <w:rPr>
          <w:rFonts w:ascii="Cambria" w:eastAsia="Batang" w:hAnsi="Cambria"/>
          <w:sz w:val="20"/>
          <w:szCs w:val="20"/>
          <w:bdr w:val="none" w:sz="0" w:space="0" w:color="auto"/>
          <w:lang w:val="es-CO"/>
        </w:rPr>
        <w:t>Valdelice Cunha Reis</w:t>
      </w:r>
      <w:r w:rsidRPr="00165EC6">
        <w:rPr>
          <w:rFonts w:ascii="Cambria" w:eastAsia="Batang" w:hAnsi="Cambria"/>
          <w:sz w:val="20"/>
          <w:szCs w:val="20"/>
          <w:bdr w:val="none" w:sz="0" w:space="0" w:color="auto"/>
          <w:lang w:val="es-CL"/>
        </w:rPr>
        <w:t xml:space="preserve"> reconoció el vínculo laboral entre </w:t>
      </w:r>
      <w:r w:rsidRPr="00165EC6">
        <w:rPr>
          <w:rFonts w:ascii="Cambria" w:eastAsia="Batang" w:hAnsi="Cambria"/>
          <w:sz w:val="20"/>
          <w:szCs w:val="20"/>
          <w:bdr w:val="none" w:sz="0" w:space="0" w:color="auto"/>
          <w:lang w:val="es-CO"/>
        </w:rPr>
        <w:t>Joseane Cunha Reis</w:t>
      </w:r>
      <w:r w:rsidRPr="00165EC6">
        <w:rPr>
          <w:rFonts w:ascii="Cambria" w:eastAsia="Batang" w:hAnsi="Cambria"/>
          <w:sz w:val="20"/>
          <w:szCs w:val="20"/>
          <w:bdr w:val="none" w:sz="0" w:space="0" w:color="auto"/>
          <w:lang w:val="es-CL"/>
        </w:rPr>
        <w:t xml:space="preserve"> y Mário Fróes Prazeres Bastos, y no con Osvaldo Prazeres Bastos, bajo el argumento de que “el hecho de</w:t>
      </w:r>
      <w:r w:rsidR="00276E52" w:rsidRPr="00165EC6">
        <w:rPr>
          <w:rFonts w:ascii="Cambria" w:eastAsia="Batang" w:hAnsi="Cambria"/>
          <w:sz w:val="20"/>
          <w:szCs w:val="20"/>
          <w:bdr w:val="none" w:sz="0" w:space="0" w:color="auto"/>
          <w:lang w:val="es-CL"/>
        </w:rPr>
        <w:t xml:space="preserve"> que</w:t>
      </w:r>
      <w:r w:rsidRPr="00165EC6">
        <w:rPr>
          <w:rFonts w:ascii="Cambria" w:eastAsia="Batang" w:hAnsi="Cambria"/>
          <w:sz w:val="20"/>
          <w:szCs w:val="20"/>
          <w:bdr w:val="none" w:sz="0" w:space="0" w:color="auto"/>
          <w:lang w:val="es-CL"/>
        </w:rPr>
        <w:t xml:space="preserve"> el señor Osvaldo sea dueño del sitio Juerana no implica reconocimiento de cualquier sociedad entre él y su hijo (Mário</w:t>
      </w:r>
      <w:r w:rsidR="006F117F" w:rsidRPr="00165EC6">
        <w:rPr>
          <w:rFonts w:ascii="Cambria" w:eastAsia="Batang" w:hAnsi="Cambria"/>
          <w:sz w:val="20"/>
          <w:szCs w:val="20"/>
          <w:bdr w:val="none" w:sz="0" w:space="0" w:color="auto"/>
          <w:lang w:val="es-CL"/>
        </w:rPr>
        <w:t xml:space="preserve"> Fróes</w:t>
      </w:r>
      <w:r w:rsidRPr="00165EC6">
        <w:rPr>
          <w:rFonts w:ascii="Cambria" w:eastAsia="Batang" w:hAnsi="Cambria"/>
          <w:sz w:val="20"/>
          <w:szCs w:val="20"/>
          <w:bdr w:val="none" w:sz="0" w:space="0" w:color="auto"/>
          <w:lang w:val="es-CL"/>
        </w:rPr>
        <w:t>), que utiliza la instalación de las tiendas. Prevaleciendo la tesis del autor de la demanda, tendríamos que admitir relación de empleo con el dueño y no con el empleador lo que significa que todo y cualquier empresario tendría de ser el propietario del inmueble en el cual funciona la empresa, de modo que no podría ser alquilado, etc.”</w:t>
      </w:r>
      <w:r w:rsidRPr="00165EC6">
        <w:rPr>
          <w:rFonts w:ascii="Cambria" w:eastAsia="Batang" w:hAnsi="Cambria"/>
          <w:sz w:val="20"/>
          <w:szCs w:val="20"/>
          <w:bdr w:val="none" w:sz="0" w:space="0" w:color="auto"/>
          <w:vertAlign w:val="superscript"/>
          <w:lang w:val="es-CL"/>
        </w:rPr>
        <w:footnoteReference w:id="61"/>
      </w:r>
      <w:r w:rsidRPr="00165EC6">
        <w:rPr>
          <w:rFonts w:ascii="Cambria" w:eastAsia="Batang" w:hAnsi="Cambria"/>
          <w:sz w:val="20"/>
          <w:szCs w:val="20"/>
          <w:bdr w:val="none" w:sz="0" w:space="0" w:color="auto"/>
          <w:lang w:val="es-CL"/>
        </w:rPr>
        <w:t xml:space="preserve">. </w:t>
      </w:r>
    </w:p>
    <w:p w:rsidR="00277412" w:rsidRPr="00165EC6" w:rsidRDefault="00277412" w:rsidP="003B61D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CL"/>
        </w:rPr>
      </w:pPr>
    </w:p>
    <w:p w:rsidR="00277412" w:rsidRPr="00165EC6" w:rsidRDefault="00277412" w:rsidP="003B61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CL"/>
        </w:rPr>
      </w:pPr>
      <w:r w:rsidRPr="00165EC6">
        <w:rPr>
          <w:rFonts w:ascii="Cambria" w:eastAsia="Batang" w:hAnsi="Cambria"/>
          <w:sz w:val="20"/>
          <w:szCs w:val="20"/>
          <w:bdr w:val="none" w:sz="0" w:space="0" w:color="auto"/>
          <w:lang w:val="es-CL"/>
        </w:rPr>
        <w:t xml:space="preserve">En este mismo sentido, </w:t>
      </w:r>
      <w:r w:rsidR="006F117F" w:rsidRPr="00165EC6">
        <w:rPr>
          <w:rFonts w:ascii="Cambria" w:eastAsia="Batang" w:hAnsi="Cambria"/>
          <w:sz w:val="20"/>
          <w:szCs w:val="20"/>
          <w:bdr w:val="none" w:sz="0" w:space="0" w:color="auto"/>
          <w:lang w:val="es-CL"/>
        </w:rPr>
        <w:t>la</w:t>
      </w:r>
      <w:r w:rsidRPr="00165EC6">
        <w:rPr>
          <w:rFonts w:ascii="Cambria" w:eastAsia="Batang" w:hAnsi="Cambria"/>
          <w:sz w:val="20"/>
          <w:szCs w:val="20"/>
          <w:bdr w:val="none" w:sz="0" w:space="0" w:color="auto"/>
          <w:lang w:val="es-CL"/>
        </w:rPr>
        <w:t xml:space="preserve"> sentencia refirió “toda la instrucción probatoria oral y documental confirma que solamente el primero demandado (Mário Fróes) es el responsable por la actividad de pirotecnia, inexistiendo cualquier prueba de que los demás miembros de la familia también asumiesen los riesgos de la actividad económica o tuvieran poder de gestión en la empresa”</w:t>
      </w:r>
      <w:r w:rsidRPr="00165EC6">
        <w:rPr>
          <w:rFonts w:ascii="Cambria" w:eastAsia="Batang" w:hAnsi="Cambria"/>
          <w:sz w:val="20"/>
          <w:szCs w:val="20"/>
          <w:bdr w:val="none" w:sz="0" w:space="0" w:color="auto"/>
          <w:vertAlign w:val="superscript"/>
          <w:lang w:val="es-CL"/>
        </w:rPr>
        <w:footnoteReference w:id="62"/>
      </w:r>
      <w:r w:rsidRPr="00165EC6">
        <w:rPr>
          <w:rFonts w:ascii="Cambria" w:eastAsia="Batang" w:hAnsi="Cambria"/>
          <w:sz w:val="20"/>
          <w:szCs w:val="20"/>
          <w:bdr w:val="none" w:sz="0" w:space="0" w:color="auto"/>
          <w:lang w:val="es-CL"/>
        </w:rPr>
        <w:t xml:space="preserve">. </w:t>
      </w:r>
    </w:p>
    <w:p w:rsidR="00277412" w:rsidRPr="00165EC6" w:rsidRDefault="00277412" w:rsidP="003B61D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i/>
          <w:sz w:val="20"/>
          <w:szCs w:val="20"/>
          <w:bdr w:val="none" w:sz="0" w:space="0" w:color="auto"/>
          <w:lang w:val="es-CL"/>
        </w:rPr>
      </w:pPr>
    </w:p>
    <w:p w:rsidR="00277412" w:rsidRPr="00165EC6" w:rsidRDefault="00277412" w:rsidP="003B61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i/>
          <w:sz w:val="20"/>
          <w:szCs w:val="20"/>
          <w:bdr w:val="none" w:sz="0" w:space="0" w:color="auto"/>
          <w:lang w:val="es-CL"/>
        </w:rPr>
      </w:pPr>
      <w:r w:rsidRPr="00165EC6">
        <w:rPr>
          <w:rFonts w:ascii="Cambria" w:eastAsia="Batang" w:hAnsi="Cambria"/>
          <w:sz w:val="20"/>
          <w:szCs w:val="20"/>
          <w:bdr w:val="none" w:sz="0" w:space="0" w:color="auto"/>
          <w:lang w:val="es-CL"/>
        </w:rPr>
        <w:t xml:space="preserve">En certificado expedido por el </w:t>
      </w:r>
      <w:r w:rsidRPr="00165EC6">
        <w:rPr>
          <w:rFonts w:ascii="Cambria" w:eastAsia="Batang" w:hAnsi="Cambria"/>
          <w:sz w:val="20"/>
          <w:szCs w:val="20"/>
          <w:bdr w:val="none" w:sz="0" w:space="0" w:color="auto"/>
          <w:lang w:val="es-AR"/>
        </w:rPr>
        <w:t>Director Adjunto de la Secretaria del Tribunal Regional del Trabajo</w:t>
      </w:r>
      <w:r w:rsidR="006F117F" w:rsidRPr="00165EC6">
        <w:rPr>
          <w:rFonts w:ascii="Cambria" w:eastAsia="Batang" w:hAnsi="Cambria"/>
          <w:sz w:val="20"/>
          <w:szCs w:val="20"/>
          <w:bdr w:val="none" w:sz="0" w:space="0" w:color="auto"/>
          <w:lang w:val="es-AR"/>
        </w:rPr>
        <w:t>, se</w:t>
      </w:r>
      <w:r w:rsidRPr="00165EC6">
        <w:rPr>
          <w:rFonts w:ascii="Cambria" w:eastAsia="Batang" w:hAnsi="Cambria"/>
          <w:sz w:val="20"/>
          <w:szCs w:val="20"/>
          <w:bdr w:val="none" w:sz="0" w:space="0" w:color="auto"/>
          <w:lang w:val="es-AR"/>
        </w:rPr>
        <w:t xml:space="preserve"> señal</w:t>
      </w:r>
      <w:r w:rsidR="006F117F" w:rsidRPr="00165EC6">
        <w:rPr>
          <w:rFonts w:ascii="Cambria" w:eastAsia="Batang" w:hAnsi="Cambria"/>
          <w:sz w:val="20"/>
          <w:szCs w:val="20"/>
          <w:bdr w:val="none" w:sz="0" w:space="0" w:color="auto"/>
          <w:lang w:val="es-AR"/>
        </w:rPr>
        <w:t>a</w:t>
      </w:r>
      <w:r w:rsidRPr="00165EC6">
        <w:rPr>
          <w:rFonts w:ascii="Cambria" w:eastAsia="Batang" w:hAnsi="Cambria"/>
          <w:sz w:val="20"/>
          <w:szCs w:val="20"/>
          <w:bdr w:val="none" w:sz="0" w:space="0" w:color="auto"/>
          <w:lang w:val="es-AR"/>
        </w:rPr>
        <w:t xml:space="preserve"> “hasta la presente fecha, la Justicia espera que los reclamantes ejerzan su derecho, proporcionando a este juicio los necesarios medios para la continuidad de los procesos”</w:t>
      </w:r>
      <w:r w:rsidRPr="00165EC6">
        <w:rPr>
          <w:rFonts w:ascii="Cambria" w:eastAsia="Batang" w:hAnsi="Cambria"/>
          <w:sz w:val="20"/>
          <w:szCs w:val="20"/>
          <w:bdr w:val="none" w:sz="0" w:space="0" w:color="auto"/>
          <w:vertAlign w:val="superscript"/>
          <w:lang w:val="es-AR"/>
        </w:rPr>
        <w:footnoteReference w:id="63"/>
      </w:r>
      <w:r w:rsidRPr="00165EC6">
        <w:rPr>
          <w:rFonts w:ascii="Cambria" w:eastAsia="Batang" w:hAnsi="Cambria"/>
          <w:sz w:val="20"/>
          <w:szCs w:val="20"/>
          <w:bdr w:val="none" w:sz="0" w:space="0" w:color="auto"/>
          <w:lang w:val="es-AR"/>
        </w:rPr>
        <w:t>.</w:t>
      </w:r>
      <w:r w:rsidRPr="00165EC6">
        <w:rPr>
          <w:rFonts w:ascii="Cambria" w:eastAsia="Batang" w:hAnsi="Cambria"/>
          <w:sz w:val="20"/>
          <w:szCs w:val="20"/>
          <w:bdr w:val="none" w:sz="0" w:space="0" w:color="auto"/>
          <w:lang w:val="es-CL"/>
        </w:rPr>
        <w:t xml:space="preserve"> La Comisión no cuenta con información actualizada y entiende que las</w:t>
      </w:r>
      <w:r w:rsidR="00325809" w:rsidRPr="00165EC6">
        <w:rPr>
          <w:rFonts w:ascii="Cambria" w:eastAsia="Batang" w:hAnsi="Cambria"/>
          <w:sz w:val="20"/>
          <w:szCs w:val="20"/>
          <w:bdr w:val="none" w:sz="0" w:space="0" w:color="auto"/>
          <w:lang w:val="es-CL"/>
        </w:rPr>
        <w:t xml:space="preserve"> presuntas</w:t>
      </w:r>
      <w:r w:rsidRPr="00165EC6">
        <w:rPr>
          <w:rFonts w:ascii="Cambria" w:eastAsia="Batang" w:hAnsi="Cambria"/>
          <w:sz w:val="20"/>
          <w:szCs w:val="20"/>
          <w:bdr w:val="none" w:sz="0" w:space="0" w:color="auto"/>
          <w:lang w:val="es-CL"/>
        </w:rPr>
        <w:t xml:space="preserve"> víctimas sobrevivientes y los familiares de las </w:t>
      </w:r>
      <w:r w:rsidR="00325809" w:rsidRPr="00165EC6">
        <w:rPr>
          <w:rFonts w:ascii="Cambria" w:eastAsia="Batang" w:hAnsi="Cambria"/>
          <w:sz w:val="20"/>
          <w:szCs w:val="20"/>
          <w:bdr w:val="none" w:sz="0" w:space="0" w:color="auto"/>
          <w:lang w:val="es-CL"/>
        </w:rPr>
        <w:t xml:space="preserve"> presuntas </w:t>
      </w:r>
      <w:r w:rsidRPr="00165EC6">
        <w:rPr>
          <w:rFonts w:ascii="Cambria" w:eastAsia="Batang" w:hAnsi="Cambria"/>
          <w:sz w:val="20"/>
          <w:szCs w:val="20"/>
          <w:bdr w:val="none" w:sz="0" w:space="0" w:color="auto"/>
          <w:lang w:val="es-CL"/>
        </w:rPr>
        <w:t>víctimas fallecidas no han recibido indemnización alguna en la vía laboral.</w:t>
      </w:r>
    </w:p>
    <w:p w:rsidR="00277412" w:rsidRPr="00165EC6" w:rsidRDefault="00277412" w:rsidP="003B61D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i/>
          <w:sz w:val="20"/>
          <w:szCs w:val="20"/>
          <w:bdr w:val="none" w:sz="0" w:space="0" w:color="auto"/>
          <w:lang w:val="es-CL"/>
        </w:rPr>
      </w:pPr>
    </w:p>
    <w:p w:rsidR="00277412" w:rsidRPr="00165EC6" w:rsidRDefault="00277412" w:rsidP="003B61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i/>
          <w:sz w:val="20"/>
          <w:szCs w:val="20"/>
          <w:bdr w:val="none" w:sz="0" w:space="0" w:color="auto"/>
          <w:lang w:val="es-CL"/>
        </w:rPr>
      </w:pPr>
      <w:r w:rsidRPr="00165EC6">
        <w:rPr>
          <w:rFonts w:ascii="Cambria" w:eastAsia="Batang" w:hAnsi="Cambria"/>
          <w:sz w:val="20"/>
          <w:szCs w:val="20"/>
          <w:bdr w:val="none" w:sz="0" w:space="0" w:color="auto"/>
          <w:lang w:val="es-CL"/>
        </w:rPr>
        <w:t>Según información presentada por el Estado el 19 de octubre de 2006, los procesos laborales fueron archivados de manera provis</w:t>
      </w:r>
      <w:r w:rsidR="006F117F" w:rsidRPr="00165EC6">
        <w:rPr>
          <w:rFonts w:ascii="Cambria" w:eastAsia="Batang" w:hAnsi="Cambria"/>
          <w:sz w:val="20"/>
          <w:szCs w:val="20"/>
          <w:bdr w:val="none" w:sz="0" w:space="0" w:color="auto"/>
          <w:lang w:val="es-CL"/>
        </w:rPr>
        <w:t>ional</w:t>
      </w:r>
      <w:r w:rsidRPr="00165EC6">
        <w:rPr>
          <w:rFonts w:ascii="Cambria" w:eastAsia="Batang" w:hAnsi="Cambria"/>
          <w:sz w:val="20"/>
          <w:szCs w:val="20"/>
          <w:bdr w:val="none" w:sz="0" w:space="0" w:color="auto"/>
          <w:lang w:val="es-CL"/>
        </w:rPr>
        <w:t xml:space="preserve"> porque </w:t>
      </w:r>
      <w:r w:rsidR="006F117F" w:rsidRPr="00165EC6">
        <w:rPr>
          <w:rFonts w:ascii="Cambria" w:eastAsia="Batang" w:hAnsi="Cambria"/>
          <w:sz w:val="20"/>
          <w:szCs w:val="20"/>
          <w:bdr w:val="none" w:sz="0" w:space="0" w:color="auto"/>
          <w:lang w:val="es-CL"/>
        </w:rPr>
        <w:t>“</w:t>
      </w:r>
      <w:r w:rsidRPr="00165EC6">
        <w:rPr>
          <w:rFonts w:ascii="Cambria" w:eastAsia="Batang" w:hAnsi="Cambria"/>
          <w:sz w:val="20"/>
          <w:szCs w:val="20"/>
          <w:bdr w:val="none" w:sz="0" w:space="0" w:color="auto"/>
          <w:lang w:val="es-CO"/>
        </w:rPr>
        <w:t>no fueron encontrados bienes del ejecutado que garanticen la ejecución”</w:t>
      </w:r>
      <w:r w:rsidRPr="00165EC6">
        <w:rPr>
          <w:rFonts w:ascii="Cambria" w:eastAsia="Batang" w:hAnsi="Cambria"/>
          <w:sz w:val="20"/>
          <w:szCs w:val="20"/>
          <w:bdr w:val="none" w:sz="0" w:space="0" w:color="auto"/>
          <w:vertAlign w:val="superscript"/>
          <w:lang w:val="es-CO"/>
        </w:rPr>
        <w:footnoteReference w:id="64"/>
      </w:r>
      <w:r w:rsidRPr="00165EC6">
        <w:rPr>
          <w:rFonts w:ascii="Cambria" w:eastAsia="Batang" w:hAnsi="Cambria"/>
          <w:sz w:val="20"/>
          <w:szCs w:val="20"/>
          <w:bdr w:val="none" w:sz="0" w:space="0" w:color="auto"/>
          <w:lang w:val="es-AR"/>
        </w:rPr>
        <w:t>.</w:t>
      </w:r>
      <w:r w:rsidRPr="00165EC6">
        <w:rPr>
          <w:rFonts w:ascii="Cambria" w:eastAsia="Batang" w:hAnsi="Cambria"/>
          <w:sz w:val="20"/>
          <w:szCs w:val="20"/>
          <w:bdr w:val="none" w:sz="0" w:space="0" w:color="auto"/>
          <w:lang w:val="es-CL"/>
        </w:rPr>
        <w:t xml:space="preserve"> </w:t>
      </w: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CL"/>
        </w:rPr>
      </w:pPr>
    </w:p>
    <w:p w:rsidR="00277412" w:rsidRPr="00165EC6" w:rsidRDefault="00277412" w:rsidP="004A4612">
      <w:pPr>
        <w:pStyle w:val="Heading3"/>
        <w:ind w:firstLine="720"/>
        <w:rPr>
          <w:rFonts w:asciiTheme="majorHAnsi" w:hAnsiTheme="majorHAnsi"/>
          <w:sz w:val="20"/>
          <w:szCs w:val="20"/>
          <w:lang w:val="es-ES"/>
        </w:rPr>
      </w:pPr>
      <w:bookmarkStart w:id="21" w:name="_Toc506225835"/>
      <w:r w:rsidRPr="00165EC6">
        <w:rPr>
          <w:rFonts w:asciiTheme="majorHAnsi" w:hAnsiTheme="majorHAnsi"/>
          <w:sz w:val="20"/>
          <w:szCs w:val="20"/>
          <w:lang w:val="es-ES"/>
        </w:rPr>
        <w:t>4.</w:t>
      </w:r>
      <w:r w:rsidRPr="00165EC6">
        <w:rPr>
          <w:rFonts w:asciiTheme="majorHAnsi" w:hAnsiTheme="majorHAnsi"/>
          <w:sz w:val="20"/>
          <w:szCs w:val="20"/>
          <w:lang w:val="es-ES"/>
        </w:rPr>
        <w:tab/>
        <w:t>Administrativo</w:t>
      </w:r>
      <w:r w:rsidR="004A4612" w:rsidRPr="00165EC6">
        <w:rPr>
          <w:rFonts w:asciiTheme="majorHAnsi" w:hAnsiTheme="majorHAnsi"/>
          <w:sz w:val="20"/>
          <w:szCs w:val="20"/>
          <w:lang w:val="es-ES"/>
        </w:rPr>
        <w:t>.</w:t>
      </w:r>
      <w:bookmarkEnd w:id="21"/>
      <w:r w:rsidRPr="00165EC6">
        <w:rPr>
          <w:rFonts w:asciiTheme="majorHAnsi" w:hAnsiTheme="majorHAnsi"/>
          <w:sz w:val="20"/>
          <w:szCs w:val="20"/>
          <w:lang w:val="es-ES"/>
        </w:rPr>
        <w:t xml:space="preserve"> </w:t>
      </w: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CL"/>
        </w:rPr>
      </w:pPr>
    </w:p>
    <w:p w:rsidR="00277412" w:rsidRPr="00165EC6" w:rsidRDefault="00277412" w:rsidP="003B61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CL"/>
        </w:rPr>
      </w:pPr>
      <w:r w:rsidRPr="00165EC6">
        <w:rPr>
          <w:rFonts w:ascii="Cambria" w:eastAsia="Batang" w:hAnsi="Cambria"/>
          <w:sz w:val="20"/>
          <w:szCs w:val="20"/>
          <w:bdr w:val="none" w:sz="0" w:space="0" w:color="auto"/>
          <w:lang w:val="es-CL"/>
        </w:rPr>
        <w:t xml:space="preserve">A nivel interno se tramitó un procedimiento administrativo instaurado por la 6ª Región Militar del Ejército brasileño, el cual fue iniciado de oficio. Dos días después de la explosión, se </w:t>
      </w:r>
      <w:r w:rsidRPr="00165EC6">
        <w:rPr>
          <w:rFonts w:ascii="Cambria" w:eastAsia="Batang" w:hAnsi="Cambria"/>
          <w:sz w:val="20"/>
          <w:szCs w:val="20"/>
          <w:bdr w:val="none" w:sz="0" w:space="0" w:color="auto"/>
          <w:lang w:val="es-CO"/>
        </w:rPr>
        <w:t>confiscaron productos irregulares encontrados en la fábrica</w:t>
      </w:r>
      <w:r w:rsidRPr="00165EC6">
        <w:rPr>
          <w:rFonts w:ascii="Cambria" w:eastAsia="Batang" w:hAnsi="Cambria"/>
          <w:sz w:val="20"/>
          <w:szCs w:val="20"/>
          <w:bdr w:val="none" w:sz="0" w:space="0" w:color="auto"/>
          <w:vertAlign w:val="superscript"/>
          <w:lang w:val="es-CO"/>
        </w:rPr>
        <w:footnoteReference w:id="65"/>
      </w:r>
      <w:r w:rsidRPr="00165EC6">
        <w:rPr>
          <w:rFonts w:ascii="Cambria" w:eastAsia="Batang" w:hAnsi="Cambria"/>
          <w:sz w:val="20"/>
          <w:szCs w:val="20"/>
          <w:bdr w:val="none" w:sz="0" w:space="0" w:color="auto"/>
          <w:lang w:val="es-CO"/>
        </w:rPr>
        <w:t>.</w:t>
      </w:r>
    </w:p>
    <w:p w:rsidR="00277412" w:rsidRPr="00165EC6" w:rsidRDefault="00277412" w:rsidP="003B61D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CL"/>
        </w:rPr>
      </w:pPr>
    </w:p>
    <w:p w:rsidR="00277412" w:rsidRPr="00165EC6" w:rsidRDefault="00277412" w:rsidP="003B61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CL"/>
        </w:rPr>
      </w:pPr>
      <w:r w:rsidRPr="00165EC6">
        <w:rPr>
          <w:rFonts w:ascii="Cambria" w:eastAsia="Batang" w:hAnsi="Cambria"/>
          <w:sz w:val="20"/>
          <w:szCs w:val="20"/>
          <w:bdr w:val="none" w:sz="0" w:space="0" w:color="auto"/>
          <w:lang w:val="es-CL"/>
        </w:rPr>
        <w:t>El 23 de junio de 1999 el Ministerio del Ejército canceló el Certificado de Registro de la fábrica, puesto que se llegó a la conclusión de falta de seguridad en sus instalaciones</w:t>
      </w:r>
      <w:r w:rsidRPr="00165EC6">
        <w:rPr>
          <w:rFonts w:ascii="Cambria" w:eastAsia="Batang" w:hAnsi="Cambria"/>
          <w:sz w:val="20"/>
          <w:szCs w:val="20"/>
          <w:bdr w:val="none" w:sz="0" w:space="0" w:color="auto"/>
          <w:vertAlign w:val="superscript"/>
          <w:lang w:val="es-CL"/>
        </w:rPr>
        <w:footnoteReference w:id="66"/>
      </w:r>
      <w:r w:rsidRPr="00165EC6">
        <w:rPr>
          <w:rFonts w:ascii="Cambria" w:eastAsia="Batang" w:hAnsi="Cambria"/>
          <w:i/>
          <w:sz w:val="20"/>
          <w:szCs w:val="20"/>
          <w:bdr w:val="none" w:sz="0" w:space="0" w:color="auto"/>
          <w:lang w:val="es-CL"/>
        </w:rPr>
        <w:t>.</w:t>
      </w:r>
    </w:p>
    <w:p w:rsidR="00277412" w:rsidRPr="00165EC6" w:rsidRDefault="00277412" w:rsidP="003B61D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CL"/>
        </w:rPr>
      </w:pPr>
    </w:p>
    <w:p w:rsidR="00277412" w:rsidRPr="00165EC6" w:rsidRDefault="00277412" w:rsidP="003B61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CL"/>
        </w:rPr>
      </w:pPr>
      <w:r w:rsidRPr="00165EC6">
        <w:rPr>
          <w:rFonts w:ascii="Cambria" w:eastAsia="Batang" w:hAnsi="Cambria"/>
          <w:sz w:val="20"/>
          <w:szCs w:val="20"/>
          <w:bdr w:val="none" w:sz="0" w:space="0" w:color="auto"/>
          <w:lang w:val="es-CL"/>
        </w:rPr>
        <w:t>El 13 de octubre de 1999 el Comandante de la 6ª Región Militar, General Roberto Jugurtha Camara Senna, informó al Jefe de Policía Civil de Santo Antônio de Jesus que el material encontrado en la sede de la empresa iba a ser destruido para evitar nuevas explosiones</w:t>
      </w:r>
      <w:r w:rsidRPr="00165EC6">
        <w:rPr>
          <w:rFonts w:ascii="Cambria" w:eastAsia="Batang" w:hAnsi="Cambria"/>
          <w:sz w:val="20"/>
          <w:szCs w:val="20"/>
          <w:bdr w:val="none" w:sz="0" w:space="0" w:color="auto"/>
          <w:vertAlign w:val="superscript"/>
          <w:lang w:val="es-CL"/>
        </w:rPr>
        <w:footnoteReference w:id="67"/>
      </w:r>
      <w:r w:rsidRPr="00165EC6">
        <w:rPr>
          <w:rFonts w:ascii="Cambria" w:eastAsia="Batang" w:hAnsi="Cambria"/>
          <w:sz w:val="20"/>
          <w:szCs w:val="20"/>
          <w:bdr w:val="none" w:sz="0" w:space="0" w:color="auto"/>
          <w:lang w:val="es-CL"/>
        </w:rPr>
        <w:t xml:space="preserve">. </w:t>
      </w:r>
    </w:p>
    <w:p w:rsidR="00277412" w:rsidRPr="00165EC6" w:rsidRDefault="00277412" w:rsidP="003B61D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CL"/>
        </w:rPr>
      </w:pPr>
    </w:p>
    <w:p w:rsidR="00277412" w:rsidRPr="00165EC6" w:rsidRDefault="00277412" w:rsidP="003B61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CL"/>
        </w:rPr>
      </w:pPr>
      <w:r w:rsidRPr="00165EC6">
        <w:rPr>
          <w:rFonts w:ascii="Cambria" w:eastAsia="Batang" w:hAnsi="Cambria"/>
          <w:sz w:val="20"/>
          <w:szCs w:val="20"/>
          <w:bdr w:val="none" w:sz="0" w:space="0" w:color="auto"/>
          <w:lang w:val="es-MX"/>
        </w:rPr>
        <w:t xml:space="preserve">Como se señaló anteriormente, el 2 de diciembre de 1999, el Ejército brasileño concluyó que la compañía operaba sin las condiciones de seguridad debidas. </w:t>
      </w:r>
    </w:p>
    <w:p w:rsidR="00277412" w:rsidRPr="00165EC6" w:rsidRDefault="00277412" w:rsidP="00CB4286">
      <w:pPr>
        <w:pStyle w:val="Heading1"/>
        <w:numPr>
          <w:ilvl w:val="0"/>
          <w:numId w:val="0"/>
        </w:numPr>
        <w:ind w:left="720"/>
        <w:rPr>
          <w:rFonts w:eastAsia="Batang"/>
          <w:color w:val="auto"/>
          <w:sz w:val="20"/>
          <w:szCs w:val="20"/>
          <w:bdr w:val="none" w:sz="0" w:space="0" w:color="auto"/>
          <w:lang w:val="es-CL"/>
        </w:rPr>
      </w:pPr>
      <w:bookmarkStart w:id="22" w:name="_Toc506225836"/>
      <w:r w:rsidRPr="00165EC6">
        <w:rPr>
          <w:rFonts w:eastAsia="Batang"/>
          <w:color w:val="auto"/>
          <w:sz w:val="20"/>
          <w:szCs w:val="20"/>
          <w:bdr w:val="none" w:sz="0" w:space="0" w:color="auto"/>
          <w:lang w:val="es-UY" w:eastAsia="es-ES"/>
        </w:rPr>
        <w:t>V.</w:t>
      </w:r>
      <w:r w:rsidRPr="00165EC6">
        <w:rPr>
          <w:rFonts w:eastAsia="Batang"/>
          <w:color w:val="auto"/>
          <w:sz w:val="20"/>
          <w:szCs w:val="20"/>
          <w:bdr w:val="none" w:sz="0" w:space="0" w:color="auto"/>
          <w:lang w:val="es-UY" w:eastAsia="es-ES"/>
        </w:rPr>
        <w:tab/>
        <w:t>ANÁLISIS DE DERECHO</w:t>
      </w:r>
      <w:r w:rsidR="00CB4286" w:rsidRPr="00165EC6">
        <w:rPr>
          <w:rFonts w:eastAsia="Batang"/>
          <w:color w:val="auto"/>
          <w:sz w:val="20"/>
          <w:szCs w:val="20"/>
          <w:bdr w:val="none" w:sz="0" w:space="0" w:color="auto"/>
          <w:lang w:val="es-UY" w:eastAsia="es-ES"/>
        </w:rPr>
        <w:t>.</w:t>
      </w:r>
      <w:bookmarkEnd w:id="22"/>
    </w:p>
    <w:p w:rsidR="00277412" w:rsidRPr="00165EC6" w:rsidRDefault="00277412" w:rsidP="00802F22">
      <w:pPr>
        <w:pStyle w:val="Heading2"/>
        <w:ind w:firstLine="720"/>
        <w:jc w:val="both"/>
        <w:rPr>
          <w:rFonts w:asciiTheme="majorHAnsi" w:eastAsia="Batang" w:hAnsiTheme="majorHAnsi"/>
          <w:i w:val="0"/>
          <w:sz w:val="20"/>
          <w:szCs w:val="20"/>
          <w:lang w:val="es-UY"/>
        </w:rPr>
      </w:pPr>
      <w:bookmarkStart w:id="23" w:name="_Toc506225837"/>
      <w:r w:rsidRPr="00165EC6">
        <w:rPr>
          <w:rFonts w:asciiTheme="majorHAnsi" w:eastAsia="Batang" w:hAnsiTheme="majorHAnsi"/>
          <w:i w:val="0"/>
          <w:sz w:val="20"/>
          <w:szCs w:val="20"/>
          <w:lang w:val="es-UY"/>
        </w:rPr>
        <w:t>A.</w:t>
      </w:r>
      <w:r w:rsidRPr="00165EC6">
        <w:rPr>
          <w:rFonts w:asciiTheme="majorHAnsi" w:eastAsia="Batang" w:hAnsiTheme="majorHAnsi"/>
          <w:i w:val="0"/>
          <w:sz w:val="20"/>
          <w:szCs w:val="20"/>
          <w:lang w:val="es-UY"/>
        </w:rPr>
        <w:tab/>
        <w:t>El derecho a la vida</w:t>
      </w:r>
      <w:r w:rsidR="00EA62D1" w:rsidRPr="00165EC6">
        <w:rPr>
          <w:rFonts w:asciiTheme="majorHAnsi" w:eastAsia="Batang" w:hAnsiTheme="majorHAnsi"/>
          <w:i w:val="0"/>
          <w:sz w:val="20"/>
          <w:szCs w:val="20"/>
          <w:lang w:val="es-UY"/>
        </w:rPr>
        <w:t>,</w:t>
      </w:r>
      <w:r w:rsidRPr="00165EC6">
        <w:rPr>
          <w:rFonts w:asciiTheme="majorHAnsi" w:eastAsia="Batang" w:hAnsiTheme="majorHAnsi"/>
          <w:i w:val="0"/>
          <w:sz w:val="20"/>
          <w:szCs w:val="20"/>
          <w:lang w:val="es-UY"/>
        </w:rPr>
        <w:t xml:space="preserve"> a la integridad personal </w:t>
      </w:r>
      <w:r w:rsidR="00EA62D1" w:rsidRPr="00165EC6">
        <w:rPr>
          <w:rFonts w:asciiTheme="majorHAnsi" w:eastAsia="Batang" w:hAnsiTheme="majorHAnsi"/>
          <w:i w:val="0"/>
          <w:sz w:val="20"/>
          <w:szCs w:val="20"/>
          <w:lang w:val="es-UY"/>
        </w:rPr>
        <w:t xml:space="preserve">y </w:t>
      </w:r>
      <w:r w:rsidRPr="00165EC6">
        <w:rPr>
          <w:rFonts w:asciiTheme="majorHAnsi" w:eastAsia="Batang" w:hAnsiTheme="majorHAnsi"/>
          <w:i w:val="0"/>
          <w:sz w:val="20"/>
          <w:szCs w:val="20"/>
          <w:lang w:val="es-UY"/>
        </w:rPr>
        <w:t>derechos del niño (Artículos 4.1,  5.1, 19 y 1.1 de la Convención Americana)</w:t>
      </w:r>
      <w:r w:rsidRPr="00165EC6">
        <w:rPr>
          <w:rFonts w:asciiTheme="majorHAnsi" w:eastAsia="Batang" w:hAnsiTheme="majorHAnsi"/>
          <w:i w:val="0"/>
          <w:sz w:val="20"/>
          <w:szCs w:val="20"/>
          <w:vertAlign w:val="superscript"/>
          <w:lang w:val="es-UY"/>
        </w:rPr>
        <w:footnoteReference w:id="68"/>
      </w:r>
      <w:r w:rsidR="00CB4286" w:rsidRPr="00165EC6">
        <w:rPr>
          <w:rFonts w:asciiTheme="majorHAnsi" w:eastAsia="Batang" w:hAnsiTheme="majorHAnsi"/>
          <w:i w:val="0"/>
          <w:sz w:val="20"/>
          <w:szCs w:val="20"/>
          <w:lang w:val="es-UY"/>
        </w:rPr>
        <w:t>.</w:t>
      </w:r>
      <w:bookmarkEnd w:id="23"/>
      <w:r w:rsidRPr="00165EC6">
        <w:rPr>
          <w:rFonts w:asciiTheme="majorHAnsi" w:eastAsia="Batang" w:hAnsiTheme="majorHAnsi"/>
          <w:i w:val="0"/>
          <w:sz w:val="20"/>
          <w:szCs w:val="20"/>
          <w:lang w:val="es-UY"/>
        </w:rPr>
        <w:t xml:space="preserve"> </w:t>
      </w:r>
    </w:p>
    <w:p w:rsidR="00277412" w:rsidRPr="00165EC6" w:rsidRDefault="00277412" w:rsidP="000A08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b/>
          <w:sz w:val="20"/>
          <w:szCs w:val="20"/>
          <w:bdr w:val="none" w:sz="0" w:space="0" w:color="auto"/>
          <w:lang w:val="es-UY"/>
        </w:rPr>
      </w:pPr>
    </w:p>
    <w:p w:rsidR="0085560B" w:rsidRPr="00165EC6" w:rsidRDefault="0085560B" w:rsidP="000A087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UY"/>
        </w:rPr>
      </w:pPr>
      <w:r w:rsidRPr="00165EC6">
        <w:rPr>
          <w:rFonts w:ascii="Cambria" w:eastAsia="Batang" w:hAnsi="Cambria"/>
          <w:sz w:val="20"/>
          <w:szCs w:val="20"/>
          <w:bdr w:val="none" w:sz="0" w:space="0" w:color="auto"/>
          <w:lang w:val="es-UY"/>
        </w:rPr>
        <w:t xml:space="preserve">En el presente caso, la Comisión </w:t>
      </w:r>
      <w:r w:rsidR="00F4697E" w:rsidRPr="00165EC6">
        <w:rPr>
          <w:rFonts w:ascii="Cambria" w:eastAsia="Batang" w:hAnsi="Cambria"/>
          <w:sz w:val="20"/>
          <w:szCs w:val="20"/>
          <w:bdr w:val="none" w:sz="0" w:space="0" w:color="auto"/>
          <w:lang w:val="es-UY"/>
        </w:rPr>
        <w:t xml:space="preserve">dio por probado que el 11 de diciembre de 1998 ocurrió una explosión en una fábrica de fuegos, causando la muerte a 64 personas y quemaduras a seis personas adicionales. </w:t>
      </w:r>
      <w:r w:rsidR="006452CE" w:rsidRPr="00165EC6">
        <w:rPr>
          <w:rFonts w:ascii="Cambria" w:eastAsia="Batang" w:hAnsi="Cambria"/>
          <w:sz w:val="20"/>
          <w:szCs w:val="20"/>
          <w:bdr w:val="none" w:sz="0" w:space="0" w:color="auto"/>
          <w:lang w:val="es-UY"/>
        </w:rPr>
        <w:t xml:space="preserve">Tomando en </w:t>
      </w:r>
      <w:r w:rsidR="006452CE" w:rsidRPr="00165EC6">
        <w:rPr>
          <w:rFonts w:asciiTheme="majorHAnsi" w:hAnsiTheme="majorHAnsi"/>
          <w:sz w:val="20"/>
          <w:szCs w:val="20"/>
          <w:lang w:val="es-ES_tradnl"/>
        </w:rPr>
        <w:t>cuenta</w:t>
      </w:r>
      <w:r w:rsidR="006452CE" w:rsidRPr="00165EC6">
        <w:rPr>
          <w:rFonts w:ascii="Cambria" w:eastAsia="Batang" w:hAnsi="Cambria"/>
          <w:sz w:val="20"/>
          <w:szCs w:val="20"/>
          <w:bdr w:val="none" w:sz="0" w:space="0" w:color="auto"/>
          <w:lang w:val="es-UY"/>
        </w:rPr>
        <w:t xml:space="preserve"> que dicha fábrica era de propiedad de un actor no estatal, el debate central que plantea el caso gira en torno a la </w:t>
      </w:r>
      <w:r w:rsidR="00E542AA" w:rsidRPr="00165EC6">
        <w:rPr>
          <w:rFonts w:ascii="Cambria" w:eastAsia="Batang" w:hAnsi="Cambria"/>
          <w:sz w:val="20"/>
          <w:szCs w:val="20"/>
          <w:bdr w:val="none" w:sz="0" w:space="0" w:color="auto"/>
          <w:lang w:val="es-UY"/>
        </w:rPr>
        <w:t xml:space="preserve">posible </w:t>
      </w:r>
      <w:r w:rsidR="006452CE" w:rsidRPr="00165EC6">
        <w:rPr>
          <w:rFonts w:ascii="Cambria" w:eastAsia="Batang" w:hAnsi="Cambria"/>
          <w:sz w:val="20"/>
          <w:szCs w:val="20"/>
          <w:bdr w:val="none" w:sz="0" w:space="0" w:color="auto"/>
          <w:lang w:val="es-UY"/>
        </w:rPr>
        <w:t>atribución de responsabilidad internacional del Estado brasilero por estos hechos, para lo cual la Comisión considera pertinente efectuar este anál</w:t>
      </w:r>
      <w:r w:rsidR="00FD56BE" w:rsidRPr="00165EC6">
        <w:rPr>
          <w:rFonts w:ascii="Cambria" w:eastAsia="Batang" w:hAnsi="Cambria"/>
          <w:sz w:val="20"/>
          <w:szCs w:val="20"/>
          <w:bdr w:val="none" w:sz="0" w:space="0" w:color="auto"/>
          <w:lang w:val="es-UY"/>
        </w:rPr>
        <w:t xml:space="preserve">isis en el siguiente orden: 1. </w:t>
      </w:r>
      <w:r w:rsidR="009646A2" w:rsidRPr="00165EC6">
        <w:rPr>
          <w:rFonts w:ascii="Cambria" w:eastAsia="Batang" w:hAnsi="Cambria"/>
          <w:sz w:val="20"/>
          <w:szCs w:val="20"/>
          <w:bdr w:val="none" w:sz="0" w:space="0" w:color="auto"/>
          <w:lang w:val="es-UY"/>
        </w:rPr>
        <w:t>L</w:t>
      </w:r>
      <w:r w:rsidR="00FD56BE" w:rsidRPr="00165EC6">
        <w:rPr>
          <w:rFonts w:ascii="Cambria" w:eastAsia="Batang" w:hAnsi="Cambria"/>
          <w:sz w:val="20"/>
          <w:szCs w:val="20"/>
          <w:bdr w:val="none" w:sz="0" w:space="0" w:color="auto"/>
          <w:lang w:val="es-UY"/>
        </w:rPr>
        <w:t>os derechos a la vida e integridad personal</w:t>
      </w:r>
      <w:r w:rsidR="009646A2" w:rsidRPr="00165EC6">
        <w:rPr>
          <w:rFonts w:ascii="Cambria" w:eastAsia="Batang" w:hAnsi="Cambria"/>
          <w:sz w:val="20"/>
          <w:szCs w:val="20"/>
          <w:bdr w:val="none" w:sz="0" w:space="0" w:color="auto"/>
          <w:lang w:val="es-UY"/>
        </w:rPr>
        <w:t xml:space="preserve"> y supuestos de atribución de responsabilidad </w:t>
      </w:r>
      <w:r w:rsidR="00ED599F" w:rsidRPr="00165EC6">
        <w:rPr>
          <w:rFonts w:ascii="Cambria" w:eastAsia="Batang" w:hAnsi="Cambria"/>
          <w:sz w:val="20"/>
          <w:szCs w:val="20"/>
          <w:bdr w:val="none" w:sz="0" w:space="0" w:color="auto"/>
          <w:lang w:val="es-UY"/>
        </w:rPr>
        <w:t>internacional</w:t>
      </w:r>
      <w:r w:rsidR="00FD56BE" w:rsidRPr="00165EC6">
        <w:rPr>
          <w:rFonts w:ascii="Cambria" w:eastAsia="Batang" w:hAnsi="Cambria"/>
          <w:sz w:val="20"/>
          <w:szCs w:val="20"/>
          <w:bdr w:val="none" w:sz="0" w:space="0" w:color="auto"/>
          <w:lang w:val="es-UY"/>
        </w:rPr>
        <w:t xml:space="preserve">; </w:t>
      </w:r>
      <w:r w:rsidR="0053777B" w:rsidRPr="00165EC6">
        <w:rPr>
          <w:rFonts w:ascii="Cambria" w:eastAsia="Batang" w:hAnsi="Cambria"/>
          <w:sz w:val="20"/>
          <w:szCs w:val="20"/>
          <w:bdr w:val="none" w:sz="0" w:space="0" w:color="auto"/>
          <w:lang w:val="es-UY"/>
        </w:rPr>
        <w:t>2.</w:t>
      </w:r>
      <w:r w:rsidR="00933F27" w:rsidRPr="00165EC6">
        <w:rPr>
          <w:rFonts w:ascii="Cambria" w:eastAsia="Batang" w:hAnsi="Cambria"/>
          <w:sz w:val="20"/>
          <w:szCs w:val="20"/>
          <w:bdr w:val="none" w:sz="0" w:space="0" w:color="auto"/>
          <w:lang w:val="es-UY"/>
        </w:rPr>
        <w:t xml:space="preserve"> </w:t>
      </w:r>
      <w:r w:rsidR="0053777B" w:rsidRPr="00165EC6">
        <w:rPr>
          <w:rFonts w:ascii="Cambria" w:eastAsia="Batang" w:hAnsi="Cambria"/>
          <w:sz w:val="20"/>
          <w:szCs w:val="20"/>
          <w:bdr w:val="none" w:sz="0" w:space="0" w:color="auto"/>
          <w:lang w:val="es-UY"/>
        </w:rPr>
        <w:t xml:space="preserve"> Estándares específicos sobre actividades peligrosas</w:t>
      </w:r>
      <w:r w:rsidR="00604F7A" w:rsidRPr="00165EC6">
        <w:rPr>
          <w:rFonts w:ascii="Cambria" w:eastAsia="Batang" w:hAnsi="Cambria"/>
          <w:sz w:val="20"/>
          <w:szCs w:val="20"/>
          <w:bdr w:val="none" w:sz="0" w:space="0" w:color="auto"/>
          <w:lang w:val="es-UY"/>
        </w:rPr>
        <w:t xml:space="preserve"> en el ámbito laboral; y 3. Estándares específicos sobre </w:t>
      </w:r>
      <w:r w:rsidR="0053777B" w:rsidRPr="00165EC6">
        <w:rPr>
          <w:rFonts w:ascii="Cambria" w:eastAsia="Batang" w:hAnsi="Cambria"/>
          <w:sz w:val="20"/>
          <w:szCs w:val="20"/>
          <w:bdr w:val="none" w:sz="0" w:space="0" w:color="auto"/>
          <w:lang w:val="es-UY"/>
        </w:rPr>
        <w:t>el trabajo infantil</w:t>
      </w:r>
      <w:r w:rsidR="00604F7A" w:rsidRPr="00165EC6">
        <w:rPr>
          <w:rFonts w:ascii="Cambria" w:eastAsia="Batang" w:hAnsi="Cambria"/>
          <w:sz w:val="20"/>
          <w:szCs w:val="20"/>
          <w:bdr w:val="none" w:sz="0" w:space="0" w:color="auto"/>
          <w:lang w:val="es-UY"/>
        </w:rPr>
        <w:t xml:space="preserve"> y</w:t>
      </w:r>
      <w:r w:rsidR="0046209D" w:rsidRPr="00165EC6">
        <w:rPr>
          <w:rFonts w:ascii="Cambria" w:eastAsia="Batang" w:hAnsi="Cambria"/>
          <w:sz w:val="20"/>
          <w:szCs w:val="20"/>
          <w:bdr w:val="none" w:sz="0" w:space="0" w:color="auto"/>
          <w:lang w:val="es-UY"/>
        </w:rPr>
        <w:t xml:space="preserve"> las</w:t>
      </w:r>
      <w:r w:rsidR="00604F7A" w:rsidRPr="00165EC6">
        <w:rPr>
          <w:rFonts w:ascii="Cambria" w:eastAsia="Batang" w:hAnsi="Cambria"/>
          <w:sz w:val="20"/>
          <w:szCs w:val="20"/>
          <w:bdr w:val="none" w:sz="0" w:space="0" w:color="auto"/>
          <w:lang w:val="es-UY"/>
        </w:rPr>
        <w:t xml:space="preserve"> peores formas de trabajo infantil</w:t>
      </w:r>
      <w:r w:rsidR="0053777B" w:rsidRPr="00165EC6">
        <w:rPr>
          <w:rFonts w:ascii="Cambria" w:eastAsia="Batang" w:hAnsi="Cambria"/>
          <w:sz w:val="20"/>
          <w:szCs w:val="20"/>
          <w:bdr w:val="none" w:sz="0" w:space="0" w:color="auto"/>
          <w:lang w:val="es-UY"/>
        </w:rPr>
        <w:t xml:space="preserve">; </w:t>
      </w:r>
      <w:r w:rsidR="00604F7A" w:rsidRPr="00165EC6">
        <w:rPr>
          <w:rFonts w:ascii="Cambria" w:eastAsia="Batang" w:hAnsi="Cambria"/>
          <w:sz w:val="20"/>
          <w:szCs w:val="20"/>
          <w:bdr w:val="none" w:sz="0" w:space="0" w:color="auto"/>
          <w:lang w:val="es-UY"/>
        </w:rPr>
        <w:t>y 4</w:t>
      </w:r>
      <w:r w:rsidR="00A56D35" w:rsidRPr="00165EC6">
        <w:rPr>
          <w:rFonts w:ascii="Cambria" w:eastAsia="Batang" w:hAnsi="Cambria"/>
          <w:sz w:val="20"/>
          <w:szCs w:val="20"/>
          <w:bdr w:val="none" w:sz="0" w:space="0" w:color="auto"/>
          <w:lang w:val="es-UY"/>
        </w:rPr>
        <w:t>. An</w:t>
      </w:r>
      <w:r w:rsidR="009646A2" w:rsidRPr="00165EC6">
        <w:rPr>
          <w:rFonts w:ascii="Cambria" w:eastAsia="Batang" w:hAnsi="Cambria"/>
          <w:sz w:val="20"/>
          <w:szCs w:val="20"/>
          <w:bdr w:val="none" w:sz="0" w:space="0" w:color="auto"/>
          <w:lang w:val="es-UY"/>
        </w:rPr>
        <w:t>álisis</w:t>
      </w:r>
      <w:r w:rsidR="00A56D35" w:rsidRPr="00165EC6">
        <w:rPr>
          <w:rFonts w:ascii="Cambria" w:eastAsia="Batang" w:hAnsi="Cambria"/>
          <w:sz w:val="20"/>
          <w:szCs w:val="20"/>
          <w:bdr w:val="none" w:sz="0" w:space="0" w:color="auto"/>
          <w:lang w:val="es-UY"/>
        </w:rPr>
        <w:t xml:space="preserve"> del caso.</w:t>
      </w:r>
      <w:r w:rsidR="009646A2" w:rsidRPr="00165EC6">
        <w:rPr>
          <w:rFonts w:ascii="Cambria" w:eastAsia="Batang" w:hAnsi="Cambria"/>
          <w:sz w:val="20"/>
          <w:szCs w:val="20"/>
          <w:bdr w:val="none" w:sz="0" w:space="0" w:color="auto"/>
          <w:lang w:val="es-UY"/>
        </w:rPr>
        <w:t xml:space="preserve"> </w:t>
      </w:r>
    </w:p>
    <w:p w:rsidR="0085560B" w:rsidRPr="00165EC6" w:rsidRDefault="0085560B" w:rsidP="00B74E3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b/>
          <w:sz w:val="20"/>
          <w:szCs w:val="20"/>
          <w:bdr w:val="none" w:sz="0" w:space="0" w:color="auto"/>
          <w:lang w:val="es-UY"/>
        </w:rPr>
      </w:pPr>
    </w:p>
    <w:p w:rsidR="00277412" w:rsidRPr="00165EC6" w:rsidRDefault="00277412" w:rsidP="00CB4286">
      <w:pPr>
        <w:pStyle w:val="Heading3"/>
        <w:ind w:firstLine="720"/>
        <w:rPr>
          <w:rFonts w:asciiTheme="majorHAnsi" w:hAnsiTheme="majorHAnsi"/>
          <w:sz w:val="20"/>
          <w:szCs w:val="20"/>
          <w:lang w:val="es-ES"/>
        </w:rPr>
      </w:pPr>
      <w:bookmarkStart w:id="24" w:name="_Toc506225838"/>
      <w:r w:rsidRPr="00165EC6">
        <w:rPr>
          <w:rFonts w:asciiTheme="majorHAnsi" w:hAnsiTheme="majorHAnsi"/>
          <w:sz w:val="20"/>
          <w:szCs w:val="20"/>
          <w:lang w:val="es-ES"/>
        </w:rPr>
        <w:t xml:space="preserve">1. </w:t>
      </w:r>
      <w:r w:rsidRPr="00165EC6">
        <w:rPr>
          <w:rFonts w:asciiTheme="majorHAnsi" w:hAnsiTheme="majorHAnsi"/>
          <w:sz w:val="20"/>
          <w:szCs w:val="20"/>
          <w:lang w:val="es-ES"/>
        </w:rPr>
        <w:tab/>
      </w:r>
      <w:r w:rsidR="004E0355" w:rsidRPr="00165EC6">
        <w:rPr>
          <w:rFonts w:asciiTheme="majorHAnsi" w:hAnsiTheme="majorHAnsi"/>
          <w:sz w:val="20"/>
          <w:szCs w:val="20"/>
          <w:lang w:val="es-ES"/>
        </w:rPr>
        <w:t>E</w:t>
      </w:r>
      <w:r w:rsidRPr="00165EC6">
        <w:rPr>
          <w:rFonts w:asciiTheme="majorHAnsi" w:hAnsiTheme="majorHAnsi"/>
          <w:sz w:val="20"/>
          <w:szCs w:val="20"/>
          <w:lang w:val="es-ES"/>
        </w:rPr>
        <w:t>l deber de</w:t>
      </w:r>
      <w:r w:rsidR="0053777B" w:rsidRPr="00165EC6">
        <w:rPr>
          <w:rFonts w:asciiTheme="majorHAnsi" w:hAnsiTheme="majorHAnsi"/>
          <w:sz w:val="20"/>
          <w:szCs w:val="20"/>
          <w:lang w:val="es-ES"/>
        </w:rPr>
        <w:t xml:space="preserve"> respeto y</w:t>
      </w:r>
      <w:r w:rsidRPr="00165EC6">
        <w:rPr>
          <w:rFonts w:asciiTheme="majorHAnsi" w:hAnsiTheme="majorHAnsi"/>
          <w:sz w:val="20"/>
          <w:szCs w:val="20"/>
          <w:lang w:val="es-ES"/>
        </w:rPr>
        <w:t xml:space="preserve"> garantía de</w:t>
      </w:r>
      <w:r w:rsidR="009B3442" w:rsidRPr="00165EC6">
        <w:rPr>
          <w:rFonts w:asciiTheme="majorHAnsi" w:hAnsiTheme="majorHAnsi"/>
          <w:sz w:val="20"/>
          <w:szCs w:val="20"/>
          <w:lang w:val="es-ES"/>
        </w:rPr>
        <w:t xml:space="preserve"> los</w:t>
      </w:r>
      <w:r w:rsidRPr="00165EC6">
        <w:rPr>
          <w:rFonts w:asciiTheme="majorHAnsi" w:hAnsiTheme="majorHAnsi"/>
          <w:sz w:val="20"/>
          <w:szCs w:val="20"/>
          <w:lang w:val="es-ES"/>
        </w:rPr>
        <w:t xml:space="preserve"> derecho</w:t>
      </w:r>
      <w:r w:rsidR="009B3442" w:rsidRPr="00165EC6">
        <w:rPr>
          <w:rFonts w:asciiTheme="majorHAnsi" w:hAnsiTheme="majorHAnsi"/>
          <w:sz w:val="20"/>
          <w:szCs w:val="20"/>
          <w:lang w:val="es-ES"/>
        </w:rPr>
        <w:t>s</w:t>
      </w:r>
      <w:r w:rsidRPr="00165EC6">
        <w:rPr>
          <w:rFonts w:asciiTheme="majorHAnsi" w:hAnsiTheme="majorHAnsi"/>
          <w:sz w:val="20"/>
          <w:szCs w:val="20"/>
          <w:lang w:val="es-ES"/>
        </w:rPr>
        <w:t xml:space="preserve"> a la vida y a la integridad personal</w:t>
      </w:r>
      <w:r w:rsidR="0013424E" w:rsidRPr="00165EC6">
        <w:rPr>
          <w:rFonts w:asciiTheme="majorHAnsi" w:hAnsiTheme="majorHAnsi"/>
          <w:sz w:val="20"/>
          <w:szCs w:val="20"/>
          <w:lang w:val="es-ES"/>
        </w:rPr>
        <w:t xml:space="preserve"> y supuestos de atribución de responsabilidad internacional</w:t>
      </w:r>
      <w:r w:rsidR="00CB4286" w:rsidRPr="00165EC6">
        <w:rPr>
          <w:rFonts w:asciiTheme="majorHAnsi" w:hAnsiTheme="majorHAnsi"/>
          <w:sz w:val="20"/>
          <w:szCs w:val="20"/>
          <w:lang w:val="es-ES"/>
        </w:rPr>
        <w:t>.</w:t>
      </w:r>
      <w:bookmarkEnd w:id="24"/>
    </w:p>
    <w:p w:rsidR="00277412" w:rsidRPr="00165EC6" w:rsidRDefault="00277412" w:rsidP="00593F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jc w:val="both"/>
        <w:rPr>
          <w:rFonts w:ascii="Cambria" w:eastAsia="Batang" w:hAnsi="Cambria"/>
          <w:sz w:val="20"/>
          <w:szCs w:val="20"/>
          <w:bdr w:val="none" w:sz="0" w:space="0" w:color="auto"/>
          <w:lang w:val="es-ES_tradnl"/>
        </w:rPr>
      </w:pPr>
    </w:p>
    <w:p w:rsidR="00314A50" w:rsidRPr="00165EC6" w:rsidRDefault="00815B95" w:rsidP="003B61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ES_tradnl"/>
        </w:rPr>
      </w:pPr>
      <w:r w:rsidRPr="00165EC6">
        <w:rPr>
          <w:rFonts w:asciiTheme="majorHAnsi" w:hAnsiTheme="majorHAnsi"/>
          <w:sz w:val="20"/>
          <w:szCs w:val="20"/>
          <w:lang w:val="es-ES_tradnl"/>
        </w:rPr>
        <w:t xml:space="preserve">La Comisión recuerda que el derecho a la vida es prerrequisito del disfrute de todos los demás derechos humanos y sin </w:t>
      </w:r>
      <w:r w:rsidRPr="00165EC6">
        <w:rPr>
          <w:rFonts w:ascii="Cambria" w:eastAsia="Batang" w:hAnsi="Cambria"/>
          <w:sz w:val="20"/>
          <w:szCs w:val="20"/>
          <w:bdr w:val="none" w:sz="0" w:space="0" w:color="auto"/>
          <w:lang w:val="es-UY"/>
        </w:rPr>
        <w:t>cuyo</w:t>
      </w:r>
      <w:r w:rsidRPr="00165EC6">
        <w:rPr>
          <w:rFonts w:asciiTheme="majorHAnsi" w:hAnsiTheme="majorHAnsi"/>
          <w:sz w:val="20"/>
          <w:szCs w:val="20"/>
          <w:lang w:val="es-ES_tradnl"/>
        </w:rPr>
        <w:t xml:space="preserve"> respeto todos los demás carecen de sentido</w:t>
      </w:r>
      <w:r w:rsidRPr="00165EC6">
        <w:rPr>
          <w:rFonts w:asciiTheme="majorHAnsi" w:hAnsiTheme="majorHAnsi"/>
          <w:sz w:val="20"/>
          <w:szCs w:val="20"/>
          <w:vertAlign w:val="superscript"/>
          <w:lang w:val="es-ES_tradnl"/>
        </w:rPr>
        <w:footnoteReference w:id="69"/>
      </w:r>
      <w:r w:rsidRPr="00165EC6">
        <w:rPr>
          <w:rFonts w:asciiTheme="majorHAnsi" w:hAnsiTheme="majorHAnsi"/>
          <w:sz w:val="20"/>
          <w:szCs w:val="20"/>
          <w:lang w:val="es-ES_tradnl"/>
        </w:rPr>
        <w:t xml:space="preserve">. El cumplimiento del artículo 4 en relación con el artículo 1.1 de la Convención Americana no sólo presupone que ninguna persona sea privada de su vida arbitrariamente, sino que además requiere que los Estados tomen todas las medidas apropiadas para proteger y preservar el derecho a la vida, bajo su deber de garantizar el pleno y libre </w:t>
      </w:r>
      <w:r w:rsidRPr="00165EC6">
        <w:rPr>
          <w:rFonts w:asciiTheme="majorHAnsi" w:hAnsiTheme="majorHAnsi"/>
          <w:sz w:val="20"/>
          <w:szCs w:val="20"/>
          <w:lang w:val="es-ES_tradnl"/>
        </w:rPr>
        <w:lastRenderedPageBreak/>
        <w:t xml:space="preserve">ejercicio de los derechos de todas las personas bajo su </w:t>
      </w:r>
      <w:r w:rsidRPr="00165EC6">
        <w:rPr>
          <w:rFonts w:ascii="Cambria" w:hAnsi="Cambria"/>
          <w:sz w:val="20"/>
          <w:szCs w:val="20"/>
          <w:lang w:val="es-ES_tradnl"/>
        </w:rPr>
        <w:t>jurisdicción</w:t>
      </w:r>
      <w:r w:rsidRPr="00165EC6">
        <w:rPr>
          <w:rFonts w:ascii="Cambria" w:hAnsi="Cambria"/>
          <w:sz w:val="20"/>
          <w:szCs w:val="20"/>
          <w:vertAlign w:val="superscript"/>
          <w:lang w:val="es-ES_tradnl"/>
        </w:rPr>
        <w:footnoteReference w:id="70"/>
      </w:r>
      <w:r w:rsidR="0049322F" w:rsidRPr="00165EC6">
        <w:rPr>
          <w:rFonts w:ascii="Cambria" w:hAnsi="Cambria"/>
          <w:sz w:val="20"/>
          <w:szCs w:val="20"/>
          <w:lang w:val="es-ES_tradnl"/>
        </w:rPr>
        <w:t>. Estas obligaciones resultan igualmente aplicables al derecho a la integridad personal</w:t>
      </w:r>
      <w:r w:rsidR="006453D4" w:rsidRPr="00165EC6">
        <w:rPr>
          <w:rFonts w:ascii="Cambria" w:hAnsi="Cambria"/>
          <w:sz w:val="20"/>
          <w:szCs w:val="20"/>
          <w:lang w:val="es-ES_tradnl"/>
        </w:rPr>
        <w:t xml:space="preserve">. </w:t>
      </w:r>
      <w:r w:rsidR="0049322F" w:rsidRPr="00165EC6">
        <w:rPr>
          <w:rFonts w:ascii="Cambria" w:hAnsi="Cambria"/>
          <w:sz w:val="20"/>
          <w:szCs w:val="20"/>
          <w:lang w:val="es-ES_tradnl"/>
        </w:rPr>
        <w:t xml:space="preserve"> </w:t>
      </w:r>
    </w:p>
    <w:p w:rsidR="00314A50" w:rsidRPr="00165EC6" w:rsidRDefault="00314A50" w:rsidP="003B61D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Batang" w:hAnsiTheme="majorHAnsi"/>
          <w:sz w:val="20"/>
          <w:szCs w:val="20"/>
          <w:bdr w:val="none" w:sz="0" w:space="0" w:color="auto"/>
          <w:lang w:val="es-ES_tradnl"/>
        </w:rPr>
      </w:pPr>
    </w:p>
    <w:p w:rsidR="00966EAC" w:rsidRPr="00165EC6" w:rsidRDefault="00966EAC" w:rsidP="003B61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Theme="majorHAnsi" w:hAnsiTheme="majorHAnsi"/>
          <w:bCs/>
          <w:sz w:val="20"/>
          <w:szCs w:val="20"/>
          <w:lang w:val="es-ES_tradnl"/>
        </w:rPr>
      </w:pPr>
      <w:r w:rsidRPr="00165EC6">
        <w:rPr>
          <w:rFonts w:asciiTheme="majorHAnsi" w:hAnsiTheme="majorHAnsi"/>
          <w:bCs/>
          <w:sz w:val="20"/>
          <w:szCs w:val="20"/>
          <w:lang w:val="es-ES_tradnl"/>
        </w:rPr>
        <w:t xml:space="preserve">Desde su primera sentencia en un caso contencioso, la Corte Interamericana indicó que: </w:t>
      </w:r>
    </w:p>
    <w:p w:rsidR="00966EAC" w:rsidRPr="00165EC6" w:rsidRDefault="00966EAC" w:rsidP="00966EAC">
      <w:pPr>
        <w:tabs>
          <w:tab w:val="left" w:pos="1440"/>
        </w:tabs>
        <w:jc w:val="both"/>
        <w:rPr>
          <w:rStyle w:val="Heading1Char"/>
          <w:rFonts w:eastAsia="Cambria"/>
          <w:b w:val="0"/>
          <w:color w:val="auto"/>
          <w:sz w:val="20"/>
          <w:szCs w:val="20"/>
          <w:lang w:val="es-US"/>
        </w:rPr>
      </w:pPr>
    </w:p>
    <w:p w:rsidR="00966EAC" w:rsidRPr="00165EC6" w:rsidRDefault="00966EAC" w:rsidP="00966E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810"/>
        <w:jc w:val="both"/>
        <w:rPr>
          <w:rStyle w:val="Heading1Char"/>
          <w:rFonts w:eastAsia="Arial Unicode MS" w:cs="Verdana"/>
          <w:b w:val="0"/>
          <w:color w:val="auto"/>
          <w:sz w:val="20"/>
          <w:szCs w:val="20"/>
          <w:lang w:val="es-US" w:eastAsia="es-ES"/>
        </w:rPr>
      </w:pPr>
      <w:r w:rsidRPr="00165EC6">
        <w:rPr>
          <w:rFonts w:asciiTheme="majorHAnsi" w:hAnsiTheme="majorHAnsi" w:cs="Verdana"/>
          <w:sz w:val="20"/>
          <w:szCs w:val="20"/>
          <w:lang w:val="es-US" w:eastAsia="es-ES"/>
        </w:rPr>
        <w:t>El artículo 1.1 es fundamental para determinar si una violación de los derechos humanos reconocidos por la Convención puede ser atribuida a un Estado Parte. En efecto, dicho artículo pone a cargo de los Estados Partes los deberes fundamentales de respeto y de garantía, de tal modo que todo menoscabo a los derechos humanos reconocidos en la Convención que pueda ser atribuido, según las reglas del Derecho internacional, a la acción u omisión de cualquier autoridad pública, constituye un hecho imputable al Estado que  compromete su responsabilidad en los términos previstos por la misma Convención</w:t>
      </w:r>
      <w:r w:rsidRPr="00165EC6">
        <w:rPr>
          <w:rStyle w:val="FootnoteReference"/>
          <w:rFonts w:asciiTheme="majorHAnsi" w:hAnsiTheme="majorHAnsi"/>
          <w:sz w:val="20"/>
          <w:szCs w:val="20"/>
          <w:lang w:val="es-US"/>
        </w:rPr>
        <w:footnoteReference w:id="71"/>
      </w:r>
      <w:r w:rsidRPr="00165EC6">
        <w:rPr>
          <w:rFonts w:asciiTheme="majorHAnsi" w:hAnsiTheme="majorHAnsi" w:cs="Verdana"/>
          <w:sz w:val="20"/>
          <w:szCs w:val="20"/>
          <w:lang w:val="es-US" w:eastAsia="es-ES"/>
        </w:rPr>
        <w:t>.</w:t>
      </w:r>
    </w:p>
    <w:p w:rsidR="00966EAC" w:rsidRPr="00165EC6" w:rsidRDefault="00966EAC" w:rsidP="00966EAC">
      <w:pPr>
        <w:tabs>
          <w:tab w:val="left" w:pos="1440"/>
        </w:tabs>
        <w:jc w:val="both"/>
        <w:rPr>
          <w:rFonts w:asciiTheme="majorHAnsi" w:hAnsiTheme="majorHAnsi" w:cs="Arial"/>
          <w:sz w:val="20"/>
          <w:szCs w:val="20"/>
          <w:lang w:val="es-ES_tradnl"/>
        </w:rPr>
      </w:pPr>
    </w:p>
    <w:p w:rsidR="00966EAC" w:rsidRPr="00165EC6" w:rsidRDefault="00966EAC" w:rsidP="003B61D3">
      <w:pPr>
        <w:pStyle w:val="ListParagraph"/>
        <w:numPr>
          <w:ilvl w:val="0"/>
          <w:numId w:val="55"/>
        </w:numPr>
        <w:tabs>
          <w:tab w:val="left" w:pos="720"/>
          <w:tab w:val="left" w:pos="1440"/>
        </w:tabs>
        <w:ind w:left="0"/>
        <w:jc w:val="both"/>
        <w:rPr>
          <w:rStyle w:val="Heading1Char"/>
          <w:rFonts w:eastAsia="Cambria"/>
          <w:b w:val="0"/>
          <w:color w:val="auto"/>
          <w:sz w:val="20"/>
          <w:szCs w:val="20"/>
          <w:lang w:val="es-US"/>
        </w:rPr>
      </w:pPr>
      <w:r w:rsidRPr="00165EC6">
        <w:rPr>
          <w:rFonts w:asciiTheme="majorHAnsi" w:hAnsiTheme="majorHAnsi" w:cs="Arial"/>
          <w:color w:val="auto"/>
          <w:sz w:val="20"/>
          <w:szCs w:val="20"/>
          <w:lang w:val="es-ES_tradnl"/>
        </w:rPr>
        <w:t xml:space="preserve">La responsabilidad internacional del Estado puede basarse en actos u omisiones de cualquier poder u órgano de éste que violen la Convención Americana, y se genera en forma inmediata con el ilícito internacional atribuido.  En estos supuestos, para establecer que se ha producido una violación de los derechos consagrados en la </w:t>
      </w:r>
      <w:r w:rsidRPr="00165EC6">
        <w:rPr>
          <w:rFonts w:asciiTheme="majorHAnsi" w:hAnsiTheme="majorHAnsi"/>
          <w:color w:val="auto"/>
          <w:sz w:val="20"/>
          <w:szCs w:val="20"/>
          <w:lang w:val="es-US"/>
        </w:rPr>
        <w:t>Convención</w:t>
      </w:r>
      <w:r w:rsidRPr="00165EC6">
        <w:rPr>
          <w:rFonts w:asciiTheme="majorHAnsi" w:hAnsiTheme="majorHAnsi" w:cs="Arial"/>
          <w:color w:val="auto"/>
          <w:sz w:val="20"/>
          <w:szCs w:val="20"/>
          <w:lang w:val="es-ES_tradnl"/>
        </w:rPr>
        <w:t xml:space="preserve"> no se requiere determinar, como ocurre en el derecho penal interno, la culpabilidad de sus autores o su intencionalidad, tampoco es preciso identificar individualmente a los agentes a los cuales se atribuyen los hechos violatorios. Es suficiente demostrar “que se han verificado acciones u omisiones que hayan permitido la perpetración de esas violaciones o que exista una obligación del Estado que haya sido incumplida por éste”</w:t>
      </w:r>
      <w:r w:rsidRPr="00165EC6">
        <w:rPr>
          <w:rStyle w:val="FootnoteReference"/>
          <w:rFonts w:asciiTheme="majorHAnsi" w:hAnsiTheme="majorHAnsi" w:cs="Arial"/>
          <w:color w:val="auto"/>
          <w:sz w:val="20"/>
          <w:szCs w:val="20"/>
          <w:lang w:val="es-ES_tradnl"/>
        </w:rPr>
        <w:footnoteReference w:id="72"/>
      </w:r>
      <w:r w:rsidRPr="00165EC6">
        <w:rPr>
          <w:rFonts w:asciiTheme="majorHAnsi" w:hAnsiTheme="majorHAnsi" w:cs="Arial"/>
          <w:color w:val="auto"/>
          <w:sz w:val="20"/>
          <w:szCs w:val="20"/>
          <w:lang w:val="es-ES_tradnl"/>
        </w:rPr>
        <w:t>.</w:t>
      </w:r>
    </w:p>
    <w:p w:rsidR="00966EAC" w:rsidRPr="00165EC6" w:rsidRDefault="00966EAC" w:rsidP="00966EAC">
      <w:pPr>
        <w:tabs>
          <w:tab w:val="left" w:pos="1440"/>
        </w:tabs>
        <w:jc w:val="both"/>
        <w:rPr>
          <w:rStyle w:val="Heading1Char"/>
          <w:rFonts w:eastAsia="Cambria"/>
          <w:b w:val="0"/>
          <w:color w:val="auto"/>
          <w:sz w:val="20"/>
          <w:szCs w:val="20"/>
          <w:lang w:val="es-US"/>
        </w:rPr>
      </w:pPr>
    </w:p>
    <w:p w:rsidR="00966EAC" w:rsidRPr="00165EC6" w:rsidRDefault="00966EAC" w:rsidP="003B61D3">
      <w:pPr>
        <w:pStyle w:val="ListParagraph"/>
        <w:numPr>
          <w:ilvl w:val="0"/>
          <w:numId w:val="55"/>
        </w:numPr>
        <w:tabs>
          <w:tab w:val="left" w:pos="720"/>
          <w:tab w:val="left" w:pos="1440"/>
        </w:tabs>
        <w:ind w:left="0"/>
        <w:jc w:val="both"/>
        <w:rPr>
          <w:rFonts w:asciiTheme="majorHAnsi" w:hAnsiTheme="majorHAnsi"/>
          <w:color w:val="auto"/>
          <w:sz w:val="20"/>
          <w:szCs w:val="20"/>
          <w:bdr w:val="none" w:sz="0" w:space="0" w:color="auto"/>
          <w:lang w:val="es-US" w:eastAsia="en-US"/>
        </w:rPr>
      </w:pPr>
      <w:bookmarkStart w:id="25" w:name="_Toc506224634"/>
      <w:bookmarkStart w:id="26" w:name="_Toc506225839"/>
      <w:r w:rsidRPr="00165EC6">
        <w:rPr>
          <w:rStyle w:val="Heading1Char"/>
          <w:rFonts w:eastAsia="Cambria"/>
          <w:b w:val="0"/>
          <w:color w:val="auto"/>
          <w:sz w:val="20"/>
          <w:szCs w:val="20"/>
          <w:lang w:val="es-US"/>
        </w:rPr>
        <w:t>A lo largo del trabajo de la Comisión y la Corte, se han definido los contenidos de las obligaciones de respeto y de garantía conforme al artículo 1.1 de la Convención. Sobre la obligación de respeto, la Corte indicó que “c</w:t>
      </w:r>
      <w:bookmarkEnd w:id="25"/>
      <w:bookmarkEnd w:id="26"/>
      <w:r w:rsidRPr="00165EC6">
        <w:rPr>
          <w:rFonts w:asciiTheme="majorHAnsi" w:hAnsiTheme="majorHAnsi" w:cs="Verdana"/>
          <w:color w:val="auto"/>
          <w:sz w:val="20"/>
          <w:szCs w:val="20"/>
          <w:lang w:val="es-US"/>
        </w:rPr>
        <w:t xml:space="preserve">onforme al artículo 1.1 es ilícita toda forma de ejercicio del poder público </w:t>
      </w:r>
      <w:r w:rsidRPr="00165EC6">
        <w:rPr>
          <w:rStyle w:val="Heading1Char"/>
          <w:rFonts w:eastAsia="Cambria"/>
          <w:b w:val="0"/>
          <w:color w:val="auto"/>
          <w:sz w:val="20"/>
          <w:szCs w:val="20"/>
          <w:lang w:val="es-US"/>
        </w:rPr>
        <w:t>que</w:t>
      </w:r>
      <w:r w:rsidRPr="00165EC6">
        <w:rPr>
          <w:rFonts w:asciiTheme="majorHAnsi" w:hAnsiTheme="majorHAnsi" w:cs="Verdana"/>
          <w:color w:val="auto"/>
          <w:sz w:val="20"/>
          <w:szCs w:val="20"/>
          <w:lang w:val="es-US"/>
        </w:rPr>
        <w:t xml:space="preserve"> viole los derechos reconocidos por la Convención. En tal sentido, en toda circunstancia en la cual un órgano o funcionario del Estado o de una institución de carácter público lesione indebidamente uno de tales derechos, se está ante un supuesto de inobservancia del deber de respeto consagrado en ese artículo”</w:t>
      </w:r>
      <w:r w:rsidRPr="00165EC6">
        <w:rPr>
          <w:rStyle w:val="FootnoteReference"/>
          <w:rFonts w:asciiTheme="majorHAnsi" w:hAnsiTheme="majorHAnsi"/>
          <w:color w:val="auto"/>
          <w:sz w:val="20"/>
          <w:szCs w:val="20"/>
          <w:lang w:val="es-US"/>
        </w:rPr>
        <w:footnoteReference w:id="73"/>
      </w:r>
      <w:r w:rsidRPr="00165EC6">
        <w:rPr>
          <w:rFonts w:asciiTheme="majorHAnsi" w:hAnsiTheme="majorHAnsi" w:cs="Verdana"/>
          <w:color w:val="auto"/>
          <w:sz w:val="20"/>
          <w:szCs w:val="20"/>
          <w:lang w:val="es-US"/>
        </w:rPr>
        <w:t xml:space="preserve">. </w:t>
      </w:r>
    </w:p>
    <w:p w:rsidR="00966EAC" w:rsidRPr="00165EC6" w:rsidRDefault="00966EAC" w:rsidP="003B61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Verdana"/>
          <w:sz w:val="20"/>
          <w:szCs w:val="20"/>
          <w:lang w:val="es-US" w:eastAsia="es-ES"/>
        </w:rPr>
      </w:pPr>
    </w:p>
    <w:p w:rsidR="00966EAC" w:rsidRPr="00165EC6" w:rsidRDefault="00966EAC" w:rsidP="003B61D3">
      <w:pPr>
        <w:pStyle w:val="ListParagraph"/>
        <w:numPr>
          <w:ilvl w:val="0"/>
          <w:numId w:val="55"/>
        </w:numPr>
        <w:tabs>
          <w:tab w:val="left" w:pos="720"/>
          <w:tab w:val="left" w:pos="1440"/>
        </w:tabs>
        <w:ind w:left="0"/>
        <w:jc w:val="both"/>
        <w:rPr>
          <w:rFonts w:asciiTheme="majorHAnsi" w:hAnsiTheme="majorHAnsi" w:cs="Verdana"/>
          <w:color w:val="auto"/>
          <w:sz w:val="20"/>
          <w:szCs w:val="20"/>
          <w:lang w:val="es-US"/>
        </w:rPr>
      </w:pPr>
      <w:r w:rsidRPr="00165EC6">
        <w:rPr>
          <w:rFonts w:asciiTheme="majorHAnsi" w:hAnsiTheme="majorHAnsi" w:cs="Verdana"/>
          <w:color w:val="auto"/>
          <w:sz w:val="20"/>
          <w:szCs w:val="20"/>
          <w:lang w:val="es-US"/>
        </w:rPr>
        <w:t xml:space="preserve">Por su parte la Comisión ha indicado que una violación de los derechos humanos </w:t>
      </w:r>
      <w:r w:rsidRPr="00165EC6">
        <w:rPr>
          <w:color w:val="auto"/>
          <w:sz w:val="20"/>
          <w:szCs w:val="20"/>
          <w:lang w:val="es-UY"/>
        </w:rPr>
        <w:t>protegidos por la Convención puede comprometer la responsabilidad internacional de un Estado parte sea porque la violación es perpetrada por sus propios agentes o bien</w:t>
      </w:r>
      <w:r w:rsidRPr="00165EC6">
        <w:rPr>
          <w:b/>
          <w:color w:val="auto"/>
          <w:sz w:val="20"/>
          <w:szCs w:val="20"/>
          <w:lang w:val="es-UY"/>
        </w:rPr>
        <w:t xml:space="preserve"> </w:t>
      </w:r>
      <w:r w:rsidRPr="00165EC6">
        <w:rPr>
          <w:color w:val="auto"/>
          <w:sz w:val="20"/>
          <w:szCs w:val="20"/>
          <w:lang w:val="es-UY"/>
        </w:rPr>
        <w:t>-aunque al principio no sean directamente atribuibles al Estado por haber sido cometidas por un particular-, cuando no se haya podido determinar quién ha sido el  autor de la misma debido a la falta de diligencia del Estado para prevenir razonablemente la violación o tratarla conforme a lo que establece la Convención. Lo importante es determinar si ese acto ilícito ha contado con la participación, el apoyo o la tolerancia de agentes estatales o ha resultado del incumplimiento, por parte del Estado, de su obligación de prevenir razonablemente las violaciones de los derechos humanos, de investigar seriamente a efecto de identificar y sancionar a los responsables y reparar adecuadamente a la víctima o sus familiares por los perjuicios causados</w:t>
      </w:r>
      <w:r w:rsidRPr="00165EC6">
        <w:rPr>
          <w:rStyle w:val="FootnoteReference"/>
          <w:rFonts w:asciiTheme="majorHAnsi" w:hAnsiTheme="majorHAnsi"/>
          <w:color w:val="auto"/>
          <w:sz w:val="20"/>
          <w:szCs w:val="20"/>
          <w:lang w:val="es-UY"/>
        </w:rPr>
        <w:footnoteReference w:id="74"/>
      </w:r>
      <w:r w:rsidRPr="00165EC6">
        <w:rPr>
          <w:color w:val="auto"/>
          <w:sz w:val="20"/>
          <w:szCs w:val="20"/>
          <w:lang w:val="es-UY"/>
        </w:rPr>
        <w:t>.</w:t>
      </w:r>
    </w:p>
    <w:p w:rsidR="00966EAC" w:rsidRPr="00165EC6" w:rsidRDefault="00966EAC" w:rsidP="003B61D3">
      <w:pPr>
        <w:tabs>
          <w:tab w:val="left" w:pos="720"/>
          <w:tab w:val="left" w:pos="1440"/>
        </w:tabs>
        <w:ind w:firstLine="720"/>
        <w:jc w:val="both"/>
        <w:rPr>
          <w:rFonts w:asciiTheme="majorHAnsi" w:hAnsiTheme="majorHAnsi" w:cs="Verdana"/>
          <w:sz w:val="20"/>
          <w:szCs w:val="20"/>
          <w:lang w:val="es-US"/>
        </w:rPr>
      </w:pPr>
    </w:p>
    <w:p w:rsidR="00966EAC" w:rsidRPr="00165EC6" w:rsidRDefault="00966EAC" w:rsidP="003B61D3">
      <w:pPr>
        <w:pStyle w:val="ListParagraph"/>
        <w:numPr>
          <w:ilvl w:val="0"/>
          <w:numId w:val="55"/>
        </w:numPr>
        <w:tabs>
          <w:tab w:val="left" w:pos="720"/>
          <w:tab w:val="left" w:pos="1440"/>
        </w:tabs>
        <w:ind w:left="0"/>
        <w:jc w:val="both"/>
        <w:rPr>
          <w:rFonts w:asciiTheme="majorHAnsi" w:hAnsiTheme="majorHAnsi" w:cs="Verdana"/>
          <w:color w:val="auto"/>
          <w:sz w:val="20"/>
          <w:szCs w:val="20"/>
          <w:lang w:val="es-US"/>
        </w:rPr>
      </w:pPr>
      <w:r w:rsidRPr="00165EC6">
        <w:rPr>
          <w:rFonts w:asciiTheme="majorHAnsi" w:hAnsiTheme="majorHAnsi" w:cs="Verdana"/>
          <w:color w:val="auto"/>
          <w:sz w:val="20"/>
          <w:szCs w:val="20"/>
          <w:lang w:val="es-US"/>
        </w:rPr>
        <w:t xml:space="preserve">En cuanto a la obligación de garantía, la Corte señaló que la misma  implica el deber de los Estados Partes de organizar todo el aparato gubernamental y, en general, todas las estructuras a través de las cuales se manifiesta el ejercicio del poder público, de manera tal que sean capaces de asegurar jurídicamente el libre y pleno ejercicio de los derechos humanos. Como consecuencia de esta obligación los Estados deben </w:t>
      </w:r>
      <w:r w:rsidRPr="00165EC6">
        <w:rPr>
          <w:rFonts w:asciiTheme="majorHAnsi" w:hAnsiTheme="majorHAnsi" w:cs="Verdana"/>
          <w:color w:val="auto"/>
          <w:sz w:val="20"/>
          <w:szCs w:val="20"/>
          <w:lang w:val="es-US"/>
        </w:rPr>
        <w:lastRenderedPageBreak/>
        <w:t>prevenir, investigar y sancionar toda violación de los derechos reconocidos por la Convención y procurar, además, el restablecimiento, si es posible, del derecho conculcado y, en su caso, la reparación de los daños producidos por la violación de los derechos humanos</w:t>
      </w:r>
      <w:r w:rsidRPr="00165EC6">
        <w:rPr>
          <w:rStyle w:val="FootnoteReference"/>
          <w:rFonts w:asciiTheme="majorHAnsi" w:hAnsiTheme="majorHAnsi"/>
          <w:color w:val="auto"/>
          <w:sz w:val="20"/>
          <w:szCs w:val="20"/>
          <w:lang w:val="es-US"/>
        </w:rPr>
        <w:footnoteReference w:id="75"/>
      </w:r>
      <w:r w:rsidRPr="00165EC6">
        <w:rPr>
          <w:rFonts w:asciiTheme="majorHAnsi" w:hAnsiTheme="majorHAnsi" w:cs="Verdana"/>
          <w:color w:val="auto"/>
          <w:sz w:val="20"/>
          <w:szCs w:val="20"/>
          <w:lang w:val="es-US"/>
        </w:rPr>
        <w:t xml:space="preserve">. </w:t>
      </w:r>
    </w:p>
    <w:p w:rsidR="00966EAC" w:rsidRPr="00165EC6" w:rsidRDefault="00966EAC" w:rsidP="003B61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Verdana"/>
          <w:sz w:val="20"/>
          <w:szCs w:val="20"/>
          <w:lang w:val="es-US" w:eastAsia="es-ES"/>
        </w:rPr>
      </w:pPr>
    </w:p>
    <w:p w:rsidR="00AD225E" w:rsidRPr="00165EC6" w:rsidRDefault="00AD225E" w:rsidP="003B61D3">
      <w:pPr>
        <w:pStyle w:val="ListParagraph"/>
        <w:numPr>
          <w:ilvl w:val="0"/>
          <w:numId w:val="55"/>
        </w:numPr>
        <w:tabs>
          <w:tab w:val="left" w:pos="720"/>
          <w:tab w:val="left" w:pos="1440"/>
        </w:tabs>
        <w:ind w:left="0"/>
        <w:jc w:val="both"/>
        <w:rPr>
          <w:rFonts w:asciiTheme="majorHAnsi" w:hAnsiTheme="majorHAnsi" w:cs="Verdana"/>
          <w:color w:val="auto"/>
          <w:sz w:val="20"/>
          <w:szCs w:val="20"/>
          <w:lang w:val="es-US"/>
        </w:rPr>
      </w:pPr>
      <w:r w:rsidRPr="00165EC6">
        <w:rPr>
          <w:rFonts w:asciiTheme="majorHAnsi" w:hAnsiTheme="majorHAnsi" w:cs="Verdana"/>
          <w:color w:val="auto"/>
          <w:sz w:val="20"/>
          <w:szCs w:val="20"/>
          <w:lang w:val="es-US"/>
        </w:rPr>
        <w:t xml:space="preserve">Por otra parte, </w:t>
      </w:r>
      <w:r w:rsidR="00966EAC" w:rsidRPr="00165EC6">
        <w:rPr>
          <w:rFonts w:asciiTheme="majorHAnsi" w:hAnsiTheme="majorHAnsi" w:cs="Arial"/>
          <w:color w:val="auto"/>
          <w:sz w:val="20"/>
          <w:szCs w:val="20"/>
          <w:lang w:val="es-PE"/>
        </w:rPr>
        <w:t>la Corte Interamericana ha indicado que</w:t>
      </w:r>
      <w:r w:rsidRPr="00165EC6">
        <w:rPr>
          <w:rFonts w:asciiTheme="majorHAnsi" w:hAnsiTheme="majorHAnsi" w:cs="Arial"/>
          <w:color w:val="auto"/>
          <w:sz w:val="20"/>
          <w:szCs w:val="20"/>
          <w:lang w:val="es-PE"/>
        </w:rPr>
        <w:t>:</w:t>
      </w:r>
    </w:p>
    <w:p w:rsidR="00AD225E" w:rsidRPr="00165EC6" w:rsidRDefault="00AD225E" w:rsidP="00AD225E">
      <w:pPr>
        <w:pStyle w:val="ListParagraph"/>
        <w:rPr>
          <w:rFonts w:asciiTheme="majorHAnsi" w:hAnsiTheme="majorHAnsi" w:cs="Arial"/>
          <w:color w:val="auto"/>
          <w:sz w:val="20"/>
          <w:szCs w:val="20"/>
          <w:lang w:val="es-PE"/>
        </w:rPr>
      </w:pPr>
    </w:p>
    <w:p w:rsidR="00966EAC" w:rsidRPr="00165EC6" w:rsidRDefault="00966EAC" w:rsidP="00AD225E">
      <w:pPr>
        <w:pStyle w:val="ListParagraph"/>
        <w:tabs>
          <w:tab w:val="left" w:pos="720"/>
          <w:tab w:val="left" w:pos="1440"/>
        </w:tabs>
        <w:ind w:right="720"/>
        <w:jc w:val="both"/>
        <w:rPr>
          <w:rFonts w:asciiTheme="majorHAnsi" w:hAnsiTheme="majorHAnsi" w:cs="Verdana"/>
          <w:color w:val="auto"/>
          <w:sz w:val="20"/>
          <w:szCs w:val="20"/>
          <w:lang w:val="es-US"/>
        </w:rPr>
      </w:pPr>
      <w:r w:rsidRPr="00165EC6">
        <w:rPr>
          <w:rFonts w:asciiTheme="majorHAnsi" w:hAnsiTheme="majorHAnsi"/>
          <w:color w:val="auto"/>
          <w:sz w:val="20"/>
          <w:szCs w:val="20"/>
          <w:lang w:val="es-ES"/>
        </w:rPr>
        <w:t>puede generarse</w:t>
      </w:r>
      <w:r w:rsidRPr="00165EC6">
        <w:rPr>
          <w:rFonts w:asciiTheme="majorHAnsi" w:hAnsiTheme="majorHAnsi"/>
          <w:b/>
          <w:color w:val="auto"/>
          <w:sz w:val="20"/>
          <w:szCs w:val="20"/>
          <w:lang w:val="es-ES"/>
        </w:rPr>
        <w:t xml:space="preserve"> </w:t>
      </w:r>
      <w:r w:rsidRPr="00165EC6">
        <w:rPr>
          <w:rFonts w:asciiTheme="majorHAnsi" w:hAnsiTheme="majorHAnsi"/>
          <w:color w:val="auto"/>
          <w:sz w:val="20"/>
          <w:szCs w:val="20"/>
          <w:lang w:val="es-ES"/>
        </w:rPr>
        <w:t>responsabilidad internacional</w:t>
      </w:r>
      <w:r w:rsidRPr="00165EC6">
        <w:rPr>
          <w:rFonts w:asciiTheme="majorHAnsi" w:hAnsiTheme="majorHAnsi"/>
          <w:b/>
          <w:color w:val="auto"/>
          <w:sz w:val="20"/>
          <w:szCs w:val="20"/>
          <w:lang w:val="es-ES"/>
        </w:rPr>
        <w:t xml:space="preserve"> </w:t>
      </w:r>
      <w:r w:rsidRPr="00165EC6">
        <w:rPr>
          <w:rFonts w:asciiTheme="majorHAnsi" w:hAnsiTheme="majorHAnsi"/>
          <w:color w:val="auto"/>
          <w:sz w:val="20"/>
          <w:szCs w:val="20"/>
          <w:lang w:val="es-ES"/>
        </w:rPr>
        <w:t>del Estado por atribución a éste de actos violatorios de derechos humanos</w:t>
      </w:r>
      <w:r w:rsidRPr="00165EC6">
        <w:rPr>
          <w:rFonts w:asciiTheme="majorHAnsi" w:hAnsiTheme="majorHAnsi"/>
          <w:b/>
          <w:color w:val="auto"/>
          <w:sz w:val="20"/>
          <w:szCs w:val="20"/>
          <w:lang w:val="es-ES"/>
        </w:rPr>
        <w:t xml:space="preserve"> </w:t>
      </w:r>
      <w:r w:rsidRPr="00165EC6">
        <w:rPr>
          <w:rFonts w:asciiTheme="majorHAnsi" w:hAnsiTheme="majorHAnsi"/>
          <w:color w:val="auto"/>
          <w:sz w:val="20"/>
          <w:szCs w:val="20"/>
          <w:lang w:val="es-ES"/>
        </w:rPr>
        <w:t>cometidos por</w:t>
      </w:r>
      <w:r w:rsidRPr="00165EC6">
        <w:rPr>
          <w:rFonts w:asciiTheme="majorHAnsi" w:hAnsiTheme="majorHAnsi"/>
          <w:b/>
          <w:color w:val="auto"/>
          <w:sz w:val="20"/>
          <w:szCs w:val="20"/>
          <w:lang w:val="es-ES"/>
        </w:rPr>
        <w:t xml:space="preserve"> </w:t>
      </w:r>
      <w:r w:rsidRPr="00165EC6">
        <w:rPr>
          <w:rFonts w:asciiTheme="majorHAnsi" w:hAnsiTheme="majorHAnsi"/>
          <w:color w:val="auto"/>
          <w:sz w:val="20"/>
          <w:szCs w:val="20"/>
          <w:lang w:val="es-ES"/>
        </w:rPr>
        <w:t xml:space="preserve">terceros o particulares, en el marco de las obligaciones del Estado de garantizar el respeto a esos derechos entre individuos (…) las obligaciones </w:t>
      </w:r>
      <w:r w:rsidRPr="00165EC6">
        <w:rPr>
          <w:rFonts w:asciiTheme="majorHAnsi" w:hAnsiTheme="majorHAnsi"/>
          <w:i/>
          <w:color w:val="auto"/>
          <w:sz w:val="20"/>
          <w:szCs w:val="20"/>
          <w:lang w:val="es-ES"/>
        </w:rPr>
        <w:t>erga omnes</w:t>
      </w:r>
      <w:r w:rsidRPr="00165EC6">
        <w:rPr>
          <w:rFonts w:asciiTheme="majorHAnsi" w:hAnsiTheme="majorHAnsi"/>
          <w:color w:val="auto"/>
          <w:sz w:val="20"/>
          <w:szCs w:val="20"/>
          <w:lang w:val="es-ES"/>
        </w:rPr>
        <w:t xml:space="preserve"> de respetar y hacer respetar las normas de protección, a cargo de los Estados Partes en la Convención, proyectan sus efectos más allá de la relación entre sus agentes y las personas sometidas a su jurisdicción, pues se manifiestan también</w:t>
      </w:r>
      <w:r w:rsidRPr="00165EC6">
        <w:rPr>
          <w:rFonts w:asciiTheme="majorHAnsi" w:hAnsiTheme="majorHAnsi"/>
          <w:b/>
          <w:color w:val="auto"/>
          <w:sz w:val="20"/>
          <w:szCs w:val="20"/>
          <w:lang w:val="es-ES"/>
        </w:rPr>
        <w:t xml:space="preserve"> </w:t>
      </w:r>
      <w:r w:rsidRPr="00165EC6">
        <w:rPr>
          <w:rFonts w:asciiTheme="majorHAnsi" w:hAnsiTheme="majorHAnsi"/>
          <w:color w:val="auto"/>
          <w:sz w:val="20"/>
          <w:szCs w:val="20"/>
          <w:lang w:val="es-ES"/>
        </w:rPr>
        <w:t>en la obligación positiva del Estado de adoptar las medidas necesarias para asegurar la efectiva protección de los derechos humanos en las relaciones inter – individuales”. Dichas obligaciones incumben a todos los sujetos del Derecho Internacional y los supuestos de incumplimiento deberán determinarse en cada caso en función de las necesidades de protección, para cada caso en particular</w:t>
      </w:r>
      <w:r w:rsidRPr="00165EC6">
        <w:rPr>
          <w:rStyle w:val="FootnoteReference"/>
          <w:rFonts w:asciiTheme="majorHAnsi" w:hAnsiTheme="majorHAnsi"/>
          <w:color w:val="auto"/>
          <w:sz w:val="20"/>
          <w:szCs w:val="20"/>
          <w:lang w:val="es-ES"/>
        </w:rPr>
        <w:footnoteReference w:id="76"/>
      </w:r>
      <w:r w:rsidRPr="00165EC6">
        <w:rPr>
          <w:rFonts w:asciiTheme="majorHAnsi" w:hAnsiTheme="majorHAnsi"/>
          <w:color w:val="auto"/>
          <w:sz w:val="20"/>
          <w:szCs w:val="20"/>
          <w:lang w:val="es-ES"/>
        </w:rPr>
        <w:t>.</w:t>
      </w:r>
    </w:p>
    <w:p w:rsidR="00966EAC" w:rsidRPr="00165EC6" w:rsidRDefault="00966EAC" w:rsidP="003B61D3">
      <w:pPr>
        <w:ind w:firstLine="720"/>
        <w:jc w:val="both"/>
        <w:rPr>
          <w:rFonts w:asciiTheme="majorHAnsi" w:hAnsiTheme="majorHAnsi"/>
          <w:sz w:val="20"/>
          <w:szCs w:val="20"/>
          <w:lang w:val="es-ES_tradnl"/>
        </w:rPr>
      </w:pPr>
    </w:p>
    <w:p w:rsidR="00966EAC" w:rsidRPr="00165EC6" w:rsidRDefault="00966EAC" w:rsidP="003B61D3">
      <w:pPr>
        <w:pStyle w:val="ListParagraph"/>
        <w:numPr>
          <w:ilvl w:val="0"/>
          <w:numId w:val="55"/>
        </w:numPr>
        <w:tabs>
          <w:tab w:val="left" w:pos="720"/>
          <w:tab w:val="left" w:pos="1440"/>
        </w:tabs>
        <w:ind w:left="0"/>
        <w:jc w:val="both"/>
        <w:rPr>
          <w:color w:val="auto"/>
          <w:sz w:val="20"/>
          <w:szCs w:val="20"/>
          <w:lang w:val="es-US"/>
        </w:rPr>
      </w:pPr>
      <w:r w:rsidRPr="00165EC6">
        <w:rPr>
          <w:rFonts w:asciiTheme="majorHAnsi" w:hAnsiTheme="majorHAnsi"/>
          <w:color w:val="auto"/>
          <w:sz w:val="20"/>
          <w:szCs w:val="20"/>
          <w:lang w:val="es-ES_tradnl"/>
        </w:rPr>
        <w:t xml:space="preserve">Específicamente, sobre el deber de prevenir la Corte ha indicado que “un Estado no puede ser responsable por cualquier violación de derechos humanos cometida entre particulares dentro de su jurisdicción. </w:t>
      </w:r>
      <w:r w:rsidR="00AD225E" w:rsidRPr="00165EC6">
        <w:rPr>
          <w:rFonts w:asciiTheme="majorHAnsi" w:hAnsiTheme="majorHAnsi"/>
          <w:color w:val="auto"/>
          <w:sz w:val="20"/>
          <w:szCs w:val="20"/>
          <w:lang w:val="es-ES_tradnl"/>
        </w:rPr>
        <w:t>L</w:t>
      </w:r>
      <w:r w:rsidRPr="00165EC6">
        <w:rPr>
          <w:rFonts w:asciiTheme="majorHAnsi" w:hAnsiTheme="majorHAnsi"/>
          <w:color w:val="auto"/>
          <w:sz w:val="20"/>
          <w:szCs w:val="20"/>
          <w:lang w:val="es-ES_tradnl"/>
        </w:rPr>
        <w:t>as obligaciones convencionales de garantía a cargo de los Estados no implica una responsabilidad ilimitada de los Estados frente a cualquier acto o hecho de particulares</w:t>
      </w:r>
      <w:r w:rsidRPr="00165EC6">
        <w:rPr>
          <w:rStyle w:val="FootnoteReference"/>
          <w:rFonts w:asciiTheme="majorHAnsi" w:hAnsiTheme="majorHAnsi"/>
          <w:color w:val="auto"/>
          <w:sz w:val="20"/>
          <w:szCs w:val="20"/>
          <w:lang w:val="es-ES"/>
        </w:rPr>
        <w:footnoteReference w:id="77"/>
      </w:r>
      <w:r w:rsidRPr="00165EC6">
        <w:rPr>
          <w:rFonts w:asciiTheme="majorHAnsi" w:hAnsiTheme="majorHAnsi"/>
          <w:color w:val="auto"/>
          <w:sz w:val="20"/>
          <w:szCs w:val="20"/>
          <w:lang w:val="es-ES_tradnl"/>
        </w:rPr>
        <w:t>, pues sus deberes de adoptar medidas de prevención y protección en sus relaciones entre sí</w:t>
      </w:r>
      <w:r w:rsidRPr="00165EC6">
        <w:rPr>
          <w:rFonts w:asciiTheme="majorHAnsi" w:hAnsiTheme="majorHAnsi"/>
          <w:b/>
          <w:color w:val="auto"/>
          <w:sz w:val="20"/>
          <w:szCs w:val="20"/>
          <w:lang w:val="es-ES_tradnl"/>
        </w:rPr>
        <w:t xml:space="preserve"> </w:t>
      </w:r>
      <w:r w:rsidRPr="00165EC6">
        <w:rPr>
          <w:rFonts w:asciiTheme="majorHAnsi" w:hAnsiTheme="majorHAnsi"/>
          <w:color w:val="auto"/>
          <w:sz w:val="20"/>
          <w:szCs w:val="20"/>
          <w:lang w:val="es-ES_tradnl"/>
        </w:rPr>
        <w:t xml:space="preserve">se encuentran condicionados a </w:t>
      </w:r>
      <w:r w:rsidRPr="00165EC6">
        <w:rPr>
          <w:rFonts w:asciiTheme="majorHAnsi" w:hAnsiTheme="majorHAnsi"/>
          <w:color w:val="auto"/>
          <w:sz w:val="20"/>
          <w:szCs w:val="20"/>
          <w:lang w:val="es-US"/>
        </w:rPr>
        <w:t>i) si el Estado tenía o debía tener conocimiento de una situación de riesgo; ii) si</w:t>
      </w:r>
      <w:r w:rsidRPr="00165EC6">
        <w:rPr>
          <w:color w:val="auto"/>
          <w:sz w:val="20"/>
          <w:szCs w:val="20"/>
          <w:lang w:val="es-US"/>
        </w:rPr>
        <w:t xml:space="preserve"> dich</w:t>
      </w:r>
      <w:r w:rsidR="00333714" w:rsidRPr="00165EC6">
        <w:rPr>
          <w:color w:val="auto"/>
          <w:sz w:val="20"/>
          <w:szCs w:val="20"/>
          <w:lang w:val="es-US"/>
        </w:rPr>
        <w:t xml:space="preserve">o riesgo era real e inmediato; </w:t>
      </w:r>
      <w:r w:rsidRPr="00165EC6">
        <w:rPr>
          <w:color w:val="auto"/>
          <w:sz w:val="20"/>
          <w:szCs w:val="20"/>
          <w:lang w:val="es-US"/>
        </w:rPr>
        <w:t>y iii) si el Estado adoptó las medidas que razonablemente se esperaban para evitar que dicho riesgo se verificara</w:t>
      </w:r>
      <w:r w:rsidRPr="00165EC6">
        <w:rPr>
          <w:rStyle w:val="FootnoteReference"/>
          <w:rFonts w:cs="Arial"/>
          <w:color w:val="auto"/>
          <w:sz w:val="20"/>
          <w:szCs w:val="20"/>
          <w:lang w:val="es-CR"/>
        </w:rPr>
        <w:footnoteReference w:id="78"/>
      </w:r>
      <w:r w:rsidRPr="00165EC6">
        <w:rPr>
          <w:color w:val="auto"/>
          <w:sz w:val="20"/>
          <w:szCs w:val="20"/>
          <w:lang w:val="es-US"/>
        </w:rPr>
        <w:t>.</w:t>
      </w:r>
    </w:p>
    <w:p w:rsidR="00966EAC" w:rsidRPr="00165EC6" w:rsidRDefault="00966EAC" w:rsidP="00966E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Verdana"/>
          <w:sz w:val="20"/>
          <w:szCs w:val="20"/>
          <w:lang w:val="es-US" w:eastAsia="es-ES"/>
        </w:rPr>
      </w:pPr>
    </w:p>
    <w:p w:rsidR="00966EAC" w:rsidRPr="00165EC6" w:rsidRDefault="00966EAC" w:rsidP="003B61D3">
      <w:pPr>
        <w:pStyle w:val="ListParagraph"/>
        <w:numPr>
          <w:ilvl w:val="0"/>
          <w:numId w:val="55"/>
        </w:numPr>
        <w:tabs>
          <w:tab w:val="left" w:pos="720"/>
          <w:tab w:val="left" w:pos="1440"/>
        </w:tabs>
        <w:ind w:left="0"/>
        <w:jc w:val="both"/>
        <w:rPr>
          <w:rFonts w:asciiTheme="majorHAnsi" w:hAnsiTheme="majorHAnsi" w:cs="Verdana"/>
          <w:color w:val="auto"/>
          <w:sz w:val="20"/>
          <w:szCs w:val="20"/>
          <w:lang w:val="es-US"/>
        </w:rPr>
      </w:pPr>
      <w:r w:rsidRPr="00165EC6">
        <w:rPr>
          <w:rFonts w:asciiTheme="majorHAnsi" w:hAnsiTheme="majorHAnsi" w:cs="Verdana"/>
          <w:color w:val="auto"/>
          <w:sz w:val="20"/>
          <w:szCs w:val="20"/>
          <w:lang w:val="es-US"/>
        </w:rPr>
        <w:t xml:space="preserve">En suma, a efectos de determinar la responsabilidad internacional del Estado, lo decisivo es dilucidar si una determinada violación a los derechos humanos reconocidos por la Convención ha tenido lugar con el apoyo o la tolerancia del </w:t>
      </w:r>
      <w:r w:rsidRPr="00165EC6">
        <w:rPr>
          <w:rFonts w:asciiTheme="majorHAnsi" w:hAnsiTheme="majorHAnsi" w:cs="Arial"/>
          <w:color w:val="auto"/>
          <w:sz w:val="20"/>
          <w:szCs w:val="20"/>
          <w:lang w:val="es-PE"/>
        </w:rPr>
        <w:t>poder</w:t>
      </w:r>
      <w:r w:rsidRPr="00165EC6">
        <w:rPr>
          <w:rFonts w:asciiTheme="majorHAnsi" w:hAnsiTheme="majorHAnsi" w:cs="Verdana"/>
          <w:color w:val="auto"/>
          <w:sz w:val="20"/>
          <w:szCs w:val="20"/>
          <w:lang w:val="es-US"/>
        </w:rPr>
        <w:t xml:space="preserve"> público o si éste ha actuado de manera que la trasgresión se haya cumplido en defecto de toda prevención o impunemente. En definitiva, de lo que se trata es de determinar si la violación a los derechos humanos resulta de la inobservancia por parte de un Estado de sus deberes de respetar y de garantizar dichos derechos, que le impone el artículo 1.1 de la Convención</w:t>
      </w:r>
      <w:r w:rsidRPr="00165EC6">
        <w:rPr>
          <w:rStyle w:val="FootnoteReference"/>
          <w:rFonts w:asciiTheme="majorHAnsi" w:hAnsiTheme="majorHAnsi"/>
          <w:color w:val="auto"/>
          <w:sz w:val="20"/>
          <w:szCs w:val="20"/>
          <w:lang w:val="es-US"/>
        </w:rPr>
        <w:footnoteReference w:id="79"/>
      </w:r>
      <w:r w:rsidRPr="00165EC6">
        <w:rPr>
          <w:rFonts w:asciiTheme="majorHAnsi" w:hAnsiTheme="majorHAnsi" w:cs="Verdana"/>
          <w:color w:val="auto"/>
          <w:sz w:val="20"/>
          <w:szCs w:val="20"/>
          <w:lang w:val="es-US"/>
        </w:rPr>
        <w:t>.</w:t>
      </w:r>
    </w:p>
    <w:p w:rsidR="00966EAC" w:rsidRPr="00165EC6" w:rsidRDefault="00966EAC" w:rsidP="003B61D3">
      <w:pPr>
        <w:pStyle w:val="ListParagraph"/>
        <w:ind w:left="0" w:firstLine="720"/>
        <w:jc w:val="both"/>
        <w:rPr>
          <w:rFonts w:asciiTheme="majorHAnsi" w:hAnsiTheme="majorHAnsi" w:cs="Arial"/>
          <w:color w:val="auto"/>
          <w:sz w:val="20"/>
          <w:szCs w:val="20"/>
          <w:lang w:val="es-ES_tradnl"/>
        </w:rPr>
      </w:pPr>
    </w:p>
    <w:p w:rsidR="00235F26" w:rsidRPr="00165EC6" w:rsidRDefault="00235F26" w:rsidP="003B61D3">
      <w:pPr>
        <w:pStyle w:val="ListParagraph"/>
        <w:numPr>
          <w:ilvl w:val="0"/>
          <w:numId w:val="55"/>
        </w:numPr>
        <w:ind w:left="0"/>
        <w:jc w:val="both"/>
        <w:rPr>
          <w:color w:val="auto"/>
          <w:sz w:val="20"/>
          <w:szCs w:val="20"/>
          <w:lang w:val="es-PE"/>
        </w:rPr>
      </w:pPr>
      <w:r w:rsidRPr="00165EC6">
        <w:rPr>
          <w:color w:val="auto"/>
          <w:sz w:val="20"/>
          <w:szCs w:val="20"/>
          <w:lang w:val="es-PE"/>
        </w:rPr>
        <w:t>Ambos órganos del sistema interamericano han indicado que las medidas de prevención exigibles, deberán ser determinadas a la luz de las características y las circunstancias de cada caso concreto. La Comisión considera que en el presente caso, en el que se trata de una explosión ocurrida en una empresa privada, resultan aplicables las obligaciones de regulación, supervisión y fiscalización</w:t>
      </w:r>
      <w:r w:rsidRPr="00165EC6">
        <w:rPr>
          <w:rStyle w:val="FootnoteReference"/>
          <w:color w:val="auto"/>
          <w:sz w:val="20"/>
          <w:szCs w:val="20"/>
        </w:rPr>
        <w:footnoteReference w:id="80"/>
      </w:r>
      <w:r w:rsidR="00137CB4" w:rsidRPr="00165EC6">
        <w:rPr>
          <w:color w:val="auto"/>
          <w:sz w:val="20"/>
          <w:szCs w:val="20"/>
          <w:lang w:val="es-PE"/>
        </w:rPr>
        <w:t xml:space="preserve">, en cuanto al rol del Estado, en esferas que involucran intereses fundamentales de la sociedad y derechos básicos de las personas. </w:t>
      </w:r>
      <w:r w:rsidRPr="00165EC6">
        <w:rPr>
          <w:color w:val="auto"/>
          <w:sz w:val="20"/>
          <w:szCs w:val="20"/>
          <w:lang w:val="es-PE"/>
        </w:rPr>
        <w:t xml:space="preserve"> </w:t>
      </w:r>
    </w:p>
    <w:p w:rsidR="00235F26" w:rsidRPr="00165EC6" w:rsidRDefault="00235F26" w:rsidP="003B61D3">
      <w:pPr>
        <w:ind w:firstLine="720"/>
        <w:jc w:val="both"/>
        <w:rPr>
          <w:sz w:val="20"/>
          <w:szCs w:val="20"/>
          <w:lang w:val="es-PE"/>
        </w:rPr>
      </w:pPr>
    </w:p>
    <w:p w:rsidR="00235F26" w:rsidRPr="00165EC6" w:rsidRDefault="00235F26" w:rsidP="003B61D3">
      <w:pPr>
        <w:pStyle w:val="ListParagraph"/>
        <w:numPr>
          <w:ilvl w:val="0"/>
          <w:numId w:val="55"/>
        </w:numPr>
        <w:ind w:left="0"/>
        <w:jc w:val="both"/>
        <w:rPr>
          <w:color w:val="auto"/>
          <w:sz w:val="20"/>
          <w:szCs w:val="20"/>
          <w:lang w:val="es-PE"/>
        </w:rPr>
      </w:pPr>
      <w:r w:rsidRPr="00165EC6">
        <w:rPr>
          <w:color w:val="auto"/>
          <w:sz w:val="20"/>
          <w:szCs w:val="20"/>
          <w:lang w:val="es-PE"/>
        </w:rPr>
        <w:t xml:space="preserve">En ese sentido, si bien no le resultan atribuibles a los Estados toda afectación a la vida e integridad que tenga lugar en el contexto del trabajo, el Estado sí puede ser internacionalmente responsable por tales afectaciones, cuando las mismas hayan tenido lugar en ausencia de mecanismos adecuados de regulación, supervision y fiscalización. Estas obligaciones resultan reforzadas frente a actores privados que realizan actividades de especial riesgo. </w:t>
      </w:r>
    </w:p>
    <w:p w:rsidR="00933F27" w:rsidRPr="00165EC6" w:rsidRDefault="00CB4286" w:rsidP="00CB4286">
      <w:pPr>
        <w:pStyle w:val="Heading3"/>
        <w:ind w:firstLine="720"/>
        <w:rPr>
          <w:rFonts w:asciiTheme="majorHAnsi" w:eastAsia="Batang" w:hAnsiTheme="majorHAnsi"/>
          <w:sz w:val="20"/>
          <w:szCs w:val="20"/>
          <w:lang w:val="es-CO"/>
        </w:rPr>
      </w:pPr>
      <w:bookmarkStart w:id="27" w:name="_Toc506225840"/>
      <w:r w:rsidRPr="00165EC6">
        <w:rPr>
          <w:rFonts w:asciiTheme="majorHAnsi" w:eastAsia="Batang" w:hAnsiTheme="majorHAnsi"/>
          <w:sz w:val="20"/>
          <w:szCs w:val="20"/>
          <w:lang w:val="es-UY"/>
        </w:rPr>
        <w:t>2.</w:t>
      </w:r>
      <w:r w:rsidRPr="00165EC6">
        <w:rPr>
          <w:rFonts w:asciiTheme="majorHAnsi" w:hAnsiTheme="majorHAnsi"/>
          <w:sz w:val="20"/>
          <w:szCs w:val="20"/>
          <w:lang w:val="es-ES"/>
        </w:rPr>
        <w:tab/>
      </w:r>
      <w:r w:rsidR="00FF06AC" w:rsidRPr="00165EC6">
        <w:rPr>
          <w:rFonts w:asciiTheme="majorHAnsi" w:hAnsiTheme="majorHAnsi"/>
          <w:sz w:val="20"/>
          <w:szCs w:val="20"/>
          <w:lang w:val="es-ES"/>
        </w:rPr>
        <w:t>Estándares específicos sobre actividades peligrosas</w:t>
      </w:r>
      <w:r w:rsidR="00933F27" w:rsidRPr="00165EC6">
        <w:rPr>
          <w:rFonts w:asciiTheme="majorHAnsi" w:hAnsiTheme="majorHAnsi"/>
          <w:sz w:val="20"/>
          <w:szCs w:val="20"/>
          <w:lang w:val="es-ES"/>
        </w:rPr>
        <w:t xml:space="preserve"> en el ámbito laboral</w:t>
      </w:r>
      <w:r w:rsidR="007F1DE4" w:rsidRPr="00165EC6">
        <w:rPr>
          <w:rFonts w:asciiTheme="majorHAnsi" w:hAnsiTheme="majorHAnsi"/>
          <w:sz w:val="20"/>
          <w:szCs w:val="20"/>
          <w:lang w:val="es-ES"/>
        </w:rPr>
        <w:t>.</w:t>
      </w:r>
      <w:bookmarkEnd w:id="27"/>
    </w:p>
    <w:p w:rsidR="00933F27" w:rsidRPr="00165EC6" w:rsidRDefault="00933F27" w:rsidP="00B74E3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Batang"/>
          <w:b/>
          <w:sz w:val="20"/>
          <w:szCs w:val="20"/>
          <w:bdr w:val="none" w:sz="0" w:space="0" w:color="auto"/>
          <w:lang w:val="es-CO"/>
        </w:rPr>
      </w:pPr>
    </w:p>
    <w:p w:rsidR="0070090A" w:rsidRPr="00165EC6" w:rsidRDefault="0070090A" w:rsidP="009001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Cambria" w:hAnsi="Cambria"/>
          <w:sz w:val="20"/>
          <w:szCs w:val="20"/>
          <w:lang w:val="es-PE"/>
        </w:rPr>
      </w:pPr>
      <w:r w:rsidRPr="00165EC6">
        <w:rPr>
          <w:rFonts w:ascii="Cambria" w:hAnsi="Cambria"/>
          <w:sz w:val="20"/>
          <w:szCs w:val="20"/>
          <w:lang w:val="es-PE"/>
        </w:rPr>
        <w:t xml:space="preserve">Habiendo establecido las obligaciones estatales de respeto y garantía de los derechos a la vida e integridad personal, en esta sección la Comisión recapitulará los estándares internacionales que resultan </w:t>
      </w:r>
      <w:r w:rsidR="00AD225E" w:rsidRPr="00165EC6">
        <w:rPr>
          <w:rFonts w:ascii="Cambria" w:hAnsi="Cambria"/>
          <w:sz w:val="20"/>
          <w:szCs w:val="20"/>
          <w:lang w:val="es-PE"/>
        </w:rPr>
        <w:t>relevantes a la luz del artículo 29 de la Convención Americana</w:t>
      </w:r>
      <w:r w:rsidRPr="00165EC6">
        <w:rPr>
          <w:rFonts w:ascii="Cambria" w:hAnsi="Cambria"/>
          <w:sz w:val="20"/>
          <w:szCs w:val="20"/>
          <w:lang w:val="es-PE"/>
        </w:rPr>
        <w:t xml:space="preserve">, para </w:t>
      </w:r>
      <w:r w:rsidRPr="00165EC6">
        <w:rPr>
          <w:rFonts w:ascii="Cambria" w:eastAsia="Batang" w:hAnsi="Cambria"/>
          <w:sz w:val="20"/>
          <w:szCs w:val="20"/>
          <w:bdr w:val="none" w:sz="0" w:space="0" w:color="auto"/>
          <w:lang w:val="es-CO"/>
        </w:rPr>
        <w:t>caracterizar</w:t>
      </w:r>
      <w:r w:rsidRPr="00165EC6">
        <w:rPr>
          <w:rFonts w:ascii="Cambria" w:hAnsi="Cambria"/>
          <w:sz w:val="20"/>
          <w:szCs w:val="20"/>
          <w:lang w:val="es-PE"/>
        </w:rPr>
        <w:t xml:space="preserve"> el alcance y contenido de dichas obligaciones convencionales en el ámbito laboral y más específicamente, respecto de actividades peligrosas que implican un riesgo para tales derechos. </w:t>
      </w:r>
    </w:p>
    <w:p w:rsidR="0070090A" w:rsidRPr="00165EC6" w:rsidRDefault="0070090A" w:rsidP="00900181">
      <w:pPr>
        <w:ind w:firstLine="720"/>
        <w:jc w:val="both"/>
        <w:rPr>
          <w:rFonts w:ascii="Cambria" w:hAnsi="Cambria"/>
          <w:sz w:val="20"/>
          <w:szCs w:val="20"/>
          <w:lang w:val="es-PE"/>
        </w:rPr>
      </w:pPr>
    </w:p>
    <w:p w:rsidR="0070090A" w:rsidRPr="00165EC6" w:rsidRDefault="0070090A" w:rsidP="009001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Cambria" w:hAnsi="Cambria"/>
          <w:sz w:val="20"/>
          <w:szCs w:val="20"/>
          <w:lang w:val="es-PE"/>
        </w:rPr>
      </w:pPr>
      <w:r w:rsidRPr="00165EC6">
        <w:rPr>
          <w:rFonts w:ascii="Cambria" w:hAnsi="Cambria"/>
          <w:sz w:val="20"/>
          <w:szCs w:val="20"/>
          <w:lang w:val="es-PE"/>
        </w:rPr>
        <w:t xml:space="preserve">El Convenio No. 155 de la Organización Internacional del Trabajo, </w:t>
      </w:r>
      <w:r w:rsidR="00D92315" w:rsidRPr="00165EC6">
        <w:rPr>
          <w:rFonts w:ascii="Cambria" w:hAnsi="Cambria"/>
          <w:sz w:val="20"/>
          <w:szCs w:val="20"/>
          <w:lang w:val="es-PE"/>
        </w:rPr>
        <w:t xml:space="preserve">vinculante para </w:t>
      </w:r>
      <w:r w:rsidR="00C93CFB" w:rsidRPr="00165EC6">
        <w:rPr>
          <w:rFonts w:ascii="Cambria" w:hAnsi="Cambria"/>
          <w:sz w:val="20"/>
          <w:szCs w:val="20"/>
          <w:lang w:val="es-PE"/>
        </w:rPr>
        <w:t xml:space="preserve">Brasil a la fecha de los hechos, </w:t>
      </w:r>
      <w:r w:rsidRPr="00165EC6">
        <w:rPr>
          <w:rFonts w:ascii="Cambria" w:hAnsi="Cambria"/>
          <w:sz w:val="20"/>
          <w:szCs w:val="20"/>
          <w:lang w:val="es-PE"/>
        </w:rPr>
        <w:t>establece en su artículo 4 que los Estados deben poner en práctica una política nacional sobre la materia y que:</w:t>
      </w:r>
    </w:p>
    <w:p w:rsidR="0070090A" w:rsidRPr="00165EC6" w:rsidRDefault="0070090A" w:rsidP="00900181">
      <w:pPr>
        <w:ind w:firstLine="720"/>
        <w:jc w:val="both"/>
        <w:rPr>
          <w:rFonts w:ascii="Cambria" w:hAnsi="Cambria"/>
          <w:sz w:val="20"/>
          <w:szCs w:val="20"/>
          <w:lang w:val="es-PE"/>
        </w:rPr>
      </w:pPr>
    </w:p>
    <w:p w:rsidR="0070090A" w:rsidRPr="00165EC6" w:rsidRDefault="0070090A" w:rsidP="0070090A">
      <w:pPr>
        <w:ind w:left="720" w:right="720"/>
        <w:jc w:val="both"/>
        <w:rPr>
          <w:rFonts w:ascii="Cambria" w:eastAsia="Times New Roman" w:hAnsi="Cambria"/>
          <w:sz w:val="20"/>
          <w:szCs w:val="20"/>
          <w:lang w:val="es-PE"/>
        </w:rPr>
      </w:pPr>
      <w:bookmarkStart w:id="28" w:name="A4P1"/>
      <w:bookmarkStart w:id="29" w:name="A4P2"/>
      <w:bookmarkEnd w:id="28"/>
      <w:bookmarkEnd w:id="29"/>
      <w:r w:rsidRPr="00165EC6">
        <w:rPr>
          <w:rFonts w:ascii="Cambria" w:eastAsia="Times New Roman" w:hAnsi="Cambria"/>
          <w:sz w:val="20"/>
          <w:szCs w:val="20"/>
          <w:lang w:val="es-PE"/>
        </w:rPr>
        <w:t>(…)</w:t>
      </w:r>
    </w:p>
    <w:p w:rsidR="0070090A" w:rsidRPr="00165EC6" w:rsidRDefault="0070090A" w:rsidP="0070090A">
      <w:pPr>
        <w:ind w:left="720" w:right="720"/>
        <w:jc w:val="both"/>
        <w:rPr>
          <w:rFonts w:ascii="Cambria" w:eastAsia="Times New Roman" w:hAnsi="Cambria"/>
          <w:sz w:val="20"/>
          <w:szCs w:val="20"/>
          <w:lang w:val="es-PE"/>
        </w:rPr>
      </w:pPr>
    </w:p>
    <w:p w:rsidR="0070090A" w:rsidRPr="00165EC6" w:rsidRDefault="0070090A" w:rsidP="0070090A">
      <w:pPr>
        <w:ind w:left="720" w:right="720"/>
        <w:jc w:val="both"/>
        <w:rPr>
          <w:rFonts w:ascii="Cambria" w:eastAsia="Times New Roman" w:hAnsi="Cambria"/>
          <w:sz w:val="20"/>
          <w:szCs w:val="20"/>
          <w:lang w:val="es-PE"/>
        </w:rPr>
      </w:pPr>
      <w:r w:rsidRPr="00165EC6">
        <w:rPr>
          <w:rFonts w:ascii="Cambria" w:eastAsia="Times New Roman" w:hAnsi="Cambria"/>
          <w:sz w:val="20"/>
          <w:szCs w:val="20"/>
          <w:lang w:val="es-PE"/>
        </w:rPr>
        <w:t>2. Esta política tendrá por objeto prevenir los accidentes y los daños para la salud que sean consecuencia del trabajo, guarden relación con la actividad laboral o sobrevengan durante el trabajo, reduciendo al mínimo, en la medida en que sea razonable y factible, las causas de los riesgos inherentes al medio ambiente de trabajo</w:t>
      </w:r>
      <w:r w:rsidRPr="00165EC6">
        <w:rPr>
          <w:rStyle w:val="FootnoteReference"/>
          <w:rFonts w:ascii="Cambria" w:eastAsia="Times New Roman" w:hAnsi="Cambria"/>
          <w:sz w:val="20"/>
          <w:szCs w:val="20"/>
        </w:rPr>
        <w:footnoteReference w:id="81"/>
      </w:r>
      <w:r w:rsidRPr="00165EC6">
        <w:rPr>
          <w:rFonts w:ascii="Cambria" w:eastAsia="Times New Roman" w:hAnsi="Cambria"/>
          <w:sz w:val="20"/>
          <w:szCs w:val="20"/>
          <w:lang w:val="es-PE"/>
        </w:rPr>
        <w:t>.</w:t>
      </w:r>
    </w:p>
    <w:p w:rsidR="0070090A" w:rsidRPr="00165EC6" w:rsidRDefault="0070090A" w:rsidP="0070090A">
      <w:pPr>
        <w:ind w:left="720" w:right="720"/>
        <w:jc w:val="both"/>
        <w:rPr>
          <w:rFonts w:ascii="Cambria" w:eastAsia="Times New Roman" w:hAnsi="Cambria"/>
          <w:sz w:val="20"/>
          <w:szCs w:val="20"/>
          <w:lang w:val="es-PE"/>
        </w:rPr>
      </w:pPr>
    </w:p>
    <w:p w:rsidR="0070090A" w:rsidRPr="00165EC6" w:rsidRDefault="0070090A" w:rsidP="009001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Cambria" w:eastAsia="Times New Roman" w:hAnsi="Cambria"/>
          <w:sz w:val="20"/>
          <w:szCs w:val="20"/>
          <w:lang w:val="es-PE"/>
        </w:rPr>
      </w:pPr>
      <w:r w:rsidRPr="00165EC6">
        <w:rPr>
          <w:rFonts w:ascii="Cambria" w:eastAsia="Times New Roman" w:hAnsi="Cambria"/>
          <w:sz w:val="20"/>
          <w:szCs w:val="20"/>
          <w:lang w:val="es-PE"/>
        </w:rPr>
        <w:t>El mismo instrumento internacional, en el artículo 9 se refiere específicamente a deberes de regulación y de inspección y control en los siguientes términos:</w:t>
      </w:r>
    </w:p>
    <w:p w:rsidR="0070090A" w:rsidRPr="00165EC6" w:rsidRDefault="0070090A" w:rsidP="0070090A">
      <w:pPr>
        <w:jc w:val="both"/>
        <w:rPr>
          <w:rFonts w:ascii="Cambria" w:eastAsia="Times New Roman" w:hAnsi="Cambria"/>
          <w:sz w:val="20"/>
          <w:szCs w:val="20"/>
          <w:lang w:val="es-PE"/>
        </w:rPr>
      </w:pPr>
      <w:bookmarkStart w:id="30" w:name="A9P1"/>
      <w:bookmarkEnd w:id="30"/>
    </w:p>
    <w:p w:rsidR="0070090A" w:rsidRPr="00165EC6" w:rsidRDefault="0070090A" w:rsidP="0070090A">
      <w:pPr>
        <w:ind w:left="720" w:right="720"/>
        <w:jc w:val="both"/>
        <w:rPr>
          <w:rFonts w:ascii="Cambria" w:eastAsia="Times New Roman" w:hAnsi="Cambria"/>
          <w:sz w:val="20"/>
          <w:szCs w:val="20"/>
          <w:lang w:val="es-PE"/>
        </w:rPr>
      </w:pPr>
      <w:r w:rsidRPr="00165EC6">
        <w:rPr>
          <w:rFonts w:ascii="Cambria" w:eastAsia="Times New Roman" w:hAnsi="Cambria"/>
          <w:sz w:val="20"/>
          <w:szCs w:val="20"/>
          <w:lang w:val="es-PE"/>
        </w:rPr>
        <w:t>1. El control de la aplicación de las leyes y de los reglamentos relativos a la seguridad, la higiene y el medio ambiente de trabajo deberá estar asegurado por un sistema de inspección apropiado y suficiente.</w:t>
      </w:r>
    </w:p>
    <w:p w:rsidR="0070090A" w:rsidRPr="00165EC6" w:rsidRDefault="0070090A" w:rsidP="0070090A">
      <w:pPr>
        <w:ind w:left="720" w:right="720"/>
        <w:jc w:val="both"/>
        <w:rPr>
          <w:rFonts w:ascii="Cambria" w:eastAsia="Times New Roman" w:hAnsi="Cambria"/>
          <w:sz w:val="20"/>
          <w:szCs w:val="20"/>
          <w:lang w:val="es-PE"/>
        </w:rPr>
      </w:pPr>
      <w:bookmarkStart w:id="31" w:name="A9P2"/>
      <w:bookmarkEnd w:id="31"/>
    </w:p>
    <w:p w:rsidR="0070090A" w:rsidRPr="00165EC6" w:rsidRDefault="0070090A" w:rsidP="0070090A">
      <w:pPr>
        <w:ind w:left="720" w:right="720"/>
        <w:jc w:val="both"/>
        <w:rPr>
          <w:rFonts w:ascii="Cambria" w:eastAsia="Times New Roman" w:hAnsi="Cambria"/>
          <w:sz w:val="20"/>
          <w:szCs w:val="20"/>
          <w:lang w:val="es-PE"/>
        </w:rPr>
      </w:pPr>
      <w:r w:rsidRPr="00165EC6">
        <w:rPr>
          <w:rFonts w:ascii="Cambria" w:eastAsia="Times New Roman" w:hAnsi="Cambria"/>
          <w:sz w:val="20"/>
          <w:szCs w:val="20"/>
          <w:lang w:val="es-PE"/>
        </w:rPr>
        <w:t>2. El sistema de control deberá prever sanciones adecuadas en caso de infracción de las leyes o de los reglamentos</w:t>
      </w:r>
      <w:r w:rsidRPr="00165EC6">
        <w:rPr>
          <w:rStyle w:val="FootnoteReference"/>
          <w:rFonts w:ascii="Cambria" w:eastAsia="Times New Roman" w:hAnsi="Cambria"/>
          <w:sz w:val="20"/>
          <w:szCs w:val="20"/>
        </w:rPr>
        <w:footnoteReference w:id="82"/>
      </w:r>
      <w:r w:rsidRPr="00165EC6">
        <w:rPr>
          <w:rFonts w:ascii="Cambria" w:eastAsia="Times New Roman" w:hAnsi="Cambria"/>
          <w:sz w:val="20"/>
          <w:szCs w:val="20"/>
          <w:lang w:val="es-PE"/>
        </w:rPr>
        <w:t>.</w:t>
      </w:r>
    </w:p>
    <w:p w:rsidR="0070090A" w:rsidRPr="00165EC6" w:rsidRDefault="0070090A" w:rsidP="0070090A">
      <w:pPr>
        <w:jc w:val="both"/>
        <w:rPr>
          <w:rFonts w:ascii="Cambria" w:hAnsi="Cambria"/>
          <w:sz w:val="20"/>
          <w:szCs w:val="20"/>
          <w:lang w:val="es-PE"/>
        </w:rPr>
      </w:pPr>
    </w:p>
    <w:p w:rsidR="0070090A" w:rsidRPr="00165EC6" w:rsidRDefault="0070090A" w:rsidP="009001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PE"/>
        </w:rPr>
      </w:pPr>
      <w:r w:rsidRPr="00165EC6">
        <w:rPr>
          <w:rFonts w:ascii="Cambria" w:hAnsi="Cambria"/>
          <w:sz w:val="20"/>
          <w:szCs w:val="20"/>
          <w:lang w:val="es-PE"/>
        </w:rPr>
        <w:t xml:space="preserve">Por su parte, </w:t>
      </w:r>
      <w:r w:rsidR="00D92315" w:rsidRPr="00165EC6">
        <w:rPr>
          <w:rFonts w:ascii="Cambria" w:hAnsi="Cambria"/>
          <w:sz w:val="20"/>
          <w:szCs w:val="20"/>
          <w:lang w:val="es-PE"/>
        </w:rPr>
        <w:t xml:space="preserve">no obstante que </w:t>
      </w:r>
      <w:r w:rsidRPr="00165EC6">
        <w:rPr>
          <w:rFonts w:ascii="Cambria" w:hAnsi="Cambria"/>
          <w:sz w:val="20"/>
          <w:szCs w:val="20"/>
          <w:lang w:val="es-PE"/>
        </w:rPr>
        <w:t>el Convenio 174 de la misma Organización</w:t>
      </w:r>
      <w:r w:rsidR="00560D9E" w:rsidRPr="00165EC6">
        <w:rPr>
          <w:rFonts w:ascii="Cambria" w:hAnsi="Cambria"/>
          <w:sz w:val="20"/>
          <w:szCs w:val="20"/>
          <w:lang w:val="es-PE"/>
        </w:rPr>
        <w:t xml:space="preserve"> no era vinculante para Brasil a la fecha de los hechos</w:t>
      </w:r>
      <w:r w:rsidRPr="00165EC6">
        <w:rPr>
          <w:rFonts w:ascii="Cambria" w:hAnsi="Cambria"/>
          <w:sz w:val="20"/>
          <w:szCs w:val="20"/>
          <w:lang w:val="es-PE"/>
        </w:rPr>
        <w:t xml:space="preserve">, </w:t>
      </w:r>
      <w:r w:rsidR="00560D9E" w:rsidRPr="00165EC6">
        <w:rPr>
          <w:rFonts w:ascii="Cambria" w:hAnsi="Cambria"/>
          <w:sz w:val="20"/>
          <w:szCs w:val="20"/>
          <w:lang w:val="es-PE"/>
        </w:rPr>
        <w:t>es útil p</w:t>
      </w:r>
      <w:r w:rsidR="00D92315" w:rsidRPr="00165EC6">
        <w:rPr>
          <w:rFonts w:ascii="Cambria" w:hAnsi="Cambria"/>
          <w:sz w:val="20"/>
          <w:szCs w:val="20"/>
          <w:lang w:val="es-PE"/>
        </w:rPr>
        <w:t xml:space="preserve">ara </w:t>
      </w:r>
      <w:r w:rsidR="00560D9E" w:rsidRPr="00165EC6">
        <w:rPr>
          <w:rFonts w:ascii="Cambria" w:hAnsi="Cambria"/>
          <w:sz w:val="20"/>
          <w:szCs w:val="20"/>
          <w:lang w:val="es-PE"/>
        </w:rPr>
        <w:t xml:space="preserve">la </w:t>
      </w:r>
      <w:r w:rsidRPr="00165EC6">
        <w:rPr>
          <w:rFonts w:ascii="Cambria" w:hAnsi="Cambria"/>
          <w:sz w:val="20"/>
          <w:szCs w:val="20"/>
          <w:lang w:val="es-PE"/>
        </w:rPr>
        <w:t>defin</w:t>
      </w:r>
      <w:r w:rsidR="00560D9E" w:rsidRPr="00165EC6">
        <w:rPr>
          <w:rFonts w:ascii="Cambria" w:hAnsi="Cambria"/>
          <w:sz w:val="20"/>
          <w:szCs w:val="20"/>
          <w:lang w:val="es-PE"/>
        </w:rPr>
        <w:t xml:space="preserve">ición de </w:t>
      </w:r>
      <w:r w:rsidRPr="00165EC6">
        <w:rPr>
          <w:rFonts w:ascii="Cambria" w:hAnsi="Cambria"/>
          <w:sz w:val="20"/>
          <w:szCs w:val="20"/>
          <w:lang w:val="es-PE"/>
        </w:rPr>
        <w:t xml:space="preserve">algunos conceptos que resultan </w:t>
      </w:r>
      <w:r w:rsidRPr="00165EC6">
        <w:rPr>
          <w:rFonts w:ascii="Cambria" w:eastAsia="Batang" w:hAnsi="Cambria"/>
          <w:sz w:val="20"/>
          <w:szCs w:val="20"/>
          <w:bdr w:val="none" w:sz="0" w:space="0" w:color="auto"/>
          <w:lang w:val="es-UY"/>
        </w:rPr>
        <w:t>de</w:t>
      </w:r>
      <w:r w:rsidRPr="00165EC6">
        <w:rPr>
          <w:rFonts w:ascii="Cambria" w:hAnsi="Cambria"/>
          <w:sz w:val="20"/>
          <w:szCs w:val="20"/>
          <w:lang w:val="es-PE"/>
        </w:rPr>
        <w:t xml:space="preserve"> relevancia para el caso: </w:t>
      </w:r>
    </w:p>
    <w:p w:rsidR="0070090A" w:rsidRPr="00165EC6" w:rsidRDefault="0070090A" w:rsidP="0070090A">
      <w:pPr>
        <w:jc w:val="both"/>
        <w:rPr>
          <w:rFonts w:ascii="Cambria" w:hAnsi="Cambria"/>
          <w:sz w:val="20"/>
          <w:szCs w:val="20"/>
          <w:lang w:val="es-PE"/>
        </w:rPr>
      </w:pPr>
    </w:p>
    <w:p w:rsidR="0070090A" w:rsidRPr="00165EC6" w:rsidRDefault="0070090A" w:rsidP="0070090A">
      <w:pPr>
        <w:ind w:left="720" w:right="720"/>
        <w:jc w:val="both"/>
        <w:rPr>
          <w:rFonts w:ascii="Cambria" w:hAnsi="Cambria"/>
          <w:sz w:val="20"/>
          <w:szCs w:val="20"/>
          <w:lang w:val="es-PE"/>
        </w:rPr>
      </w:pPr>
      <w:r w:rsidRPr="00165EC6">
        <w:rPr>
          <w:rFonts w:ascii="Cambria" w:hAnsi="Cambria"/>
          <w:sz w:val="20"/>
          <w:szCs w:val="20"/>
          <w:lang w:val="es-PE"/>
        </w:rPr>
        <w:t>(…)</w:t>
      </w:r>
    </w:p>
    <w:p w:rsidR="0070090A" w:rsidRPr="00165EC6" w:rsidRDefault="0070090A" w:rsidP="0070090A">
      <w:pPr>
        <w:ind w:left="720" w:right="720"/>
        <w:jc w:val="both"/>
        <w:rPr>
          <w:rFonts w:ascii="Cambria" w:hAnsi="Cambria"/>
          <w:sz w:val="20"/>
          <w:szCs w:val="20"/>
          <w:lang w:val="es-PE"/>
        </w:rPr>
      </w:pPr>
    </w:p>
    <w:p w:rsidR="0070090A" w:rsidRPr="00165EC6" w:rsidRDefault="0070090A" w:rsidP="0070090A">
      <w:pPr>
        <w:ind w:left="720" w:right="720"/>
        <w:jc w:val="both"/>
        <w:rPr>
          <w:rFonts w:ascii="Cambria" w:eastAsia="Times New Roman" w:hAnsi="Cambria"/>
          <w:sz w:val="20"/>
          <w:szCs w:val="20"/>
          <w:lang w:val="es-PE"/>
        </w:rPr>
      </w:pPr>
      <w:r w:rsidRPr="00165EC6">
        <w:rPr>
          <w:rFonts w:ascii="Cambria" w:eastAsia="Times New Roman" w:hAnsi="Cambria"/>
          <w:sz w:val="20"/>
          <w:szCs w:val="20"/>
          <w:lang w:val="es-PE"/>
        </w:rPr>
        <w:t>(a) la expresión </w:t>
      </w:r>
      <w:r w:rsidRPr="00165EC6">
        <w:rPr>
          <w:rFonts w:ascii="Cambria" w:eastAsia="Times New Roman" w:hAnsi="Cambria"/>
          <w:bCs/>
          <w:iCs/>
          <w:sz w:val="20"/>
          <w:szCs w:val="20"/>
          <w:lang w:val="es-PE"/>
        </w:rPr>
        <w:t>sustancia peligrosa</w:t>
      </w:r>
      <w:r w:rsidRPr="00165EC6">
        <w:rPr>
          <w:rFonts w:ascii="Cambria" w:eastAsia="Times New Roman" w:hAnsi="Cambria"/>
          <w:bCs/>
          <w:sz w:val="20"/>
          <w:szCs w:val="20"/>
          <w:lang w:val="es-PE"/>
        </w:rPr>
        <w:t> </w:t>
      </w:r>
      <w:r w:rsidRPr="00165EC6">
        <w:rPr>
          <w:rFonts w:ascii="Cambria" w:eastAsia="Times New Roman" w:hAnsi="Cambria"/>
          <w:sz w:val="20"/>
          <w:szCs w:val="20"/>
          <w:lang w:val="es-PE"/>
        </w:rPr>
        <w:t>designa toda sustancia o mezcla que, en razón de propiedades químicas, físicas o toxicológicas, ya sea sola o en combinación con otras, entrañe un peligro;</w:t>
      </w:r>
    </w:p>
    <w:p w:rsidR="0070090A" w:rsidRPr="00165EC6" w:rsidRDefault="0070090A" w:rsidP="0070090A">
      <w:pPr>
        <w:ind w:left="720" w:right="720"/>
        <w:jc w:val="both"/>
        <w:rPr>
          <w:rFonts w:ascii="Cambria" w:hAnsi="Cambria"/>
          <w:sz w:val="20"/>
          <w:szCs w:val="20"/>
          <w:lang w:val="es-PE"/>
        </w:rPr>
      </w:pPr>
    </w:p>
    <w:p w:rsidR="0070090A" w:rsidRPr="00165EC6" w:rsidRDefault="0070090A" w:rsidP="0070090A">
      <w:pPr>
        <w:ind w:left="720" w:right="720"/>
        <w:jc w:val="both"/>
        <w:rPr>
          <w:rFonts w:ascii="Cambria" w:hAnsi="Cambria"/>
          <w:sz w:val="20"/>
          <w:szCs w:val="20"/>
          <w:lang w:val="es-PE"/>
        </w:rPr>
      </w:pPr>
      <w:r w:rsidRPr="00165EC6">
        <w:rPr>
          <w:rFonts w:ascii="Cambria" w:hAnsi="Cambria"/>
          <w:sz w:val="20"/>
          <w:szCs w:val="20"/>
          <w:lang w:val="es-PE"/>
        </w:rPr>
        <w:t>(…)</w:t>
      </w:r>
    </w:p>
    <w:p w:rsidR="0070090A" w:rsidRPr="00165EC6" w:rsidRDefault="0070090A" w:rsidP="0070090A">
      <w:pPr>
        <w:ind w:left="720" w:right="720"/>
        <w:jc w:val="both"/>
        <w:rPr>
          <w:rFonts w:ascii="Cambria" w:hAnsi="Cambria"/>
          <w:sz w:val="20"/>
          <w:szCs w:val="20"/>
          <w:lang w:val="es-PE"/>
        </w:rPr>
      </w:pPr>
    </w:p>
    <w:p w:rsidR="0070090A" w:rsidRPr="00165EC6" w:rsidRDefault="0070090A" w:rsidP="0070090A">
      <w:pPr>
        <w:ind w:left="720" w:right="720"/>
        <w:jc w:val="both"/>
        <w:rPr>
          <w:rFonts w:ascii="Cambria" w:eastAsia="Times New Roman" w:hAnsi="Cambria"/>
          <w:sz w:val="20"/>
          <w:szCs w:val="20"/>
        </w:rPr>
      </w:pPr>
      <w:r w:rsidRPr="00165EC6">
        <w:rPr>
          <w:rFonts w:ascii="Cambria" w:eastAsia="Times New Roman" w:hAnsi="Cambria"/>
          <w:sz w:val="20"/>
          <w:szCs w:val="20"/>
          <w:lang w:val="es-PE"/>
        </w:rPr>
        <w:t>d) la expresión </w:t>
      </w:r>
      <w:r w:rsidRPr="00165EC6">
        <w:rPr>
          <w:rFonts w:ascii="Cambria" w:eastAsia="Times New Roman" w:hAnsi="Cambria"/>
          <w:bCs/>
          <w:iCs/>
          <w:sz w:val="20"/>
          <w:szCs w:val="20"/>
          <w:lang w:val="es-PE"/>
        </w:rPr>
        <w:t>accidente mayor</w:t>
      </w:r>
      <w:r w:rsidRPr="00165EC6">
        <w:rPr>
          <w:rFonts w:ascii="Cambria" w:eastAsia="Times New Roman" w:hAnsi="Cambria"/>
          <w:bCs/>
          <w:sz w:val="20"/>
          <w:szCs w:val="20"/>
          <w:lang w:val="es-PE"/>
        </w:rPr>
        <w:t> </w:t>
      </w:r>
      <w:r w:rsidRPr="00165EC6">
        <w:rPr>
          <w:rFonts w:ascii="Cambria" w:eastAsia="Times New Roman" w:hAnsi="Cambria"/>
          <w:sz w:val="20"/>
          <w:szCs w:val="20"/>
          <w:lang w:val="es-PE"/>
        </w:rPr>
        <w:t>designa todo acontecimiento repentino, como una emisión, un incendio o una explosión de gran magnitud, en el curso de una actividad dentro de una instalación expuesta a riesgos de accidentes mayores, en el que estén implicadas una o varias sustancias peligrosas y que exponga a los trabajadores, a la población o al medio ambiente a un peligro grave, inmediato o diferido; (…)</w:t>
      </w:r>
      <w:r w:rsidRPr="00165EC6">
        <w:rPr>
          <w:rStyle w:val="FootnoteReference"/>
          <w:rFonts w:ascii="Cambria" w:eastAsia="Times New Roman" w:hAnsi="Cambria"/>
          <w:sz w:val="20"/>
          <w:szCs w:val="20"/>
        </w:rPr>
        <w:footnoteReference w:id="83"/>
      </w:r>
      <w:r w:rsidRPr="00165EC6">
        <w:rPr>
          <w:rFonts w:ascii="Cambria" w:eastAsia="Times New Roman" w:hAnsi="Cambria"/>
          <w:sz w:val="20"/>
          <w:szCs w:val="20"/>
        </w:rPr>
        <w:t>.</w:t>
      </w:r>
    </w:p>
    <w:p w:rsidR="00F565DC" w:rsidRPr="00165EC6" w:rsidRDefault="00F565DC" w:rsidP="007E681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Batang"/>
          <w:b/>
          <w:sz w:val="20"/>
          <w:szCs w:val="20"/>
          <w:bdr w:val="none" w:sz="0" w:space="0" w:color="auto"/>
          <w:lang w:val="es-CO"/>
        </w:rPr>
      </w:pPr>
    </w:p>
    <w:p w:rsidR="008850E9" w:rsidRPr="00165EC6" w:rsidRDefault="004F3FE0" w:rsidP="009001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PE"/>
        </w:rPr>
      </w:pPr>
      <w:r w:rsidRPr="00165EC6">
        <w:rPr>
          <w:rFonts w:ascii="Cambria" w:hAnsi="Cambria"/>
          <w:sz w:val="20"/>
          <w:szCs w:val="20"/>
          <w:lang w:val="es-PE"/>
        </w:rPr>
        <w:t>Cabe indicar que el Pacto Internacional de Derechos Económicos, Sociales y Culturales era vinculante para el Estado al momento de los hechos. Específicamente e</w:t>
      </w:r>
      <w:r w:rsidR="008850E9" w:rsidRPr="00165EC6">
        <w:rPr>
          <w:rFonts w:ascii="Cambria" w:hAnsi="Cambria"/>
          <w:sz w:val="20"/>
          <w:szCs w:val="20"/>
          <w:lang w:val="es-PE"/>
        </w:rPr>
        <w:t xml:space="preserve">l Comité de Derechos Económicos, Sociales y Culturales, en su Observación General 14 </w:t>
      </w:r>
      <w:r w:rsidRPr="00165EC6">
        <w:rPr>
          <w:rFonts w:ascii="Cambria" w:hAnsi="Cambria"/>
          <w:sz w:val="20"/>
          <w:szCs w:val="20"/>
          <w:lang w:val="es-PE"/>
        </w:rPr>
        <w:t>se</w:t>
      </w:r>
      <w:r w:rsidR="008850E9" w:rsidRPr="00165EC6">
        <w:rPr>
          <w:rFonts w:ascii="Cambria" w:hAnsi="Cambria"/>
          <w:sz w:val="20"/>
          <w:szCs w:val="20"/>
          <w:lang w:val="es-PE"/>
        </w:rPr>
        <w:t xml:space="preserve"> ref</w:t>
      </w:r>
      <w:r w:rsidRPr="00165EC6">
        <w:rPr>
          <w:rFonts w:ascii="Cambria" w:hAnsi="Cambria"/>
          <w:sz w:val="20"/>
          <w:szCs w:val="20"/>
          <w:lang w:val="es-PE"/>
        </w:rPr>
        <w:t xml:space="preserve">irió </w:t>
      </w:r>
      <w:r w:rsidR="008850E9" w:rsidRPr="00165EC6">
        <w:rPr>
          <w:rFonts w:ascii="Cambria" w:hAnsi="Cambria"/>
          <w:sz w:val="20"/>
          <w:szCs w:val="20"/>
          <w:lang w:val="es-PE"/>
        </w:rPr>
        <w:t>a las obligaciones estatales relacionadas con la reducción y prevención de accidentes laborales</w:t>
      </w:r>
      <w:r w:rsidR="00D92315" w:rsidRPr="00165EC6">
        <w:rPr>
          <w:rFonts w:ascii="Cambria" w:hAnsi="Cambria"/>
          <w:sz w:val="20"/>
          <w:szCs w:val="20"/>
          <w:lang w:val="es-PE"/>
        </w:rPr>
        <w:t xml:space="preserve"> , </w:t>
      </w:r>
      <w:r w:rsidR="008850E9" w:rsidRPr="00165EC6">
        <w:rPr>
          <w:rFonts w:ascii="Cambria" w:hAnsi="Cambria"/>
          <w:sz w:val="20"/>
          <w:szCs w:val="20"/>
          <w:lang w:val="es-PE"/>
        </w:rPr>
        <w:t xml:space="preserve"> de la siguiente manera: </w:t>
      </w:r>
    </w:p>
    <w:p w:rsidR="008850E9" w:rsidRPr="00165EC6" w:rsidRDefault="008850E9" w:rsidP="008850E9">
      <w:pPr>
        <w:jc w:val="both"/>
        <w:rPr>
          <w:rFonts w:ascii="Cambria" w:hAnsi="Cambria"/>
          <w:sz w:val="20"/>
          <w:szCs w:val="20"/>
          <w:lang w:val="es-PE"/>
        </w:rPr>
      </w:pPr>
    </w:p>
    <w:p w:rsidR="008850E9" w:rsidRPr="00165EC6" w:rsidRDefault="008850E9" w:rsidP="008850E9">
      <w:pPr>
        <w:ind w:left="720" w:right="720"/>
        <w:jc w:val="both"/>
        <w:rPr>
          <w:rFonts w:ascii="Cambria" w:eastAsia="Times New Roman" w:hAnsi="Cambria"/>
          <w:sz w:val="20"/>
          <w:szCs w:val="20"/>
          <w:lang w:val="es-PE"/>
        </w:rPr>
      </w:pPr>
      <w:r w:rsidRPr="00165EC6">
        <w:rPr>
          <w:rFonts w:ascii="Cambria" w:eastAsia="Times New Roman" w:hAnsi="Cambria"/>
          <w:sz w:val="20"/>
          <w:szCs w:val="20"/>
          <w:lang w:val="es-PE"/>
        </w:rPr>
        <w:t>Asimismo, los Estados Partes deben formular, aplicar y revisar periódicamente una política nacional coherente destinada a reducir al mínimo los riesgos de accidentes laborales y enfermedades profesionales, así como formular una política nacional coherente en materia de seguridad en el empleo y servicios de salud.</w:t>
      </w:r>
    </w:p>
    <w:p w:rsidR="008850E9" w:rsidRPr="00165EC6" w:rsidRDefault="008850E9" w:rsidP="008850E9">
      <w:pPr>
        <w:ind w:left="720" w:right="720"/>
        <w:jc w:val="both"/>
        <w:rPr>
          <w:rFonts w:ascii="Cambria" w:hAnsi="Cambria"/>
          <w:sz w:val="20"/>
          <w:szCs w:val="20"/>
          <w:lang w:val="es-PE"/>
        </w:rPr>
      </w:pPr>
    </w:p>
    <w:p w:rsidR="008850E9" w:rsidRPr="00165EC6" w:rsidRDefault="008850E9" w:rsidP="008850E9">
      <w:pPr>
        <w:ind w:left="720" w:right="720"/>
        <w:jc w:val="both"/>
        <w:rPr>
          <w:rFonts w:ascii="Cambria" w:hAnsi="Cambria"/>
          <w:sz w:val="20"/>
          <w:szCs w:val="20"/>
          <w:lang w:val="es-PE"/>
        </w:rPr>
      </w:pPr>
      <w:r w:rsidRPr="00165EC6">
        <w:rPr>
          <w:rFonts w:ascii="Cambria" w:hAnsi="Cambria"/>
          <w:sz w:val="20"/>
          <w:szCs w:val="20"/>
          <w:lang w:val="es-PE"/>
        </w:rPr>
        <w:t xml:space="preserve">(…) </w:t>
      </w:r>
    </w:p>
    <w:p w:rsidR="008850E9" w:rsidRPr="00165EC6" w:rsidRDefault="008850E9" w:rsidP="008850E9">
      <w:pPr>
        <w:ind w:left="720" w:right="720"/>
        <w:jc w:val="both"/>
        <w:rPr>
          <w:rFonts w:ascii="Cambria" w:eastAsia="Times New Roman" w:hAnsi="Cambria"/>
          <w:sz w:val="20"/>
          <w:szCs w:val="20"/>
          <w:lang w:val="es-PE"/>
        </w:rPr>
      </w:pPr>
    </w:p>
    <w:p w:rsidR="008850E9" w:rsidRPr="00165EC6" w:rsidRDefault="008850E9" w:rsidP="008850E9">
      <w:pPr>
        <w:ind w:left="720" w:right="720"/>
        <w:jc w:val="both"/>
        <w:rPr>
          <w:rFonts w:ascii="Cambria" w:eastAsia="Times New Roman" w:hAnsi="Cambria"/>
          <w:sz w:val="20"/>
          <w:szCs w:val="20"/>
        </w:rPr>
      </w:pPr>
      <w:r w:rsidRPr="00165EC6">
        <w:rPr>
          <w:rFonts w:ascii="Cambria" w:eastAsia="Times New Roman" w:hAnsi="Cambria"/>
          <w:sz w:val="20"/>
          <w:szCs w:val="20"/>
          <w:lang w:val="es-PE"/>
        </w:rPr>
        <w:t>Forman parte integrante de esa política la identificación, determinación, autorización y control de materiales, equipo, sustancias, agentes y procedimientos de trabajo peligrosos; la facilitación a los trabajadores de información sobre la salud, y la facilitación, en caso necesario, de ropa y equipo de protección; el cumplimiento de leyes y reglamentos merced a inspecciones adecuadas; (…)</w:t>
      </w:r>
      <w:r w:rsidRPr="00165EC6">
        <w:rPr>
          <w:rStyle w:val="FootnoteReference"/>
          <w:rFonts w:ascii="Cambria" w:eastAsia="Times New Roman" w:hAnsi="Cambria"/>
          <w:sz w:val="20"/>
          <w:szCs w:val="20"/>
        </w:rPr>
        <w:footnoteReference w:id="84"/>
      </w:r>
      <w:r w:rsidRPr="00165EC6">
        <w:rPr>
          <w:rFonts w:ascii="Cambria" w:eastAsia="Times New Roman" w:hAnsi="Cambria"/>
          <w:sz w:val="20"/>
          <w:szCs w:val="20"/>
        </w:rPr>
        <w:t>.</w:t>
      </w:r>
    </w:p>
    <w:p w:rsidR="008850E9" w:rsidRPr="00165EC6" w:rsidRDefault="008850E9" w:rsidP="007E681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Batang"/>
          <w:b/>
          <w:sz w:val="20"/>
          <w:szCs w:val="20"/>
          <w:bdr w:val="none" w:sz="0" w:space="0" w:color="auto"/>
          <w:lang w:val="es-CO"/>
        </w:rPr>
      </w:pPr>
    </w:p>
    <w:p w:rsidR="002605B6" w:rsidRPr="00165EC6" w:rsidRDefault="00747E89" w:rsidP="009001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frame="1"/>
          <w:lang w:val="es-ES_tradnl"/>
        </w:rPr>
      </w:pPr>
      <w:r w:rsidRPr="00165EC6">
        <w:rPr>
          <w:rFonts w:ascii="Cambria" w:eastAsia="Batang" w:hAnsi="Cambria"/>
          <w:sz w:val="20"/>
          <w:szCs w:val="20"/>
          <w:bdr w:val="none" w:sz="0" w:space="0" w:color="auto" w:frame="1"/>
          <w:lang w:val="es-UY"/>
        </w:rPr>
        <w:t>E</w:t>
      </w:r>
      <w:r w:rsidR="002605B6" w:rsidRPr="00165EC6">
        <w:rPr>
          <w:rFonts w:ascii="Cambria" w:eastAsia="Batang" w:hAnsi="Cambria"/>
          <w:sz w:val="20"/>
          <w:szCs w:val="20"/>
          <w:bdr w:val="none" w:sz="0" w:space="0" w:color="auto" w:frame="1"/>
          <w:lang w:val="es-UY"/>
        </w:rPr>
        <w:t xml:space="preserve">l caso Öneryldiz vs. Turquía, versa sobre una explosión </w:t>
      </w:r>
      <w:r w:rsidRPr="00165EC6">
        <w:rPr>
          <w:rFonts w:ascii="Cambria" w:eastAsia="Batang" w:hAnsi="Cambria"/>
          <w:sz w:val="20"/>
          <w:szCs w:val="20"/>
          <w:bdr w:val="none" w:sz="0" w:space="0" w:color="auto" w:frame="1"/>
          <w:lang w:val="es-UY"/>
        </w:rPr>
        <w:t xml:space="preserve">en la que murieron 39 personas y que fue analizado por </w:t>
      </w:r>
      <w:r w:rsidR="002605B6" w:rsidRPr="00165EC6">
        <w:rPr>
          <w:rFonts w:ascii="Cambria" w:eastAsia="Batang" w:hAnsi="Cambria"/>
          <w:sz w:val="20"/>
          <w:szCs w:val="20"/>
          <w:bdr w:val="none" w:sz="0" w:space="0" w:color="auto" w:frame="1"/>
          <w:lang w:val="es-UY"/>
        </w:rPr>
        <w:t>la Corte Europea</w:t>
      </w:r>
      <w:r w:rsidRPr="00165EC6">
        <w:rPr>
          <w:rFonts w:ascii="Cambria" w:eastAsia="Batang" w:hAnsi="Cambria"/>
          <w:sz w:val="20"/>
          <w:szCs w:val="20"/>
          <w:bdr w:val="none" w:sz="0" w:space="0" w:color="auto" w:frame="1"/>
          <w:lang w:val="es-UY"/>
        </w:rPr>
        <w:t xml:space="preserve"> a la luz del derecho a la vida, consagrado en términos similares en la Convención Americana. Al respecto, la </w:t>
      </w:r>
      <w:r w:rsidR="002605B6" w:rsidRPr="00165EC6">
        <w:rPr>
          <w:rFonts w:ascii="Cambria" w:eastAsia="Batang" w:hAnsi="Cambria"/>
          <w:sz w:val="20"/>
          <w:szCs w:val="20"/>
          <w:bdr w:val="none" w:sz="0" w:space="0" w:color="auto" w:frame="1"/>
          <w:lang w:val="es-UY"/>
        </w:rPr>
        <w:t>determinó que la obligación de respetar los derechos</w:t>
      </w:r>
      <w:r w:rsidR="00AD225E" w:rsidRPr="00165EC6">
        <w:rPr>
          <w:rFonts w:ascii="Cambria" w:eastAsia="Batang" w:hAnsi="Cambria"/>
          <w:sz w:val="20"/>
          <w:szCs w:val="20"/>
          <w:bdr w:val="none" w:sz="0" w:space="0" w:color="auto" w:frame="1"/>
          <w:lang w:val="es-UY"/>
        </w:rPr>
        <w:t xml:space="preserve">, primordialmente el derecho a la vida, </w:t>
      </w:r>
      <w:r w:rsidR="002605B6" w:rsidRPr="00165EC6">
        <w:rPr>
          <w:rFonts w:ascii="Cambria" w:eastAsia="Batang" w:hAnsi="Cambria"/>
          <w:sz w:val="20"/>
          <w:szCs w:val="20"/>
          <w:bdr w:val="none" w:sz="0" w:space="0" w:color="auto" w:frame="1"/>
          <w:lang w:val="es-UY"/>
        </w:rPr>
        <w:t xml:space="preserve">incluye el deber positivo del Estado de actuar para resguardar los derechos de las personas bajo su jurisdicción, sobre todo en caso de actividades industriales que, por su propia naturaleza, son peligrosas. La Corte Europea agregó que en dichos casos, </w:t>
      </w:r>
      <w:r w:rsidR="002605B6" w:rsidRPr="00165EC6">
        <w:rPr>
          <w:rFonts w:ascii="Cambria" w:eastAsia="Batang" w:hAnsi="Cambria"/>
          <w:sz w:val="20"/>
          <w:szCs w:val="20"/>
          <w:bdr w:val="none" w:sz="0" w:space="0" w:color="auto" w:frame="1"/>
          <w:lang w:val="es-ES_tradnl"/>
        </w:rPr>
        <w:t>debe regir la concesión de licencias, la creación, el funcionamiento, la seguridad y la supervisión de la actividad y obligar a todos los interesados a tomar medidas prácticas para garantizar la protección efectiva de los ciudadanos cuya vida pueda verse amenazada por los riesgos inherentes</w:t>
      </w:r>
      <w:r w:rsidR="002605B6" w:rsidRPr="00165EC6">
        <w:rPr>
          <w:rFonts w:ascii="Cambria" w:eastAsia="Batang" w:hAnsi="Cambria"/>
          <w:sz w:val="20"/>
          <w:szCs w:val="20"/>
          <w:bdr w:val="none" w:sz="0" w:space="0" w:color="auto" w:frame="1"/>
          <w:vertAlign w:val="superscript"/>
          <w:lang w:val="es-ES_tradnl"/>
        </w:rPr>
        <w:footnoteReference w:id="85"/>
      </w:r>
      <w:r w:rsidR="002605B6" w:rsidRPr="00165EC6">
        <w:rPr>
          <w:rFonts w:ascii="Cambria" w:eastAsia="Batang" w:hAnsi="Cambria"/>
          <w:sz w:val="20"/>
          <w:szCs w:val="20"/>
          <w:bdr w:val="none" w:sz="0" w:space="0" w:color="auto" w:frame="1"/>
          <w:lang w:val="es-ES_tradnl"/>
        </w:rPr>
        <w:t>.</w:t>
      </w:r>
    </w:p>
    <w:p w:rsidR="00FF06AC" w:rsidRPr="00165EC6" w:rsidRDefault="007F1DE4" w:rsidP="007F1DE4">
      <w:pPr>
        <w:pStyle w:val="Heading3"/>
        <w:ind w:firstLine="720"/>
        <w:rPr>
          <w:rFonts w:asciiTheme="majorHAnsi" w:eastAsia="Batang" w:hAnsiTheme="majorHAnsi"/>
          <w:sz w:val="20"/>
          <w:szCs w:val="20"/>
          <w:lang w:val="es-CO"/>
        </w:rPr>
      </w:pPr>
      <w:bookmarkStart w:id="32" w:name="_Toc506225841"/>
      <w:r w:rsidRPr="00165EC6">
        <w:rPr>
          <w:rFonts w:asciiTheme="majorHAnsi" w:eastAsia="Batang" w:hAnsiTheme="majorHAnsi"/>
          <w:sz w:val="20"/>
          <w:szCs w:val="20"/>
          <w:lang w:val="es-UY"/>
        </w:rPr>
        <w:t>3.</w:t>
      </w:r>
      <w:r w:rsidRPr="00165EC6">
        <w:rPr>
          <w:rFonts w:asciiTheme="majorHAnsi" w:eastAsia="Batang" w:hAnsiTheme="majorHAnsi"/>
          <w:sz w:val="20"/>
          <w:szCs w:val="20"/>
          <w:lang w:val="es-UY"/>
        </w:rPr>
        <w:tab/>
      </w:r>
      <w:r w:rsidR="00933F27" w:rsidRPr="00165EC6">
        <w:rPr>
          <w:rFonts w:asciiTheme="majorHAnsi" w:eastAsia="Batang" w:hAnsiTheme="majorHAnsi"/>
          <w:sz w:val="20"/>
          <w:szCs w:val="20"/>
          <w:lang w:val="es-UY"/>
        </w:rPr>
        <w:t xml:space="preserve">Estándares específicos sobre </w:t>
      </w:r>
      <w:r w:rsidR="00FF06AC" w:rsidRPr="00165EC6">
        <w:rPr>
          <w:rFonts w:asciiTheme="majorHAnsi" w:eastAsia="Batang" w:hAnsiTheme="majorHAnsi"/>
          <w:sz w:val="20"/>
          <w:szCs w:val="20"/>
          <w:lang w:val="es-UY"/>
        </w:rPr>
        <w:t>el trabajo infantil</w:t>
      </w:r>
      <w:r w:rsidR="00933F27" w:rsidRPr="00165EC6">
        <w:rPr>
          <w:rFonts w:asciiTheme="majorHAnsi" w:eastAsia="Batang" w:hAnsiTheme="majorHAnsi"/>
          <w:sz w:val="20"/>
          <w:szCs w:val="20"/>
          <w:lang w:val="es-UY"/>
        </w:rPr>
        <w:t xml:space="preserve"> y</w:t>
      </w:r>
      <w:r w:rsidR="007C5521" w:rsidRPr="00165EC6">
        <w:rPr>
          <w:rFonts w:asciiTheme="majorHAnsi" w:eastAsia="Batang" w:hAnsiTheme="majorHAnsi"/>
          <w:sz w:val="20"/>
          <w:szCs w:val="20"/>
          <w:lang w:val="es-UY"/>
        </w:rPr>
        <w:t xml:space="preserve"> las</w:t>
      </w:r>
      <w:r w:rsidR="00933F27" w:rsidRPr="00165EC6">
        <w:rPr>
          <w:rFonts w:asciiTheme="majorHAnsi" w:eastAsia="Batang" w:hAnsiTheme="majorHAnsi"/>
          <w:sz w:val="20"/>
          <w:szCs w:val="20"/>
          <w:lang w:val="es-UY"/>
        </w:rPr>
        <w:t xml:space="preserve"> peores formas de trabajo infantil</w:t>
      </w:r>
      <w:r w:rsidRPr="00165EC6">
        <w:rPr>
          <w:rFonts w:asciiTheme="majorHAnsi" w:eastAsia="Batang" w:hAnsiTheme="majorHAnsi"/>
          <w:sz w:val="20"/>
          <w:szCs w:val="20"/>
          <w:lang w:val="es-UY"/>
        </w:rPr>
        <w:t>.</w:t>
      </w:r>
      <w:bookmarkEnd w:id="32"/>
    </w:p>
    <w:p w:rsidR="00277412" w:rsidRPr="00165EC6" w:rsidRDefault="00277412" w:rsidP="007E68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es-UY"/>
        </w:rPr>
      </w:pPr>
    </w:p>
    <w:p w:rsidR="00640A21" w:rsidRPr="00165EC6" w:rsidRDefault="00277412" w:rsidP="009001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UY"/>
        </w:rPr>
      </w:pPr>
      <w:r w:rsidRPr="00165EC6">
        <w:rPr>
          <w:rFonts w:ascii="Cambria" w:eastAsia="Batang" w:hAnsi="Cambria"/>
          <w:sz w:val="20"/>
          <w:szCs w:val="20"/>
          <w:bdr w:val="none" w:sz="0" w:space="0" w:color="auto"/>
          <w:lang w:val="es-UY"/>
        </w:rPr>
        <w:t>Teniendo en cuenta que se encuentra probado que</w:t>
      </w:r>
      <w:r w:rsidR="005C6994" w:rsidRPr="00165EC6">
        <w:rPr>
          <w:rFonts w:ascii="Cambria" w:eastAsia="Batang" w:hAnsi="Cambria"/>
          <w:sz w:val="20"/>
          <w:szCs w:val="20"/>
          <w:bdr w:val="none" w:sz="0" w:space="0" w:color="auto"/>
          <w:lang w:val="es-UY"/>
        </w:rPr>
        <w:t>,</w:t>
      </w:r>
      <w:r w:rsidRPr="00165EC6">
        <w:rPr>
          <w:rFonts w:ascii="Cambria" w:eastAsia="Batang" w:hAnsi="Cambria"/>
          <w:sz w:val="20"/>
          <w:szCs w:val="20"/>
          <w:bdr w:val="none" w:sz="0" w:space="0" w:color="auto"/>
          <w:lang w:val="es-UY"/>
        </w:rPr>
        <w:t xml:space="preserve"> </w:t>
      </w:r>
      <w:r w:rsidR="007C3EFA" w:rsidRPr="00165EC6">
        <w:rPr>
          <w:rFonts w:ascii="Cambria" w:eastAsia="Batang" w:hAnsi="Cambria"/>
          <w:sz w:val="20"/>
          <w:szCs w:val="20"/>
          <w:bdr w:val="none" w:sz="0" w:space="0" w:color="auto"/>
          <w:lang w:val="es-UY"/>
        </w:rPr>
        <w:t xml:space="preserve">como consecuencia de </w:t>
      </w:r>
      <w:r w:rsidRPr="00165EC6">
        <w:rPr>
          <w:rFonts w:ascii="Cambria" w:eastAsia="Batang" w:hAnsi="Cambria"/>
          <w:sz w:val="20"/>
          <w:szCs w:val="20"/>
          <w:bdr w:val="none" w:sz="0" w:space="0" w:color="auto"/>
          <w:lang w:val="es-UY"/>
        </w:rPr>
        <w:t xml:space="preserve">la explosión </w:t>
      </w:r>
      <w:r w:rsidR="00AA2091" w:rsidRPr="00165EC6">
        <w:rPr>
          <w:rFonts w:ascii="Cambria" w:eastAsia="Batang" w:hAnsi="Cambria"/>
          <w:sz w:val="20"/>
          <w:szCs w:val="20"/>
          <w:bdr w:val="none" w:sz="0" w:space="0" w:color="auto"/>
          <w:lang w:val="es-UY"/>
        </w:rPr>
        <w:t xml:space="preserve">en </w:t>
      </w:r>
      <w:r w:rsidRPr="00165EC6">
        <w:rPr>
          <w:rFonts w:ascii="Cambria" w:eastAsia="Batang" w:hAnsi="Cambria"/>
          <w:sz w:val="20"/>
          <w:szCs w:val="20"/>
          <w:bdr w:val="none" w:sz="0" w:space="0" w:color="auto"/>
          <w:lang w:val="es-UY"/>
        </w:rPr>
        <w:t>la fábrica,</w:t>
      </w:r>
      <w:r w:rsidR="00AA2091" w:rsidRPr="00165EC6">
        <w:rPr>
          <w:rFonts w:ascii="Cambria" w:eastAsia="Batang" w:hAnsi="Cambria"/>
          <w:sz w:val="20"/>
          <w:szCs w:val="20"/>
          <w:bdr w:val="none" w:sz="0" w:space="0" w:color="auto"/>
          <w:lang w:val="es-UY"/>
        </w:rPr>
        <w:t xml:space="preserve"> murieron </w:t>
      </w:r>
      <w:r w:rsidR="00AD225E" w:rsidRPr="00165EC6">
        <w:rPr>
          <w:rFonts w:ascii="Cambria" w:eastAsia="Batang" w:hAnsi="Cambria"/>
          <w:sz w:val="20"/>
          <w:szCs w:val="20"/>
          <w:bdr w:val="none" w:sz="0" w:space="0" w:color="auto"/>
          <w:lang w:val="es-UY"/>
        </w:rPr>
        <w:t xml:space="preserve">20 </w:t>
      </w:r>
      <w:r w:rsidR="00AA2091" w:rsidRPr="00165EC6">
        <w:rPr>
          <w:rFonts w:ascii="Cambria" w:eastAsia="Batang" w:hAnsi="Cambria"/>
          <w:sz w:val="20"/>
          <w:szCs w:val="20"/>
          <w:bdr w:val="none" w:sz="0" w:space="0" w:color="auto"/>
          <w:lang w:val="es-UY"/>
        </w:rPr>
        <w:t>niños y niñas</w:t>
      </w:r>
      <w:r w:rsidR="00FC5728" w:rsidRPr="00165EC6">
        <w:rPr>
          <w:rFonts w:ascii="Cambria" w:eastAsia="Batang" w:hAnsi="Cambria"/>
          <w:sz w:val="20"/>
          <w:szCs w:val="20"/>
          <w:bdr w:val="none" w:sz="0" w:space="0" w:color="auto"/>
          <w:lang w:val="es-UY"/>
        </w:rPr>
        <w:t xml:space="preserve"> </w:t>
      </w:r>
      <w:r w:rsidR="00823B43" w:rsidRPr="00165EC6">
        <w:rPr>
          <w:rFonts w:ascii="Cambria" w:eastAsia="Batang" w:hAnsi="Cambria"/>
          <w:sz w:val="20"/>
          <w:szCs w:val="20"/>
          <w:bdr w:val="none" w:sz="0" w:space="0" w:color="auto"/>
          <w:lang w:val="es-UY"/>
        </w:rPr>
        <w:t xml:space="preserve">entre </w:t>
      </w:r>
      <w:r w:rsidR="00FC5728" w:rsidRPr="00165EC6">
        <w:rPr>
          <w:rFonts w:ascii="Cambria" w:eastAsia="Batang" w:hAnsi="Cambria"/>
          <w:sz w:val="20"/>
          <w:szCs w:val="20"/>
          <w:bdr w:val="none" w:sz="0" w:space="0" w:color="auto"/>
          <w:lang w:val="es-UY"/>
        </w:rPr>
        <w:t>11 y 17 años</w:t>
      </w:r>
      <w:r w:rsidR="00AA2091" w:rsidRPr="00165EC6">
        <w:rPr>
          <w:rFonts w:ascii="Cambria" w:eastAsia="Batang" w:hAnsi="Cambria"/>
          <w:sz w:val="20"/>
          <w:szCs w:val="20"/>
          <w:bdr w:val="none" w:sz="0" w:space="0" w:color="auto"/>
          <w:lang w:val="es-UY"/>
        </w:rPr>
        <w:t xml:space="preserve"> </w:t>
      </w:r>
      <w:r w:rsidR="00823B43" w:rsidRPr="00165EC6">
        <w:rPr>
          <w:rFonts w:ascii="Cambria" w:eastAsia="Batang" w:hAnsi="Cambria"/>
          <w:sz w:val="20"/>
          <w:szCs w:val="20"/>
          <w:bdr w:val="none" w:sz="0" w:space="0" w:color="auto"/>
          <w:lang w:val="es-UY"/>
        </w:rPr>
        <w:t xml:space="preserve">y quedaron heridos dos niños,  </w:t>
      </w:r>
      <w:r w:rsidRPr="00165EC6">
        <w:rPr>
          <w:rFonts w:ascii="Cambria" w:eastAsia="Batang" w:hAnsi="Cambria"/>
          <w:sz w:val="20"/>
          <w:szCs w:val="20"/>
          <w:bdr w:val="none" w:sz="0" w:space="0" w:color="auto"/>
          <w:lang w:val="es-UY"/>
        </w:rPr>
        <w:t xml:space="preserve">la Comisión considera necesario incorporar al análisis del presente caso el </w:t>
      </w:r>
      <w:r w:rsidRPr="00165EC6">
        <w:rPr>
          <w:rFonts w:ascii="Cambria" w:eastAsia="Batang" w:hAnsi="Cambria"/>
          <w:i/>
          <w:sz w:val="20"/>
          <w:szCs w:val="20"/>
          <w:bdr w:val="none" w:sz="0" w:space="0" w:color="auto"/>
          <w:lang w:val="es-UY"/>
        </w:rPr>
        <w:t>corpus iuris</w:t>
      </w:r>
      <w:r w:rsidRPr="00165EC6">
        <w:rPr>
          <w:rFonts w:ascii="Cambria" w:eastAsia="Batang" w:hAnsi="Cambria"/>
          <w:sz w:val="20"/>
          <w:szCs w:val="20"/>
          <w:bdr w:val="none" w:sz="0" w:space="0" w:color="auto"/>
          <w:lang w:val="es-UY"/>
        </w:rPr>
        <w:t xml:space="preserve"> internacional de protección de los niños y las </w:t>
      </w:r>
      <w:r w:rsidRPr="00165EC6">
        <w:rPr>
          <w:rFonts w:ascii="Cambria" w:eastAsia="Batang" w:hAnsi="Cambria"/>
          <w:sz w:val="20"/>
          <w:szCs w:val="20"/>
          <w:bdr w:val="none" w:sz="0" w:space="0" w:color="auto"/>
          <w:lang w:val="es-UY"/>
        </w:rPr>
        <w:lastRenderedPageBreak/>
        <w:t>niñas</w:t>
      </w:r>
      <w:r w:rsidRPr="00165EC6">
        <w:rPr>
          <w:rFonts w:ascii="Cambria" w:eastAsia="Batang" w:hAnsi="Cambria"/>
          <w:sz w:val="20"/>
          <w:szCs w:val="20"/>
          <w:bdr w:val="none" w:sz="0" w:space="0" w:color="auto"/>
          <w:vertAlign w:val="superscript"/>
          <w:lang w:val="es-UY"/>
        </w:rPr>
        <w:footnoteReference w:id="86"/>
      </w:r>
      <w:r w:rsidR="006D598C" w:rsidRPr="00165EC6">
        <w:rPr>
          <w:rFonts w:ascii="Cambria" w:eastAsia="Batang" w:hAnsi="Cambria"/>
          <w:sz w:val="20"/>
          <w:szCs w:val="20"/>
          <w:bdr w:val="none" w:sz="0" w:space="0" w:color="auto"/>
          <w:lang w:val="es-UY"/>
        </w:rPr>
        <w:t>, que</w:t>
      </w:r>
      <w:r w:rsidRPr="00165EC6">
        <w:rPr>
          <w:rFonts w:ascii="Cambria" w:eastAsia="Batang" w:hAnsi="Cambria"/>
          <w:sz w:val="20"/>
          <w:szCs w:val="20"/>
          <w:bdr w:val="none" w:sz="0" w:space="0" w:color="auto"/>
          <w:lang w:val="es-UY"/>
        </w:rPr>
        <w:t xml:space="preserve"> tiene como ejes centrales el deber de especial protección y el principio del interés superior del niño o la niña</w:t>
      </w:r>
      <w:r w:rsidRPr="00165EC6">
        <w:rPr>
          <w:rFonts w:ascii="Cambria" w:eastAsia="Batang" w:hAnsi="Cambria"/>
          <w:sz w:val="20"/>
          <w:szCs w:val="20"/>
          <w:bdr w:val="none" w:sz="0" w:space="0" w:color="auto"/>
          <w:vertAlign w:val="superscript"/>
          <w:lang w:val="es-UY"/>
        </w:rPr>
        <w:footnoteReference w:id="87"/>
      </w:r>
      <w:r w:rsidRPr="00165EC6">
        <w:rPr>
          <w:rFonts w:ascii="Cambria" w:eastAsia="Batang" w:hAnsi="Cambria"/>
          <w:sz w:val="20"/>
          <w:szCs w:val="20"/>
          <w:bdr w:val="none" w:sz="0" w:space="0" w:color="auto"/>
          <w:lang w:val="es-UY"/>
        </w:rPr>
        <w:t>.</w:t>
      </w:r>
      <w:r w:rsidR="0032456B" w:rsidRPr="00165EC6">
        <w:rPr>
          <w:rFonts w:ascii="Cambria" w:eastAsia="Batang" w:hAnsi="Cambria"/>
          <w:sz w:val="20"/>
          <w:szCs w:val="20"/>
          <w:bdr w:val="none" w:sz="0" w:space="0" w:color="auto"/>
          <w:lang w:val="es-UY"/>
        </w:rPr>
        <w:t xml:space="preserve"> Especialmente, de dicho </w:t>
      </w:r>
      <w:r w:rsidR="0032456B" w:rsidRPr="00165EC6">
        <w:rPr>
          <w:rFonts w:ascii="Cambria" w:eastAsia="Batang" w:hAnsi="Cambria"/>
          <w:i/>
          <w:sz w:val="20"/>
          <w:szCs w:val="20"/>
          <w:bdr w:val="none" w:sz="0" w:space="0" w:color="auto"/>
          <w:lang w:val="es-UY"/>
        </w:rPr>
        <w:t xml:space="preserve">corpus iuris </w:t>
      </w:r>
      <w:r w:rsidR="0032456B" w:rsidRPr="00165EC6">
        <w:rPr>
          <w:rFonts w:ascii="Cambria" w:eastAsia="Batang" w:hAnsi="Cambria"/>
          <w:sz w:val="20"/>
          <w:szCs w:val="20"/>
          <w:bdr w:val="none" w:sz="0" w:space="0" w:color="auto"/>
          <w:lang w:val="es-UY"/>
        </w:rPr>
        <w:t xml:space="preserve">resulta pertinente lo relativo al trabajo infantil. </w:t>
      </w:r>
    </w:p>
    <w:p w:rsidR="00277412" w:rsidRPr="00165EC6" w:rsidRDefault="00277412" w:rsidP="0090018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UY"/>
        </w:rPr>
      </w:pPr>
    </w:p>
    <w:p w:rsidR="00277412" w:rsidRPr="00165EC6" w:rsidRDefault="00277412" w:rsidP="009001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Cambria" w:eastAsia="Batang" w:hAnsi="Cambria" w:cs="Verdana"/>
          <w:sz w:val="20"/>
          <w:szCs w:val="20"/>
          <w:bdr w:val="none" w:sz="0" w:space="0" w:color="auto"/>
          <w:lang w:val="es-ES"/>
        </w:rPr>
      </w:pPr>
      <w:r w:rsidRPr="00165EC6">
        <w:rPr>
          <w:rFonts w:ascii="Cambria" w:eastAsia="Batang" w:hAnsi="Cambria"/>
          <w:sz w:val="20"/>
          <w:szCs w:val="20"/>
          <w:bdr w:val="none" w:sz="0" w:space="0" w:color="auto"/>
          <w:lang w:val="es-UY"/>
        </w:rPr>
        <w:t xml:space="preserve">Sobre estos dos ejes centrales, </w:t>
      </w:r>
      <w:r w:rsidR="00C542AF" w:rsidRPr="00165EC6">
        <w:rPr>
          <w:rFonts w:ascii="Cambria" w:eastAsia="Batang" w:hAnsi="Cambria"/>
          <w:sz w:val="20"/>
          <w:szCs w:val="20"/>
          <w:bdr w:val="none" w:sz="0" w:space="0" w:color="auto"/>
          <w:lang w:val="es-UY"/>
        </w:rPr>
        <w:t xml:space="preserve">la Comisión y </w:t>
      </w:r>
      <w:r w:rsidRPr="00165EC6">
        <w:rPr>
          <w:rFonts w:ascii="Cambria" w:eastAsia="Batang" w:hAnsi="Cambria"/>
          <w:sz w:val="20"/>
          <w:szCs w:val="20"/>
          <w:bdr w:val="none" w:sz="0" w:space="0" w:color="auto"/>
          <w:lang w:val="es-UY"/>
        </w:rPr>
        <w:t>la Corte Interamericana ha</w:t>
      </w:r>
      <w:r w:rsidR="00C542AF" w:rsidRPr="00165EC6">
        <w:rPr>
          <w:rFonts w:ascii="Cambria" w:eastAsia="Batang" w:hAnsi="Cambria"/>
          <w:sz w:val="20"/>
          <w:szCs w:val="20"/>
          <w:bdr w:val="none" w:sz="0" w:space="0" w:color="auto"/>
          <w:lang w:val="es-UY"/>
        </w:rPr>
        <w:t>n</w:t>
      </w:r>
      <w:r w:rsidRPr="00165EC6">
        <w:rPr>
          <w:rFonts w:ascii="Cambria" w:eastAsia="Batang" w:hAnsi="Cambria"/>
          <w:sz w:val="20"/>
          <w:szCs w:val="20"/>
          <w:bdr w:val="none" w:sz="0" w:space="0" w:color="auto"/>
          <w:lang w:val="es-UY"/>
        </w:rPr>
        <w:t xml:space="preserve"> indicado que “</w:t>
      </w:r>
      <w:r w:rsidRPr="00165EC6">
        <w:rPr>
          <w:rFonts w:ascii="Cambria" w:eastAsia="Batang" w:hAnsi="Cambria" w:cs="Verdana"/>
          <w:sz w:val="20"/>
          <w:szCs w:val="20"/>
          <w:bdr w:val="none" w:sz="0" w:space="0" w:color="auto"/>
          <w:lang w:val="es-UY"/>
        </w:rPr>
        <w:t>los niños y las niñas son titulares de los derechos establecidos en la Convención Americana, además de contar con las medidas especiales de protección contempladas en su artículo 19, las cuales deben ser definidas según las circunstancias particulares de cada caso concreto”</w:t>
      </w:r>
      <w:r w:rsidRPr="00165EC6">
        <w:rPr>
          <w:rFonts w:ascii="Cambria" w:eastAsia="Batang" w:hAnsi="Cambria" w:cs="Verdana"/>
          <w:sz w:val="20"/>
          <w:szCs w:val="20"/>
          <w:bdr w:val="none" w:sz="0" w:space="0" w:color="auto"/>
          <w:vertAlign w:val="superscript"/>
          <w:lang w:val="es-UY"/>
        </w:rPr>
        <w:footnoteReference w:id="88"/>
      </w:r>
      <w:r w:rsidRPr="00165EC6">
        <w:rPr>
          <w:rFonts w:ascii="Cambria" w:eastAsia="Batang" w:hAnsi="Cambria" w:cs="Verdana"/>
          <w:sz w:val="20"/>
          <w:szCs w:val="20"/>
          <w:bdr w:val="none" w:sz="0" w:space="0" w:color="auto"/>
          <w:lang w:val="es-UY"/>
        </w:rPr>
        <w:t xml:space="preserve">. </w:t>
      </w:r>
      <w:r w:rsidR="005361B4" w:rsidRPr="00165EC6">
        <w:rPr>
          <w:rFonts w:ascii="Cambria" w:eastAsia="Batang" w:hAnsi="Cambria" w:cs="Verdana"/>
          <w:sz w:val="20"/>
          <w:szCs w:val="20"/>
          <w:bdr w:val="none" w:sz="0" w:space="0" w:color="auto"/>
          <w:lang w:val="es-UY"/>
        </w:rPr>
        <w:t xml:space="preserve">Además, </w:t>
      </w:r>
      <w:r w:rsidR="00C542AF" w:rsidRPr="00165EC6">
        <w:rPr>
          <w:rFonts w:ascii="Cambria" w:eastAsia="Cambria" w:hAnsi="Cambria"/>
          <w:sz w:val="20"/>
          <w:szCs w:val="20"/>
          <w:bdr w:val="none" w:sz="0" w:space="0" w:color="auto"/>
          <w:lang w:val="es-ES_tradnl"/>
        </w:rPr>
        <w:t>“</w:t>
      </w:r>
      <w:r w:rsidRPr="00165EC6">
        <w:rPr>
          <w:rFonts w:ascii="Cambria" w:eastAsia="Cambria" w:hAnsi="Cambria"/>
          <w:sz w:val="20"/>
          <w:szCs w:val="20"/>
          <w:bdr w:val="none" w:sz="0" w:space="0" w:color="auto"/>
          <w:lang w:val="es-ES_tradnl"/>
        </w:rPr>
        <w:t>el Estado debe prestar especial atención a las necesidades y a los derechos de las niñas y los niños, en condición particular de vulnerabilidad”</w:t>
      </w:r>
      <w:r w:rsidRPr="00165EC6">
        <w:rPr>
          <w:rFonts w:ascii="Cambria" w:eastAsia="Cambria" w:hAnsi="Cambria"/>
          <w:sz w:val="20"/>
          <w:szCs w:val="20"/>
          <w:bdr w:val="none" w:sz="0" w:space="0" w:color="auto"/>
          <w:vertAlign w:val="superscript"/>
          <w:lang w:val="es-ES_tradnl"/>
        </w:rPr>
        <w:footnoteReference w:id="89"/>
      </w:r>
      <w:r w:rsidRPr="00165EC6">
        <w:rPr>
          <w:rFonts w:ascii="Cambria" w:eastAsia="Cambria" w:hAnsi="Cambria"/>
          <w:sz w:val="20"/>
          <w:szCs w:val="20"/>
          <w:bdr w:val="none" w:sz="0" w:space="0" w:color="auto"/>
          <w:lang w:val="es-ES_tradnl"/>
        </w:rPr>
        <w:t>.</w:t>
      </w:r>
    </w:p>
    <w:p w:rsidR="00277412" w:rsidRPr="00165EC6" w:rsidRDefault="00277412" w:rsidP="0090018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cs="Verdana"/>
          <w:sz w:val="20"/>
          <w:szCs w:val="20"/>
          <w:bdr w:val="none" w:sz="0" w:space="0" w:color="auto"/>
          <w:lang w:val="es-ES"/>
        </w:rPr>
      </w:pPr>
    </w:p>
    <w:p w:rsidR="00060534" w:rsidRPr="00165EC6" w:rsidRDefault="00277412" w:rsidP="009001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ind w:left="0"/>
        <w:jc w:val="both"/>
        <w:rPr>
          <w:rFonts w:ascii="Cambria" w:eastAsia="Calibri" w:hAnsi="Cambria" w:cs="Segoe UI"/>
          <w:sz w:val="20"/>
          <w:szCs w:val="20"/>
          <w:bdr w:val="none" w:sz="0" w:space="0" w:color="auto"/>
          <w:lang w:val="es-CO"/>
        </w:rPr>
      </w:pPr>
      <w:r w:rsidRPr="00165EC6">
        <w:rPr>
          <w:rFonts w:ascii="Cambria" w:eastAsia="Batang" w:hAnsi="Cambria" w:cs="Verdana"/>
          <w:sz w:val="20"/>
          <w:szCs w:val="20"/>
          <w:bdr w:val="none" w:sz="0" w:space="0" w:color="auto"/>
          <w:lang w:val="es-ES"/>
        </w:rPr>
        <w:t xml:space="preserve">El artículo </w:t>
      </w:r>
      <w:r w:rsidR="00B56B3D" w:rsidRPr="00165EC6">
        <w:rPr>
          <w:rFonts w:ascii="Cambria" w:eastAsia="Batang" w:hAnsi="Cambria" w:cs="Verdana"/>
          <w:sz w:val="20"/>
          <w:szCs w:val="20"/>
          <w:bdr w:val="none" w:sz="0" w:space="0" w:color="auto"/>
          <w:lang w:val="es-ES"/>
        </w:rPr>
        <w:t>32</w:t>
      </w:r>
      <w:r w:rsidRPr="00165EC6">
        <w:rPr>
          <w:rFonts w:ascii="Cambria" w:eastAsia="Batang" w:hAnsi="Cambria" w:cs="Verdana"/>
          <w:sz w:val="20"/>
          <w:szCs w:val="20"/>
          <w:bdr w:val="none" w:sz="0" w:space="0" w:color="auto"/>
          <w:lang w:val="es-ES"/>
        </w:rPr>
        <w:t xml:space="preserve"> de la Convención sobre los Derechos del Niño</w:t>
      </w:r>
      <w:r w:rsidR="00FC5728" w:rsidRPr="00165EC6">
        <w:rPr>
          <w:rStyle w:val="FootnoteReference"/>
          <w:rFonts w:ascii="Cambria" w:eastAsia="Batang" w:hAnsi="Cambria" w:cs="Verdana"/>
          <w:sz w:val="20"/>
          <w:szCs w:val="20"/>
          <w:bdr w:val="none" w:sz="0" w:space="0" w:color="auto"/>
          <w:lang w:val="es-ES"/>
        </w:rPr>
        <w:footnoteReference w:id="90"/>
      </w:r>
      <w:r w:rsidRPr="00165EC6">
        <w:rPr>
          <w:rFonts w:ascii="Cambria" w:eastAsia="Batang" w:hAnsi="Cambria" w:cs="Verdana"/>
          <w:sz w:val="20"/>
          <w:szCs w:val="20"/>
          <w:bdr w:val="none" w:sz="0" w:space="0" w:color="auto"/>
          <w:lang w:val="es-ES"/>
        </w:rPr>
        <w:t xml:space="preserve"> señala que “los Estados Partes </w:t>
      </w:r>
      <w:r w:rsidR="00B56B3D" w:rsidRPr="00165EC6">
        <w:rPr>
          <w:rFonts w:ascii="Cambria" w:eastAsia="Batang" w:hAnsi="Cambria" w:cs="Segoe UI"/>
          <w:sz w:val="20"/>
          <w:szCs w:val="20"/>
          <w:bdr w:val="none" w:sz="0" w:space="0" w:color="auto" w:frame="1"/>
          <w:lang w:val="es-CO"/>
        </w:rPr>
        <w:t xml:space="preserve">reconocen el derecho del niño a estar protegido contra la explotación económica y contra el desempeño de cualquier trabajo que pueda ser peligroso o entorpecer su educación, o que sea nocivo para su salud o para su desarrollo físico, mental, espiritual, moral o social. Los Estados Partes </w:t>
      </w:r>
      <w:r w:rsidRPr="00165EC6">
        <w:rPr>
          <w:rFonts w:ascii="Cambria" w:eastAsia="Batang" w:hAnsi="Cambria" w:cs="Verdana"/>
          <w:sz w:val="20"/>
          <w:szCs w:val="20"/>
          <w:bdr w:val="none" w:sz="0" w:space="0" w:color="auto"/>
          <w:lang w:val="es-ES"/>
        </w:rPr>
        <w:t>adoptarán</w:t>
      </w:r>
      <w:r w:rsidR="00B56B3D" w:rsidRPr="00165EC6">
        <w:rPr>
          <w:rFonts w:ascii="Cambria" w:eastAsia="Batang" w:hAnsi="Cambria" w:cs="Verdana"/>
          <w:sz w:val="20"/>
          <w:szCs w:val="20"/>
          <w:bdr w:val="none" w:sz="0" w:space="0" w:color="auto"/>
          <w:lang w:val="es-ES"/>
        </w:rPr>
        <w:t xml:space="preserve"> medidas legislativas, </w:t>
      </w:r>
      <w:r w:rsidRPr="00165EC6">
        <w:rPr>
          <w:rFonts w:ascii="Cambria" w:eastAsia="Batang" w:hAnsi="Cambria" w:cs="Verdana"/>
          <w:sz w:val="20"/>
          <w:szCs w:val="20"/>
          <w:bdr w:val="none" w:sz="0" w:space="0" w:color="auto"/>
          <w:lang w:val="es-ES"/>
        </w:rPr>
        <w:t xml:space="preserve">administrativas, </w:t>
      </w:r>
      <w:r w:rsidR="00B56B3D" w:rsidRPr="00165EC6">
        <w:rPr>
          <w:rFonts w:ascii="Cambria" w:eastAsia="Batang" w:hAnsi="Cambria" w:cs="Verdana"/>
          <w:sz w:val="20"/>
          <w:szCs w:val="20"/>
          <w:bdr w:val="none" w:sz="0" w:space="0" w:color="auto"/>
          <w:lang w:val="es-ES"/>
        </w:rPr>
        <w:t xml:space="preserve">sociales y educacionales </w:t>
      </w:r>
      <w:r w:rsidRPr="00165EC6">
        <w:rPr>
          <w:rFonts w:ascii="Cambria" w:eastAsia="Batang" w:hAnsi="Cambria" w:cs="Verdana"/>
          <w:sz w:val="20"/>
          <w:szCs w:val="20"/>
          <w:bdr w:val="none" w:sz="0" w:space="0" w:color="auto"/>
          <w:lang w:val="es-ES"/>
        </w:rPr>
        <w:t>[…]”.</w:t>
      </w:r>
      <w:r w:rsidR="00B56B3D" w:rsidRPr="00165EC6">
        <w:rPr>
          <w:rFonts w:ascii="Cambria" w:eastAsia="Batang" w:hAnsi="Cambria" w:cs="Verdana"/>
          <w:sz w:val="20"/>
          <w:szCs w:val="20"/>
          <w:bdr w:val="none" w:sz="0" w:space="0" w:color="auto"/>
          <w:lang w:val="es-ES"/>
        </w:rPr>
        <w:t xml:space="preserve"> </w:t>
      </w:r>
      <w:r w:rsidRPr="00165EC6">
        <w:rPr>
          <w:rFonts w:ascii="Cambria" w:eastAsia="Calibri" w:hAnsi="Cambria" w:cs="Segoe UI"/>
          <w:sz w:val="20"/>
          <w:szCs w:val="20"/>
          <w:bdr w:val="none" w:sz="0" w:space="0" w:color="auto"/>
          <w:lang w:val="es-CO"/>
        </w:rPr>
        <w:t>Además, establece que los Estados fijarán una edad o edades mínimas para trabajar y dispondrán la reglamentación apropiada de los horarios y condiciones de trabajo</w:t>
      </w:r>
      <w:r w:rsidRPr="00165EC6">
        <w:rPr>
          <w:rFonts w:ascii="Cambria" w:eastAsia="Calibri" w:hAnsi="Cambria" w:cs="Segoe UI"/>
          <w:sz w:val="20"/>
          <w:szCs w:val="20"/>
          <w:bdr w:val="none" w:sz="0" w:space="0" w:color="auto"/>
          <w:vertAlign w:val="superscript"/>
          <w:lang w:val="es-CO"/>
        </w:rPr>
        <w:footnoteReference w:id="91"/>
      </w:r>
      <w:r w:rsidRPr="00165EC6">
        <w:rPr>
          <w:rFonts w:ascii="Cambria" w:eastAsia="Calibri" w:hAnsi="Cambria" w:cs="Segoe UI"/>
          <w:sz w:val="20"/>
          <w:szCs w:val="20"/>
          <w:bdr w:val="none" w:sz="0" w:space="0" w:color="auto"/>
          <w:lang w:val="es-CO"/>
        </w:rPr>
        <w:t>.</w:t>
      </w:r>
      <w:r w:rsidR="00C40D5A" w:rsidRPr="00165EC6">
        <w:rPr>
          <w:rFonts w:ascii="Cambria" w:eastAsia="Calibri" w:hAnsi="Cambria" w:cs="Segoe UI"/>
          <w:sz w:val="20"/>
          <w:szCs w:val="20"/>
          <w:bdr w:val="none" w:sz="0" w:space="0" w:color="auto"/>
          <w:lang w:val="es-CO"/>
        </w:rPr>
        <w:t xml:space="preserve"> </w:t>
      </w:r>
    </w:p>
    <w:p w:rsidR="00060534" w:rsidRPr="00165EC6" w:rsidRDefault="00060534" w:rsidP="00900181">
      <w:pPr>
        <w:pStyle w:val="ListParagraph"/>
        <w:ind w:left="0" w:firstLine="720"/>
        <w:jc w:val="both"/>
        <w:rPr>
          <w:rFonts w:eastAsia="Calibri" w:cs="Segoe UI"/>
          <w:sz w:val="20"/>
          <w:szCs w:val="20"/>
          <w:bdr w:val="none" w:sz="0" w:space="0" w:color="auto"/>
          <w:lang w:val="es-CO"/>
        </w:rPr>
      </w:pPr>
    </w:p>
    <w:p w:rsidR="00277412" w:rsidRPr="00165EC6" w:rsidRDefault="00060534" w:rsidP="009001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ind w:left="0"/>
        <w:jc w:val="both"/>
        <w:rPr>
          <w:rFonts w:ascii="Cambria" w:eastAsia="Calibri" w:hAnsi="Cambria" w:cs="Segoe UI"/>
          <w:sz w:val="20"/>
          <w:szCs w:val="20"/>
          <w:bdr w:val="none" w:sz="0" w:space="0" w:color="auto"/>
          <w:lang w:val="es-CO"/>
        </w:rPr>
      </w:pPr>
      <w:r w:rsidRPr="00165EC6">
        <w:rPr>
          <w:rFonts w:ascii="Cambria" w:eastAsia="Calibri" w:hAnsi="Cambria" w:cs="Segoe UI"/>
          <w:sz w:val="20"/>
          <w:szCs w:val="20"/>
          <w:bdr w:val="none" w:sz="0" w:space="0" w:color="auto"/>
          <w:lang w:val="es-CO"/>
        </w:rPr>
        <w:t>E</w:t>
      </w:r>
      <w:r w:rsidR="00C40D5A" w:rsidRPr="00165EC6">
        <w:rPr>
          <w:rFonts w:ascii="Cambria" w:eastAsia="Calibri" w:hAnsi="Cambria" w:cs="Segoe UI"/>
          <w:sz w:val="20"/>
          <w:szCs w:val="20"/>
          <w:bdr w:val="none" w:sz="0" w:space="0" w:color="auto"/>
          <w:lang w:val="es-CO"/>
        </w:rPr>
        <w:t>l Protocolo de San Salvador, en su artículo 7, establece el derecho a condiciones de trabajo justas, equitativas y satisfactorias y, con respecto a los menores, exige que l</w:t>
      </w:r>
      <w:r w:rsidR="00C036AB" w:rsidRPr="00165EC6">
        <w:rPr>
          <w:rFonts w:ascii="Cambria" w:eastAsia="Calibri" w:hAnsi="Cambria" w:cs="Segoe UI"/>
          <w:sz w:val="20"/>
          <w:szCs w:val="20"/>
          <w:bdr w:val="none" w:sz="0" w:space="0" w:color="auto"/>
          <w:lang w:val="es-CO"/>
        </w:rPr>
        <w:t xml:space="preserve">os Estados </w:t>
      </w:r>
      <w:r w:rsidR="00C40D5A" w:rsidRPr="00165EC6">
        <w:rPr>
          <w:rFonts w:ascii="Cambria" w:eastAsia="Calibri" w:hAnsi="Cambria" w:cs="Segoe UI"/>
          <w:sz w:val="20"/>
          <w:szCs w:val="20"/>
          <w:bdr w:val="none" w:sz="0" w:space="0" w:color="auto"/>
          <w:lang w:val="es-CO"/>
        </w:rPr>
        <w:t>Parte prohíba</w:t>
      </w:r>
      <w:r w:rsidR="00C036AB" w:rsidRPr="00165EC6">
        <w:rPr>
          <w:rFonts w:ascii="Cambria" w:eastAsia="Calibri" w:hAnsi="Cambria" w:cs="Segoe UI"/>
          <w:sz w:val="20"/>
          <w:szCs w:val="20"/>
          <w:bdr w:val="none" w:sz="0" w:space="0" w:color="auto"/>
          <w:lang w:val="es-CO"/>
        </w:rPr>
        <w:t>n</w:t>
      </w:r>
      <w:r w:rsidR="00C40D5A" w:rsidRPr="00165EC6">
        <w:rPr>
          <w:rFonts w:ascii="Cambria" w:eastAsia="Calibri" w:hAnsi="Cambria" w:cs="Segoe UI"/>
          <w:sz w:val="20"/>
          <w:szCs w:val="20"/>
          <w:bdr w:val="none" w:sz="0" w:space="0" w:color="auto"/>
          <w:lang w:val="es-CO"/>
        </w:rPr>
        <w:t xml:space="preserve"> cualquier trabajo que ponga en peligro su salud, su seguridad o su moral</w:t>
      </w:r>
      <w:r w:rsidR="009D164F" w:rsidRPr="00165EC6">
        <w:rPr>
          <w:rFonts w:ascii="Cambria" w:eastAsia="Calibri" w:hAnsi="Cambria" w:cs="Segoe UI"/>
          <w:sz w:val="20"/>
          <w:szCs w:val="20"/>
          <w:bdr w:val="none" w:sz="0" w:space="0" w:color="auto"/>
          <w:lang w:val="es-CO"/>
        </w:rPr>
        <w:t xml:space="preserve"> y garanticen que el trabajo esté subordinado a las disposiciones sobre educación obligatoria.</w:t>
      </w:r>
      <w:r w:rsidRPr="00165EC6">
        <w:rPr>
          <w:rFonts w:ascii="Cambria" w:eastAsia="Calibri" w:hAnsi="Cambria" w:cs="Segoe UI"/>
          <w:sz w:val="20"/>
          <w:szCs w:val="20"/>
          <w:bdr w:val="none" w:sz="0" w:space="0" w:color="auto"/>
          <w:lang w:val="es-CO"/>
        </w:rPr>
        <w:t xml:space="preserve"> En ese sentido, la Comisión se ha referido a la importancia de</w:t>
      </w:r>
      <w:r w:rsidR="001869F6" w:rsidRPr="00165EC6">
        <w:rPr>
          <w:rFonts w:ascii="Cambria" w:eastAsia="Calibri" w:hAnsi="Cambria" w:cs="Segoe UI"/>
          <w:sz w:val="20"/>
          <w:szCs w:val="20"/>
          <w:bdr w:val="none" w:sz="0" w:space="0" w:color="auto"/>
          <w:lang w:val="es-CO"/>
        </w:rPr>
        <w:t xml:space="preserve"> </w:t>
      </w:r>
      <w:r w:rsidRPr="00165EC6">
        <w:rPr>
          <w:rFonts w:ascii="Cambria" w:eastAsia="Calibri" w:hAnsi="Cambria" w:cs="Segoe UI"/>
          <w:sz w:val="20"/>
          <w:szCs w:val="20"/>
          <w:bdr w:val="none" w:sz="0" w:space="0" w:color="auto"/>
          <w:lang w:val="es-CO"/>
        </w:rPr>
        <w:t xml:space="preserve">contar con legislaciones efectivas </w:t>
      </w:r>
      <w:r w:rsidR="001869F6" w:rsidRPr="00165EC6">
        <w:rPr>
          <w:rFonts w:ascii="Cambria" w:eastAsia="Calibri" w:hAnsi="Cambria" w:cs="Segoe UI"/>
          <w:sz w:val="20"/>
          <w:szCs w:val="20"/>
          <w:bdr w:val="none" w:sz="0" w:space="0" w:color="auto"/>
          <w:lang w:val="es-CO"/>
        </w:rPr>
        <w:t>y con la realización d</w:t>
      </w:r>
      <w:r w:rsidRPr="00165EC6">
        <w:rPr>
          <w:rFonts w:ascii="Cambria" w:eastAsia="Calibri" w:hAnsi="Cambria" w:cs="Segoe UI"/>
          <w:sz w:val="20"/>
          <w:szCs w:val="20"/>
          <w:bdr w:val="none" w:sz="0" w:space="0" w:color="auto"/>
          <w:lang w:val="es-CO"/>
        </w:rPr>
        <w:t>e inspecciones a los lugares de trabajo para garantizar que no se exponga a los menores a condiciones peligrosas</w:t>
      </w:r>
      <w:r w:rsidR="001869F6" w:rsidRPr="00165EC6">
        <w:rPr>
          <w:rFonts w:ascii="Cambria" w:eastAsia="Calibri" w:hAnsi="Cambria" w:cs="Segoe UI"/>
          <w:sz w:val="20"/>
          <w:szCs w:val="20"/>
          <w:bdr w:val="none" w:sz="0" w:space="0" w:color="auto"/>
          <w:lang w:val="es-CO"/>
        </w:rPr>
        <w:t xml:space="preserve"> de trabajo</w:t>
      </w:r>
      <w:r w:rsidRPr="00165EC6">
        <w:rPr>
          <w:rStyle w:val="FootnoteReference"/>
          <w:rFonts w:ascii="Cambria" w:eastAsia="Calibri" w:hAnsi="Cambria" w:cs="Segoe UI"/>
          <w:sz w:val="20"/>
          <w:szCs w:val="20"/>
          <w:bdr w:val="none" w:sz="0" w:space="0" w:color="auto"/>
          <w:lang w:val="es-CO"/>
        </w:rPr>
        <w:footnoteReference w:id="92"/>
      </w:r>
      <w:r w:rsidRPr="00165EC6">
        <w:rPr>
          <w:rFonts w:ascii="Cambria" w:eastAsia="Calibri" w:hAnsi="Cambria" w:cs="Segoe UI"/>
          <w:sz w:val="20"/>
          <w:szCs w:val="20"/>
          <w:bdr w:val="none" w:sz="0" w:space="0" w:color="auto"/>
          <w:lang w:val="es-CO"/>
        </w:rPr>
        <w:t xml:space="preserve">. </w:t>
      </w:r>
    </w:p>
    <w:p w:rsidR="00756BFE" w:rsidRPr="00165EC6" w:rsidRDefault="00756BFE" w:rsidP="0090018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ind w:firstLine="720"/>
        <w:contextualSpacing/>
        <w:jc w:val="both"/>
        <w:rPr>
          <w:rFonts w:ascii="Cambria" w:eastAsia="Calibri" w:hAnsi="Cambria"/>
          <w:sz w:val="20"/>
          <w:szCs w:val="20"/>
          <w:bdr w:val="none" w:sz="0" w:space="0" w:color="auto"/>
          <w:lang w:val="es-MX"/>
        </w:rPr>
      </w:pPr>
    </w:p>
    <w:p w:rsidR="00756BFE" w:rsidRPr="00165EC6" w:rsidRDefault="00756BFE" w:rsidP="00900181">
      <w:pPr>
        <w:pStyle w:val="ListParagraph"/>
        <w:numPr>
          <w:ilvl w:val="0"/>
          <w:numId w:val="55"/>
        </w:numPr>
        <w:ind w:left="0"/>
        <w:jc w:val="both"/>
        <w:rPr>
          <w:color w:val="auto"/>
          <w:sz w:val="20"/>
          <w:szCs w:val="20"/>
          <w:lang w:val="es-PE"/>
        </w:rPr>
      </w:pPr>
      <w:r w:rsidRPr="00165EC6">
        <w:rPr>
          <w:color w:val="auto"/>
          <w:sz w:val="20"/>
          <w:szCs w:val="20"/>
          <w:lang w:val="es-PE"/>
        </w:rPr>
        <w:t>UNICEF se ha referido al tema, distinguiendo entre los conceptos de “tareas infantiles”, “trabajo infantil” y “las peores formas de trabajo infantil, tomando en cuenta los Conven</w:t>
      </w:r>
      <w:r w:rsidR="00CD6EB8" w:rsidRPr="00165EC6">
        <w:rPr>
          <w:color w:val="auto"/>
          <w:sz w:val="20"/>
          <w:szCs w:val="20"/>
          <w:lang w:val="es-PE"/>
        </w:rPr>
        <w:t>ion</w:t>
      </w:r>
      <w:r w:rsidRPr="00165EC6">
        <w:rPr>
          <w:color w:val="auto"/>
          <w:sz w:val="20"/>
          <w:szCs w:val="20"/>
          <w:lang w:val="es-PE"/>
        </w:rPr>
        <w:t xml:space="preserve"> No. 138 y 182 de la OIT, en los siguientes términos:</w:t>
      </w:r>
    </w:p>
    <w:p w:rsidR="00756BFE" w:rsidRPr="00165EC6" w:rsidRDefault="00756BFE" w:rsidP="00B74E3A">
      <w:pPr>
        <w:pStyle w:val="ListParagraph"/>
        <w:ind w:left="900"/>
        <w:rPr>
          <w:color w:val="auto"/>
          <w:sz w:val="20"/>
          <w:szCs w:val="20"/>
          <w:lang w:val="es-PE"/>
        </w:rPr>
      </w:pPr>
    </w:p>
    <w:p w:rsidR="00756BFE" w:rsidRPr="00165EC6" w:rsidRDefault="00756BFE" w:rsidP="00B74E3A">
      <w:pPr>
        <w:pStyle w:val="v11n"/>
        <w:spacing w:before="0" w:beforeAutospacing="0" w:after="0" w:afterAutospacing="0"/>
        <w:ind w:left="900" w:right="720"/>
        <w:jc w:val="both"/>
        <w:rPr>
          <w:rFonts w:ascii="Cambria" w:hAnsi="Cambria"/>
          <w:sz w:val="20"/>
          <w:szCs w:val="20"/>
          <w:lang w:val="es-PE"/>
        </w:rPr>
      </w:pPr>
      <w:r w:rsidRPr="00165EC6">
        <w:rPr>
          <w:rStyle w:val="Strong"/>
          <w:rFonts w:ascii="Cambria" w:hAnsi="Cambria"/>
          <w:b w:val="0"/>
          <w:sz w:val="20"/>
          <w:szCs w:val="20"/>
          <w:lang w:val="es-PE"/>
        </w:rPr>
        <w:t>Tareas infantiles:</w:t>
      </w:r>
      <w:r w:rsidRPr="00165EC6">
        <w:rPr>
          <w:rStyle w:val="apple-converted-space"/>
          <w:rFonts w:ascii="Cambria" w:hAnsi="Cambria"/>
          <w:sz w:val="20"/>
          <w:szCs w:val="20"/>
          <w:lang w:val="es-PE"/>
        </w:rPr>
        <w:t> </w:t>
      </w:r>
      <w:r w:rsidRPr="00165EC6">
        <w:rPr>
          <w:rFonts w:ascii="Cambria" w:hAnsi="Cambria"/>
          <w:sz w:val="20"/>
          <w:szCs w:val="20"/>
          <w:lang w:val="es-PE"/>
        </w:rPr>
        <w:t>UNICEF no se opone a que los niños y niñas trabajen. La participación de los niños, las niñas y los adolescentes en un trabajo –una actividad económica– que no afecte de manera negativa su salud y su desarrollo ni interfiera con su educación, es a menudo positiva. La Convención No.138 de la OIT permite cualquier tipo de trabajo ligero (que no interfiera con la educación) a partir de los 12 años.</w:t>
      </w:r>
    </w:p>
    <w:p w:rsidR="00756BFE" w:rsidRPr="00165EC6" w:rsidRDefault="00756BFE" w:rsidP="00B74E3A">
      <w:pPr>
        <w:pStyle w:val="v11n"/>
        <w:spacing w:before="0" w:beforeAutospacing="0" w:after="0" w:afterAutospacing="0"/>
        <w:ind w:left="900" w:right="720"/>
        <w:jc w:val="both"/>
        <w:rPr>
          <w:rStyle w:val="Strong"/>
          <w:rFonts w:ascii="Cambria" w:hAnsi="Cambria"/>
          <w:b w:val="0"/>
          <w:sz w:val="20"/>
          <w:szCs w:val="20"/>
          <w:lang w:val="es-PE"/>
        </w:rPr>
      </w:pPr>
    </w:p>
    <w:p w:rsidR="00756BFE" w:rsidRPr="00165EC6" w:rsidRDefault="00756BFE" w:rsidP="00B74E3A">
      <w:pPr>
        <w:pStyle w:val="v11n"/>
        <w:spacing w:before="0" w:beforeAutospacing="0" w:after="0" w:afterAutospacing="0"/>
        <w:ind w:left="900" w:right="720"/>
        <w:jc w:val="both"/>
        <w:rPr>
          <w:rFonts w:ascii="Cambria" w:hAnsi="Cambria"/>
          <w:sz w:val="20"/>
          <w:szCs w:val="20"/>
          <w:lang w:val="es-PE"/>
        </w:rPr>
      </w:pPr>
      <w:r w:rsidRPr="00165EC6">
        <w:rPr>
          <w:rStyle w:val="Strong"/>
          <w:rFonts w:ascii="Cambria" w:hAnsi="Cambria"/>
          <w:b w:val="0"/>
          <w:sz w:val="20"/>
          <w:szCs w:val="20"/>
          <w:lang w:val="es-PE"/>
        </w:rPr>
        <w:t>Trabajo infantil:</w:t>
      </w:r>
      <w:r w:rsidRPr="00165EC6">
        <w:rPr>
          <w:rStyle w:val="apple-converted-space"/>
          <w:rFonts w:ascii="Cambria" w:hAnsi="Cambria"/>
          <w:sz w:val="20"/>
          <w:szCs w:val="20"/>
          <w:lang w:val="es-PE"/>
        </w:rPr>
        <w:t> </w:t>
      </w:r>
      <w:r w:rsidRPr="00165EC6">
        <w:rPr>
          <w:rFonts w:ascii="Cambria" w:hAnsi="Cambria"/>
          <w:sz w:val="20"/>
          <w:szCs w:val="20"/>
          <w:lang w:val="es-PE"/>
        </w:rPr>
        <w:t>El trabajo infantil es un concepto más limitado que se refiere a los niños que trabajan en contravención de las normas de la OIT que aparecen en las Convenciones 138 y 182. Esto incluye a todos los niños menores de 12 años que trabajan en cualquier actividad económica, así como a los que tienen de 12 a 14 años y trabajan en un trabajo más que ligero, y a los niños y las niñas sometidos a las peores formas de trabajo infantil.</w:t>
      </w:r>
    </w:p>
    <w:p w:rsidR="00756BFE" w:rsidRPr="00165EC6" w:rsidRDefault="00756BFE" w:rsidP="00B74E3A">
      <w:pPr>
        <w:pStyle w:val="v11n"/>
        <w:spacing w:before="0" w:beforeAutospacing="0" w:after="0" w:afterAutospacing="0"/>
        <w:ind w:left="900" w:right="720"/>
        <w:jc w:val="both"/>
        <w:rPr>
          <w:rStyle w:val="Strong"/>
          <w:rFonts w:ascii="Cambria" w:hAnsi="Cambria"/>
          <w:b w:val="0"/>
          <w:sz w:val="20"/>
          <w:szCs w:val="20"/>
          <w:lang w:val="es-PE"/>
        </w:rPr>
      </w:pPr>
    </w:p>
    <w:p w:rsidR="00756BFE" w:rsidRPr="00165EC6" w:rsidRDefault="00756BFE" w:rsidP="00B74E3A">
      <w:pPr>
        <w:pStyle w:val="v11n"/>
        <w:spacing w:before="0" w:beforeAutospacing="0" w:after="0" w:afterAutospacing="0"/>
        <w:ind w:left="900" w:right="720"/>
        <w:jc w:val="both"/>
        <w:rPr>
          <w:rFonts w:ascii="Cambria" w:hAnsi="Cambria"/>
          <w:sz w:val="20"/>
          <w:szCs w:val="20"/>
          <w:lang w:val="es-PE"/>
        </w:rPr>
      </w:pPr>
      <w:r w:rsidRPr="00165EC6">
        <w:rPr>
          <w:rStyle w:val="Strong"/>
          <w:rFonts w:ascii="Cambria" w:hAnsi="Cambria"/>
          <w:b w:val="0"/>
          <w:sz w:val="20"/>
          <w:szCs w:val="20"/>
          <w:lang w:val="es-PE"/>
        </w:rPr>
        <w:lastRenderedPageBreak/>
        <w:t>Las peores formas de trabajo infantil:</w:t>
      </w:r>
      <w:r w:rsidRPr="00165EC6">
        <w:rPr>
          <w:rStyle w:val="apple-converted-space"/>
          <w:rFonts w:ascii="Cambria" w:hAnsi="Cambria"/>
          <w:sz w:val="20"/>
          <w:szCs w:val="20"/>
          <w:lang w:val="es-PE"/>
        </w:rPr>
        <w:t> </w:t>
      </w:r>
      <w:r w:rsidRPr="00165EC6">
        <w:rPr>
          <w:rFonts w:ascii="Cambria" w:hAnsi="Cambria"/>
          <w:sz w:val="20"/>
          <w:szCs w:val="20"/>
          <w:lang w:val="es-PE"/>
        </w:rPr>
        <w:t>Entre ellas se encuentran la esclavitud, el reclutamiento forzado, la prostitución, la trata, la obligación de realizar actividades ilegales o la exposición a cualquier tipo de peligros.</w:t>
      </w:r>
    </w:p>
    <w:p w:rsidR="00756BFE" w:rsidRPr="00165EC6" w:rsidRDefault="00756BFE" w:rsidP="00B74E3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contextualSpacing/>
        <w:jc w:val="both"/>
        <w:rPr>
          <w:rFonts w:ascii="Cambria" w:eastAsia="Calibri" w:hAnsi="Cambria"/>
          <w:sz w:val="20"/>
          <w:szCs w:val="20"/>
          <w:bdr w:val="none" w:sz="0" w:space="0" w:color="auto"/>
          <w:lang w:val="es-MX"/>
        </w:rPr>
      </w:pPr>
    </w:p>
    <w:p w:rsidR="00B41887" w:rsidRPr="00165EC6" w:rsidRDefault="00C036AB" w:rsidP="009001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ind w:left="0"/>
        <w:contextualSpacing/>
        <w:jc w:val="both"/>
        <w:rPr>
          <w:rFonts w:ascii="Cambria" w:eastAsia="Calibri" w:hAnsi="Cambria"/>
          <w:sz w:val="20"/>
          <w:szCs w:val="20"/>
          <w:bdr w:val="none" w:sz="0" w:space="0" w:color="auto"/>
          <w:lang w:val="es-MX"/>
        </w:rPr>
      </w:pPr>
      <w:r w:rsidRPr="00165EC6">
        <w:rPr>
          <w:rFonts w:ascii="Cambria" w:eastAsia="Calibri" w:hAnsi="Cambria" w:cs="Segoe UI"/>
          <w:sz w:val="20"/>
          <w:szCs w:val="20"/>
          <w:bdr w:val="none" w:sz="0" w:space="0" w:color="auto"/>
          <w:lang w:val="es-MX"/>
        </w:rPr>
        <w:t>Aunque Brasil no era parte a la época de los hechos, se puede notar que a nivel internacional, el</w:t>
      </w:r>
      <w:r w:rsidRPr="00165EC6">
        <w:rPr>
          <w:rFonts w:ascii="Cambria" w:eastAsia="Calibri" w:hAnsi="Cambria"/>
          <w:sz w:val="20"/>
          <w:szCs w:val="20"/>
          <w:bdr w:val="none" w:sz="0" w:space="0" w:color="auto"/>
          <w:lang w:val="es-MX"/>
        </w:rPr>
        <w:t xml:space="preserve"> Convenio 182 de la Organización Internacional del Trabajo, en su artículo 3 define las </w:t>
      </w:r>
      <w:r w:rsidR="005C6994" w:rsidRPr="00165EC6">
        <w:rPr>
          <w:rFonts w:ascii="Cambria" w:eastAsia="Calibri" w:hAnsi="Cambria" w:cs="Segoe UI"/>
          <w:sz w:val="20"/>
          <w:szCs w:val="20"/>
          <w:bdr w:val="none" w:sz="0" w:space="0" w:color="auto"/>
          <w:lang w:val="es-CO"/>
        </w:rPr>
        <w:t>“peores formas de trabajo infantil”</w:t>
      </w:r>
      <w:r w:rsidRPr="00165EC6">
        <w:rPr>
          <w:rFonts w:ascii="Cambria" w:eastAsia="Calibri" w:hAnsi="Cambria" w:cs="Segoe UI"/>
          <w:sz w:val="20"/>
          <w:szCs w:val="20"/>
          <w:bdr w:val="none" w:sz="0" w:space="0" w:color="auto"/>
          <w:lang w:val="es-CO"/>
        </w:rPr>
        <w:t>, de la siguiente manera</w:t>
      </w:r>
      <w:r w:rsidR="00A34E1C" w:rsidRPr="00165EC6">
        <w:rPr>
          <w:rFonts w:ascii="Cambria" w:eastAsia="Calibri" w:hAnsi="Cambria"/>
          <w:sz w:val="20"/>
          <w:szCs w:val="20"/>
          <w:bdr w:val="none" w:sz="0" w:space="0" w:color="auto"/>
          <w:lang w:val="es-MX"/>
        </w:rPr>
        <w:t>:</w:t>
      </w:r>
    </w:p>
    <w:p w:rsidR="00A34E1C" w:rsidRPr="00165EC6" w:rsidRDefault="00A34E1C" w:rsidP="00A073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contextualSpacing/>
        <w:jc w:val="both"/>
        <w:rPr>
          <w:rFonts w:ascii="Cambria" w:eastAsia="Calibri" w:hAnsi="Cambria"/>
          <w:sz w:val="20"/>
          <w:szCs w:val="20"/>
          <w:bdr w:val="none" w:sz="0" w:space="0" w:color="auto"/>
          <w:lang w:val="es-MX"/>
        </w:rPr>
      </w:pPr>
    </w:p>
    <w:p w:rsidR="00A34E1C" w:rsidRPr="00165EC6" w:rsidRDefault="00A34E1C" w:rsidP="00A073C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lang w:val="es-PE"/>
        </w:rPr>
      </w:pPr>
      <w:r w:rsidRPr="00165EC6">
        <w:rPr>
          <w:rFonts w:ascii="Cambria" w:eastAsia="Times New Roman" w:hAnsi="Cambria"/>
          <w:sz w:val="20"/>
          <w:szCs w:val="20"/>
          <w:lang w:val="es-PE"/>
        </w:rPr>
        <w:t>(a) todas las formas de esclavitud o las prácticas análogas a la esclavitud, como la venta y la trata de niños, la servidumbre por deudas y la condición de siervo, y el trabajo forzoso u obligatorio, incluido el reclutamiento forzoso u obligatorio de niños para utilizarlos en conflictos armados;</w:t>
      </w:r>
    </w:p>
    <w:p w:rsidR="00A34E1C" w:rsidRPr="00165EC6" w:rsidRDefault="00A34E1C" w:rsidP="00A073C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lang w:val="es-PE"/>
        </w:rPr>
      </w:pPr>
      <w:r w:rsidRPr="00165EC6">
        <w:rPr>
          <w:rFonts w:ascii="Cambria" w:eastAsia="Times New Roman" w:hAnsi="Cambria"/>
          <w:sz w:val="20"/>
          <w:szCs w:val="20"/>
          <w:lang w:val="es-PE"/>
        </w:rPr>
        <w:t>(b) la utilización, el reclutamiento o la oferta de niños para la prostitución, la producción de pornografía o actuaciones pornográficas;</w:t>
      </w:r>
    </w:p>
    <w:p w:rsidR="00A34E1C" w:rsidRPr="00165EC6" w:rsidRDefault="00A34E1C" w:rsidP="00A073C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lang w:val="es-PE"/>
        </w:rPr>
      </w:pPr>
      <w:r w:rsidRPr="00165EC6">
        <w:rPr>
          <w:rFonts w:ascii="Cambria" w:eastAsia="Times New Roman" w:hAnsi="Cambria"/>
          <w:sz w:val="20"/>
          <w:szCs w:val="20"/>
          <w:lang w:val="es-PE"/>
        </w:rPr>
        <w:t>(c) la utilización, el reclutamiento o la oferta de niños para la realización de actividades ilícitas, en particular la producción y el tráfico de estupefacientes, tal como se definen en los tratados internacionales pertinentes, y</w:t>
      </w:r>
    </w:p>
    <w:p w:rsidR="00756BFE" w:rsidRPr="00165EC6" w:rsidRDefault="00A34E1C" w:rsidP="00A073C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lang w:val="es-PE"/>
        </w:rPr>
      </w:pPr>
      <w:r w:rsidRPr="00165EC6">
        <w:rPr>
          <w:rFonts w:ascii="Cambria" w:eastAsia="Times New Roman" w:hAnsi="Cambria"/>
          <w:sz w:val="20"/>
          <w:szCs w:val="20"/>
          <w:lang w:val="es-PE"/>
        </w:rPr>
        <w:t>(d) el trabajo que, por su naturaleza o por las condiciones en que se lleva a cabo, es probable que dañe la salud, la seguridad o la moralidad de los niños</w:t>
      </w:r>
      <w:r w:rsidR="00D30C9E" w:rsidRPr="00165EC6">
        <w:rPr>
          <w:rStyle w:val="FootnoteReference"/>
          <w:rFonts w:ascii="Cambria" w:eastAsia="Times New Roman" w:hAnsi="Cambria"/>
          <w:sz w:val="20"/>
          <w:szCs w:val="20"/>
        </w:rPr>
        <w:footnoteReference w:id="93"/>
      </w:r>
      <w:r w:rsidRPr="00165EC6">
        <w:rPr>
          <w:rFonts w:ascii="Cambria" w:eastAsia="Times New Roman" w:hAnsi="Cambria"/>
          <w:sz w:val="20"/>
          <w:szCs w:val="20"/>
          <w:lang w:val="es-PE"/>
        </w:rPr>
        <w:t>.</w:t>
      </w:r>
    </w:p>
    <w:p w:rsidR="00224239" w:rsidRPr="00165EC6" w:rsidRDefault="00224239" w:rsidP="00A073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contextualSpacing/>
        <w:jc w:val="both"/>
        <w:rPr>
          <w:rFonts w:ascii="Cambria" w:eastAsia="Calibri" w:hAnsi="Cambria"/>
          <w:sz w:val="20"/>
          <w:szCs w:val="20"/>
          <w:bdr w:val="none" w:sz="0" w:space="0" w:color="auto"/>
          <w:lang w:val="es-MX"/>
        </w:rPr>
      </w:pPr>
    </w:p>
    <w:p w:rsidR="00224239" w:rsidRPr="00165EC6" w:rsidRDefault="00224239" w:rsidP="009001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ind w:left="0"/>
        <w:contextualSpacing/>
        <w:jc w:val="both"/>
        <w:rPr>
          <w:rFonts w:ascii="Cambria" w:hAnsi="Cambria"/>
          <w:sz w:val="20"/>
          <w:szCs w:val="20"/>
        </w:rPr>
      </w:pPr>
      <w:r w:rsidRPr="00165EC6">
        <w:rPr>
          <w:rFonts w:ascii="Cambria" w:hAnsi="Cambria"/>
          <w:sz w:val="20"/>
          <w:szCs w:val="20"/>
          <w:lang w:val="es-PE"/>
        </w:rPr>
        <w:t xml:space="preserve">En cuanto a las obligaciones estatales frente a las peores formas de trabajo infantil, </w:t>
      </w:r>
      <w:r w:rsidR="00754CA3" w:rsidRPr="00165EC6">
        <w:rPr>
          <w:rFonts w:ascii="Cambria" w:hAnsi="Cambria"/>
          <w:sz w:val="20"/>
          <w:szCs w:val="20"/>
          <w:lang w:val="es-PE"/>
        </w:rPr>
        <w:t xml:space="preserve">la Corte Interamericana ha indicado que se deben </w:t>
      </w:r>
      <w:r w:rsidR="00405398" w:rsidRPr="00165EC6">
        <w:rPr>
          <w:rFonts w:ascii="Cambria" w:hAnsi="Cambria"/>
          <w:sz w:val="20"/>
          <w:szCs w:val="20"/>
          <w:lang w:val="es-PE"/>
        </w:rPr>
        <w:t>adopter medidas</w:t>
      </w:r>
      <w:r w:rsidR="009A3D04" w:rsidRPr="00165EC6">
        <w:rPr>
          <w:rFonts w:ascii="Cambria" w:hAnsi="Cambria"/>
          <w:sz w:val="20"/>
          <w:szCs w:val="20"/>
          <w:lang w:val="es-PE"/>
        </w:rPr>
        <w:t xml:space="preserve"> de carácter prioritario para eliminarlas, las cuales incluyen, </w:t>
      </w:r>
      <w:r w:rsidRPr="00165EC6">
        <w:rPr>
          <w:rFonts w:ascii="Cambria" w:hAnsi="Cambria"/>
          <w:sz w:val="20"/>
          <w:szCs w:val="20"/>
          <w:lang w:val="es-PE"/>
        </w:rPr>
        <w:t xml:space="preserve">entre otras, </w:t>
      </w:r>
      <w:r w:rsidRPr="00165EC6">
        <w:rPr>
          <w:rFonts w:ascii="Cambria" w:eastAsia="Times New Roman" w:hAnsi="Cambria" w:cs="Arial"/>
          <w:sz w:val="20"/>
          <w:szCs w:val="20"/>
          <w:bdr w:val="none" w:sz="0" w:space="0" w:color="auto"/>
          <w:lang w:val="es-ES"/>
        </w:rPr>
        <w:t>elaborar</w:t>
      </w:r>
      <w:r w:rsidRPr="00165EC6">
        <w:rPr>
          <w:rFonts w:ascii="Cambria" w:hAnsi="Cambria"/>
          <w:sz w:val="20"/>
          <w:szCs w:val="20"/>
          <w:lang w:val="es-PE"/>
        </w:rPr>
        <w:t xml:space="preserve"> y poner en práctica programas de acción para asegurar el ejercicio y disfrute pleno de sus derechos</w:t>
      </w:r>
      <w:r w:rsidR="009A3D04" w:rsidRPr="00165EC6">
        <w:rPr>
          <w:rFonts w:ascii="Cambria" w:hAnsi="Cambria"/>
          <w:sz w:val="20"/>
          <w:szCs w:val="20"/>
          <w:lang w:val="es-PE"/>
        </w:rPr>
        <w:t xml:space="preserve">. </w:t>
      </w:r>
      <w:r w:rsidR="009A3D04" w:rsidRPr="00165EC6">
        <w:rPr>
          <w:rFonts w:ascii="Cambria" w:hAnsi="Cambria"/>
          <w:sz w:val="20"/>
          <w:szCs w:val="20"/>
        </w:rPr>
        <w:t xml:space="preserve">Asimismo, señaló que: </w:t>
      </w:r>
    </w:p>
    <w:p w:rsidR="009A3D04" w:rsidRPr="00165EC6" w:rsidRDefault="009A3D04" w:rsidP="0022423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9A3D04" w:rsidRPr="00165EC6" w:rsidRDefault="009A3D04" w:rsidP="009A3D0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bCs/>
          <w:sz w:val="20"/>
          <w:szCs w:val="20"/>
          <w:lang w:val="es-PE"/>
        </w:rPr>
      </w:pPr>
      <w:r w:rsidRPr="00165EC6">
        <w:rPr>
          <w:rFonts w:ascii="Cambria" w:hAnsi="Cambria"/>
          <w:sz w:val="20"/>
          <w:szCs w:val="20"/>
          <w:lang w:val="es-PE"/>
        </w:rPr>
        <w:t>(…) en concreto, el Estado tiene la obligación de: i)</w:t>
      </w:r>
      <w:r w:rsidRPr="00165EC6">
        <w:rPr>
          <w:rFonts w:ascii="Cambria" w:hAnsi="Cambria"/>
          <w:sz w:val="20"/>
          <w:szCs w:val="20"/>
          <w:lang w:val="es-ES"/>
        </w:rPr>
        <w:t xml:space="preserve"> impedir la ocupación de niños en las peores formas de trabajo infantil; ii) prestar la asistencia directa necesaria y adecuada para librar a los niños de las peores formas de trabajo infantil y asegurar su rehabilitación e inserción social; iii) asegurar a todos los niños que hayan sido liberados de las peores formas de trabajo infantil el acceso a la enseñanza básica gratuita y, cuando sea posible y adecuado, a la formación profesional; iv) identificar a los niños que están particularmente expuestos a riesgos y entrar en contacto directo con ellos, y v) tener en cuenta la situación particular de las niñas</w:t>
      </w:r>
      <w:r w:rsidR="00237CE7" w:rsidRPr="00165EC6">
        <w:rPr>
          <w:rStyle w:val="FootnoteReference"/>
          <w:rFonts w:ascii="Cambria" w:hAnsi="Cambria"/>
          <w:sz w:val="20"/>
          <w:szCs w:val="20"/>
          <w:lang w:val="es-ES"/>
        </w:rPr>
        <w:footnoteReference w:id="94"/>
      </w:r>
      <w:r w:rsidRPr="00165EC6">
        <w:rPr>
          <w:rFonts w:ascii="Cambria" w:hAnsi="Cambria"/>
          <w:sz w:val="20"/>
          <w:szCs w:val="20"/>
          <w:lang w:val="es-ES"/>
        </w:rPr>
        <w:t>.</w:t>
      </w:r>
    </w:p>
    <w:p w:rsidR="00224239" w:rsidRPr="00165EC6" w:rsidRDefault="00224239" w:rsidP="00A073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contextualSpacing/>
        <w:jc w:val="both"/>
        <w:rPr>
          <w:rFonts w:ascii="Cambria" w:eastAsia="Calibri" w:hAnsi="Cambria"/>
          <w:sz w:val="20"/>
          <w:szCs w:val="20"/>
          <w:bdr w:val="none" w:sz="0" w:space="0" w:color="auto"/>
          <w:lang w:val="es-MX"/>
        </w:rPr>
      </w:pPr>
    </w:p>
    <w:p w:rsidR="00F12F5C" w:rsidRPr="00165EC6" w:rsidRDefault="00A073CE" w:rsidP="009001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ind w:left="0"/>
        <w:contextualSpacing/>
        <w:jc w:val="both"/>
        <w:rPr>
          <w:rFonts w:asciiTheme="majorHAnsi" w:hAnsiTheme="majorHAnsi"/>
          <w:sz w:val="20"/>
          <w:szCs w:val="20"/>
          <w:lang w:val="es-PE"/>
        </w:rPr>
      </w:pPr>
      <w:r w:rsidRPr="00165EC6">
        <w:rPr>
          <w:rFonts w:asciiTheme="majorHAnsi" w:hAnsiTheme="majorHAnsi"/>
          <w:sz w:val="20"/>
          <w:szCs w:val="20"/>
          <w:lang w:val="es-PE"/>
        </w:rPr>
        <w:t>E</w:t>
      </w:r>
      <w:r w:rsidR="00CD6EB8" w:rsidRPr="00165EC6">
        <w:rPr>
          <w:rFonts w:asciiTheme="majorHAnsi" w:hAnsiTheme="majorHAnsi"/>
          <w:sz w:val="20"/>
          <w:szCs w:val="20"/>
          <w:lang w:val="es-PE"/>
        </w:rPr>
        <w:t>l Comité de Derechos del Niño, en su Observaci</w:t>
      </w:r>
      <w:r w:rsidR="00EB10FA" w:rsidRPr="00165EC6">
        <w:rPr>
          <w:rFonts w:asciiTheme="majorHAnsi" w:hAnsiTheme="majorHAnsi"/>
          <w:sz w:val="20"/>
          <w:szCs w:val="20"/>
          <w:lang w:val="es-PE"/>
        </w:rPr>
        <w:t xml:space="preserve">ón </w:t>
      </w:r>
      <w:r w:rsidR="00CD6EB8" w:rsidRPr="00165EC6">
        <w:rPr>
          <w:rFonts w:asciiTheme="majorHAnsi" w:hAnsiTheme="majorHAnsi"/>
          <w:sz w:val="20"/>
          <w:szCs w:val="20"/>
          <w:lang w:val="es-PE"/>
        </w:rPr>
        <w:t>General No.</w:t>
      </w:r>
      <w:r w:rsidR="00F12F5C" w:rsidRPr="00165EC6">
        <w:rPr>
          <w:rFonts w:asciiTheme="majorHAnsi" w:hAnsiTheme="majorHAnsi"/>
          <w:sz w:val="20"/>
          <w:szCs w:val="20"/>
          <w:lang w:val="es-PE"/>
        </w:rPr>
        <w:t xml:space="preserve"> 16</w:t>
      </w:r>
      <w:r w:rsidR="00EB10FA" w:rsidRPr="00165EC6">
        <w:rPr>
          <w:rFonts w:asciiTheme="majorHAnsi" w:hAnsiTheme="majorHAnsi"/>
          <w:sz w:val="20"/>
          <w:szCs w:val="20"/>
          <w:lang w:val="es-PE"/>
        </w:rPr>
        <w:t xml:space="preserve"> señala que </w:t>
      </w:r>
      <w:r w:rsidR="00F12F5C" w:rsidRPr="00165EC6">
        <w:rPr>
          <w:rFonts w:asciiTheme="majorHAnsi" w:hAnsiTheme="majorHAnsi"/>
          <w:sz w:val="20"/>
          <w:szCs w:val="20"/>
          <w:lang w:val="es-PE"/>
        </w:rPr>
        <w:t>los Estados tienen la obligación de regular</w:t>
      </w:r>
      <w:r w:rsidR="005077E1" w:rsidRPr="00165EC6">
        <w:rPr>
          <w:rFonts w:asciiTheme="majorHAnsi" w:hAnsiTheme="majorHAnsi"/>
          <w:sz w:val="20"/>
          <w:szCs w:val="20"/>
          <w:lang w:val="es-PE"/>
        </w:rPr>
        <w:t xml:space="preserve"> y supervisar</w:t>
      </w:r>
      <w:r w:rsidR="00F12F5C" w:rsidRPr="00165EC6">
        <w:rPr>
          <w:rFonts w:asciiTheme="majorHAnsi" w:hAnsiTheme="majorHAnsi"/>
          <w:sz w:val="20"/>
          <w:szCs w:val="20"/>
          <w:lang w:val="es-PE"/>
        </w:rPr>
        <w:t xml:space="preserve"> las condiciones de trabajo y establecer salvaguardias que protejan a niños y niñas de la explotación económica y de trabajos</w:t>
      </w:r>
      <w:r w:rsidR="007B0A94" w:rsidRPr="00165EC6">
        <w:rPr>
          <w:rFonts w:asciiTheme="majorHAnsi" w:hAnsiTheme="majorHAnsi"/>
          <w:sz w:val="20"/>
          <w:szCs w:val="20"/>
          <w:lang w:val="es-PE"/>
        </w:rPr>
        <w:t xml:space="preserve"> que</w:t>
      </w:r>
      <w:r w:rsidR="00F12F5C" w:rsidRPr="00165EC6">
        <w:rPr>
          <w:rFonts w:ascii="Cambria" w:hAnsi="Cambria"/>
          <w:sz w:val="20"/>
          <w:szCs w:val="20"/>
          <w:lang w:val="es-PE"/>
        </w:rPr>
        <w:t xml:space="preserve"> interfieran en su educación o afecten a su salud o a su desarrollo físico, mental, espiritual, moral o social.</w:t>
      </w:r>
      <w:r w:rsidR="005077E1" w:rsidRPr="00165EC6">
        <w:rPr>
          <w:rFonts w:ascii="Cambria" w:hAnsi="Cambria"/>
          <w:sz w:val="20"/>
          <w:szCs w:val="20"/>
          <w:lang w:val="es-PE"/>
        </w:rPr>
        <w:t xml:space="preserve"> En ese marco, las autoridades encargadas de regular y supervisar las actividades y operaciones de las em</w:t>
      </w:r>
      <w:r w:rsidR="00907D34" w:rsidRPr="00165EC6">
        <w:rPr>
          <w:rFonts w:ascii="Cambria" w:hAnsi="Cambria"/>
          <w:sz w:val="20"/>
          <w:szCs w:val="20"/>
          <w:lang w:val="es-PE"/>
        </w:rPr>
        <w:t>presas deben tener en cuenta los principios de interés superior del niño y</w:t>
      </w:r>
      <w:r w:rsidR="00EB0EFE" w:rsidRPr="00165EC6">
        <w:rPr>
          <w:rFonts w:ascii="Cambria" w:hAnsi="Cambria"/>
          <w:sz w:val="20"/>
          <w:szCs w:val="20"/>
          <w:lang w:val="es-PE"/>
        </w:rPr>
        <w:t xml:space="preserve"> de</w:t>
      </w:r>
      <w:r w:rsidR="00907D34" w:rsidRPr="00165EC6">
        <w:rPr>
          <w:rFonts w:ascii="Cambria" w:hAnsi="Cambria"/>
          <w:sz w:val="20"/>
          <w:szCs w:val="20"/>
          <w:lang w:val="es-PE"/>
        </w:rPr>
        <w:t xml:space="preserve"> la niña, la no discriminación, el </w:t>
      </w:r>
      <w:r w:rsidR="00146EF5" w:rsidRPr="00165EC6">
        <w:rPr>
          <w:rFonts w:ascii="Cambria" w:hAnsi="Cambria"/>
          <w:sz w:val="20"/>
          <w:szCs w:val="20"/>
          <w:lang w:val="es-PE"/>
        </w:rPr>
        <w:t xml:space="preserve">concepto holístico de </w:t>
      </w:r>
      <w:r w:rsidR="00907D34" w:rsidRPr="00165EC6">
        <w:rPr>
          <w:rFonts w:ascii="Cambria" w:hAnsi="Cambria"/>
          <w:sz w:val="20"/>
          <w:szCs w:val="20"/>
          <w:lang w:val="es-PE"/>
        </w:rPr>
        <w:t>desarrollo</w:t>
      </w:r>
      <w:r w:rsidR="007B0A94" w:rsidRPr="00165EC6">
        <w:rPr>
          <w:rFonts w:ascii="Cambria" w:hAnsi="Cambria"/>
          <w:sz w:val="20"/>
          <w:szCs w:val="20"/>
          <w:lang w:val="es-PE"/>
        </w:rPr>
        <w:t xml:space="preserve"> de la ni</w:t>
      </w:r>
      <w:r w:rsidR="007B0A94" w:rsidRPr="00165EC6">
        <w:rPr>
          <w:sz w:val="20"/>
          <w:szCs w:val="20"/>
          <w:lang w:val="es-PE"/>
        </w:rPr>
        <w:t>ñez</w:t>
      </w:r>
      <w:r w:rsidR="00907D34" w:rsidRPr="00165EC6">
        <w:rPr>
          <w:rFonts w:ascii="Cambria" w:hAnsi="Cambria"/>
          <w:sz w:val="20"/>
          <w:szCs w:val="20"/>
          <w:lang w:val="es-PE"/>
        </w:rPr>
        <w:t xml:space="preserve"> y el derecho </w:t>
      </w:r>
      <w:r w:rsidR="00316ED4" w:rsidRPr="00165EC6">
        <w:rPr>
          <w:rFonts w:ascii="Cambria" w:hAnsi="Cambria"/>
          <w:sz w:val="20"/>
          <w:szCs w:val="20"/>
          <w:lang w:val="es-PE"/>
        </w:rPr>
        <w:t xml:space="preserve">de estos </w:t>
      </w:r>
      <w:r w:rsidR="00907D34" w:rsidRPr="00165EC6">
        <w:rPr>
          <w:rFonts w:ascii="Cambria" w:hAnsi="Cambria"/>
          <w:sz w:val="20"/>
          <w:szCs w:val="20"/>
          <w:lang w:val="es-PE"/>
        </w:rPr>
        <w:t>a ser escuchado</w:t>
      </w:r>
      <w:r w:rsidR="00146EF5" w:rsidRPr="00165EC6">
        <w:rPr>
          <w:rFonts w:ascii="Cambria" w:hAnsi="Cambria"/>
          <w:sz w:val="20"/>
          <w:szCs w:val="20"/>
          <w:lang w:val="es-PE"/>
        </w:rPr>
        <w:t>s</w:t>
      </w:r>
      <w:r w:rsidR="005077E1" w:rsidRPr="00165EC6">
        <w:rPr>
          <w:rFonts w:ascii="Cambria" w:hAnsi="Cambria"/>
          <w:sz w:val="20"/>
          <w:szCs w:val="20"/>
          <w:lang w:val="es-PE"/>
        </w:rPr>
        <w:t>.</w:t>
      </w:r>
      <w:r w:rsidR="00146EF5" w:rsidRPr="00165EC6">
        <w:rPr>
          <w:rStyle w:val="FootnoteReference"/>
          <w:rFonts w:ascii="Cambria" w:hAnsi="Cambria"/>
          <w:sz w:val="20"/>
          <w:szCs w:val="20"/>
          <w:lang w:val="es-PE"/>
        </w:rPr>
        <w:footnoteReference w:id="95"/>
      </w:r>
      <w:r w:rsidR="005077E1" w:rsidRPr="00165EC6">
        <w:rPr>
          <w:lang w:val="es-PE"/>
        </w:rPr>
        <w:t xml:space="preserve"> </w:t>
      </w:r>
      <w:r w:rsidR="005077E1" w:rsidRPr="00165EC6">
        <w:rPr>
          <w:rFonts w:asciiTheme="majorHAnsi" w:hAnsiTheme="majorHAnsi"/>
          <w:sz w:val="20"/>
          <w:szCs w:val="20"/>
          <w:lang w:val="es-PE"/>
        </w:rPr>
        <w:t xml:space="preserve">Asimismo, </w:t>
      </w:r>
      <w:r w:rsidR="00DC0194" w:rsidRPr="00165EC6">
        <w:rPr>
          <w:rFonts w:asciiTheme="majorHAnsi" w:hAnsiTheme="majorHAnsi"/>
          <w:sz w:val="20"/>
          <w:szCs w:val="20"/>
          <w:lang w:val="es-PE"/>
        </w:rPr>
        <w:t xml:space="preserve">teniendo en cuenta que </w:t>
      </w:r>
      <w:r w:rsidR="007B0A94" w:rsidRPr="00165EC6">
        <w:rPr>
          <w:rFonts w:asciiTheme="majorHAnsi" w:hAnsiTheme="majorHAnsi"/>
          <w:sz w:val="20"/>
          <w:szCs w:val="20"/>
          <w:lang w:val="es-PE"/>
        </w:rPr>
        <w:t>es en el sector no estructurado de la economía y en las economías familiares donde se suelen encontrar trabajos peligrosos para niños y niñas,</w:t>
      </w:r>
      <w:r w:rsidR="00F12F5C" w:rsidRPr="00165EC6">
        <w:rPr>
          <w:rFonts w:asciiTheme="majorHAnsi" w:hAnsiTheme="majorHAnsi"/>
          <w:sz w:val="20"/>
          <w:szCs w:val="20"/>
          <w:lang w:val="es-PE"/>
        </w:rPr>
        <w:t xml:space="preserve"> </w:t>
      </w:r>
      <w:r w:rsidR="007B0A94" w:rsidRPr="00165EC6">
        <w:rPr>
          <w:rFonts w:asciiTheme="majorHAnsi" w:hAnsiTheme="majorHAnsi"/>
          <w:sz w:val="20"/>
          <w:szCs w:val="20"/>
          <w:lang w:val="es-PE"/>
        </w:rPr>
        <w:t>“</w:t>
      </w:r>
      <w:r w:rsidR="00F12F5C" w:rsidRPr="00165EC6">
        <w:rPr>
          <w:rFonts w:asciiTheme="majorHAnsi" w:hAnsiTheme="majorHAnsi"/>
          <w:sz w:val="20"/>
          <w:szCs w:val="20"/>
          <w:lang w:val="es-PE"/>
        </w:rPr>
        <w:t>los Estados están obligados a elaborar y ejecutar programas destinados a las empresas en esos contextos, entre otras cosas haciendo cumplir las normas internacionales sobre la edad mínima para trabajar y las condiciones adecuadas de trabajo</w:t>
      </w:r>
      <w:r w:rsidR="00DC0194" w:rsidRPr="00165EC6">
        <w:rPr>
          <w:rFonts w:asciiTheme="majorHAnsi" w:hAnsiTheme="majorHAnsi"/>
          <w:sz w:val="20"/>
          <w:szCs w:val="20"/>
          <w:lang w:val="es-PE"/>
        </w:rPr>
        <w:t>”</w:t>
      </w:r>
      <w:r w:rsidR="00F12F5C" w:rsidRPr="00165EC6">
        <w:rPr>
          <w:rStyle w:val="FootnoteReference"/>
          <w:rFonts w:asciiTheme="majorHAnsi" w:hAnsiTheme="majorHAnsi"/>
          <w:sz w:val="20"/>
          <w:szCs w:val="20"/>
          <w:lang w:val="es-PE"/>
        </w:rPr>
        <w:footnoteReference w:id="96"/>
      </w:r>
      <w:r w:rsidR="00DC0194" w:rsidRPr="00165EC6">
        <w:rPr>
          <w:rFonts w:asciiTheme="majorHAnsi" w:hAnsiTheme="majorHAnsi"/>
          <w:sz w:val="20"/>
          <w:szCs w:val="20"/>
          <w:lang w:val="es-PE"/>
        </w:rPr>
        <w:t>.</w:t>
      </w:r>
    </w:p>
    <w:p w:rsidR="008A1ED4" w:rsidRPr="00165EC6" w:rsidRDefault="008A1ED4" w:rsidP="0090018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ind w:firstLine="720"/>
        <w:contextualSpacing/>
        <w:jc w:val="both"/>
        <w:rPr>
          <w:rFonts w:ascii="Cambria" w:eastAsia="Calibri" w:hAnsi="Cambria"/>
          <w:sz w:val="20"/>
          <w:szCs w:val="20"/>
          <w:bdr w:val="none" w:sz="0" w:space="0" w:color="auto"/>
          <w:lang w:val="es-MX"/>
        </w:rPr>
      </w:pPr>
    </w:p>
    <w:p w:rsidR="008A1ED4" w:rsidRPr="00165EC6" w:rsidRDefault="008A1ED4" w:rsidP="009001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ind w:left="0"/>
        <w:contextualSpacing/>
        <w:jc w:val="both"/>
        <w:rPr>
          <w:rFonts w:ascii="Cambria" w:eastAsia="Calibri" w:hAnsi="Cambria"/>
          <w:sz w:val="20"/>
          <w:szCs w:val="20"/>
          <w:bdr w:val="none" w:sz="0" w:space="0" w:color="auto"/>
          <w:lang w:val="es-MX"/>
        </w:rPr>
      </w:pPr>
      <w:r w:rsidRPr="00165EC6">
        <w:rPr>
          <w:rFonts w:ascii="Cambria" w:eastAsia="Times New Roman" w:hAnsi="Cambria"/>
          <w:sz w:val="20"/>
          <w:szCs w:val="20"/>
          <w:lang w:val="es-PE"/>
        </w:rPr>
        <w:lastRenderedPageBreak/>
        <w:t xml:space="preserve">En </w:t>
      </w:r>
      <w:r w:rsidRPr="00165EC6">
        <w:rPr>
          <w:rFonts w:ascii="Cambria" w:hAnsi="Cambria"/>
          <w:sz w:val="20"/>
          <w:szCs w:val="20"/>
          <w:lang w:val="es-PE"/>
        </w:rPr>
        <w:t>similar</w:t>
      </w:r>
      <w:r w:rsidRPr="00165EC6">
        <w:rPr>
          <w:rFonts w:ascii="Cambria" w:eastAsia="Times New Roman" w:hAnsi="Cambria"/>
          <w:sz w:val="20"/>
          <w:szCs w:val="20"/>
          <w:lang w:val="es-PE"/>
        </w:rPr>
        <w:t xml:space="preserve"> sentido, e</w:t>
      </w:r>
      <w:r w:rsidRPr="00165EC6">
        <w:rPr>
          <w:rFonts w:ascii="Cambria" w:hAnsi="Cambria"/>
          <w:sz w:val="20"/>
          <w:szCs w:val="20"/>
          <w:lang w:val="es-PE"/>
        </w:rPr>
        <w:t xml:space="preserve">l Comité de Derechos Económicos, Sociales y Culturales, en su Observación General 18 subrayó la </w:t>
      </w:r>
      <w:r w:rsidRPr="00165EC6">
        <w:rPr>
          <w:rFonts w:ascii="Cambria" w:eastAsia="Times New Roman" w:hAnsi="Cambria"/>
          <w:sz w:val="20"/>
          <w:szCs w:val="20"/>
          <w:lang w:val="es-PE"/>
        </w:rPr>
        <w:t>necesidad de proteger a los niños y niñas “frente a todas las formas de trabajo que puedan perjudicar su desarrollo o su salud física o mental”, incluyendo la explotación económica y de forma que se les permita “aspirar a su pleno desarrollo y adquirir formación técnica y professional”</w:t>
      </w:r>
      <w:r w:rsidRPr="00165EC6">
        <w:rPr>
          <w:rStyle w:val="FootnoteReference"/>
          <w:rFonts w:ascii="Cambria" w:eastAsia="Times New Roman" w:hAnsi="Cambria"/>
          <w:sz w:val="20"/>
          <w:szCs w:val="20"/>
        </w:rPr>
        <w:footnoteReference w:id="97"/>
      </w:r>
      <w:r w:rsidRPr="00165EC6">
        <w:rPr>
          <w:rFonts w:ascii="Cambria" w:eastAsia="Times New Roman" w:hAnsi="Cambria"/>
          <w:sz w:val="20"/>
          <w:szCs w:val="20"/>
          <w:lang w:val="es-PE"/>
        </w:rPr>
        <w:t>. Particularmente sobre el trabajo infantil, indicó los deberes estatales de “adoptar medidas efectivas para velar por que la prohibición del trabajo infantil sea plenamente respetada”</w:t>
      </w:r>
      <w:r w:rsidRPr="00165EC6">
        <w:rPr>
          <w:rStyle w:val="FootnoteReference"/>
          <w:rFonts w:ascii="Cambria" w:eastAsia="Times New Roman" w:hAnsi="Cambria"/>
          <w:sz w:val="20"/>
          <w:szCs w:val="20"/>
        </w:rPr>
        <w:footnoteReference w:id="98"/>
      </w:r>
      <w:r w:rsidRPr="00165EC6">
        <w:rPr>
          <w:rFonts w:ascii="Cambria" w:eastAsia="Times New Roman" w:hAnsi="Cambria"/>
          <w:sz w:val="20"/>
          <w:szCs w:val="20"/>
          <w:lang w:val="es-PE"/>
        </w:rPr>
        <w:t>.</w:t>
      </w:r>
    </w:p>
    <w:p w:rsidR="00277412" w:rsidRPr="00165EC6" w:rsidRDefault="00277412" w:rsidP="0090018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Calibri" w:hAnsi="Cambria"/>
          <w:sz w:val="20"/>
          <w:szCs w:val="20"/>
          <w:bdr w:val="none" w:sz="0" w:space="0" w:color="auto"/>
          <w:lang w:val="es-MX"/>
        </w:rPr>
      </w:pPr>
    </w:p>
    <w:p w:rsidR="00277412" w:rsidRPr="00165EC6" w:rsidRDefault="007345A4" w:rsidP="009001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Cambria" w:eastAsia="Batang" w:hAnsi="Cambria" w:cs="Segoe UI"/>
          <w:sz w:val="20"/>
          <w:szCs w:val="20"/>
          <w:bdr w:val="none" w:sz="0" w:space="0" w:color="auto"/>
          <w:lang w:val="es-CO"/>
        </w:rPr>
      </w:pPr>
      <w:r w:rsidRPr="00165EC6">
        <w:rPr>
          <w:rFonts w:ascii="Cambria" w:eastAsia="Batang" w:hAnsi="Cambria"/>
          <w:sz w:val="20"/>
          <w:szCs w:val="20"/>
          <w:bdr w:val="none" w:sz="0" w:space="0" w:color="auto"/>
          <w:lang w:val="es-CO"/>
        </w:rPr>
        <w:t>C</w:t>
      </w:r>
      <w:r w:rsidR="00277412" w:rsidRPr="00165EC6">
        <w:rPr>
          <w:rFonts w:ascii="Cambria" w:eastAsia="Batang" w:hAnsi="Cambria"/>
          <w:sz w:val="20"/>
          <w:szCs w:val="20"/>
          <w:bdr w:val="none" w:sz="0" w:space="0" w:color="auto"/>
          <w:lang w:val="es-CO"/>
        </w:rPr>
        <w:t>omo se señaló anteriormente, la Constitución brasileña</w:t>
      </w:r>
      <w:r w:rsidR="00940CB9" w:rsidRPr="00165EC6">
        <w:rPr>
          <w:rFonts w:ascii="Cambria" w:eastAsia="Batang" w:hAnsi="Cambria"/>
          <w:sz w:val="20"/>
          <w:szCs w:val="20"/>
          <w:bdr w:val="none" w:sz="0" w:space="0" w:color="auto"/>
          <w:lang w:val="es-CO"/>
        </w:rPr>
        <w:t xml:space="preserve"> ya establecía para el momento de los hechos del caso, </w:t>
      </w:r>
      <w:r w:rsidR="00277412" w:rsidRPr="00165EC6">
        <w:rPr>
          <w:rFonts w:ascii="Cambria" w:eastAsia="Batang" w:hAnsi="Cambria" w:cs="Segoe UI"/>
          <w:sz w:val="20"/>
          <w:szCs w:val="20"/>
          <w:bdr w:val="none" w:sz="0" w:space="0" w:color="auto"/>
          <w:lang w:val="es-CO"/>
        </w:rPr>
        <w:t>que las personas menores de dieciocho</w:t>
      </w:r>
      <w:r w:rsidR="00235377" w:rsidRPr="00165EC6">
        <w:rPr>
          <w:rFonts w:ascii="Cambria" w:eastAsia="Batang" w:hAnsi="Cambria" w:cs="Segoe UI"/>
          <w:sz w:val="20"/>
          <w:szCs w:val="20"/>
          <w:bdr w:val="none" w:sz="0" w:space="0" w:color="auto"/>
          <w:lang w:val="es-CO"/>
        </w:rPr>
        <w:t xml:space="preserve"> años</w:t>
      </w:r>
      <w:r w:rsidR="00277412" w:rsidRPr="00165EC6">
        <w:rPr>
          <w:rFonts w:ascii="Cambria" w:eastAsia="Batang" w:hAnsi="Cambria" w:cs="Segoe UI"/>
          <w:sz w:val="20"/>
          <w:szCs w:val="20"/>
          <w:bdr w:val="none" w:sz="0" w:space="0" w:color="auto"/>
          <w:lang w:val="es-CO"/>
        </w:rPr>
        <w:t xml:space="preserve"> no pueden trabajar en locales o </w:t>
      </w:r>
      <w:r w:rsidR="00F73C5A" w:rsidRPr="00165EC6">
        <w:rPr>
          <w:rFonts w:ascii="Cambria" w:eastAsia="Batang" w:hAnsi="Cambria" w:cs="Segoe UI"/>
          <w:sz w:val="20"/>
          <w:szCs w:val="20"/>
          <w:bdr w:val="none" w:sz="0" w:space="0" w:color="auto"/>
          <w:lang w:val="es-CO"/>
        </w:rPr>
        <w:t xml:space="preserve">actividades </w:t>
      </w:r>
      <w:r w:rsidR="00277412" w:rsidRPr="00165EC6">
        <w:rPr>
          <w:rFonts w:ascii="Cambria" w:eastAsia="Batang" w:hAnsi="Cambria" w:cs="Segoe UI"/>
          <w:sz w:val="20"/>
          <w:szCs w:val="20"/>
          <w:bdr w:val="none" w:sz="0" w:space="0" w:color="auto"/>
          <w:lang w:val="es-CO"/>
        </w:rPr>
        <w:t>peligros</w:t>
      </w:r>
      <w:r w:rsidR="00F73C5A" w:rsidRPr="00165EC6">
        <w:rPr>
          <w:rFonts w:ascii="Cambria" w:eastAsia="Batang" w:hAnsi="Cambria" w:cs="Segoe UI"/>
          <w:sz w:val="20"/>
          <w:szCs w:val="20"/>
          <w:bdr w:val="none" w:sz="0" w:space="0" w:color="auto"/>
          <w:lang w:val="es-CO"/>
        </w:rPr>
        <w:t>a</w:t>
      </w:r>
      <w:r w:rsidR="00277412" w:rsidRPr="00165EC6">
        <w:rPr>
          <w:rFonts w:ascii="Cambria" w:eastAsia="Batang" w:hAnsi="Cambria" w:cs="Segoe UI"/>
          <w:sz w:val="20"/>
          <w:szCs w:val="20"/>
          <w:bdr w:val="none" w:sz="0" w:space="0" w:color="auto"/>
          <w:lang w:val="es-CO"/>
        </w:rPr>
        <w:t xml:space="preserve">s; además, la legislación establecía como actividades u operaciones peligrosas aquellas que implicaran el contacto permanente con explosivos. </w:t>
      </w:r>
    </w:p>
    <w:p w:rsidR="00277412" w:rsidRPr="00165EC6" w:rsidRDefault="00277412" w:rsidP="007F1DE4">
      <w:pPr>
        <w:pStyle w:val="Heading3"/>
        <w:ind w:firstLine="720"/>
        <w:rPr>
          <w:rFonts w:asciiTheme="majorHAnsi" w:eastAsia="Batang" w:hAnsiTheme="majorHAnsi"/>
          <w:sz w:val="20"/>
          <w:szCs w:val="20"/>
          <w:lang w:val="es-UY"/>
        </w:rPr>
      </w:pPr>
      <w:bookmarkStart w:id="33" w:name="_Toc506225842"/>
      <w:r w:rsidRPr="00165EC6">
        <w:rPr>
          <w:rFonts w:asciiTheme="majorHAnsi" w:eastAsia="Batang" w:hAnsiTheme="majorHAnsi"/>
          <w:sz w:val="20"/>
          <w:szCs w:val="20"/>
          <w:lang w:val="es-UY"/>
        </w:rPr>
        <w:t xml:space="preserve">4. </w:t>
      </w:r>
      <w:r w:rsidRPr="00165EC6">
        <w:rPr>
          <w:rFonts w:asciiTheme="majorHAnsi" w:eastAsia="Batang" w:hAnsiTheme="majorHAnsi"/>
          <w:sz w:val="20"/>
          <w:szCs w:val="20"/>
          <w:lang w:val="es-UY"/>
        </w:rPr>
        <w:tab/>
        <w:t>Análisis del caso</w:t>
      </w:r>
      <w:r w:rsidR="00954277" w:rsidRPr="00165EC6">
        <w:rPr>
          <w:rFonts w:asciiTheme="majorHAnsi" w:eastAsia="Batang" w:hAnsiTheme="majorHAnsi"/>
          <w:sz w:val="20"/>
          <w:szCs w:val="20"/>
          <w:lang w:val="es-UY"/>
        </w:rPr>
        <w:t>.</w:t>
      </w:r>
      <w:bookmarkEnd w:id="33"/>
      <w:r w:rsidRPr="00165EC6">
        <w:rPr>
          <w:rFonts w:asciiTheme="majorHAnsi" w:eastAsia="Batang" w:hAnsiTheme="majorHAnsi"/>
          <w:sz w:val="20"/>
          <w:szCs w:val="20"/>
          <w:lang w:val="es-UY"/>
        </w:rPr>
        <w:t xml:space="preserve"> </w:t>
      </w:r>
    </w:p>
    <w:p w:rsidR="00277412" w:rsidRPr="00165EC6" w:rsidRDefault="00277412" w:rsidP="00094C9E">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Cambria" w:eastAsia="Batang" w:hAnsi="Cambria"/>
          <w:sz w:val="20"/>
          <w:szCs w:val="20"/>
          <w:bdr w:val="none" w:sz="0" w:space="0" w:color="auto"/>
          <w:lang w:val="es-UY"/>
        </w:rPr>
      </w:pPr>
    </w:p>
    <w:p w:rsidR="00A56D35" w:rsidRPr="00165EC6" w:rsidRDefault="00A56D35" w:rsidP="009001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UY"/>
        </w:rPr>
      </w:pPr>
      <w:r w:rsidRPr="00165EC6">
        <w:rPr>
          <w:rFonts w:ascii="Cambria" w:eastAsia="Batang" w:hAnsi="Cambria"/>
          <w:sz w:val="20"/>
          <w:szCs w:val="20"/>
          <w:bdr w:val="none" w:sz="0" w:space="0" w:color="auto"/>
          <w:lang w:val="es-UY"/>
        </w:rPr>
        <w:t>En el presente caso, la Co</w:t>
      </w:r>
      <w:r w:rsidR="008D2971" w:rsidRPr="00165EC6">
        <w:rPr>
          <w:rFonts w:ascii="Cambria" w:eastAsia="Batang" w:hAnsi="Cambria"/>
          <w:sz w:val="20"/>
          <w:szCs w:val="20"/>
          <w:bdr w:val="none" w:sz="0" w:space="0" w:color="auto"/>
          <w:lang w:val="es-UY"/>
        </w:rPr>
        <w:t xml:space="preserve">misión ha dado por probado que el 11 de diciembre de 1998 </w:t>
      </w:r>
      <w:r w:rsidR="00147F4A" w:rsidRPr="00165EC6">
        <w:rPr>
          <w:rFonts w:ascii="Cambria" w:eastAsia="Batang" w:hAnsi="Cambria"/>
          <w:sz w:val="20"/>
          <w:szCs w:val="20"/>
          <w:bdr w:val="none" w:sz="0" w:space="0" w:color="auto"/>
          <w:lang w:val="es-UY"/>
        </w:rPr>
        <w:t xml:space="preserve">se produjo una explosión en una fábrica de fuegos artificiales, en la que resultaron </w:t>
      </w:r>
      <w:r w:rsidR="008D2971" w:rsidRPr="00165EC6">
        <w:rPr>
          <w:rFonts w:ascii="Cambria" w:eastAsia="Batang" w:hAnsi="Cambria"/>
          <w:sz w:val="20"/>
          <w:szCs w:val="20"/>
          <w:bdr w:val="none" w:sz="0" w:space="0" w:color="auto"/>
          <w:lang w:val="es-UY"/>
        </w:rPr>
        <w:t xml:space="preserve">64 personas fallecidas y 6 heridas. </w:t>
      </w:r>
      <w:r w:rsidR="00147F4A" w:rsidRPr="00165EC6">
        <w:rPr>
          <w:rFonts w:ascii="Cambria" w:eastAsia="Batang" w:hAnsi="Cambria"/>
          <w:sz w:val="20"/>
          <w:szCs w:val="20"/>
          <w:bdr w:val="none" w:sz="0" w:space="0" w:color="auto"/>
          <w:lang w:val="es-UY"/>
        </w:rPr>
        <w:t>De esta</w:t>
      </w:r>
      <w:r w:rsidR="007C04E1" w:rsidRPr="00165EC6">
        <w:rPr>
          <w:rFonts w:ascii="Cambria" w:eastAsia="Batang" w:hAnsi="Cambria"/>
          <w:sz w:val="20"/>
          <w:szCs w:val="20"/>
          <w:bdr w:val="none" w:sz="0" w:space="0" w:color="auto"/>
          <w:lang w:val="es-UY"/>
        </w:rPr>
        <w:t>s</w:t>
      </w:r>
      <w:r w:rsidR="00147F4A" w:rsidRPr="00165EC6">
        <w:rPr>
          <w:rFonts w:ascii="Cambria" w:eastAsia="Batang" w:hAnsi="Cambria"/>
          <w:sz w:val="20"/>
          <w:szCs w:val="20"/>
          <w:bdr w:val="none" w:sz="0" w:space="0" w:color="auto"/>
          <w:lang w:val="es-UY"/>
        </w:rPr>
        <w:t xml:space="preserve"> personas, 22 eran niños y niñas</w:t>
      </w:r>
      <w:r w:rsidR="004115A2" w:rsidRPr="00165EC6">
        <w:rPr>
          <w:rFonts w:ascii="Cambria" w:eastAsia="Batang" w:hAnsi="Cambria"/>
          <w:sz w:val="20"/>
          <w:szCs w:val="20"/>
          <w:bdr w:val="none" w:sz="0" w:space="0" w:color="auto"/>
          <w:lang w:val="es-UY"/>
        </w:rPr>
        <w:t xml:space="preserve"> </w:t>
      </w:r>
      <w:r w:rsidR="00EF2012" w:rsidRPr="00165EC6">
        <w:rPr>
          <w:rFonts w:ascii="Cambria" w:eastAsia="Batang" w:hAnsi="Cambria"/>
          <w:sz w:val="20"/>
          <w:szCs w:val="20"/>
          <w:bdr w:val="none" w:sz="0" w:space="0" w:color="auto"/>
          <w:lang w:val="es-UY"/>
        </w:rPr>
        <w:t>de entre 11</w:t>
      </w:r>
      <w:r w:rsidR="004115A2" w:rsidRPr="00165EC6">
        <w:rPr>
          <w:rFonts w:ascii="Cambria" w:eastAsia="Batang" w:hAnsi="Cambria"/>
          <w:sz w:val="20"/>
          <w:szCs w:val="20"/>
          <w:bdr w:val="none" w:sz="0" w:space="0" w:color="auto"/>
          <w:lang w:val="es-UY"/>
        </w:rPr>
        <w:t xml:space="preserve"> y 17 años</w:t>
      </w:r>
      <w:r w:rsidR="00147F4A" w:rsidRPr="00165EC6">
        <w:rPr>
          <w:rFonts w:ascii="Cambria" w:eastAsia="Batang" w:hAnsi="Cambria"/>
          <w:sz w:val="20"/>
          <w:szCs w:val="20"/>
          <w:bdr w:val="none" w:sz="0" w:space="0" w:color="auto"/>
          <w:lang w:val="es-UY"/>
        </w:rPr>
        <w:t xml:space="preserve">. </w:t>
      </w:r>
    </w:p>
    <w:p w:rsidR="00D1168B" w:rsidRPr="00165EC6" w:rsidRDefault="00D1168B" w:rsidP="0090018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UY"/>
        </w:rPr>
      </w:pPr>
    </w:p>
    <w:p w:rsidR="00195624" w:rsidRPr="00165EC6" w:rsidRDefault="00D1168B" w:rsidP="009001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 w:val="num" w:pos="720"/>
        </w:tabs>
        <w:ind w:left="0"/>
        <w:jc w:val="both"/>
        <w:rPr>
          <w:rFonts w:ascii="Cambria" w:eastAsia="Batang" w:hAnsi="Cambria"/>
          <w:sz w:val="20"/>
          <w:szCs w:val="20"/>
          <w:bdr w:val="none" w:sz="0" w:space="0" w:color="auto"/>
          <w:lang w:val="es-ES"/>
        </w:rPr>
      </w:pPr>
      <w:r w:rsidRPr="00165EC6">
        <w:rPr>
          <w:rFonts w:ascii="Cambria" w:eastAsia="Batang" w:hAnsi="Cambria"/>
          <w:sz w:val="20"/>
          <w:szCs w:val="20"/>
          <w:bdr w:val="none" w:sz="0" w:space="0" w:color="auto"/>
          <w:lang w:val="es-UY"/>
        </w:rPr>
        <w:t>Conforme a los está</w:t>
      </w:r>
      <w:r w:rsidR="00C40A55" w:rsidRPr="00165EC6">
        <w:rPr>
          <w:rFonts w:ascii="Cambria" w:eastAsia="Batang" w:hAnsi="Cambria"/>
          <w:sz w:val="20"/>
          <w:szCs w:val="20"/>
          <w:bdr w:val="none" w:sz="0" w:space="0" w:color="auto"/>
          <w:lang w:val="es-UY"/>
        </w:rPr>
        <w:t xml:space="preserve">ndares citados anteriormente, </w:t>
      </w:r>
      <w:r w:rsidR="0013064E" w:rsidRPr="00165EC6">
        <w:rPr>
          <w:rFonts w:ascii="Cambria" w:eastAsia="Batang" w:hAnsi="Cambria"/>
          <w:sz w:val="20"/>
          <w:szCs w:val="20"/>
          <w:bdr w:val="none" w:sz="0" w:space="0" w:color="auto"/>
          <w:lang w:val="es-UY"/>
        </w:rPr>
        <w:t>a fin de establecer si el Estado de Bra</w:t>
      </w:r>
      <w:r w:rsidR="007C04E1" w:rsidRPr="00165EC6">
        <w:rPr>
          <w:rFonts w:ascii="Cambria" w:eastAsia="Batang" w:hAnsi="Cambria"/>
          <w:sz w:val="20"/>
          <w:szCs w:val="20"/>
          <w:bdr w:val="none" w:sz="0" w:space="0" w:color="auto"/>
          <w:lang w:val="es-UY"/>
        </w:rPr>
        <w:t>s</w:t>
      </w:r>
      <w:r w:rsidR="0013064E" w:rsidRPr="00165EC6">
        <w:rPr>
          <w:rFonts w:ascii="Cambria" w:eastAsia="Batang" w:hAnsi="Cambria"/>
          <w:sz w:val="20"/>
          <w:szCs w:val="20"/>
          <w:bdr w:val="none" w:sz="0" w:space="0" w:color="auto"/>
          <w:lang w:val="es-UY"/>
        </w:rPr>
        <w:t xml:space="preserve">il es responsable internacionalmente por las muertes y lesiones causadas con dicha explosión, </w:t>
      </w:r>
      <w:r w:rsidR="00562394" w:rsidRPr="00165EC6">
        <w:rPr>
          <w:rFonts w:ascii="Cambria" w:eastAsia="Batang" w:hAnsi="Cambria"/>
          <w:sz w:val="20"/>
          <w:szCs w:val="20"/>
          <w:bdr w:val="none" w:sz="0" w:space="0" w:color="auto"/>
          <w:lang w:val="es-UY"/>
        </w:rPr>
        <w:t>la Comisión toma en consideración en primer lugar que</w:t>
      </w:r>
      <w:r w:rsidR="00B60DD9" w:rsidRPr="00165EC6">
        <w:rPr>
          <w:rFonts w:ascii="Cambria" w:eastAsia="Batang" w:hAnsi="Cambria"/>
          <w:sz w:val="20"/>
          <w:szCs w:val="20"/>
          <w:bdr w:val="none" w:sz="0" w:space="0" w:color="auto"/>
          <w:lang w:val="es-UY"/>
        </w:rPr>
        <w:t xml:space="preserve"> las relaciones laborales </w:t>
      </w:r>
      <w:r w:rsidR="00534052" w:rsidRPr="00165EC6">
        <w:rPr>
          <w:rFonts w:ascii="Cambria" w:eastAsia="Batang" w:hAnsi="Cambria"/>
          <w:sz w:val="20"/>
          <w:szCs w:val="20"/>
          <w:bdr w:val="none" w:sz="0" w:space="0" w:color="auto"/>
          <w:lang w:val="es-UY"/>
        </w:rPr>
        <w:t xml:space="preserve">hacen parte de </w:t>
      </w:r>
      <w:r w:rsidR="00B60DD9" w:rsidRPr="00165EC6">
        <w:rPr>
          <w:rFonts w:ascii="Cambria" w:eastAsia="Batang" w:hAnsi="Cambria"/>
          <w:sz w:val="20"/>
          <w:szCs w:val="20"/>
          <w:bdr w:val="none" w:sz="0" w:space="0" w:color="auto"/>
          <w:lang w:val="es-UY"/>
        </w:rPr>
        <w:t>un ámbito que corresponde regular e inspeccionar al Estado</w:t>
      </w:r>
      <w:r w:rsidR="00036EF7" w:rsidRPr="00165EC6">
        <w:rPr>
          <w:rFonts w:ascii="Cambria" w:eastAsia="Batang" w:hAnsi="Cambria"/>
          <w:sz w:val="20"/>
          <w:szCs w:val="20"/>
          <w:bdr w:val="none" w:sz="0" w:space="0" w:color="auto"/>
          <w:lang w:val="es-UY"/>
        </w:rPr>
        <w:t xml:space="preserve">. </w:t>
      </w:r>
      <w:r w:rsidR="003B0CE7" w:rsidRPr="00165EC6">
        <w:rPr>
          <w:rFonts w:ascii="Cambria" w:eastAsia="Batang" w:hAnsi="Cambria"/>
          <w:sz w:val="20"/>
          <w:szCs w:val="20"/>
          <w:bdr w:val="none" w:sz="0" w:space="0" w:color="auto"/>
          <w:lang w:val="es-UY"/>
        </w:rPr>
        <w:t>Como se indicó, estas obligaciones son reforzadas cuando se trata de actividades peligrosas para la vi</w:t>
      </w:r>
      <w:r w:rsidR="00FD37C8" w:rsidRPr="00165EC6">
        <w:rPr>
          <w:rFonts w:ascii="Cambria" w:eastAsia="Batang" w:hAnsi="Cambria"/>
          <w:sz w:val="20"/>
          <w:szCs w:val="20"/>
          <w:bdr w:val="none" w:sz="0" w:space="0" w:color="auto"/>
          <w:lang w:val="es-UY"/>
        </w:rPr>
        <w:t xml:space="preserve">da, integridad personal o salud de las personas. </w:t>
      </w:r>
      <w:r w:rsidR="003B0CE7" w:rsidRPr="00165EC6">
        <w:rPr>
          <w:rFonts w:ascii="Cambria" w:eastAsia="Batang" w:hAnsi="Cambria"/>
          <w:sz w:val="20"/>
          <w:szCs w:val="20"/>
          <w:bdr w:val="none" w:sz="0" w:space="0" w:color="auto"/>
          <w:lang w:val="es-UY"/>
        </w:rPr>
        <w:t xml:space="preserve">Además, conforme a la propia legislación interna, </w:t>
      </w:r>
      <w:r w:rsidR="00FD37C8" w:rsidRPr="00165EC6">
        <w:rPr>
          <w:rFonts w:ascii="Cambria" w:eastAsia="Batang" w:hAnsi="Cambria"/>
          <w:sz w:val="20"/>
          <w:szCs w:val="20"/>
          <w:bdr w:val="none" w:sz="0" w:space="0" w:color="auto"/>
          <w:lang w:val="es-UY"/>
        </w:rPr>
        <w:t>las actividades vinculadas con ciertas sustancias como explosivos, estaban sujetas a la autorización por parte del Estado</w:t>
      </w:r>
      <w:r w:rsidR="00593CC1" w:rsidRPr="00165EC6">
        <w:rPr>
          <w:rFonts w:ascii="Cambria" w:eastAsia="Batang" w:hAnsi="Cambria"/>
          <w:sz w:val="20"/>
          <w:szCs w:val="20"/>
          <w:bdr w:val="none" w:sz="0" w:space="0" w:color="auto"/>
          <w:lang w:val="es-UY"/>
        </w:rPr>
        <w:t xml:space="preserve">, el que a su vez debía inspeccionar dichas actividades como parte del mandato legal. En efecto, en el presente caso, la </w:t>
      </w:r>
      <w:r w:rsidR="00562394" w:rsidRPr="00165EC6">
        <w:rPr>
          <w:rFonts w:ascii="Cambria" w:eastAsia="Batang" w:hAnsi="Cambria"/>
          <w:sz w:val="20"/>
          <w:szCs w:val="20"/>
          <w:bdr w:val="none" w:sz="0" w:space="0" w:color="auto"/>
          <w:lang w:val="es-UY"/>
        </w:rPr>
        <w:t xml:space="preserve">fábrica contaba con permiso por parte </w:t>
      </w:r>
      <w:r w:rsidR="002F3305" w:rsidRPr="00165EC6">
        <w:rPr>
          <w:rFonts w:ascii="Cambria" w:eastAsia="Batang" w:hAnsi="Cambria"/>
          <w:sz w:val="20"/>
          <w:szCs w:val="20"/>
          <w:bdr w:val="none" w:sz="0" w:space="0" w:color="auto"/>
          <w:lang w:val="es-UY"/>
        </w:rPr>
        <w:t xml:space="preserve">del ejército brasileño para el </w:t>
      </w:r>
      <w:r w:rsidR="002F3305" w:rsidRPr="00165EC6">
        <w:rPr>
          <w:rFonts w:ascii="Cambria" w:eastAsia="Batang" w:hAnsi="Cambria"/>
          <w:sz w:val="20"/>
          <w:szCs w:val="20"/>
          <w:bdr w:val="none" w:sz="0" w:space="0" w:color="auto"/>
          <w:lang w:val="es-CO"/>
        </w:rPr>
        <w:t xml:space="preserve">almacenamiento de explosivos a nombre de </w:t>
      </w:r>
      <w:r w:rsidR="002F3305" w:rsidRPr="00165EC6">
        <w:rPr>
          <w:rFonts w:ascii="Cambria" w:eastAsia="Batang" w:hAnsi="Cambria"/>
          <w:sz w:val="20"/>
          <w:szCs w:val="20"/>
          <w:bdr w:val="none" w:sz="0" w:space="0" w:color="auto"/>
          <w:lang w:val="es-MX"/>
        </w:rPr>
        <w:t xml:space="preserve">Mario Fróes Prazeres Bastos, en </w:t>
      </w:r>
      <w:r w:rsidR="002F3305" w:rsidRPr="00165EC6">
        <w:rPr>
          <w:rFonts w:ascii="Cambria" w:eastAsia="Batang" w:hAnsi="Cambria"/>
          <w:sz w:val="20"/>
          <w:szCs w:val="20"/>
          <w:bdr w:val="none" w:sz="0" w:space="0" w:color="auto"/>
          <w:lang w:val="es-CO"/>
        </w:rPr>
        <w:t xml:space="preserve">un bien inmueble de </w:t>
      </w:r>
      <w:r w:rsidR="002F3305" w:rsidRPr="00165EC6">
        <w:rPr>
          <w:rFonts w:ascii="Cambria" w:eastAsia="Batang" w:hAnsi="Cambria"/>
          <w:sz w:val="20"/>
          <w:szCs w:val="20"/>
          <w:bdr w:val="none" w:sz="0" w:space="0" w:color="auto"/>
          <w:lang w:val="es-UY"/>
        </w:rPr>
        <w:t>su padre, Osvaldo</w:t>
      </w:r>
      <w:r w:rsidR="002F3305" w:rsidRPr="00165EC6">
        <w:rPr>
          <w:rFonts w:ascii="Cambria" w:eastAsia="Batang" w:hAnsi="Cambria"/>
          <w:sz w:val="20"/>
          <w:szCs w:val="20"/>
          <w:bdr w:val="none" w:sz="0" w:space="0" w:color="auto"/>
          <w:lang w:val="es-CO"/>
        </w:rPr>
        <w:t xml:space="preserve"> Prazeres Bastos.</w:t>
      </w:r>
      <w:r w:rsidR="00E93AE2" w:rsidRPr="00165EC6">
        <w:rPr>
          <w:rFonts w:ascii="Cambria" w:eastAsia="Batang" w:hAnsi="Cambria"/>
          <w:sz w:val="20"/>
          <w:szCs w:val="20"/>
          <w:bdr w:val="none" w:sz="0" w:space="0" w:color="auto"/>
          <w:lang w:val="es-CO"/>
        </w:rPr>
        <w:t xml:space="preserve"> </w:t>
      </w:r>
    </w:p>
    <w:p w:rsidR="00195624" w:rsidRPr="00165EC6" w:rsidRDefault="00195624" w:rsidP="0090018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CO"/>
        </w:rPr>
      </w:pPr>
    </w:p>
    <w:p w:rsidR="00195624" w:rsidRPr="00165EC6" w:rsidRDefault="00593CC1" w:rsidP="009001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CO"/>
        </w:rPr>
      </w:pPr>
      <w:r w:rsidRPr="00165EC6">
        <w:rPr>
          <w:rFonts w:ascii="Cambria" w:eastAsia="Batang" w:hAnsi="Cambria"/>
          <w:sz w:val="20"/>
          <w:szCs w:val="20"/>
          <w:bdr w:val="none" w:sz="0" w:space="0" w:color="auto"/>
          <w:lang w:val="es-CO"/>
        </w:rPr>
        <w:t>En este sentido, el Estado brasilero tenía relación directa</w:t>
      </w:r>
      <w:r w:rsidR="00B03500" w:rsidRPr="00165EC6">
        <w:rPr>
          <w:rFonts w:ascii="Cambria" w:eastAsia="Batang" w:hAnsi="Cambria"/>
          <w:sz w:val="20"/>
          <w:szCs w:val="20"/>
          <w:bdr w:val="none" w:sz="0" w:space="0" w:color="auto"/>
          <w:lang w:val="es-CO"/>
        </w:rPr>
        <w:t xml:space="preserve"> con las actividades que se estaban realizando en la fábrica </w:t>
      </w:r>
      <w:r w:rsidR="00195624" w:rsidRPr="00165EC6">
        <w:rPr>
          <w:rFonts w:ascii="Cambria" w:eastAsia="Batang" w:hAnsi="Cambria"/>
          <w:sz w:val="20"/>
          <w:szCs w:val="20"/>
          <w:bdr w:val="none" w:sz="0" w:space="0" w:color="auto"/>
          <w:lang w:val="es-ES"/>
        </w:rPr>
        <w:t xml:space="preserve">por lo que </w:t>
      </w:r>
      <w:r w:rsidR="00EF226E" w:rsidRPr="00165EC6">
        <w:rPr>
          <w:rFonts w:ascii="Cambria" w:eastAsia="Batang" w:hAnsi="Cambria"/>
          <w:sz w:val="20"/>
          <w:szCs w:val="20"/>
          <w:bdr w:val="none" w:sz="0" w:space="0" w:color="auto"/>
          <w:lang w:val="es-UY"/>
        </w:rPr>
        <w:t xml:space="preserve">se encontraba en conocimiento </w:t>
      </w:r>
      <w:r w:rsidR="00875601" w:rsidRPr="00165EC6">
        <w:rPr>
          <w:rFonts w:ascii="Cambria" w:eastAsia="Batang" w:hAnsi="Cambria"/>
          <w:sz w:val="20"/>
          <w:szCs w:val="20"/>
          <w:bdr w:val="none" w:sz="0" w:space="0" w:color="auto"/>
          <w:lang w:val="es-UY"/>
        </w:rPr>
        <w:t xml:space="preserve">del riesgo potencial que el funcionamiento de la fábrica podría implicar para </w:t>
      </w:r>
      <w:r w:rsidR="00195624" w:rsidRPr="00165EC6">
        <w:rPr>
          <w:rFonts w:ascii="Cambria" w:eastAsia="Batang" w:hAnsi="Cambria"/>
          <w:sz w:val="20"/>
          <w:szCs w:val="20"/>
          <w:bdr w:val="none" w:sz="0" w:space="0" w:color="auto"/>
          <w:lang w:val="es-UY"/>
        </w:rPr>
        <w:t xml:space="preserve">la vida, </w:t>
      </w:r>
      <w:r w:rsidR="00377BBF" w:rsidRPr="00165EC6">
        <w:rPr>
          <w:rFonts w:ascii="Cambria" w:eastAsia="Batang" w:hAnsi="Cambria"/>
          <w:sz w:val="20"/>
          <w:szCs w:val="20"/>
          <w:bdr w:val="none" w:sz="0" w:space="0" w:color="auto"/>
          <w:lang w:val="es-UY"/>
        </w:rPr>
        <w:t>integridad</w:t>
      </w:r>
      <w:r w:rsidR="00195624" w:rsidRPr="00165EC6">
        <w:rPr>
          <w:rFonts w:ascii="Cambria" w:eastAsia="Batang" w:hAnsi="Cambria"/>
          <w:sz w:val="20"/>
          <w:szCs w:val="20"/>
          <w:bdr w:val="none" w:sz="0" w:space="0" w:color="auto"/>
          <w:lang w:val="es-UY"/>
        </w:rPr>
        <w:t xml:space="preserve"> personal y salud</w:t>
      </w:r>
      <w:r w:rsidR="00377BBF" w:rsidRPr="00165EC6">
        <w:rPr>
          <w:rFonts w:ascii="Cambria" w:eastAsia="Batang" w:hAnsi="Cambria"/>
          <w:sz w:val="20"/>
          <w:szCs w:val="20"/>
          <w:bdr w:val="none" w:sz="0" w:space="0" w:color="auto"/>
          <w:lang w:val="es-UY"/>
        </w:rPr>
        <w:t xml:space="preserve"> de </w:t>
      </w:r>
      <w:r w:rsidR="00875601" w:rsidRPr="00165EC6">
        <w:rPr>
          <w:rFonts w:ascii="Cambria" w:eastAsia="Batang" w:hAnsi="Cambria"/>
          <w:sz w:val="20"/>
          <w:szCs w:val="20"/>
          <w:bdr w:val="none" w:sz="0" w:space="0" w:color="auto"/>
          <w:lang w:val="es-UY"/>
        </w:rPr>
        <w:t xml:space="preserve">sus trabajadores, de no cumplirse con las </w:t>
      </w:r>
      <w:r w:rsidR="00195624" w:rsidRPr="00165EC6">
        <w:rPr>
          <w:rFonts w:ascii="Cambria" w:eastAsia="Batang" w:hAnsi="Cambria"/>
          <w:sz w:val="20"/>
          <w:szCs w:val="20"/>
          <w:bdr w:val="none" w:sz="0" w:space="0" w:color="auto"/>
          <w:lang w:val="es-UY"/>
        </w:rPr>
        <w:t xml:space="preserve">medidas de seguridad necesarias, cuestión respecto de la cual el Estado tenía unos deberes reforzados de </w:t>
      </w:r>
      <w:r w:rsidR="00195624" w:rsidRPr="00165EC6">
        <w:rPr>
          <w:rFonts w:ascii="Cambria" w:eastAsia="Batang" w:hAnsi="Cambria"/>
          <w:sz w:val="20"/>
          <w:szCs w:val="20"/>
          <w:bdr w:val="none" w:sz="0" w:space="0" w:color="auto"/>
          <w:lang w:val="es-CO"/>
        </w:rPr>
        <w:t xml:space="preserve">inspección y fiscalización. </w:t>
      </w:r>
    </w:p>
    <w:p w:rsidR="00195624" w:rsidRPr="00165EC6" w:rsidRDefault="00195624" w:rsidP="0090018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UY"/>
        </w:rPr>
      </w:pPr>
    </w:p>
    <w:p w:rsidR="00195624" w:rsidRPr="00165EC6" w:rsidRDefault="00FA7561" w:rsidP="009001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CO"/>
        </w:rPr>
      </w:pPr>
      <w:r w:rsidRPr="00165EC6">
        <w:rPr>
          <w:rFonts w:ascii="Cambria" w:eastAsia="Batang" w:hAnsi="Cambria"/>
          <w:sz w:val="20"/>
          <w:szCs w:val="20"/>
          <w:bdr w:val="none" w:sz="0" w:space="0" w:color="auto"/>
          <w:lang w:val="es-UY"/>
        </w:rPr>
        <w:t>E</w:t>
      </w:r>
      <w:r w:rsidR="00277412" w:rsidRPr="00165EC6">
        <w:rPr>
          <w:rFonts w:ascii="Cambria" w:eastAsia="Batang" w:hAnsi="Cambria"/>
          <w:sz w:val="20"/>
          <w:szCs w:val="20"/>
          <w:bdr w:val="none" w:sz="0" w:space="0" w:color="auto"/>
          <w:lang w:val="es-UY"/>
        </w:rPr>
        <w:t>l Estado no ha proporcionado ninguna información, ni resulta del expediente que</w:t>
      </w:r>
      <w:r w:rsidR="000D0E5B" w:rsidRPr="00165EC6">
        <w:rPr>
          <w:rFonts w:ascii="Cambria" w:eastAsia="Batang" w:hAnsi="Cambria"/>
          <w:sz w:val="20"/>
          <w:szCs w:val="20"/>
          <w:bdr w:val="none" w:sz="0" w:space="0" w:color="auto"/>
          <w:lang w:val="es-UY"/>
        </w:rPr>
        <w:t xml:space="preserve"> </w:t>
      </w:r>
      <w:r w:rsidR="00802641" w:rsidRPr="00165EC6">
        <w:rPr>
          <w:rFonts w:ascii="Cambria" w:eastAsia="Batang" w:hAnsi="Cambria"/>
          <w:sz w:val="20"/>
          <w:szCs w:val="20"/>
          <w:bdr w:val="none" w:sz="0" w:space="0" w:color="auto"/>
          <w:lang w:val="es-UY"/>
        </w:rPr>
        <w:t xml:space="preserve"> durante los tres años que transcurrieron </w:t>
      </w:r>
      <w:r w:rsidR="000D0E5B" w:rsidRPr="00165EC6">
        <w:rPr>
          <w:rFonts w:ascii="Cambria" w:eastAsia="Batang" w:hAnsi="Cambria"/>
          <w:sz w:val="20"/>
          <w:szCs w:val="20"/>
          <w:bdr w:val="none" w:sz="0" w:space="0" w:color="auto"/>
          <w:lang w:val="es-UY"/>
        </w:rPr>
        <w:t xml:space="preserve">desde el otorgamiento de la autorización hasta el momento de la explosión, las autoridades competentes </w:t>
      </w:r>
      <w:r w:rsidR="00277412" w:rsidRPr="00165EC6">
        <w:rPr>
          <w:rFonts w:ascii="Cambria" w:eastAsia="Batang" w:hAnsi="Cambria"/>
          <w:sz w:val="20"/>
          <w:szCs w:val="20"/>
          <w:bdr w:val="none" w:sz="0" w:space="0" w:color="auto"/>
          <w:lang w:val="es-UY"/>
        </w:rPr>
        <w:t>hubiera</w:t>
      </w:r>
      <w:r w:rsidR="000D0E5B" w:rsidRPr="00165EC6">
        <w:rPr>
          <w:rFonts w:ascii="Cambria" w:eastAsia="Batang" w:hAnsi="Cambria"/>
          <w:sz w:val="20"/>
          <w:szCs w:val="20"/>
          <w:bdr w:val="none" w:sz="0" w:space="0" w:color="auto"/>
          <w:lang w:val="es-UY"/>
        </w:rPr>
        <w:t>n</w:t>
      </w:r>
      <w:r w:rsidR="00277412" w:rsidRPr="00165EC6">
        <w:rPr>
          <w:rFonts w:ascii="Cambria" w:eastAsia="Batang" w:hAnsi="Cambria"/>
          <w:sz w:val="20"/>
          <w:szCs w:val="20"/>
          <w:bdr w:val="none" w:sz="0" w:space="0" w:color="auto"/>
          <w:lang w:val="es-UY"/>
        </w:rPr>
        <w:t xml:space="preserve"> llevado a</w:t>
      </w:r>
      <w:r w:rsidR="00195624" w:rsidRPr="00165EC6">
        <w:rPr>
          <w:rFonts w:ascii="Cambria" w:eastAsia="Batang" w:hAnsi="Cambria"/>
          <w:sz w:val="20"/>
          <w:szCs w:val="20"/>
          <w:bdr w:val="none" w:sz="0" w:space="0" w:color="auto"/>
          <w:lang w:val="es-UY"/>
        </w:rPr>
        <w:t xml:space="preserve"> cabo</w:t>
      </w:r>
      <w:r w:rsidR="00277412" w:rsidRPr="00165EC6">
        <w:rPr>
          <w:rFonts w:ascii="Cambria" w:eastAsia="Batang" w:hAnsi="Cambria"/>
          <w:sz w:val="20"/>
          <w:szCs w:val="20"/>
          <w:bdr w:val="none" w:sz="0" w:space="0" w:color="auto"/>
          <w:lang w:val="es-UY"/>
        </w:rPr>
        <w:t xml:space="preserve"> inspecci</w:t>
      </w:r>
      <w:r w:rsidR="000D0E5B" w:rsidRPr="00165EC6">
        <w:rPr>
          <w:rFonts w:ascii="Cambria" w:eastAsia="Batang" w:hAnsi="Cambria"/>
          <w:sz w:val="20"/>
          <w:szCs w:val="20"/>
          <w:bdr w:val="none" w:sz="0" w:space="0" w:color="auto"/>
          <w:lang w:val="es-UY"/>
        </w:rPr>
        <w:t>ón o fiscalización alguna a la fábrica</w:t>
      </w:r>
      <w:r w:rsidR="00984A21" w:rsidRPr="00165EC6">
        <w:rPr>
          <w:rFonts w:ascii="Cambria" w:eastAsia="Batang" w:hAnsi="Cambria"/>
          <w:sz w:val="20"/>
          <w:szCs w:val="20"/>
          <w:bdr w:val="none" w:sz="0" w:space="0" w:color="auto"/>
          <w:lang w:val="es-UY"/>
        </w:rPr>
        <w:t xml:space="preserve">. </w:t>
      </w:r>
      <w:r w:rsidRPr="00165EC6">
        <w:rPr>
          <w:rFonts w:ascii="Cambria" w:eastAsia="Batang" w:hAnsi="Cambria"/>
          <w:sz w:val="20"/>
          <w:szCs w:val="20"/>
          <w:bdr w:val="none" w:sz="0" w:space="0" w:color="auto"/>
          <w:lang w:val="es-UY"/>
        </w:rPr>
        <w:t>En ese sentido, en el presente caso, la omisión del Estado es de carácter</w:t>
      </w:r>
      <w:r w:rsidR="00C410BA" w:rsidRPr="00165EC6">
        <w:rPr>
          <w:rFonts w:ascii="Cambria" w:eastAsia="Batang" w:hAnsi="Cambria"/>
          <w:sz w:val="20"/>
          <w:szCs w:val="20"/>
          <w:bdr w:val="none" w:sz="0" w:space="0" w:color="auto"/>
          <w:lang w:val="es-UY"/>
        </w:rPr>
        <w:t xml:space="preserve"> absoluto, siendo innecesario evaluar elementos adicionales sobre las características que deben tener las inspecciones</w:t>
      </w:r>
      <w:r w:rsidR="00195624" w:rsidRPr="00165EC6">
        <w:rPr>
          <w:rFonts w:ascii="Cambria" w:eastAsia="Batang" w:hAnsi="Cambria"/>
          <w:sz w:val="20"/>
          <w:szCs w:val="20"/>
          <w:bdr w:val="none" w:sz="0" w:space="0" w:color="auto"/>
          <w:lang w:val="es-UY"/>
        </w:rPr>
        <w:t xml:space="preserve"> y fiscalizaciones</w:t>
      </w:r>
      <w:r w:rsidR="00C410BA" w:rsidRPr="00165EC6">
        <w:rPr>
          <w:rFonts w:ascii="Cambria" w:eastAsia="Batang" w:hAnsi="Cambria"/>
          <w:sz w:val="20"/>
          <w:szCs w:val="20"/>
          <w:bdr w:val="none" w:sz="0" w:space="0" w:color="auto"/>
          <w:lang w:val="es-UY"/>
        </w:rPr>
        <w:t xml:space="preserve"> y las autoridades competentes para ello. </w:t>
      </w:r>
      <w:r w:rsidR="000E3D70" w:rsidRPr="00165EC6">
        <w:rPr>
          <w:rFonts w:ascii="Cambria" w:eastAsia="Batang" w:hAnsi="Cambria"/>
          <w:sz w:val="20"/>
          <w:szCs w:val="20"/>
          <w:bdr w:val="none" w:sz="0" w:space="0" w:color="auto"/>
          <w:lang w:val="es-ES_tradnl"/>
        </w:rPr>
        <w:t xml:space="preserve">Es importante resaltar que el Estado brasileño, en la audiencia realizada el </w:t>
      </w:r>
      <w:r w:rsidR="000E3D70" w:rsidRPr="00165EC6">
        <w:rPr>
          <w:rFonts w:ascii="Cambria" w:eastAsia="Batang" w:hAnsi="Cambria"/>
          <w:sz w:val="20"/>
          <w:szCs w:val="20"/>
          <w:bdr w:val="none" w:sz="0" w:space="0" w:color="auto"/>
          <w:lang w:val="es-ES"/>
        </w:rPr>
        <w:t xml:space="preserve">19 de octubre de 2006 ante la CIDH, y como quedó establecido en el apartado anterior, </w:t>
      </w:r>
      <w:r w:rsidR="000E3D70" w:rsidRPr="00165EC6">
        <w:rPr>
          <w:rFonts w:ascii="Cambria" w:eastAsia="Batang" w:hAnsi="Cambria"/>
          <w:sz w:val="20"/>
          <w:szCs w:val="20"/>
          <w:bdr w:val="none" w:sz="0" w:space="0" w:color="auto"/>
          <w:lang w:val="es-ES_tradnl"/>
        </w:rPr>
        <w:t>reconoció su responsabilidad, tanto por la falta de fiscalización adecuada, como por el tiempo excesivo de las investigaciones.</w:t>
      </w:r>
      <w:r w:rsidR="00195624" w:rsidRPr="00165EC6">
        <w:rPr>
          <w:rFonts w:ascii="Cambria" w:eastAsia="Batang" w:hAnsi="Cambria"/>
          <w:sz w:val="20"/>
          <w:szCs w:val="20"/>
          <w:bdr w:val="none" w:sz="0" w:space="0" w:color="auto"/>
          <w:lang w:val="es-ES_tradnl"/>
        </w:rPr>
        <w:t xml:space="preserve"> </w:t>
      </w:r>
    </w:p>
    <w:p w:rsidR="00195624" w:rsidRPr="00165EC6" w:rsidRDefault="00195624" w:rsidP="0090018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UY"/>
        </w:rPr>
      </w:pPr>
    </w:p>
    <w:p w:rsidR="00195624" w:rsidRPr="00165EC6" w:rsidRDefault="00EF2012" w:rsidP="009001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CO"/>
        </w:rPr>
      </w:pPr>
      <w:r w:rsidRPr="00165EC6">
        <w:rPr>
          <w:rFonts w:ascii="Cambria" w:eastAsia="Batang" w:hAnsi="Cambria"/>
          <w:sz w:val="20"/>
          <w:szCs w:val="20"/>
          <w:bdr w:val="none" w:sz="0" w:space="0" w:color="auto"/>
          <w:lang w:val="es-UY"/>
        </w:rPr>
        <w:t>La Comisión advierte que, de habe</w:t>
      </w:r>
      <w:r w:rsidR="00195624" w:rsidRPr="00165EC6">
        <w:rPr>
          <w:rFonts w:ascii="Cambria" w:eastAsia="Batang" w:hAnsi="Cambria"/>
          <w:sz w:val="20"/>
          <w:szCs w:val="20"/>
          <w:bdr w:val="none" w:sz="0" w:space="0" w:color="auto"/>
          <w:lang w:val="es-UY"/>
        </w:rPr>
        <w:t>r realizado dichas inspecciones y fiscalizaciones como era su deber,</w:t>
      </w:r>
      <w:r w:rsidRPr="00165EC6">
        <w:rPr>
          <w:rFonts w:ascii="Cambria" w:eastAsia="Batang" w:hAnsi="Cambria"/>
          <w:sz w:val="20"/>
          <w:szCs w:val="20"/>
          <w:bdr w:val="none" w:sz="0" w:space="0" w:color="auto"/>
          <w:lang w:val="es-UY"/>
        </w:rPr>
        <w:t xml:space="preserve"> el Estado habría constatado las irregularidades en el funcionamiento de la fábrica a la luz de la propia legislación interna y el consecuente riesgo para los empleados que, debido a dichas irregularidades, trabajaban en condiciones de </w:t>
      </w:r>
      <w:r w:rsidR="00195624" w:rsidRPr="00165EC6">
        <w:rPr>
          <w:rFonts w:ascii="Cambria" w:eastAsia="Batang" w:hAnsi="Cambria"/>
          <w:sz w:val="20"/>
          <w:szCs w:val="20"/>
          <w:bdr w:val="none" w:sz="0" w:space="0" w:color="auto"/>
          <w:lang w:val="es-UY"/>
        </w:rPr>
        <w:t xml:space="preserve">extrema </w:t>
      </w:r>
      <w:r w:rsidRPr="00165EC6">
        <w:rPr>
          <w:rFonts w:ascii="Cambria" w:eastAsia="Batang" w:hAnsi="Cambria"/>
          <w:sz w:val="20"/>
          <w:szCs w:val="20"/>
          <w:bdr w:val="none" w:sz="0" w:space="0" w:color="auto"/>
          <w:lang w:val="es-UY"/>
        </w:rPr>
        <w:t>inseguridad y estaban expuesto</w:t>
      </w:r>
      <w:r w:rsidR="00195624" w:rsidRPr="00165EC6">
        <w:rPr>
          <w:rFonts w:ascii="Cambria" w:eastAsia="Batang" w:hAnsi="Cambria"/>
          <w:sz w:val="20"/>
          <w:szCs w:val="20"/>
          <w:bdr w:val="none" w:sz="0" w:space="0" w:color="auto"/>
          <w:lang w:val="es-UY"/>
        </w:rPr>
        <w:t>s</w:t>
      </w:r>
      <w:r w:rsidRPr="00165EC6">
        <w:rPr>
          <w:rFonts w:ascii="Cambria" w:eastAsia="Batang" w:hAnsi="Cambria"/>
          <w:sz w:val="20"/>
          <w:szCs w:val="20"/>
          <w:bdr w:val="none" w:sz="0" w:space="0" w:color="auto"/>
          <w:lang w:val="es-UY"/>
        </w:rPr>
        <w:t xml:space="preserve"> al resultado fatal que finalmente se </w:t>
      </w:r>
      <w:r w:rsidRPr="00165EC6">
        <w:rPr>
          <w:rFonts w:ascii="Cambria" w:eastAsia="Batang" w:hAnsi="Cambria"/>
          <w:sz w:val="20"/>
          <w:szCs w:val="20"/>
          <w:bdr w:val="none" w:sz="0" w:space="0" w:color="auto"/>
          <w:lang w:val="es-UY"/>
        </w:rPr>
        <w:lastRenderedPageBreak/>
        <w:t>materializó</w:t>
      </w:r>
      <w:r w:rsidR="005E6607" w:rsidRPr="00165EC6">
        <w:rPr>
          <w:rFonts w:ascii="Cambria" w:eastAsia="Batang" w:hAnsi="Cambria"/>
          <w:sz w:val="20"/>
          <w:szCs w:val="20"/>
          <w:bdr w:val="none" w:sz="0" w:space="0" w:color="auto"/>
          <w:lang w:val="es-UY"/>
        </w:rPr>
        <w:t xml:space="preserve">. Fue </w:t>
      </w:r>
      <w:r w:rsidRPr="00165EC6">
        <w:rPr>
          <w:rFonts w:ascii="Cambria" w:eastAsia="Batang" w:hAnsi="Cambria"/>
          <w:sz w:val="20"/>
          <w:szCs w:val="20"/>
          <w:bdr w:val="none" w:sz="0" w:space="0" w:color="auto"/>
          <w:lang w:val="es-UY"/>
        </w:rPr>
        <w:t xml:space="preserve">con posterioridad a la explosión que dichas irregularidades fueron  determinadas en </w:t>
      </w:r>
      <w:r w:rsidR="00195624" w:rsidRPr="00165EC6">
        <w:rPr>
          <w:rFonts w:ascii="Cambria" w:eastAsia="Batang" w:hAnsi="Cambria"/>
          <w:sz w:val="20"/>
          <w:szCs w:val="20"/>
          <w:bdr w:val="none" w:sz="0" w:space="0" w:color="auto"/>
          <w:lang w:val="es-UY"/>
        </w:rPr>
        <w:t>el procedimiento administrativo</w:t>
      </w:r>
      <w:r w:rsidRPr="00165EC6">
        <w:rPr>
          <w:rFonts w:ascii="Cambria" w:eastAsia="Batang" w:hAnsi="Cambria"/>
          <w:sz w:val="20"/>
          <w:szCs w:val="20"/>
          <w:bdr w:val="none" w:sz="0" w:space="0" w:color="auto"/>
          <w:lang w:val="es-UY"/>
        </w:rPr>
        <w:t xml:space="preserve">. </w:t>
      </w:r>
    </w:p>
    <w:p w:rsidR="00195624" w:rsidRPr="00165EC6" w:rsidRDefault="00195624" w:rsidP="0090018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UY"/>
        </w:rPr>
      </w:pPr>
    </w:p>
    <w:p w:rsidR="009C1EE2" w:rsidRPr="00165EC6" w:rsidRDefault="00EF2012" w:rsidP="009001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CO"/>
        </w:rPr>
      </w:pPr>
      <w:r w:rsidRPr="00165EC6">
        <w:rPr>
          <w:rFonts w:ascii="Cambria" w:eastAsia="Batang" w:hAnsi="Cambria"/>
          <w:sz w:val="20"/>
          <w:szCs w:val="20"/>
          <w:bdr w:val="none" w:sz="0" w:space="0" w:color="auto"/>
          <w:lang w:val="es-UY"/>
        </w:rPr>
        <w:t>Asimismo, de haber cumplido con su deber de</w:t>
      </w:r>
      <w:r w:rsidR="009C1EE2" w:rsidRPr="00165EC6">
        <w:rPr>
          <w:rFonts w:ascii="Cambria" w:eastAsia="Batang" w:hAnsi="Cambria"/>
          <w:sz w:val="20"/>
          <w:szCs w:val="20"/>
          <w:bdr w:val="none" w:sz="0" w:space="0" w:color="auto"/>
          <w:lang w:val="es-UY"/>
        </w:rPr>
        <w:t xml:space="preserve"> inspección y fiscalización,</w:t>
      </w:r>
      <w:r w:rsidRPr="00165EC6">
        <w:rPr>
          <w:rFonts w:ascii="Cambria" w:eastAsia="Batang" w:hAnsi="Cambria"/>
          <w:sz w:val="20"/>
          <w:szCs w:val="20"/>
          <w:bdr w:val="none" w:sz="0" w:space="0" w:color="auto"/>
          <w:lang w:val="es-UY"/>
        </w:rPr>
        <w:t xml:space="preserve"> el Estado habría advertido que muchos de los empleados eran niños y niñas, que realizaban tareas de alta peligrosidad, en contravención </w:t>
      </w:r>
      <w:r w:rsidR="00C92D51" w:rsidRPr="00165EC6">
        <w:rPr>
          <w:rFonts w:ascii="Cambria" w:eastAsia="Batang" w:hAnsi="Cambria"/>
          <w:sz w:val="20"/>
          <w:szCs w:val="20"/>
          <w:bdr w:val="none" w:sz="0" w:space="0" w:color="auto"/>
          <w:lang w:val="es-UY"/>
        </w:rPr>
        <w:t>de</w:t>
      </w:r>
      <w:r w:rsidRPr="00165EC6">
        <w:rPr>
          <w:rFonts w:ascii="Cambria" w:eastAsia="Batang" w:hAnsi="Cambria"/>
          <w:sz w:val="20"/>
          <w:szCs w:val="20"/>
          <w:bdr w:val="none" w:sz="0" w:space="0" w:color="auto"/>
          <w:lang w:val="es-UY"/>
        </w:rPr>
        <w:t xml:space="preserve"> lo establecido en la normatividad interna y en los estándares internacionales. </w:t>
      </w:r>
      <w:r w:rsidRPr="00165EC6">
        <w:rPr>
          <w:rFonts w:ascii="Cambria" w:eastAsia="Batang" w:hAnsi="Cambria" w:cs="Segoe UI"/>
          <w:sz w:val="20"/>
          <w:szCs w:val="20"/>
          <w:bdr w:val="none" w:sz="0" w:space="0" w:color="auto"/>
          <w:lang w:val="es-CO"/>
        </w:rPr>
        <w:t>La Comisión advierte que incluso una de las víctimas que falleció, Daniela Cerqueira Reis, tenía tan solo 11 años de edad.</w:t>
      </w:r>
      <w:r w:rsidR="00556334" w:rsidRPr="00165EC6">
        <w:rPr>
          <w:rFonts w:ascii="Cambria" w:eastAsia="Batang" w:hAnsi="Cambria" w:cs="Segoe UI"/>
          <w:sz w:val="20"/>
          <w:szCs w:val="20"/>
          <w:bdr w:val="none" w:sz="0" w:space="0" w:color="auto"/>
          <w:lang w:val="es-CO"/>
        </w:rPr>
        <w:t xml:space="preserve"> </w:t>
      </w:r>
      <w:r w:rsidR="000A5F31" w:rsidRPr="00165EC6">
        <w:rPr>
          <w:rFonts w:ascii="Cambria" w:eastAsia="Batang" w:hAnsi="Cambria" w:cs="Segoe UI"/>
          <w:sz w:val="20"/>
          <w:szCs w:val="20"/>
          <w:bdr w:val="none" w:sz="0" w:space="0" w:color="auto"/>
          <w:lang w:val="es-CO"/>
        </w:rPr>
        <w:t>A la luz de los estándares citados anteriormente, la situación de todos los niños y niñas que fallecieron o resultaron heridos en el caso, por la peligrosidad del trabajo realizado, debe ser calificado como una de las pe</w:t>
      </w:r>
      <w:r w:rsidR="009C1EE2" w:rsidRPr="00165EC6">
        <w:rPr>
          <w:rFonts w:ascii="Cambria" w:eastAsia="Batang" w:hAnsi="Cambria" w:cs="Segoe UI"/>
          <w:sz w:val="20"/>
          <w:szCs w:val="20"/>
          <w:bdr w:val="none" w:sz="0" w:space="0" w:color="auto"/>
          <w:lang w:val="es-CO"/>
        </w:rPr>
        <w:t xml:space="preserve">ores formas de trabajo infantil que exigía unos deberes también reforzados de inspección y fiscalización por parte del Estado. </w:t>
      </w:r>
      <w:r w:rsidR="000A5F31" w:rsidRPr="00165EC6">
        <w:rPr>
          <w:rFonts w:ascii="Cambria" w:eastAsia="Batang" w:hAnsi="Cambria" w:cs="Segoe UI"/>
          <w:sz w:val="20"/>
          <w:szCs w:val="20"/>
          <w:bdr w:val="none" w:sz="0" w:space="0" w:color="auto"/>
          <w:lang w:val="es-CO"/>
        </w:rPr>
        <w:t xml:space="preserve"> </w:t>
      </w:r>
    </w:p>
    <w:p w:rsidR="009C1EE2" w:rsidRPr="00165EC6" w:rsidRDefault="009C1EE2" w:rsidP="0090018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UY"/>
        </w:rPr>
      </w:pPr>
    </w:p>
    <w:p w:rsidR="00144E4F" w:rsidRPr="00165EC6" w:rsidRDefault="00107587" w:rsidP="009001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CO"/>
        </w:rPr>
      </w:pPr>
      <w:r w:rsidRPr="00165EC6">
        <w:rPr>
          <w:rFonts w:ascii="Cambria" w:eastAsia="Batang" w:hAnsi="Cambria"/>
          <w:sz w:val="20"/>
          <w:szCs w:val="20"/>
          <w:bdr w:val="none" w:sz="0" w:space="0" w:color="auto"/>
          <w:lang w:val="es-UY"/>
        </w:rPr>
        <w:t xml:space="preserve">La Comisión destaca otros elementos adicionales que se desprenden de los hechos probados </w:t>
      </w:r>
      <w:r w:rsidR="009C1EE2" w:rsidRPr="00165EC6">
        <w:rPr>
          <w:rFonts w:ascii="Cambria" w:eastAsia="Batang" w:hAnsi="Cambria"/>
          <w:sz w:val="20"/>
          <w:szCs w:val="20"/>
          <w:bdr w:val="none" w:sz="0" w:space="0" w:color="auto"/>
          <w:lang w:val="es-UY"/>
        </w:rPr>
        <w:t xml:space="preserve">y resultan relevantes para la atribución de responsabilidad al Estado: </w:t>
      </w:r>
      <w:r w:rsidRPr="00165EC6">
        <w:rPr>
          <w:rFonts w:ascii="Cambria" w:eastAsia="Batang" w:hAnsi="Cambria"/>
          <w:sz w:val="20"/>
          <w:szCs w:val="20"/>
          <w:bdr w:val="none" w:sz="0" w:space="0" w:color="auto"/>
          <w:lang w:val="es-UY"/>
        </w:rPr>
        <w:t xml:space="preserve">a) </w:t>
      </w:r>
      <w:r w:rsidRPr="00165EC6">
        <w:rPr>
          <w:rFonts w:ascii="Cambria" w:eastAsia="Batang" w:hAnsi="Cambria"/>
          <w:sz w:val="20"/>
          <w:szCs w:val="20"/>
          <w:bdr w:val="none" w:sz="0" w:space="0" w:color="auto"/>
          <w:lang w:val="es-CO"/>
        </w:rPr>
        <w:t xml:space="preserve">la sentencia laboral en que la Jueza del Trabajo afirmó que </w:t>
      </w:r>
      <w:r w:rsidRPr="00165EC6">
        <w:rPr>
          <w:rFonts w:ascii="Cambria" w:eastAsia="Batang" w:hAnsi="Cambria"/>
          <w:sz w:val="20"/>
          <w:szCs w:val="20"/>
          <w:bdr w:val="none" w:sz="0" w:space="0" w:color="auto"/>
          <w:lang w:val="es-US"/>
        </w:rPr>
        <w:t>la producción de fuegos artificiales era una actividad común y peligrosa, de conocimiento “público y notorio”</w:t>
      </w:r>
      <w:r w:rsidR="00523973" w:rsidRPr="00165EC6">
        <w:rPr>
          <w:rFonts w:ascii="Cambria" w:eastAsia="Batang" w:hAnsi="Cambria"/>
          <w:sz w:val="20"/>
          <w:szCs w:val="20"/>
          <w:bdr w:val="none" w:sz="0" w:space="0" w:color="auto"/>
          <w:lang w:val="es-US"/>
        </w:rPr>
        <w:t xml:space="preserve"> y que reconoció la falta de fiscalización</w:t>
      </w:r>
      <w:r w:rsidRPr="00165EC6">
        <w:rPr>
          <w:rFonts w:ascii="Cambria" w:eastAsia="Batang" w:hAnsi="Cambria"/>
          <w:sz w:val="20"/>
          <w:szCs w:val="20"/>
          <w:bdr w:val="none" w:sz="0" w:space="0" w:color="auto"/>
          <w:lang w:val="es-US"/>
        </w:rPr>
        <w:t>; b)</w:t>
      </w:r>
      <w:r w:rsidRPr="00165EC6">
        <w:rPr>
          <w:rFonts w:ascii="Cambria" w:eastAsia="Batang" w:hAnsi="Cambria"/>
          <w:sz w:val="20"/>
          <w:szCs w:val="20"/>
          <w:bdr w:val="none" w:sz="0" w:space="0" w:color="auto"/>
          <w:lang w:val="es-UY"/>
        </w:rPr>
        <w:t xml:space="preserve"> </w:t>
      </w:r>
      <w:r w:rsidRPr="00165EC6">
        <w:rPr>
          <w:rFonts w:ascii="Cambria" w:eastAsia="Batang" w:hAnsi="Cambria"/>
          <w:sz w:val="20"/>
          <w:szCs w:val="20"/>
          <w:bdr w:val="none" w:sz="0" w:space="0" w:color="auto"/>
          <w:lang w:val="es-CO"/>
        </w:rPr>
        <w:t>la condena penal</w:t>
      </w:r>
      <w:r w:rsidR="00923757" w:rsidRPr="00165EC6">
        <w:rPr>
          <w:rFonts w:ascii="Cambria" w:eastAsia="Batang" w:hAnsi="Cambria"/>
          <w:sz w:val="20"/>
          <w:szCs w:val="20"/>
          <w:bdr w:val="none" w:sz="0" w:space="0" w:color="auto"/>
          <w:lang w:val="es-CO"/>
        </w:rPr>
        <w:t xml:space="preserve"> por homicidio culposo</w:t>
      </w:r>
      <w:r w:rsidRPr="00165EC6">
        <w:rPr>
          <w:rFonts w:ascii="Cambria" w:eastAsia="Batang" w:hAnsi="Cambria"/>
          <w:sz w:val="20"/>
          <w:szCs w:val="20"/>
          <w:bdr w:val="none" w:sz="0" w:space="0" w:color="auto"/>
          <w:lang w:val="es-CO"/>
        </w:rPr>
        <w:t xml:space="preserve"> impuesta a Osvaldo Prazeres Bastos en 1996, por otra explosión de fuegos artificiales</w:t>
      </w:r>
      <w:r w:rsidRPr="00165EC6">
        <w:rPr>
          <w:rFonts w:ascii="Cambria" w:eastAsia="Batang" w:hAnsi="Cambria"/>
          <w:sz w:val="20"/>
          <w:szCs w:val="20"/>
          <w:bdr w:val="none" w:sz="0" w:space="0" w:color="auto"/>
          <w:lang w:val="es-US"/>
        </w:rPr>
        <w:t xml:space="preserve">; </w:t>
      </w:r>
      <w:r w:rsidR="00923757" w:rsidRPr="00165EC6">
        <w:rPr>
          <w:rFonts w:ascii="Cambria" w:eastAsia="Batang" w:hAnsi="Cambria"/>
          <w:sz w:val="20"/>
          <w:szCs w:val="20"/>
          <w:bdr w:val="none" w:sz="0" w:space="0" w:color="auto"/>
          <w:lang w:val="es-US"/>
        </w:rPr>
        <w:t xml:space="preserve">c) </w:t>
      </w:r>
      <w:r w:rsidR="000B0C66" w:rsidRPr="00165EC6">
        <w:rPr>
          <w:rFonts w:ascii="Cambria" w:eastAsia="Batang" w:hAnsi="Cambria"/>
          <w:sz w:val="20"/>
          <w:szCs w:val="20"/>
          <w:bdr w:val="none" w:sz="0" w:space="0" w:color="auto"/>
          <w:lang w:val="es-US"/>
        </w:rPr>
        <w:t xml:space="preserve">el reportaje titulado “una tragedia anunciada” del cual se desprende que la problemática databa de más de 100 años atrás y que el 10% de la población sobrevivía de esta actividad; </w:t>
      </w:r>
      <w:r w:rsidR="00E614C4" w:rsidRPr="00165EC6">
        <w:rPr>
          <w:rFonts w:ascii="Cambria" w:eastAsia="Batang" w:hAnsi="Cambria"/>
          <w:sz w:val="20"/>
          <w:szCs w:val="20"/>
          <w:bdr w:val="none" w:sz="0" w:space="0" w:color="auto"/>
          <w:lang w:val="es-US"/>
        </w:rPr>
        <w:t>d) el documento sí</w:t>
      </w:r>
      <w:r w:rsidR="00E45FF9" w:rsidRPr="00165EC6">
        <w:rPr>
          <w:rFonts w:ascii="Cambria" w:eastAsia="Batang" w:hAnsi="Cambria"/>
          <w:sz w:val="20"/>
          <w:szCs w:val="20"/>
          <w:bdr w:val="none" w:sz="0" w:space="0" w:color="auto"/>
          <w:lang w:val="es-US"/>
        </w:rPr>
        <w:t xml:space="preserve">ntesis </w:t>
      </w:r>
      <w:r w:rsidR="00E614C4" w:rsidRPr="00165EC6">
        <w:rPr>
          <w:rFonts w:ascii="Cambria" w:eastAsia="Batang" w:hAnsi="Cambria"/>
          <w:sz w:val="20"/>
          <w:szCs w:val="20"/>
          <w:bdr w:val="none" w:sz="0" w:space="0" w:color="auto"/>
          <w:lang w:val="es-US"/>
        </w:rPr>
        <w:t>aportado por el Estado</w:t>
      </w:r>
      <w:r w:rsidR="00E45FF9" w:rsidRPr="00165EC6">
        <w:rPr>
          <w:rFonts w:ascii="Cambria" w:eastAsia="Batang" w:hAnsi="Cambria"/>
          <w:sz w:val="20"/>
          <w:szCs w:val="20"/>
          <w:bdr w:val="none" w:sz="0" w:space="0" w:color="auto"/>
          <w:lang w:val="es-US"/>
        </w:rPr>
        <w:t xml:space="preserve"> en 2008 que describe la próblemática de décadas atrás y pone énfasis en que las actividades se realizan </w:t>
      </w:r>
      <w:r w:rsidR="00E45FF9" w:rsidRPr="00165EC6">
        <w:rPr>
          <w:rFonts w:ascii="Cambria" w:eastAsia="Batang" w:hAnsi="Cambria"/>
          <w:sz w:val="20"/>
          <w:szCs w:val="20"/>
          <w:bdr w:val="none" w:sz="0" w:space="0" w:color="auto"/>
          <w:lang w:val="es-CO"/>
        </w:rPr>
        <w:t xml:space="preserve">“sin fiscalización de los órganos competentes”; </w:t>
      </w:r>
      <w:r w:rsidR="003643B5" w:rsidRPr="00165EC6">
        <w:rPr>
          <w:rFonts w:ascii="Cambria" w:eastAsia="Batang" w:hAnsi="Cambria"/>
          <w:sz w:val="20"/>
          <w:szCs w:val="20"/>
          <w:bdr w:val="none" w:sz="0" w:space="0" w:color="auto"/>
          <w:lang w:val="es-CO"/>
        </w:rPr>
        <w:t>y e) el informe de un coronel del ejército presentado en octubre de 1999 al juzgado penal, en el que indica, con referenci</w:t>
      </w:r>
      <w:r w:rsidR="00FE7332" w:rsidRPr="00165EC6">
        <w:rPr>
          <w:rFonts w:ascii="Cambria" w:eastAsia="Batang" w:hAnsi="Cambria"/>
          <w:sz w:val="20"/>
          <w:szCs w:val="20"/>
          <w:bdr w:val="none" w:sz="0" w:space="0" w:color="auto"/>
          <w:lang w:val="es-CO"/>
        </w:rPr>
        <w:t xml:space="preserve">a al municipio </w:t>
      </w:r>
      <w:r w:rsidR="00E45CF7" w:rsidRPr="00165EC6">
        <w:rPr>
          <w:rFonts w:ascii="Cambria" w:eastAsia="Batang" w:hAnsi="Cambria"/>
          <w:sz w:val="20"/>
          <w:szCs w:val="20"/>
          <w:bdr w:val="none" w:sz="0" w:space="0" w:color="auto"/>
          <w:lang w:val="es-CO"/>
        </w:rPr>
        <w:t xml:space="preserve">en particular, que allí “se fabrica libremente con anuencia de la prefectura local” y que “no hay restricciones de ninguna especie al ejercicio de esta actividad”. </w:t>
      </w:r>
    </w:p>
    <w:p w:rsidR="00144E4F" w:rsidRPr="00165EC6" w:rsidRDefault="00144E4F" w:rsidP="0090018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CO"/>
        </w:rPr>
      </w:pPr>
    </w:p>
    <w:p w:rsidR="00422C78" w:rsidRPr="00165EC6" w:rsidRDefault="00EF2012" w:rsidP="009001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 w:val="num" w:pos="720"/>
        </w:tabs>
        <w:ind w:left="0"/>
        <w:jc w:val="both"/>
        <w:rPr>
          <w:rFonts w:ascii="Cambria" w:eastAsia="Batang" w:hAnsi="Cambria"/>
          <w:sz w:val="20"/>
          <w:szCs w:val="20"/>
          <w:bdr w:val="none" w:sz="0" w:space="0" w:color="auto"/>
          <w:lang w:val="es-CO"/>
        </w:rPr>
      </w:pPr>
      <w:r w:rsidRPr="00165EC6">
        <w:rPr>
          <w:rFonts w:ascii="Cambria" w:eastAsia="Batang" w:hAnsi="Cambria"/>
          <w:sz w:val="20"/>
          <w:szCs w:val="20"/>
          <w:bdr w:val="none" w:sz="0" w:space="0" w:color="auto"/>
          <w:lang w:val="es-UY"/>
        </w:rPr>
        <w:t>En definitiva, la Comisión concluye que el Estado sabía</w:t>
      </w:r>
      <w:r w:rsidR="00291E3D" w:rsidRPr="00165EC6">
        <w:rPr>
          <w:rFonts w:ascii="Cambria" w:eastAsia="Batang" w:hAnsi="Cambria"/>
          <w:sz w:val="20"/>
          <w:szCs w:val="20"/>
          <w:bdr w:val="none" w:sz="0" w:space="0" w:color="auto"/>
          <w:lang w:val="es-UY"/>
        </w:rPr>
        <w:t xml:space="preserve"> que en la fábrica de Mário Fróes Prazeres Bastos, se estaban realizando actividades industriales </w:t>
      </w:r>
      <w:r w:rsidR="0022016F" w:rsidRPr="00165EC6">
        <w:rPr>
          <w:rFonts w:ascii="Cambria" w:eastAsia="Batang" w:hAnsi="Cambria"/>
          <w:sz w:val="20"/>
          <w:szCs w:val="20"/>
          <w:bdr w:val="none" w:sz="0" w:space="0" w:color="auto"/>
          <w:lang w:val="es-UY"/>
        </w:rPr>
        <w:t xml:space="preserve">peligrosas para la vida, </w:t>
      </w:r>
      <w:r w:rsidR="00291E3D" w:rsidRPr="00165EC6">
        <w:rPr>
          <w:rFonts w:ascii="Cambria" w:eastAsia="Batang" w:hAnsi="Cambria"/>
          <w:sz w:val="20"/>
          <w:szCs w:val="20"/>
          <w:bdr w:val="none" w:sz="0" w:space="0" w:color="auto"/>
          <w:lang w:val="es-UY"/>
        </w:rPr>
        <w:t>integridad</w:t>
      </w:r>
      <w:r w:rsidR="0022016F" w:rsidRPr="00165EC6">
        <w:rPr>
          <w:rFonts w:ascii="Cambria" w:eastAsia="Batang" w:hAnsi="Cambria"/>
          <w:sz w:val="20"/>
          <w:szCs w:val="20"/>
          <w:bdr w:val="none" w:sz="0" w:space="0" w:color="auto"/>
          <w:lang w:val="es-UY"/>
        </w:rPr>
        <w:t xml:space="preserve"> personal y salud</w:t>
      </w:r>
      <w:r w:rsidR="00291E3D" w:rsidRPr="00165EC6">
        <w:rPr>
          <w:rFonts w:ascii="Cambria" w:eastAsia="Batang" w:hAnsi="Cambria"/>
          <w:sz w:val="20"/>
          <w:szCs w:val="20"/>
          <w:bdr w:val="none" w:sz="0" w:space="0" w:color="auto"/>
          <w:lang w:val="es-UY"/>
        </w:rPr>
        <w:t xml:space="preserve"> de los trabajadores </w:t>
      </w:r>
      <w:r w:rsidR="00487B2F" w:rsidRPr="00165EC6">
        <w:rPr>
          <w:rFonts w:ascii="Cambria" w:eastAsia="Batang" w:hAnsi="Cambria"/>
          <w:sz w:val="20"/>
          <w:szCs w:val="20"/>
          <w:bdr w:val="none" w:sz="0" w:space="0" w:color="auto"/>
          <w:lang w:val="es-UY"/>
        </w:rPr>
        <w:t xml:space="preserve">y </w:t>
      </w:r>
      <w:r w:rsidR="00291E3D" w:rsidRPr="00165EC6">
        <w:rPr>
          <w:rFonts w:ascii="Cambria" w:eastAsia="Batang" w:hAnsi="Cambria"/>
          <w:sz w:val="20"/>
          <w:szCs w:val="20"/>
          <w:bdr w:val="none" w:sz="0" w:space="0" w:color="auto"/>
          <w:lang w:val="es-UY"/>
        </w:rPr>
        <w:t xml:space="preserve">que, por esa misma razón debía </w:t>
      </w:r>
      <w:r w:rsidR="00153A0E" w:rsidRPr="00165EC6">
        <w:rPr>
          <w:rFonts w:ascii="Cambria" w:eastAsia="Batang" w:hAnsi="Cambria"/>
          <w:sz w:val="20"/>
          <w:szCs w:val="20"/>
          <w:bdr w:val="none" w:sz="0" w:space="0" w:color="auto"/>
          <w:lang w:val="es-UY"/>
        </w:rPr>
        <w:t xml:space="preserve">inspeccionar y </w:t>
      </w:r>
      <w:r w:rsidR="00291E3D" w:rsidRPr="00165EC6">
        <w:rPr>
          <w:rFonts w:ascii="Cambria" w:eastAsia="Batang" w:hAnsi="Cambria"/>
          <w:sz w:val="20"/>
          <w:szCs w:val="20"/>
          <w:bdr w:val="none" w:sz="0" w:space="0" w:color="auto"/>
          <w:lang w:val="es-UY"/>
        </w:rPr>
        <w:t xml:space="preserve">fiscalizar conforme a la legislación interna y sus obligaciones internacionales. </w:t>
      </w:r>
      <w:r w:rsidR="00572DCE" w:rsidRPr="00165EC6">
        <w:rPr>
          <w:rFonts w:ascii="Cambria" w:eastAsia="Batang" w:hAnsi="Cambria"/>
          <w:sz w:val="20"/>
          <w:szCs w:val="20"/>
          <w:bdr w:val="none" w:sz="0" w:space="0" w:color="auto"/>
          <w:lang w:val="es-UY"/>
        </w:rPr>
        <w:t xml:space="preserve">La Comisión también concluye que, precisamente derivado de ese deber, el Estado debía conocer que </w:t>
      </w:r>
      <w:r w:rsidR="00EA126D" w:rsidRPr="00165EC6">
        <w:rPr>
          <w:rFonts w:ascii="Cambria" w:eastAsia="Batang" w:hAnsi="Cambria"/>
          <w:sz w:val="20"/>
          <w:szCs w:val="20"/>
          <w:bdr w:val="none" w:sz="0" w:space="0" w:color="auto"/>
          <w:lang w:val="es-UY"/>
        </w:rPr>
        <w:t>en la fá</w:t>
      </w:r>
      <w:r w:rsidR="00492DFB" w:rsidRPr="00165EC6">
        <w:rPr>
          <w:rFonts w:ascii="Cambria" w:eastAsia="Batang" w:hAnsi="Cambria"/>
          <w:sz w:val="20"/>
          <w:szCs w:val="20"/>
          <w:bdr w:val="none" w:sz="0" w:space="0" w:color="auto"/>
          <w:lang w:val="es-UY"/>
        </w:rPr>
        <w:t xml:space="preserve">brica de Mário Fróes Prazeres </w:t>
      </w:r>
      <w:r w:rsidR="00817492" w:rsidRPr="00165EC6">
        <w:rPr>
          <w:rFonts w:ascii="Cambria" w:eastAsia="Batang" w:hAnsi="Cambria"/>
          <w:sz w:val="20"/>
          <w:szCs w:val="20"/>
          <w:bdr w:val="none" w:sz="0" w:space="0" w:color="auto"/>
          <w:lang w:val="es-UY"/>
        </w:rPr>
        <w:t xml:space="preserve">existía una de las peores formas de trabajo infantil y que </w:t>
      </w:r>
      <w:r w:rsidR="00153A0E" w:rsidRPr="00165EC6">
        <w:rPr>
          <w:rFonts w:ascii="Cambria" w:eastAsia="Batang" w:hAnsi="Cambria"/>
          <w:sz w:val="20"/>
          <w:szCs w:val="20"/>
          <w:bdr w:val="none" w:sz="0" w:space="0" w:color="auto"/>
          <w:lang w:val="es-UY"/>
        </w:rPr>
        <w:t>se estaban cometiendo graves</w:t>
      </w:r>
      <w:r w:rsidR="00492DFB" w:rsidRPr="00165EC6">
        <w:rPr>
          <w:rFonts w:ascii="Cambria" w:eastAsia="Batang" w:hAnsi="Cambria"/>
          <w:sz w:val="20"/>
          <w:szCs w:val="20"/>
          <w:bdr w:val="none" w:sz="0" w:space="0" w:color="auto"/>
          <w:lang w:val="es-UY"/>
        </w:rPr>
        <w:t xml:space="preserve"> irregularidades que </w:t>
      </w:r>
      <w:r w:rsidR="00F13E73" w:rsidRPr="00165EC6">
        <w:rPr>
          <w:rFonts w:ascii="Cambria" w:eastAsia="Batang" w:hAnsi="Cambria"/>
          <w:sz w:val="20"/>
          <w:szCs w:val="20"/>
          <w:bdr w:val="none" w:sz="0" w:space="0" w:color="auto"/>
          <w:lang w:val="es-UY"/>
        </w:rPr>
        <w:t>implicaban un riesgo</w:t>
      </w:r>
      <w:r w:rsidR="00E01876" w:rsidRPr="00165EC6">
        <w:rPr>
          <w:rFonts w:ascii="Cambria" w:eastAsia="Batang" w:hAnsi="Cambria"/>
          <w:sz w:val="20"/>
          <w:szCs w:val="20"/>
          <w:bdr w:val="none" w:sz="0" w:space="0" w:color="auto"/>
          <w:lang w:val="es-UY"/>
        </w:rPr>
        <w:t xml:space="preserve"> grave</w:t>
      </w:r>
      <w:r w:rsidR="00F13E73" w:rsidRPr="00165EC6">
        <w:rPr>
          <w:rFonts w:ascii="Cambria" w:eastAsia="Batang" w:hAnsi="Cambria"/>
          <w:sz w:val="20"/>
          <w:szCs w:val="20"/>
          <w:bdr w:val="none" w:sz="0" w:space="0" w:color="auto"/>
          <w:lang w:val="es-UY"/>
        </w:rPr>
        <w:t xml:space="preserve"> </w:t>
      </w:r>
      <w:r w:rsidR="00415253" w:rsidRPr="00165EC6">
        <w:rPr>
          <w:rFonts w:ascii="Cambria" w:eastAsia="Batang" w:hAnsi="Cambria"/>
          <w:sz w:val="20"/>
          <w:szCs w:val="20"/>
          <w:bdr w:val="none" w:sz="0" w:space="0" w:color="auto"/>
          <w:lang w:val="es-UY"/>
        </w:rPr>
        <w:t xml:space="preserve">e </w:t>
      </w:r>
      <w:r w:rsidR="00D3114E" w:rsidRPr="00165EC6">
        <w:rPr>
          <w:rFonts w:ascii="Cambria" w:eastAsia="Batang" w:hAnsi="Cambria"/>
          <w:sz w:val="20"/>
          <w:szCs w:val="20"/>
          <w:bdr w:val="none" w:sz="0" w:space="0" w:color="auto"/>
          <w:lang w:val="es-UY"/>
        </w:rPr>
        <w:t>inminente para la v</w:t>
      </w:r>
      <w:r w:rsidR="004524E4" w:rsidRPr="00165EC6">
        <w:rPr>
          <w:rFonts w:ascii="Cambria" w:eastAsia="Batang" w:hAnsi="Cambria"/>
          <w:sz w:val="20"/>
          <w:szCs w:val="20"/>
          <w:bdr w:val="none" w:sz="0" w:space="0" w:color="auto"/>
          <w:lang w:val="es-UY"/>
        </w:rPr>
        <w:t xml:space="preserve">ida, </w:t>
      </w:r>
      <w:r w:rsidR="00817492" w:rsidRPr="00165EC6">
        <w:rPr>
          <w:rFonts w:ascii="Cambria" w:eastAsia="Batang" w:hAnsi="Cambria"/>
          <w:sz w:val="20"/>
          <w:szCs w:val="20"/>
          <w:bdr w:val="none" w:sz="0" w:space="0" w:color="auto"/>
          <w:lang w:val="es-UY"/>
        </w:rPr>
        <w:t xml:space="preserve">integridad personal </w:t>
      </w:r>
      <w:r w:rsidR="004524E4" w:rsidRPr="00165EC6">
        <w:rPr>
          <w:rFonts w:ascii="Cambria" w:eastAsia="Batang" w:hAnsi="Cambria"/>
          <w:sz w:val="20"/>
          <w:szCs w:val="20"/>
          <w:bdr w:val="none" w:sz="0" w:space="0" w:color="auto"/>
          <w:lang w:val="es-UY"/>
        </w:rPr>
        <w:t xml:space="preserve">y salud </w:t>
      </w:r>
      <w:r w:rsidR="00817492" w:rsidRPr="00165EC6">
        <w:rPr>
          <w:rFonts w:ascii="Cambria" w:eastAsia="Batang" w:hAnsi="Cambria"/>
          <w:sz w:val="20"/>
          <w:szCs w:val="20"/>
          <w:bdr w:val="none" w:sz="0" w:space="0" w:color="auto"/>
          <w:lang w:val="es-UY"/>
        </w:rPr>
        <w:t>de todos</w:t>
      </w:r>
      <w:r w:rsidR="00D3114E" w:rsidRPr="00165EC6">
        <w:rPr>
          <w:rFonts w:ascii="Cambria" w:eastAsia="Batang" w:hAnsi="Cambria"/>
          <w:sz w:val="20"/>
          <w:szCs w:val="20"/>
          <w:bdr w:val="none" w:sz="0" w:space="0" w:color="auto"/>
          <w:lang w:val="es-UY"/>
        </w:rPr>
        <w:t xml:space="preserve"> trabajadores</w:t>
      </w:r>
      <w:r w:rsidR="000D2285" w:rsidRPr="00165EC6">
        <w:rPr>
          <w:rFonts w:ascii="Cambria" w:eastAsia="Batang" w:hAnsi="Cambria"/>
          <w:sz w:val="20"/>
          <w:szCs w:val="20"/>
          <w:bdr w:val="none" w:sz="0" w:space="0" w:color="auto"/>
          <w:lang w:val="es-UY"/>
        </w:rPr>
        <w:t xml:space="preserve">. </w:t>
      </w:r>
      <w:r w:rsidR="00422C78" w:rsidRPr="00165EC6">
        <w:rPr>
          <w:rFonts w:ascii="Cambria" w:eastAsia="Batang" w:hAnsi="Cambria"/>
          <w:sz w:val="20"/>
          <w:szCs w:val="20"/>
          <w:bdr w:val="none" w:sz="0" w:space="0" w:color="auto"/>
          <w:lang w:val="es-UY"/>
        </w:rPr>
        <w:t xml:space="preserve">De la información contextual, la Comisión concluye que el Estado sabía que se trataba de una problemática de larga data en la zona, lo que hacía aún más imperioso el estricto cumplimiento de los deberes de fiscalización del funcionamiento de la fábrica. En consideración de la CIDH, no haber realizado ninguna inspección o fiscalización en la fábrica durante años, conociendo el contexto generalizado de actividades peligrosas con fuegos artificiales en la zona, resulta suficiente para establecer que el Estado no </w:t>
      </w:r>
      <w:r w:rsidR="00EB10FA" w:rsidRPr="00165EC6">
        <w:rPr>
          <w:rFonts w:ascii="Cambria" w:eastAsia="Batang" w:hAnsi="Cambria"/>
          <w:sz w:val="20"/>
          <w:szCs w:val="20"/>
          <w:bdr w:val="none" w:sz="0" w:space="0" w:color="auto"/>
          <w:lang w:val="es-UY"/>
        </w:rPr>
        <w:t xml:space="preserve"> </w:t>
      </w:r>
      <w:r w:rsidR="00422C78" w:rsidRPr="00165EC6">
        <w:rPr>
          <w:rFonts w:ascii="Cambria" w:eastAsia="Batang" w:hAnsi="Cambria"/>
          <w:sz w:val="20"/>
          <w:szCs w:val="20"/>
          <w:bdr w:val="none" w:sz="0" w:space="0" w:color="auto"/>
          <w:lang w:val="es-UY"/>
        </w:rPr>
        <w:t>sólo</w:t>
      </w:r>
      <w:r w:rsidR="00EB10FA" w:rsidRPr="00165EC6">
        <w:rPr>
          <w:rFonts w:ascii="Cambria" w:eastAsia="Batang" w:hAnsi="Cambria"/>
          <w:sz w:val="20"/>
          <w:szCs w:val="20"/>
          <w:bdr w:val="none" w:sz="0" w:space="0" w:color="auto"/>
          <w:lang w:val="es-UY"/>
        </w:rPr>
        <w:t xml:space="preserve"> no cumplía con sus deberes</w:t>
      </w:r>
      <w:r w:rsidR="00422C78" w:rsidRPr="00165EC6">
        <w:rPr>
          <w:rFonts w:ascii="Cambria" w:eastAsia="Batang" w:hAnsi="Cambria"/>
          <w:sz w:val="20"/>
          <w:szCs w:val="20"/>
          <w:bdr w:val="none" w:sz="0" w:space="0" w:color="auto"/>
          <w:lang w:val="es-UY"/>
        </w:rPr>
        <w:t xml:space="preserve">, sino que fue tolerante y aquiescente con lo sucedido. </w:t>
      </w:r>
    </w:p>
    <w:p w:rsidR="00153A0E" w:rsidRPr="00165EC6" w:rsidRDefault="00153A0E" w:rsidP="0090018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UY"/>
        </w:rPr>
      </w:pPr>
    </w:p>
    <w:p w:rsidR="00277412" w:rsidRPr="00165EC6" w:rsidRDefault="00277412" w:rsidP="009001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jc w:val="both"/>
        <w:rPr>
          <w:rFonts w:ascii="Cambria" w:eastAsia="Batang" w:hAnsi="Cambria"/>
          <w:sz w:val="20"/>
          <w:szCs w:val="20"/>
          <w:bdr w:val="none" w:sz="0" w:space="0" w:color="auto"/>
          <w:lang w:val="es-UY"/>
        </w:rPr>
      </w:pPr>
      <w:r w:rsidRPr="00165EC6">
        <w:rPr>
          <w:rFonts w:ascii="Cambria" w:eastAsia="Batang" w:hAnsi="Cambria"/>
          <w:sz w:val="20"/>
          <w:szCs w:val="20"/>
          <w:bdr w:val="none" w:sz="0" w:space="0" w:color="auto"/>
          <w:lang w:val="es-UY"/>
        </w:rPr>
        <w:t>En virtud de lo anterior, la Comisión concluye que el Estado de Brasil es responsable por el incumplimiento del deber de</w:t>
      </w:r>
      <w:r w:rsidR="00422C78" w:rsidRPr="00165EC6">
        <w:rPr>
          <w:rFonts w:ascii="Cambria" w:eastAsia="Batang" w:hAnsi="Cambria"/>
          <w:sz w:val="20"/>
          <w:szCs w:val="20"/>
          <w:bdr w:val="none" w:sz="0" w:space="0" w:color="auto"/>
          <w:lang w:val="es-UY"/>
        </w:rPr>
        <w:t xml:space="preserve"> respeto y</w:t>
      </w:r>
      <w:r w:rsidRPr="00165EC6">
        <w:rPr>
          <w:rFonts w:ascii="Cambria" w:eastAsia="Batang" w:hAnsi="Cambria"/>
          <w:sz w:val="20"/>
          <w:szCs w:val="20"/>
          <w:bdr w:val="none" w:sz="0" w:space="0" w:color="auto"/>
          <w:lang w:val="es-UY"/>
        </w:rPr>
        <w:t xml:space="preserve"> garantía del derecho a la vida y a la integridad personal</w:t>
      </w:r>
      <w:r w:rsidR="009914D0" w:rsidRPr="00165EC6">
        <w:rPr>
          <w:rFonts w:ascii="Cambria" w:eastAsia="Batang" w:hAnsi="Cambria"/>
          <w:sz w:val="20"/>
          <w:szCs w:val="20"/>
          <w:bdr w:val="none" w:sz="0" w:space="0" w:color="auto"/>
          <w:lang w:val="es-UY"/>
        </w:rPr>
        <w:t xml:space="preserve"> establecidos en los artículos 4.1 y 5.1 de la Convención Americana, en relación con las obligaciones establecidas en los artículos 19 y 1.1 del mismo instrumento, en perjuicio de </w:t>
      </w:r>
      <w:r w:rsidRPr="00165EC6">
        <w:rPr>
          <w:rFonts w:ascii="Cambria" w:eastAsia="Batang" w:hAnsi="Cambria"/>
          <w:sz w:val="20"/>
          <w:szCs w:val="20"/>
          <w:bdr w:val="none" w:sz="0" w:space="0" w:color="auto"/>
          <w:lang w:val="es-UY"/>
        </w:rPr>
        <w:t>las víctimas directas de la explosi</w:t>
      </w:r>
      <w:r w:rsidR="009914D0" w:rsidRPr="00165EC6">
        <w:rPr>
          <w:rFonts w:ascii="Cambria" w:eastAsia="Batang" w:hAnsi="Cambria"/>
          <w:sz w:val="20"/>
          <w:szCs w:val="20"/>
          <w:bdr w:val="none" w:sz="0" w:space="0" w:color="auto"/>
          <w:lang w:val="es-UY"/>
        </w:rPr>
        <w:t xml:space="preserve">ón del 11 de diciembre de 1998, conforme se detalla en el Anexo único del presente informe de fondo. </w:t>
      </w:r>
    </w:p>
    <w:p w:rsidR="00B74E3A" w:rsidRPr="00165EC6" w:rsidRDefault="00B74E3A" w:rsidP="00802F22">
      <w:pPr>
        <w:pStyle w:val="Heading2"/>
        <w:ind w:firstLine="720"/>
        <w:rPr>
          <w:rFonts w:asciiTheme="majorHAnsi" w:hAnsiTheme="majorHAnsi"/>
          <w:i w:val="0"/>
          <w:sz w:val="20"/>
          <w:szCs w:val="20"/>
          <w:lang w:val="es-MX"/>
        </w:rPr>
      </w:pPr>
      <w:bookmarkStart w:id="34" w:name="_Toc506225843"/>
      <w:r w:rsidRPr="00165EC6">
        <w:rPr>
          <w:rFonts w:asciiTheme="majorHAnsi" w:hAnsiTheme="majorHAnsi"/>
          <w:i w:val="0"/>
          <w:sz w:val="20"/>
          <w:szCs w:val="20"/>
          <w:lang w:val="es-MX"/>
        </w:rPr>
        <w:lastRenderedPageBreak/>
        <w:t>B.</w:t>
      </w:r>
      <w:r w:rsidRPr="00165EC6">
        <w:rPr>
          <w:rFonts w:asciiTheme="majorHAnsi" w:hAnsiTheme="majorHAnsi"/>
          <w:i w:val="0"/>
          <w:sz w:val="20"/>
          <w:szCs w:val="20"/>
          <w:lang w:val="es-MX"/>
        </w:rPr>
        <w:tab/>
        <w:t xml:space="preserve">Derecho al trabajo y principio de igualdad y no discriminación </w:t>
      </w:r>
      <w:r w:rsidR="00A16C3E" w:rsidRPr="00165EC6">
        <w:rPr>
          <w:rFonts w:asciiTheme="majorHAnsi" w:hAnsiTheme="majorHAnsi"/>
          <w:i w:val="0"/>
          <w:sz w:val="20"/>
          <w:szCs w:val="20"/>
          <w:lang w:val="es-MX"/>
        </w:rPr>
        <w:t xml:space="preserve">(Artículos 26, 24, </w:t>
      </w:r>
      <w:r w:rsidRPr="00165EC6">
        <w:rPr>
          <w:rFonts w:asciiTheme="majorHAnsi" w:hAnsiTheme="majorHAnsi"/>
          <w:i w:val="0"/>
          <w:sz w:val="20"/>
          <w:szCs w:val="20"/>
          <w:lang w:val="es-MX"/>
        </w:rPr>
        <w:t>1.1</w:t>
      </w:r>
      <w:r w:rsidR="00A16C3E" w:rsidRPr="00165EC6">
        <w:rPr>
          <w:rFonts w:asciiTheme="majorHAnsi" w:hAnsiTheme="majorHAnsi"/>
          <w:i w:val="0"/>
          <w:sz w:val="20"/>
          <w:szCs w:val="20"/>
          <w:lang w:val="es-MX"/>
        </w:rPr>
        <w:t xml:space="preserve"> y 2</w:t>
      </w:r>
      <w:r w:rsidRPr="00165EC6">
        <w:rPr>
          <w:rStyle w:val="FootnoteReference"/>
          <w:rFonts w:asciiTheme="majorHAnsi" w:hAnsiTheme="majorHAnsi"/>
          <w:i w:val="0"/>
          <w:sz w:val="20"/>
          <w:szCs w:val="20"/>
          <w:lang w:val="es-MX"/>
        </w:rPr>
        <w:footnoteReference w:id="99"/>
      </w:r>
      <w:r w:rsidRPr="00165EC6">
        <w:rPr>
          <w:rFonts w:asciiTheme="majorHAnsi" w:hAnsiTheme="majorHAnsi"/>
          <w:i w:val="0"/>
          <w:sz w:val="20"/>
          <w:szCs w:val="20"/>
          <w:lang w:val="es-MX"/>
        </w:rPr>
        <w:t xml:space="preserve"> de la Convención  Americana)</w:t>
      </w:r>
      <w:r w:rsidR="00954277" w:rsidRPr="00165EC6">
        <w:rPr>
          <w:rFonts w:asciiTheme="majorHAnsi" w:hAnsiTheme="majorHAnsi"/>
          <w:i w:val="0"/>
          <w:sz w:val="20"/>
          <w:szCs w:val="20"/>
          <w:lang w:val="es-MX"/>
        </w:rPr>
        <w:t>.</w:t>
      </w:r>
      <w:bookmarkEnd w:id="34"/>
      <w:r w:rsidRPr="00165EC6">
        <w:rPr>
          <w:rFonts w:asciiTheme="majorHAnsi" w:hAnsiTheme="majorHAnsi"/>
          <w:i w:val="0"/>
          <w:sz w:val="20"/>
          <w:szCs w:val="20"/>
          <w:lang w:val="es-MX"/>
        </w:rPr>
        <w:t xml:space="preserve"> </w:t>
      </w:r>
    </w:p>
    <w:p w:rsidR="00B74E3A" w:rsidRPr="00165EC6" w:rsidRDefault="00B74E3A" w:rsidP="00802F22">
      <w:pPr>
        <w:pStyle w:val="Heading3"/>
        <w:numPr>
          <w:ilvl w:val="2"/>
          <w:numId w:val="55"/>
        </w:numPr>
        <w:tabs>
          <w:tab w:val="clear" w:pos="2160"/>
        </w:tabs>
        <w:ind w:left="1440" w:hanging="720"/>
        <w:rPr>
          <w:rFonts w:asciiTheme="majorHAnsi" w:hAnsiTheme="majorHAnsi"/>
          <w:sz w:val="20"/>
          <w:szCs w:val="20"/>
          <w:lang w:val="es-MX"/>
        </w:rPr>
      </w:pPr>
      <w:bookmarkStart w:id="35" w:name="_Toc506225844"/>
      <w:r w:rsidRPr="00165EC6">
        <w:rPr>
          <w:rFonts w:asciiTheme="majorHAnsi" w:hAnsiTheme="majorHAnsi"/>
          <w:sz w:val="20"/>
          <w:szCs w:val="20"/>
          <w:lang w:val="es-MX"/>
        </w:rPr>
        <w:t>Consideraciones generales</w:t>
      </w:r>
      <w:bookmarkEnd w:id="35"/>
      <w:r w:rsidR="00186187">
        <w:rPr>
          <w:rFonts w:asciiTheme="majorHAnsi" w:hAnsiTheme="majorHAnsi"/>
          <w:sz w:val="20"/>
          <w:szCs w:val="20"/>
          <w:lang w:val="es-MX"/>
        </w:rPr>
        <w:t>.</w:t>
      </w:r>
    </w:p>
    <w:p w:rsidR="00B74E3A" w:rsidRPr="00165EC6" w:rsidRDefault="00B74E3A" w:rsidP="00B74E3A">
      <w:pPr>
        <w:pStyle w:val="FootnoteText"/>
        <w:jc w:val="both"/>
        <w:rPr>
          <w:rFonts w:ascii="Cambria" w:hAnsi="Cambria"/>
          <w:b/>
          <w:color w:val="auto"/>
          <w:lang w:val="es-MX"/>
        </w:rPr>
      </w:pPr>
    </w:p>
    <w:p w:rsidR="00B74E3A" w:rsidRPr="00165EC6" w:rsidRDefault="00B74E3A" w:rsidP="009001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jc w:val="both"/>
        <w:rPr>
          <w:rFonts w:ascii="Cambria" w:hAnsi="Cambria"/>
          <w:sz w:val="20"/>
          <w:szCs w:val="20"/>
          <w:lang w:val="es-MX"/>
        </w:rPr>
      </w:pPr>
      <w:r w:rsidRPr="00165EC6">
        <w:rPr>
          <w:rFonts w:ascii="Cambria" w:hAnsi="Cambria"/>
          <w:sz w:val="20"/>
          <w:szCs w:val="20"/>
          <w:lang w:val="es-MX"/>
        </w:rPr>
        <w:t>El artículo 26 de la Convención Americana establece una obligación en cabeza de los Estados partes, de </w:t>
      </w:r>
      <w:r w:rsidRPr="00165EC6">
        <w:rPr>
          <w:rFonts w:ascii="Cambria" w:hAnsi="Cambria"/>
          <w:sz w:val="20"/>
          <w:szCs w:val="20"/>
          <w:lang w:val="es-AR"/>
        </w:rPr>
        <w:t>procurar</w:t>
      </w:r>
      <w:r w:rsidRPr="00165EC6">
        <w:rPr>
          <w:rFonts w:ascii="Cambria" w:hAnsi="Cambria"/>
          <w:sz w:val="20"/>
          <w:szCs w:val="20"/>
          <w:lang w:val="es-MX"/>
        </w:rPr>
        <w:t xml:space="preserve"> el desarrollo progresivo de los derechos que dicha norma contiene.  Aunque </w:t>
      </w:r>
      <w:r w:rsidRPr="00165EC6">
        <w:rPr>
          <w:rFonts w:ascii="Cambria" w:hAnsi="Cambria" w:cs="Arial"/>
          <w:snapToGrid w:val="0"/>
          <w:sz w:val="20"/>
          <w:szCs w:val="20"/>
          <w:lang w:val="es-CO"/>
        </w:rPr>
        <w:t>ambos órganos del sistema interamericano</w:t>
      </w:r>
      <w:r w:rsidRPr="00165EC6">
        <w:rPr>
          <w:rStyle w:val="FootnoteReference"/>
          <w:rFonts w:ascii="Cambria" w:hAnsi="Cambria" w:cs="Arial"/>
          <w:snapToGrid w:val="0"/>
          <w:sz w:val="20"/>
          <w:szCs w:val="20"/>
          <w:lang w:val="es-CO"/>
        </w:rPr>
        <w:footnoteReference w:id="100"/>
      </w:r>
      <w:r w:rsidRPr="00165EC6">
        <w:rPr>
          <w:rFonts w:ascii="Cambria" w:hAnsi="Cambria" w:cs="Arial"/>
          <w:snapToGrid w:val="0"/>
          <w:sz w:val="20"/>
          <w:szCs w:val="20"/>
          <w:lang w:val="es-CO"/>
        </w:rPr>
        <w:t xml:space="preserve"> han reafirmado su competencia para pronunciarse sobre posibles violaciones del artículo 26 </w:t>
      </w:r>
      <w:r w:rsidRPr="00165EC6">
        <w:rPr>
          <w:rFonts w:ascii="Cambria" w:eastAsia="Batang" w:hAnsi="Cambria"/>
          <w:sz w:val="20"/>
          <w:szCs w:val="20"/>
          <w:bdr w:val="none" w:sz="0" w:space="0" w:color="auto"/>
          <w:lang w:val="es-UY"/>
        </w:rPr>
        <w:t>de</w:t>
      </w:r>
      <w:r w:rsidRPr="00165EC6">
        <w:rPr>
          <w:rFonts w:ascii="Cambria" w:hAnsi="Cambria" w:cs="Arial"/>
          <w:snapToGrid w:val="0"/>
          <w:sz w:val="20"/>
          <w:szCs w:val="20"/>
          <w:lang w:val="es-CO"/>
        </w:rPr>
        <w:t xml:space="preserve"> la Convención Americana en el marco del sistema de peticiones y casos individuales, </w:t>
      </w:r>
      <w:r w:rsidRPr="00165EC6">
        <w:rPr>
          <w:rFonts w:ascii="Cambria" w:hAnsi="Cambria"/>
          <w:sz w:val="20"/>
          <w:szCs w:val="20"/>
          <w:lang w:val="es-MX"/>
        </w:rPr>
        <w:t xml:space="preserve">esta disposición había sido materia de poco desarrollo en la jurisprudencia del sistema interamericano relativa a casos contenciosos. En sus pronunciamientos sobre la materia, la Corte ha enfatizado la </w:t>
      </w:r>
      <w:r w:rsidRPr="00165EC6">
        <w:rPr>
          <w:rFonts w:ascii="Cambria" w:hAnsi="Cambria" w:cs="Arial"/>
          <w:snapToGrid w:val="0"/>
          <w:sz w:val="20"/>
          <w:szCs w:val="20"/>
          <w:lang w:val="es-CO"/>
        </w:rPr>
        <w:t xml:space="preserve">interdependencia </w:t>
      </w:r>
      <w:r w:rsidR="005C4ADD" w:rsidRPr="00165EC6">
        <w:rPr>
          <w:rFonts w:ascii="Cambria" w:hAnsi="Cambria" w:cs="Arial"/>
          <w:snapToGrid w:val="0"/>
          <w:sz w:val="20"/>
          <w:szCs w:val="20"/>
          <w:lang w:val="es-CO"/>
        </w:rPr>
        <w:t xml:space="preserve">e indivisibilidad </w:t>
      </w:r>
      <w:r w:rsidRPr="00165EC6">
        <w:rPr>
          <w:rFonts w:ascii="Cambria" w:hAnsi="Cambria" w:cs="Arial"/>
          <w:snapToGrid w:val="0"/>
          <w:sz w:val="20"/>
          <w:szCs w:val="20"/>
          <w:lang w:val="es-CO"/>
        </w:rPr>
        <w:t>de los derechos económicos, sociales y culturales respecto de los derechos civiles y políticos</w:t>
      </w:r>
      <w:r w:rsidRPr="00165EC6">
        <w:rPr>
          <w:rStyle w:val="FootnoteReference"/>
          <w:rFonts w:ascii="Cambria" w:hAnsi="Cambria" w:cs="Arial"/>
          <w:snapToGrid w:val="0"/>
          <w:sz w:val="20"/>
          <w:szCs w:val="20"/>
          <w:lang w:val="es-CO"/>
        </w:rPr>
        <w:footnoteReference w:id="101"/>
      </w:r>
      <w:r w:rsidRPr="00165EC6">
        <w:rPr>
          <w:rFonts w:ascii="Cambria" w:hAnsi="Cambria" w:cs="Arial"/>
          <w:snapToGrid w:val="0"/>
          <w:sz w:val="20"/>
          <w:szCs w:val="20"/>
          <w:lang w:val="es-CO"/>
        </w:rPr>
        <w:t>.</w:t>
      </w:r>
    </w:p>
    <w:p w:rsidR="00B74E3A" w:rsidRPr="00165EC6" w:rsidRDefault="00B74E3A" w:rsidP="00900181">
      <w:pPr>
        <w:ind w:firstLine="720"/>
        <w:jc w:val="both"/>
        <w:rPr>
          <w:rFonts w:ascii="Cambria" w:hAnsi="Cambria"/>
          <w:sz w:val="20"/>
          <w:szCs w:val="20"/>
          <w:lang w:val="es-MX"/>
        </w:rPr>
      </w:pPr>
    </w:p>
    <w:p w:rsidR="00C62DFA" w:rsidRPr="00165EC6" w:rsidRDefault="00B74E3A" w:rsidP="009001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Arial"/>
          <w:snapToGrid w:val="0"/>
          <w:sz w:val="20"/>
          <w:szCs w:val="20"/>
          <w:lang w:val="es-CO"/>
        </w:rPr>
      </w:pPr>
      <w:r w:rsidRPr="00165EC6">
        <w:rPr>
          <w:rFonts w:ascii="Cambria" w:hAnsi="Cambria" w:cs="Arial"/>
          <w:snapToGrid w:val="0"/>
          <w:sz w:val="20"/>
          <w:szCs w:val="20"/>
          <w:lang w:val="es-CO"/>
        </w:rPr>
        <w:t xml:space="preserve">La Comisión reconoce que la interpretación del artículo 26 de la Convención y la determinación concreta de su </w:t>
      </w:r>
      <w:r w:rsidRPr="00165EC6">
        <w:rPr>
          <w:rFonts w:ascii="Cambria" w:hAnsi="Cambria"/>
          <w:sz w:val="20"/>
          <w:szCs w:val="20"/>
          <w:lang w:val="es-MX"/>
        </w:rPr>
        <w:t>alcance</w:t>
      </w:r>
      <w:r w:rsidRPr="00165EC6">
        <w:rPr>
          <w:rFonts w:ascii="Cambria" w:hAnsi="Cambria" w:cs="Arial"/>
          <w:snapToGrid w:val="0"/>
          <w:sz w:val="20"/>
          <w:szCs w:val="20"/>
          <w:lang w:val="es-CO"/>
        </w:rPr>
        <w:t xml:space="preserve"> y contenido puede revestir ciertas complejidades interpretativas. En ese sentido, </w:t>
      </w:r>
      <w:r w:rsidRPr="00165EC6">
        <w:rPr>
          <w:rFonts w:ascii="Cambria" w:hAnsi="Cambria"/>
          <w:sz w:val="20"/>
          <w:szCs w:val="20"/>
          <w:lang w:val="es-MX"/>
        </w:rPr>
        <w:t xml:space="preserve">la Comisión considera </w:t>
      </w:r>
      <w:r w:rsidR="002658C8" w:rsidRPr="00165EC6">
        <w:rPr>
          <w:rFonts w:ascii="Cambria" w:hAnsi="Cambria"/>
          <w:sz w:val="20"/>
          <w:szCs w:val="20"/>
          <w:lang w:val="es-MX"/>
        </w:rPr>
        <w:t>necesario</w:t>
      </w:r>
      <w:r w:rsidRPr="00165EC6">
        <w:rPr>
          <w:rFonts w:ascii="Cambria" w:hAnsi="Cambria"/>
          <w:sz w:val="20"/>
          <w:szCs w:val="20"/>
          <w:lang w:val="es-MX"/>
        </w:rPr>
        <w:t xml:space="preserve"> desarrollar algunos de sus pronunciamientos anteriores al respecto, específicamente, en cuanto a la que considera una metodología adecuada de análisis que toma en cuenta el texto de la norma, pero lo interpreta de manera consistente con los desarrollos que en la materia se han efectuado a nivel internacional y que resultan de gran utilidad para desentrañar su alcance y contenido. </w:t>
      </w:r>
    </w:p>
    <w:p w:rsidR="00C62DFA" w:rsidRPr="00165EC6" w:rsidRDefault="00C62DFA" w:rsidP="0090018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s="Arial"/>
          <w:snapToGrid w:val="0"/>
          <w:sz w:val="20"/>
          <w:szCs w:val="20"/>
          <w:lang w:val="es-CO"/>
        </w:rPr>
      </w:pPr>
    </w:p>
    <w:p w:rsidR="00FB40CF" w:rsidRPr="00165EC6" w:rsidRDefault="00B74E3A" w:rsidP="009001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165EC6">
        <w:rPr>
          <w:rFonts w:ascii="Cambria" w:hAnsi="Cambria"/>
          <w:sz w:val="20"/>
          <w:szCs w:val="20"/>
          <w:lang w:val="es-MX"/>
        </w:rPr>
        <w:t xml:space="preserve">Así, la Comisión considera que el análisis de un caso concreto a la luz del artículo 26 de la Convención Americana debe ser efectuado en dos niveles. En un primer momento, </w:t>
      </w:r>
      <w:r w:rsidR="00073669" w:rsidRPr="00165EC6">
        <w:rPr>
          <w:rFonts w:ascii="Cambria" w:hAnsi="Cambria"/>
          <w:sz w:val="20"/>
          <w:szCs w:val="20"/>
          <w:lang w:val="es-MX"/>
        </w:rPr>
        <w:t>es necesario establecer si el derecho del que se trata el caso se deriva “</w:t>
      </w:r>
      <w:r w:rsidRPr="00165EC6">
        <w:rPr>
          <w:rFonts w:ascii="Cambria" w:hAnsi="Cambria"/>
          <w:sz w:val="20"/>
          <w:szCs w:val="20"/>
          <w:lang w:val="es-MX"/>
        </w:rPr>
        <w:t>de las normas económicas, sociales y sobre educación, ciencia y cultura, contenidas en la Carta de la Organización de Estados Americanos”,</w:t>
      </w:r>
      <w:r w:rsidR="00073669" w:rsidRPr="00165EC6">
        <w:rPr>
          <w:rFonts w:ascii="Cambria" w:hAnsi="Cambria"/>
          <w:sz w:val="20"/>
          <w:szCs w:val="20"/>
          <w:lang w:val="es-MX"/>
        </w:rPr>
        <w:t xml:space="preserve"> tal como remite el texto del artículo 26.</w:t>
      </w:r>
      <w:r w:rsidR="00FB40CF" w:rsidRPr="00165EC6">
        <w:rPr>
          <w:rFonts w:ascii="Cambria" w:hAnsi="Cambria"/>
          <w:sz w:val="20"/>
          <w:szCs w:val="20"/>
          <w:lang w:val="es-MX"/>
        </w:rPr>
        <w:t xml:space="preserve"> </w:t>
      </w:r>
      <w:r w:rsidR="00C62DFA" w:rsidRPr="00165EC6">
        <w:rPr>
          <w:rFonts w:ascii="Cambria" w:hAnsi="Cambria"/>
          <w:sz w:val="20"/>
          <w:szCs w:val="20"/>
          <w:lang w:val="es-MX"/>
        </w:rPr>
        <w:t xml:space="preserve">Es decir, el </w:t>
      </w:r>
      <w:r w:rsidR="00F61C54" w:rsidRPr="00165EC6">
        <w:rPr>
          <w:rFonts w:ascii="Cambria" w:hAnsi="Cambria"/>
          <w:sz w:val="20"/>
          <w:szCs w:val="20"/>
          <w:lang w:val="es-MX"/>
        </w:rPr>
        <w:t>art</w:t>
      </w:r>
      <w:r w:rsidR="00A66A37" w:rsidRPr="00165EC6">
        <w:rPr>
          <w:rFonts w:ascii="Cambria" w:hAnsi="Cambria"/>
          <w:sz w:val="20"/>
          <w:szCs w:val="20"/>
          <w:lang w:val="es-MX"/>
        </w:rPr>
        <w:t xml:space="preserve">ículo 26 de la CADH </w:t>
      </w:r>
      <w:r w:rsidR="00C62DFA" w:rsidRPr="00165EC6">
        <w:rPr>
          <w:rFonts w:ascii="Cambria" w:hAnsi="Cambria"/>
          <w:sz w:val="20"/>
          <w:szCs w:val="20"/>
          <w:lang w:val="es-MX"/>
        </w:rPr>
        <w:t xml:space="preserve">es </w:t>
      </w:r>
      <w:r w:rsidR="00A66A37" w:rsidRPr="00165EC6">
        <w:rPr>
          <w:rFonts w:ascii="Cambria" w:hAnsi="Cambria"/>
          <w:sz w:val="20"/>
          <w:szCs w:val="20"/>
          <w:lang w:val="es-MX"/>
        </w:rPr>
        <w:t xml:space="preserve">el que atribuye </w:t>
      </w:r>
      <w:r w:rsidR="00C630A3" w:rsidRPr="00165EC6">
        <w:rPr>
          <w:rFonts w:ascii="Cambria" w:hAnsi="Cambria"/>
          <w:sz w:val="20"/>
          <w:szCs w:val="20"/>
          <w:lang w:val="es-MX"/>
        </w:rPr>
        <w:t xml:space="preserve">a la Carta de la OEA </w:t>
      </w:r>
      <w:r w:rsidR="00A66A37" w:rsidRPr="00165EC6">
        <w:rPr>
          <w:rFonts w:ascii="Cambria" w:hAnsi="Cambria"/>
          <w:sz w:val="20"/>
          <w:szCs w:val="20"/>
          <w:lang w:val="es-MX"/>
        </w:rPr>
        <w:t>como fuente directa de derechos</w:t>
      </w:r>
      <w:r w:rsidR="00F85A06" w:rsidRPr="00165EC6">
        <w:rPr>
          <w:rFonts w:ascii="Cambria" w:hAnsi="Cambria"/>
          <w:sz w:val="20"/>
          <w:szCs w:val="20"/>
          <w:lang w:val="es-MX"/>
        </w:rPr>
        <w:t>,</w:t>
      </w:r>
      <w:r w:rsidR="00A66A37" w:rsidRPr="00165EC6">
        <w:rPr>
          <w:rFonts w:ascii="Cambria" w:hAnsi="Cambria"/>
          <w:sz w:val="20"/>
          <w:szCs w:val="20"/>
          <w:lang w:val="es-MX"/>
        </w:rPr>
        <w:t xml:space="preserve"> </w:t>
      </w:r>
      <w:r w:rsidR="00C630A3" w:rsidRPr="00165EC6">
        <w:rPr>
          <w:rFonts w:ascii="Cambria" w:hAnsi="Cambria"/>
          <w:sz w:val="20"/>
          <w:szCs w:val="20"/>
          <w:lang w:val="es-MX"/>
        </w:rPr>
        <w:t>a</w:t>
      </w:r>
      <w:r w:rsidR="00A66A37" w:rsidRPr="00165EC6">
        <w:rPr>
          <w:rFonts w:ascii="Cambria" w:hAnsi="Cambria"/>
          <w:sz w:val="20"/>
          <w:szCs w:val="20"/>
          <w:lang w:val="es-MX"/>
        </w:rPr>
        <w:t>signa</w:t>
      </w:r>
      <w:r w:rsidR="00C630A3" w:rsidRPr="00165EC6">
        <w:rPr>
          <w:rFonts w:ascii="Cambria" w:hAnsi="Cambria"/>
          <w:sz w:val="20"/>
          <w:szCs w:val="20"/>
          <w:lang w:val="es-MX"/>
        </w:rPr>
        <w:t>ndo</w:t>
      </w:r>
      <w:r w:rsidR="00A66A37" w:rsidRPr="00165EC6">
        <w:rPr>
          <w:rFonts w:ascii="Cambria" w:hAnsi="Cambria"/>
          <w:sz w:val="20"/>
          <w:szCs w:val="20"/>
          <w:lang w:val="es-MX"/>
        </w:rPr>
        <w:t xml:space="preserve"> </w:t>
      </w:r>
      <w:r w:rsidR="00F61C54" w:rsidRPr="00165EC6">
        <w:rPr>
          <w:rFonts w:ascii="Cambria" w:hAnsi="Cambria"/>
          <w:sz w:val="20"/>
          <w:szCs w:val="20"/>
          <w:lang w:val="es-MX"/>
        </w:rPr>
        <w:t>carácter de derechos humanos a las disposiciones que sobre la materia pueden desprenderse de</w:t>
      </w:r>
      <w:r w:rsidR="00A66A37" w:rsidRPr="00165EC6">
        <w:rPr>
          <w:rFonts w:ascii="Cambria" w:hAnsi="Cambria"/>
          <w:sz w:val="20"/>
          <w:szCs w:val="20"/>
          <w:lang w:val="es-MX"/>
        </w:rPr>
        <w:t xml:space="preserve"> </w:t>
      </w:r>
      <w:r w:rsidR="00F85A06" w:rsidRPr="00165EC6">
        <w:rPr>
          <w:rFonts w:ascii="Cambria" w:hAnsi="Cambria"/>
          <w:sz w:val="20"/>
          <w:szCs w:val="20"/>
          <w:lang w:val="es-MX"/>
        </w:rPr>
        <w:t>dicho</w:t>
      </w:r>
      <w:r w:rsidR="00A66A37" w:rsidRPr="00165EC6">
        <w:rPr>
          <w:rFonts w:ascii="Cambria" w:hAnsi="Cambria"/>
          <w:sz w:val="20"/>
          <w:szCs w:val="20"/>
          <w:lang w:val="es-MX"/>
        </w:rPr>
        <w:t xml:space="preserve"> tratado</w:t>
      </w:r>
      <w:r w:rsidR="00F61C54" w:rsidRPr="00165EC6">
        <w:rPr>
          <w:rFonts w:ascii="Cambria" w:hAnsi="Cambria"/>
          <w:sz w:val="20"/>
          <w:szCs w:val="20"/>
          <w:lang w:val="es-MX"/>
        </w:rPr>
        <w:t>.</w:t>
      </w:r>
      <w:r w:rsidR="00A70C0D" w:rsidRPr="00165EC6">
        <w:rPr>
          <w:rFonts w:ascii="Cambria" w:hAnsi="Cambria"/>
          <w:sz w:val="20"/>
          <w:szCs w:val="20"/>
          <w:lang w:val="es-MX"/>
        </w:rPr>
        <w:t xml:space="preserve"> Dado que el objeto de la Carta de la OEA</w:t>
      </w:r>
      <w:r w:rsidR="00C62DFA" w:rsidRPr="00165EC6">
        <w:rPr>
          <w:rFonts w:ascii="Cambria" w:hAnsi="Cambria"/>
          <w:sz w:val="20"/>
          <w:szCs w:val="20"/>
          <w:lang w:val="es-MX"/>
        </w:rPr>
        <w:t xml:space="preserve"> no fue individualizar derechos sino</w:t>
      </w:r>
      <w:r w:rsidR="00A70C0D" w:rsidRPr="00165EC6">
        <w:rPr>
          <w:rFonts w:ascii="Cambria" w:hAnsi="Cambria"/>
          <w:sz w:val="20"/>
          <w:szCs w:val="20"/>
          <w:lang w:val="es-MX"/>
        </w:rPr>
        <w:t xml:space="preserve"> constituir un organismo internacional, es necesario recurrir a textos auxiliares para identificar los derechos </w:t>
      </w:r>
      <w:r w:rsidR="00802C2B" w:rsidRPr="00165EC6">
        <w:rPr>
          <w:rFonts w:ascii="Cambria" w:hAnsi="Cambria"/>
          <w:sz w:val="20"/>
          <w:szCs w:val="20"/>
          <w:lang w:val="es-MX"/>
        </w:rPr>
        <w:t>que se desprenden de las disposiciones de</w:t>
      </w:r>
      <w:r w:rsidR="00F85A06" w:rsidRPr="00165EC6">
        <w:rPr>
          <w:rFonts w:ascii="Cambria" w:hAnsi="Cambria"/>
          <w:sz w:val="20"/>
          <w:szCs w:val="20"/>
          <w:lang w:val="es-MX"/>
        </w:rPr>
        <w:t xml:space="preserve"> </w:t>
      </w:r>
      <w:r w:rsidR="00A52166" w:rsidRPr="00165EC6">
        <w:rPr>
          <w:rFonts w:ascii="Cambria" w:hAnsi="Cambria"/>
          <w:sz w:val="20"/>
          <w:szCs w:val="20"/>
          <w:lang w:val="es-MX"/>
        </w:rPr>
        <w:t>dicho instrumento</w:t>
      </w:r>
      <w:r w:rsidR="00802C2B" w:rsidRPr="00165EC6">
        <w:rPr>
          <w:rFonts w:ascii="Cambria" w:hAnsi="Cambria"/>
          <w:sz w:val="20"/>
          <w:szCs w:val="20"/>
          <w:lang w:val="es-MX"/>
        </w:rPr>
        <w:t>.</w:t>
      </w:r>
    </w:p>
    <w:p w:rsidR="00B74E3A" w:rsidRPr="00165EC6" w:rsidRDefault="00B74E3A" w:rsidP="00900181">
      <w:pPr>
        <w:ind w:firstLine="720"/>
        <w:jc w:val="both"/>
        <w:rPr>
          <w:rFonts w:ascii="Cambria" w:hAnsi="Cambria"/>
          <w:sz w:val="20"/>
          <w:szCs w:val="20"/>
          <w:lang w:val="es-MX"/>
        </w:rPr>
      </w:pPr>
    </w:p>
    <w:p w:rsidR="00B74E3A" w:rsidRPr="00165EC6" w:rsidRDefault="00B74E3A" w:rsidP="009001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165EC6">
        <w:rPr>
          <w:rFonts w:ascii="Cambria" w:hAnsi="Cambria"/>
          <w:sz w:val="20"/>
          <w:szCs w:val="20"/>
          <w:lang w:val="es-MX"/>
        </w:rPr>
        <w:t>Una vez establecido ello, corresponde determinar si el Estado en cuestión incumplió la obligación de “lograr progresivamente” la plena efectividad de tal derecho</w:t>
      </w:r>
      <w:r w:rsidR="002658C8" w:rsidRPr="00165EC6">
        <w:rPr>
          <w:rFonts w:ascii="Cambria" w:hAnsi="Cambria"/>
          <w:sz w:val="20"/>
          <w:szCs w:val="20"/>
          <w:lang w:val="es-MX"/>
        </w:rPr>
        <w:t xml:space="preserve">, o aquellas </w:t>
      </w:r>
      <w:r w:rsidR="00C30B28" w:rsidRPr="00165EC6">
        <w:rPr>
          <w:rFonts w:ascii="Cambria" w:hAnsi="Cambria"/>
          <w:sz w:val="20"/>
          <w:szCs w:val="20"/>
          <w:lang w:val="es-MX"/>
        </w:rPr>
        <w:t xml:space="preserve">obligaciones generales  </w:t>
      </w:r>
      <w:r w:rsidR="002658C8" w:rsidRPr="00165EC6">
        <w:rPr>
          <w:rFonts w:ascii="Cambria" w:hAnsi="Cambria"/>
          <w:sz w:val="20"/>
          <w:szCs w:val="20"/>
          <w:lang w:val="es-MX"/>
        </w:rPr>
        <w:t xml:space="preserve">de respetar y </w:t>
      </w:r>
      <w:r w:rsidR="00F85A06" w:rsidRPr="00165EC6">
        <w:rPr>
          <w:rFonts w:ascii="Cambria" w:hAnsi="Cambria"/>
          <w:sz w:val="20"/>
          <w:szCs w:val="20"/>
          <w:lang w:val="es-MX"/>
        </w:rPr>
        <w:t xml:space="preserve">de </w:t>
      </w:r>
      <w:r w:rsidR="002658C8" w:rsidRPr="00165EC6">
        <w:rPr>
          <w:rFonts w:ascii="Cambria" w:hAnsi="Cambria"/>
          <w:sz w:val="20"/>
          <w:szCs w:val="20"/>
          <w:lang w:val="es-MX"/>
        </w:rPr>
        <w:t xml:space="preserve">garantizar </w:t>
      </w:r>
      <w:r w:rsidR="008A70E8" w:rsidRPr="00165EC6">
        <w:rPr>
          <w:rFonts w:ascii="Cambria" w:hAnsi="Cambria"/>
          <w:sz w:val="20"/>
          <w:szCs w:val="20"/>
          <w:lang w:val="es-MX"/>
        </w:rPr>
        <w:t>e</w:t>
      </w:r>
      <w:r w:rsidR="00802C2B" w:rsidRPr="00165EC6">
        <w:rPr>
          <w:rFonts w:ascii="Cambria" w:hAnsi="Cambria"/>
          <w:sz w:val="20"/>
          <w:szCs w:val="20"/>
          <w:lang w:val="es-MX"/>
        </w:rPr>
        <w:t>l mismo</w:t>
      </w:r>
      <w:r w:rsidRPr="00165EC6">
        <w:rPr>
          <w:rFonts w:ascii="Cambria" w:hAnsi="Cambria"/>
          <w:sz w:val="20"/>
          <w:szCs w:val="20"/>
          <w:lang w:val="es-MX"/>
        </w:rPr>
        <w:t xml:space="preserve">. En este segundo nivel de análisis, es preciso tomar en consideración la </w:t>
      </w:r>
      <w:r w:rsidRPr="00165EC6">
        <w:rPr>
          <w:rFonts w:ascii="Cambria" w:hAnsi="Cambria"/>
          <w:sz w:val="20"/>
          <w:szCs w:val="20"/>
          <w:lang w:val="es-MX"/>
        </w:rPr>
        <w:lastRenderedPageBreak/>
        <w:t xml:space="preserve">naturaleza </w:t>
      </w:r>
      <w:r w:rsidR="00C30B28" w:rsidRPr="00165EC6">
        <w:rPr>
          <w:rFonts w:ascii="Cambria" w:hAnsi="Cambria"/>
          <w:sz w:val="20"/>
          <w:szCs w:val="20"/>
          <w:lang w:val="es-MX"/>
        </w:rPr>
        <w:t xml:space="preserve">y alcance </w:t>
      </w:r>
      <w:r w:rsidRPr="00165EC6">
        <w:rPr>
          <w:rFonts w:ascii="Cambria" w:hAnsi="Cambria"/>
          <w:sz w:val="20"/>
          <w:szCs w:val="20"/>
          <w:lang w:val="es-MX"/>
        </w:rPr>
        <w:t xml:space="preserve">de las obligaciones exigibles al Estado bajo </w:t>
      </w:r>
      <w:r w:rsidR="002658C8" w:rsidRPr="00165EC6">
        <w:rPr>
          <w:rFonts w:ascii="Cambria" w:hAnsi="Cambria"/>
          <w:sz w:val="20"/>
          <w:szCs w:val="20"/>
          <w:lang w:val="es-MX"/>
        </w:rPr>
        <w:t>los artículos 1.1, 2 y</w:t>
      </w:r>
      <w:r w:rsidRPr="00165EC6">
        <w:rPr>
          <w:rFonts w:ascii="Cambria" w:hAnsi="Cambria"/>
          <w:sz w:val="20"/>
          <w:szCs w:val="20"/>
          <w:lang w:val="es-MX"/>
        </w:rPr>
        <w:t xml:space="preserve"> 26 de la Convención, así como los contenidos del derecho de que se trate, como se efectuará más adelante. </w:t>
      </w:r>
    </w:p>
    <w:p w:rsidR="00B74E3A" w:rsidRPr="00165EC6" w:rsidRDefault="00B74E3A" w:rsidP="00900181">
      <w:pPr>
        <w:ind w:firstLine="720"/>
        <w:jc w:val="both"/>
        <w:rPr>
          <w:rFonts w:ascii="Cambria" w:hAnsi="Cambria"/>
          <w:sz w:val="20"/>
          <w:szCs w:val="20"/>
          <w:lang w:val="es-MX"/>
        </w:rPr>
      </w:pPr>
    </w:p>
    <w:p w:rsidR="00B0567C" w:rsidRPr="00165EC6" w:rsidRDefault="007440E4" w:rsidP="009001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165EC6">
        <w:rPr>
          <w:rFonts w:ascii="Cambria" w:hAnsi="Cambria"/>
          <w:sz w:val="20"/>
          <w:szCs w:val="20"/>
          <w:lang w:val="es-MX"/>
        </w:rPr>
        <w:t xml:space="preserve">Para establecer los criterios que permitan derivar derechos específicos de la Carta de la OEA, determinar su contenido y las obligaciones de los Estados en relación </w:t>
      </w:r>
      <w:r w:rsidR="00F85A06" w:rsidRPr="00165EC6">
        <w:rPr>
          <w:rFonts w:ascii="Cambria" w:hAnsi="Cambria"/>
          <w:sz w:val="20"/>
          <w:szCs w:val="20"/>
          <w:lang w:val="es-MX"/>
        </w:rPr>
        <w:t>con</w:t>
      </w:r>
      <w:r w:rsidRPr="00165EC6">
        <w:rPr>
          <w:rFonts w:ascii="Cambria" w:hAnsi="Cambria"/>
          <w:sz w:val="20"/>
          <w:szCs w:val="20"/>
          <w:lang w:val="es-MX"/>
        </w:rPr>
        <w:t xml:space="preserve"> ellos, es que el artículo 29 de la CADH adquiere relevancia en tanto </w:t>
      </w:r>
      <w:r w:rsidR="00F85A06" w:rsidRPr="00165EC6">
        <w:rPr>
          <w:rFonts w:ascii="Cambria" w:hAnsi="Cambria"/>
          <w:sz w:val="20"/>
          <w:szCs w:val="20"/>
          <w:lang w:val="es-MX"/>
        </w:rPr>
        <w:t xml:space="preserve">que </w:t>
      </w:r>
      <w:r w:rsidRPr="00165EC6">
        <w:rPr>
          <w:rFonts w:ascii="Cambria" w:hAnsi="Cambria"/>
          <w:sz w:val="20"/>
          <w:szCs w:val="20"/>
          <w:lang w:val="es-MX"/>
        </w:rPr>
        <w:t xml:space="preserve">establece los parámetros de las reglas generales de interpretación de dicho tratado. En ese sentido, de acuerdo </w:t>
      </w:r>
      <w:r w:rsidR="00F85A06" w:rsidRPr="00165EC6">
        <w:rPr>
          <w:rFonts w:ascii="Cambria" w:hAnsi="Cambria"/>
          <w:sz w:val="20"/>
          <w:szCs w:val="20"/>
          <w:lang w:val="es-MX"/>
        </w:rPr>
        <w:t>con</w:t>
      </w:r>
      <w:r w:rsidRPr="00165EC6">
        <w:rPr>
          <w:rFonts w:ascii="Cambria" w:hAnsi="Cambria"/>
          <w:sz w:val="20"/>
          <w:szCs w:val="20"/>
          <w:lang w:val="es-MX"/>
        </w:rPr>
        <w:t xml:space="preserve"> dicho artículo</w:t>
      </w:r>
      <w:r w:rsidR="00F85A06" w:rsidRPr="00165EC6">
        <w:rPr>
          <w:rFonts w:ascii="Cambria" w:hAnsi="Cambria"/>
          <w:sz w:val="20"/>
          <w:szCs w:val="20"/>
          <w:lang w:val="es-MX"/>
        </w:rPr>
        <w:t xml:space="preserve"> </w:t>
      </w:r>
      <w:r w:rsidR="00BC53D5" w:rsidRPr="00165EC6">
        <w:rPr>
          <w:rFonts w:ascii="Cambria" w:hAnsi="Cambria"/>
          <w:sz w:val="20"/>
          <w:szCs w:val="20"/>
          <w:lang w:val="es-MX"/>
        </w:rPr>
        <w:t xml:space="preserve">la interpretación de las disposiciones de la CADH </w:t>
      </w:r>
      <w:r w:rsidRPr="00165EC6">
        <w:rPr>
          <w:rFonts w:ascii="Cambria" w:hAnsi="Cambria"/>
          <w:sz w:val="20"/>
          <w:szCs w:val="20"/>
          <w:lang w:val="es-MX"/>
        </w:rPr>
        <w:t>no p</w:t>
      </w:r>
      <w:r w:rsidR="00BC53D5" w:rsidRPr="00165EC6">
        <w:rPr>
          <w:rFonts w:ascii="Cambria" w:hAnsi="Cambria"/>
          <w:sz w:val="20"/>
          <w:szCs w:val="20"/>
          <w:lang w:val="es-MX"/>
        </w:rPr>
        <w:t>odrán</w:t>
      </w:r>
      <w:r w:rsidRPr="00165EC6">
        <w:rPr>
          <w:rFonts w:ascii="Cambria" w:hAnsi="Cambria"/>
          <w:sz w:val="20"/>
          <w:szCs w:val="20"/>
          <w:lang w:val="es-MX"/>
        </w:rPr>
        <w:t xml:space="preserve"> limitar ni suprimir derechos reconocidos </w:t>
      </w:r>
      <w:r w:rsidR="00BC53D5" w:rsidRPr="00165EC6">
        <w:rPr>
          <w:rFonts w:ascii="Cambria" w:hAnsi="Cambria"/>
          <w:sz w:val="20"/>
          <w:szCs w:val="20"/>
          <w:lang w:val="es-MX"/>
        </w:rPr>
        <w:t>por la normativa interna de los Estados o por cua</w:t>
      </w:r>
      <w:r w:rsidR="005B0F1E" w:rsidRPr="00165EC6">
        <w:rPr>
          <w:rFonts w:ascii="Cambria" w:hAnsi="Cambria"/>
          <w:sz w:val="20"/>
          <w:szCs w:val="20"/>
          <w:lang w:val="es-MX"/>
        </w:rPr>
        <w:t>lquier otro tratado del que este sea</w:t>
      </w:r>
      <w:r w:rsidR="00BC53D5" w:rsidRPr="00165EC6">
        <w:rPr>
          <w:rFonts w:ascii="Cambria" w:hAnsi="Cambria"/>
          <w:sz w:val="20"/>
          <w:szCs w:val="20"/>
          <w:lang w:val="es-MX"/>
        </w:rPr>
        <w:t xml:space="preserve"> parte, </w:t>
      </w:r>
      <w:r w:rsidRPr="00165EC6">
        <w:rPr>
          <w:rFonts w:ascii="Cambria" w:hAnsi="Cambria"/>
          <w:sz w:val="20"/>
          <w:szCs w:val="20"/>
          <w:lang w:val="es-MX"/>
        </w:rPr>
        <w:t>n</w:t>
      </w:r>
      <w:r w:rsidR="00BC53D5" w:rsidRPr="00165EC6">
        <w:rPr>
          <w:rFonts w:ascii="Cambria" w:hAnsi="Cambria"/>
          <w:sz w:val="20"/>
          <w:szCs w:val="20"/>
          <w:lang w:val="es-MX"/>
        </w:rPr>
        <w:t>i excluir los efectos de la Declaración Americana sobre Derechos y Deberes del Hombre u otros actos internacionales de la misma naturaleza.</w:t>
      </w:r>
      <w:r w:rsidR="00F85A06" w:rsidRPr="00165EC6">
        <w:rPr>
          <w:rFonts w:ascii="Cambria" w:hAnsi="Cambria"/>
          <w:sz w:val="20"/>
          <w:szCs w:val="20"/>
          <w:lang w:val="es-MX"/>
        </w:rPr>
        <w:t xml:space="preserve"> La disposición recepta así el principio “pro persona” en el sistema interamericano y ofrece una herramienta clave para la efectiva </w:t>
      </w:r>
      <w:r w:rsidR="00557D2F" w:rsidRPr="00165EC6">
        <w:rPr>
          <w:rFonts w:ascii="Cambria" w:hAnsi="Cambria"/>
          <w:sz w:val="20"/>
          <w:szCs w:val="20"/>
          <w:lang w:val="es-MX"/>
        </w:rPr>
        <w:t>protección</w:t>
      </w:r>
      <w:r w:rsidR="00F85A06" w:rsidRPr="00165EC6">
        <w:rPr>
          <w:rFonts w:ascii="Cambria" w:hAnsi="Cambria"/>
          <w:sz w:val="20"/>
          <w:szCs w:val="20"/>
          <w:lang w:val="es-MX"/>
        </w:rPr>
        <w:t xml:space="preserve"> de todos los derechos humanos reconocidos en las Constituciones de los Estados Parte, como en los </w:t>
      </w:r>
      <w:r w:rsidR="00557D2F" w:rsidRPr="00165EC6">
        <w:rPr>
          <w:rFonts w:ascii="Cambria" w:hAnsi="Cambria"/>
          <w:sz w:val="20"/>
          <w:szCs w:val="20"/>
          <w:lang w:val="es-MX"/>
        </w:rPr>
        <w:t>instrumentos</w:t>
      </w:r>
      <w:r w:rsidR="00F85A06" w:rsidRPr="00165EC6">
        <w:rPr>
          <w:rFonts w:ascii="Cambria" w:hAnsi="Cambria"/>
          <w:sz w:val="20"/>
          <w:szCs w:val="20"/>
          <w:lang w:val="es-MX"/>
        </w:rPr>
        <w:t xml:space="preserve"> interamericanos o universales de derechos humanos ratificados por los mismos.</w:t>
      </w:r>
    </w:p>
    <w:p w:rsidR="00B0567C" w:rsidRPr="00165EC6" w:rsidRDefault="00B0567C" w:rsidP="00900181">
      <w:pPr>
        <w:pStyle w:val="ListParagraph"/>
        <w:ind w:left="0" w:firstLine="720"/>
        <w:jc w:val="both"/>
        <w:rPr>
          <w:color w:val="auto"/>
          <w:sz w:val="20"/>
          <w:szCs w:val="20"/>
          <w:lang w:val="es-MX"/>
        </w:rPr>
      </w:pPr>
    </w:p>
    <w:p w:rsidR="00B74E3A" w:rsidRPr="00165EC6" w:rsidRDefault="00557D2F" w:rsidP="009001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165EC6">
        <w:rPr>
          <w:rFonts w:ascii="Cambria" w:hAnsi="Cambria"/>
          <w:sz w:val="20"/>
          <w:szCs w:val="20"/>
          <w:lang w:val="es-MX"/>
        </w:rPr>
        <w:t>A partir de la interpretación integral, que el artículo 26 requiere a la luz de las disposi</w:t>
      </w:r>
      <w:r w:rsidR="008A70E8" w:rsidRPr="00165EC6">
        <w:rPr>
          <w:rFonts w:ascii="Cambria" w:hAnsi="Cambria"/>
          <w:sz w:val="20"/>
          <w:szCs w:val="20"/>
          <w:lang w:val="es-MX"/>
        </w:rPr>
        <w:t>ci</w:t>
      </w:r>
      <w:r w:rsidRPr="00165EC6">
        <w:rPr>
          <w:rFonts w:ascii="Cambria" w:hAnsi="Cambria"/>
          <w:sz w:val="20"/>
          <w:szCs w:val="20"/>
          <w:lang w:val="es-MX"/>
        </w:rPr>
        <w:t xml:space="preserve">ones del artículo 29, </w:t>
      </w:r>
      <w:r w:rsidR="00B74E3A" w:rsidRPr="00165EC6">
        <w:rPr>
          <w:rFonts w:ascii="Cambria" w:hAnsi="Cambria"/>
          <w:sz w:val="20"/>
          <w:szCs w:val="20"/>
          <w:lang w:val="es-MX"/>
        </w:rPr>
        <w:t xml:space="preserve">la Comisión considera pertinente referirse a las obligaciones que se desprenden del artículo 26 de la Convención Americana y que pueden ser materia de pronunciamiento por parte de los órganos del sistema interamericano en el marco de casos contenciosos.  </w:t>
      </w:r>
      <w:r w:rsidR="00B74E3A" w:rsidRPr="00165EC6">
        <w:rPr>
          <w:rFonts w:ascii="Cambria" w:hAnsi="Cambria"/>
          <w:sz w:val="20"/>
          <w:szCs w:val="20"/>
          <w:lang w:val="es-AR"/>
        </w:rPr>
        <w:t xml:space="preserve">Al respecto, </w:t>
      </w:r>
      <w:r w:rsidR="00BC53D5" w:rsidRPr="00165EC6">
        <w:rPr>
          <w:rFonts w:ascii="Cambria" w:hAnsi="Cambria"/>
          <w:sz w:val="20"/>
          <w:szCs w:val="20"/>
          <w:lang w:val="es-AR"/>
        </w:rPr>
        <w:t xml:space="preserve">para el caso específico, </w:t>
      </w:r>
      <w:r w:rsidR="00B74E3A" w:rsidRPr="00165EC6">
        <w:rPr>
          <w:rFonts w:ascii="Cambria" w:hAnsi="Cambria"/>
          <w:sz w:val="20"/>
          <w:szCs w:val="20"/>
          <w:lang w:val="es-AR"/>
        </w:rPr>
        <w:t xml:space="preserve">la Comisión considera que en la interpretación del artículo 26 de la Convención Americana se </w:t>
      </w:r>
      <w:r w:rsidRPr="00165EC6">
        <w:rPr>
          <w:rFonts w:ascii="Cambria" w:hAnsi="Cambria"/>
          <w:sz w:val="20"/>
          <w:szCs w:val="20"/>
          <w:lang w:val="es-AR"/>
        </w:rPr>
        <w:t>debe</w:t>
      </w:r>
      <w:r w:rsidR="00B74E3A" w:rsidRPr="00165EC6">
        <w:rPr>
          <w:rFonts w:ascii="Cambria" w:hAnsi="Cambria"/>
          <w:sz w:val="20"/>
          <w:szCs w:val="20"/>
          <w:lang w:val="es-AR"/>
        </w:rPr>
        <w:t xml:space="preserve"> tener en cuenta el </w:t>
      </w:r>
      <w:r w:rsidR="00C40D5A" w:rsidRPr="00165EC6">
        <w:rPr>
          <w:rFonts w:ascii="Cambria" w:eastAsia="Batang" w:hAnsi="Cambria"/>
          <w:sz w:val="20"/>
          <w:szCs w:val="20"/>
          <w:lang w:val="es-UY"/>
        </w:rPr>
        <w:t xml:space="preserve">Protocolo adicional a la Convención Americana en materia de Derechos Económicos, Sociales y Culturales </w:t>
      </w:r>
      <w:r w:rsidR="00670BC7" w:rsidRPr="00165EC6">
        <w:rPr>
          <w:rFonts w:ascii="Cambria" w:eastAsia="Batang" w:hAnsi="Cambria"/>
          <w:sz w:val="20"/>
          <w:szCs w:val="20"/>
          <w:lang w:val="es-UY"/>
        </w:rPr>
        <w:t>o</w:t>
      </w:r>
      <w:r w:rsidR="00C40D5A" w:rsidRPr="00165EC6">
        <w:rPr>
          <w:rFonts w:ascii="Cambria" w:eastAsia="Batang" w:hAnsi="Cambria"/>
          <w:sz w:val="20"/>
          <w:szCs w:val="20"/>
          <w:lang w:val="es-UY"/>
        </w:rPr>
        <w:t xml:space="preserve"> “</w:t>
      </w:r>
      <w:r w:rsidR="00B74E3A" w:rsidRPr="00165EC6">
        <w:rPr>
          <w:rFonts w:ascii="Cambria" w:hAnsi="Cambria"/>
          <w:sz w:val="20"/>
          <w:szCs w:val="20"/>
          <w:lang w:val="es-AR"/>
        </w:rPr>
        <w:t>Protocolo de San Salvado</w:t>
      </w:r>
      <w:bookmarkStart w:id="36" w:name="_ftnref43"/>
      <w:r w:rsidR="00B74E3A" w:rsidRPr="00165EC6">
        <w:rPr>
          <w:rFonts w:ascii="Cambria" w:hAnsi="Cambria"/>
          <w:sz w:val="20"/>
          <w:szCs w:val="20"/>
          <w:lang w:val="es-AR"/>
        </w:rPr>
        <w:t>r</w:t>
      </w:r>
      <w:bookmarkEnd w:id="36"/>
      <w:r w:rsidR="00C40D5A" w:rsidRPr="00165EC6">
        <w:rPr>
          <w:rFonts w:ascii="Cambria" w:hAnsi="Cambria"/>
          <w:sz w:val="20"/>
          <w:szCs w:val="20"/>
          <w:lang w:val="es-AR"/>
        </w:rPr>
        <w:t>”</w:t>
      </w:r>
      <w:r w:rsidR="00BC53D5" w:rsidRPr="00165EC6">
        <w:rPr>
          <w:rStyle w:val="FootnoteReference"/>
          <w:rFonts w:ascii="Cambria" w:hAnsi="Cambria"/>
          <w:sz w:val="20"/>
          <w:szCs w:val="20"/>
          <w:lang w:val="es-AR"/>
        </w:rPr>
        <w:footnoteReference w:id="102"/>
      </w:r>
      <w:r w:rsidR="00B74E3A" w:rsidRPr="00165EC6">
        <w:rPr>
          <w:rFonts w:ascii="Cambria" w:hAnsi="Cambria"/>
          <w:sz w:val="20"/>
          <w:szCs w:val="20"/>
          <w:lang w:val="es-AR"/>
        </w:rPr>
        <w:t xml:space="preserve"> </w:t>
      </w:r>
      <w:r w:rsidRPr="00165EC6">
        <w:rPr>
          <w:rFonts w:ascii="Cambria" w:hAnsi="Cambria"/>
          <w:sz w:val="20"/>
          <w:szCs w:val="20"/>
          <w:lang w:val="es-AR"/>
        </w:rPr>
        <w:t>pues</w:t>
      </w:r>
      <w:r w:rsidR="00B74E3A" w:rsidRPr="00165EC6">
        <w:rPr>
          <w:rFonts w:ascii="Cambria" w:hAnsi="Cambria"/>
          <w:sz w:val="20"/>
          <w:szCs w:val="20"/>
          <w:lang w:val="es-AR"/>
        </w:rPr>
        <w:t xml:space="preserve"> permite determinar el alcance de la obligación estatal en materia de desarrollo progresivo</w:t>
      </w:r>
      <w:r w:rsidRPr="00165EC6">
        <w:rPr>
          <w:rFonts w:ascii="Cambria" w:hAnsi="Cambria"/>
          <w:sz w:val="20"/>
          <w:szCs w:val="20"/>
          <w:lang w:val="es-AR"/>
        </w:rPr>
        <w:t xml:space="preserve"> </w:t>
      </w:r>
      <w:r w:rsidR="008A70E8" w:rsidRPr="00165EC6">
        <w:rPr>
          <w:rFonts w:ascii="Cambria" w:hAnsi="Cambria"/>
          <w:sz w:val="20"/>
          <w:szCs w:val="20"/>
          <w:lang w:val="es-AR"/>
        </w:rPr>
        <w:t>del derecho en análisis</w:t>
      </w:r>
      <w:r w:rsidR="00B74E3A" w:rsidRPr="00165EC6">
        <w:rPr>
          <w:rFonts w:ascii="Cambria" w:hAnsi="Cambria"/>
          <w:sz w:val="20"/>
          <w:szCs w:val="20"/>
          <w:lang w:val="es-AR"/>
        </w:rPr>
        <w:t>. En su artículo 1, el Protocolo establece que los Estados partes se comprometen a adoptar las medidas necesarias, hasta el máximo de los recursos disponibles y tomando en cuenta su grado de desarrollo, a fin de lograr progresivamente la plena efectividad de los derechos que se reconocen en el instrumento</w:t>
      </w:r>
      <w:r w:rsidR="00B74E3A" w:rsidRPr="00165EC6">
        <w:rPr>
          <w:rStyle w:val="FootnoteReference"/>
          <w:rFonts w:ascii="Cambria" w:hAnsi="Cambria"/>
          <w:sz w:val="20"/>
          <w:szCs w:val="20"/>
          <w:lang w:val="es-AR"/>
        </w:rPr>
        <w:footnoteReference w:id="103"/>
      </w:r>
      <w:r w:rsidR="00B74E3A" w:rsidRPr="00165EC6">
        <w:rPr>
          <w:rFonts w:ascii="Cambria" w:hAnsi="Cambria"/>
          <w:sz w:val="20"/>
          <w:szCs w:val="20"/>
          <w:lang w:val="es-AR"/>
        </w:rPr>
        <w:t>.</w:t>
      </w:r>
    </w:p>
    <w:p w:rsidR="00B74E3A" w:rsidRPr="00165EC6" w:rsidRDefault="00B74E3A" w:rsidP="00900181">
      <w:pPr>
        <w:ind w:firstLine="720"/>
        <w:jc w:val="both"/>
        <w:rPr>
          <w:rFonts w:ascii="Cambria" w:hAnsi="Cambria"/>
          <w:sz w:val="20"/>
          <w:szCs w:val="20"/>
          <w:lang w:val="es-MX"/>
        </w:rPr>
      </w:pPr>
    </w:p>
    <w:p w:rsidR="00B74E3A" w:rsidRPr="00165EC6" w:rsidRDefault="00B74E3A" w:rsidP="009001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PE"/>
        </w:rPr>
      </w:pPr>
      <w:r w:rsidRPr="00165EC6">
        <w:rPr>
          <w:rFonts w:ascii="Cambria" w:hAnsi="Cambria"/>
          <w:sz w:val="20"/>
          <w:szCs w:val="20"/>
          <w:lang w:val="es-AR"/>
        </w:rPr>
        <w:t>Por su parte, el Pacto Internacional de Derechos Económicos, Sociales y Culturales</w:t>
      </w:r>
      <w:r w:rsidR="00A06EC6" w:rsidRPr="00165EC6">
        <w:rPr>
          <w:rStyle w:val="FootnoteReference"/>
          <w:rFonts w:ascii="Cambria" w:hAnsi="Cambria"/>
          <w:sz w:val="20"/>
          <w:szCs w:val="20"/>
          <w:lang w:val="es-AR"/>
        </w:rPr>
        <w:footnoteReference w:id="104"/>
      </w:r>
      <w:r w:rsidRPr="00165EC6">
        <w:rPr>
          <w:rFonts w:ascii="Cambria" w:hAnsi="Cambria"/>
          <w:sz w:val="20"/>
          <w:szCs w:val="20"/>
          <w:lang w:val="es-AR"/>
        </w:rPr>
        <w:t xml:space="preserve"> contempla en su artículo 2.1</w:t>
      </w:r>
      <w:r w:rsidR="001A683B" w:rsidRPr="00165EC6">
        <w:rPr>
          <w:rStyle w:val="FootnoteReference"/>
          <w:rFonts w:ascii="Cambria" w:hAnsi="Cambria"/>
          <w:sz w:val="20"/>
          <w:szCs w:val="20"/>
          <w:lang w:val="es-AR"/>
        </w:rPr>
        <w:footnoteReference w:id="105"/>
      </w:r>
      <w:r w:rsidRPr="00165EC6">
        <w:rPr>
          <w:rFonts w:ascii="Cambria" w:hAnsi="Cambria"/>
          <w:sz w:val="20"/>
          <w:szCs w:val="20"/>
          <w:lang w:val="es-AR"/>
        </w:rPr>
        <w:t xml:space="preserve"> disposiciones similares a las del artículo 26 de la Convención Americana y a las del artículo 1 del Protocolo de San Salvador</w:t>
      </w:r>
      <w:r w:rsidR="005B0F1E" w:rsidRPr="00165EC6">
        <w:rPr>
          <w:rFonts w:ascii="Cambria" w:hAnsi="Cambria"/>
          <w:sz w:val="20"/>
          <w:szCs w:val="20"/>
          <w:lang w:val="es-AR"/>
        </w:rPr>
        <w:t>.</w:t>
      </w:r>
      <w:r w:rsidRPr="00165EC6">
        <w:rPr>
          <w:rFonts w:ascii="Cambria" w:hAnsi="Cambria"/>
          <w:sz w:val="20"/>
          <w:szCs w:val="20"/>
          <w:lang w:val="es-ES"/>
        </w:rPr>
        <w:t> </w:t>
      </w:r>
      <w:r w:rsidRPr="00165EC6">
        <w:rPr>
          <w:rFonts w:ascii="Cambria" w:hAnsi="Cambria"/>
          <w:sz w:val="20"/>
          <w:szCs w:val="20"/>
          <w:lang w:val="es-AR"/>
        </w:rPr>
        <w:t>La Comisión ya ha acudido a los pronunciamientos del Comité de Derechos Económicos, Sociales y Culturales, en cuanto a la noción de progresividad y al alcance de las obligaciones que se desprenden de la misma</w:t>
      </w:r>
      <w:r w:rsidRPr="00165EC6">
        <w:rPr>
          <w:rStyle w:val="FootnoteReference"/>
          <w:rFonts w:ascii="Cambria" w:hAnsi="Cambria"/>
          <w:sz w:val="20"/>
          <w:szCs w:val="20"/>
          <w:lang w:val="es-AR"/>
        </w:rPr>
        <w:footnoteReference w:id="106"/>
      </w:r>
      <w:r w:rsidRPr="00165EC6">
        <w:rPr>
          <w:rFonts w:ascii="Cambria" w:hAnsi="Cambria"/>
          <w:sz w:val="20"/>
          <w:szCs w:val="20"/>
          <w:lang w:val="es-AR"/>
        </w:rPr>
        <w:t xml:space="preserve">. En ese sentido, dicho Comité ha explicado </w:t>
      </w:r>
      <w:r w:rsidR="0062771F" w:rsidRPr="00165EC6">
        <w:rPr>
          <w:rFonts w:ascii="Cambria" w:hAnsi="Cambria"/>
          <w:sz w:val="20"/>
          <w:szCs w:val="20"/>
          <w:lang w:val="es-AR"/>
        </w:rPr>
        <w:t xml:space="preserve">que </w:t>
      </w:r>
      <w:r w:rsidRPr="00165EC6">
        <w:rPr>
          <w:rFonts w:ascii="Cambria" w:hAnsi="Cambria"/>
          <w:sz w:val="20"/>
          <w:szCs w:val="20"/>
          <w:lang w:val="es-AR"/>
        </w:rPr>
        <w:t>la</w:t>
      </w:r>
      <w:r w:rsidR="001A1E6D" w:rsidRPr="00165EC6">
        <w:rPr>
          <w:rFonts w:ascii="Cambria" w:hAnsi="Cambria"/>
          <w:sz w:val="20"/>
          <w:szCs w:val="20"/>
          <w:lang w:val="es-AR"/>
        </w:rPr>
        <w:t xml:space="preserve"> noción de progresividad</w:t>
      </w:r>
      <w:r w:rsidR="00533BEC" w:rsidRPr="00165EC6">
        <w:rPr>
          <w:rFonts w:ascii="Cambria" w:hAnsi="Cambria"/>
          <w:sz w:val="20"/>
          <w:szCs w:val="20"/>
          <w:lang w:val="es-AR"/>
        </w:rPr>
        <w:t>:</w:t>
      </w:r>
      <w:r w:rsidRPr="00165EC6">
        <w:rPr>
          <w:rFonts w:ascii="Cambria" w:hAnsi="Cambria"/>
          <w:sz w:val="20"/>
          <w:szCs w:val="20"/>
          <w:lang w:val="es-AR"/>
        </w:rPr>
        <w:t> </w:t>
      </w:r>
    </w:p>
    <w:p w:rsidR="00B74E3A" w:rsidRPr="00165EC6" w:rsidRDefault="00B74E3A" w:rsidP="00B74E3A">
      <w:pPr>
        <w:rPr>
          <w:rFonts w:ascii="Cambria" w:hAnsi="Cambria"/>
          <w:sz w:val="20"/>
          <w:szCs w:val="20"/>
          <w:lang w:val="es-PE"/>
        </w:rPr>
      </w:pPr>
      <w:r w:rsidRPr="00165EC6">
        <w:rPr>
          <w:rFonts w:ascii="Cambria" w:hAnsi="Cambria"/>
          <w:sz w:val="20"/>
          <w:szCs w:val="20"/>
          <w:lang w:val="es-ES_tradnl"/>
        </w:rPr>
        <w:t> </w:t>
      </w:r>
    </w:p>
    <w:p w:rsidR="00B74E3A" w:rsidRPr="00165EC6" w:rsidRDefault="00B74E3A" w:rsidP="00B74E3A">
      <w:pPr>
        <w:ind w:left="720" w:right="720"/>
        <w:jc w:val="both"/>
        <w:rPr>
          <w:rFonts w:ascii="Cambria" w:hAnsi="Cambria"/>
          <w:sz w:val="20"/>
          <w:szCs w:val="20"/>
          <w:lang w:val="es-PE"/>
        </w:rPr>
      </w:pPr>
      <w:r w:rsidRPr="00165EC6">
        <w:rPr>
          <w:rFonts w:ascii="Cambria" w:hAnsi="Cambria"/>
          <w:sz w:val="20"/>
          <w:szCs w:val="20"/>
          <w:lang w:val="es-ES_tradnl"/>
        </w:rPr>
        <w:t>no se ha de interpretar equivocadamente como que priva a la obligación de todo contenido significativo. Por una parte, se requiere un dispositivo de flexibilidad necesaria que refleje las realidades del mundo real y las dificultades que implica para cada país el asegurar la plena efectividad de los derechos económicos, sociales y culturales. Por otra parte, la frase debe interpretarse a la luz del objetivo general, en realidad la razón de ser, del Pacto, que es establecer claras obligaciones para los Estados Partes con respecto a la plena efectividad de los derechos de que se trata. Este impone así una obligación de proceder lo más expedita y eficazmente posible con miras a lograr ese objetivo</w:t>
      </w:r>
      <w:r w:rsidRPr="00165EC6">
        <w:rPr>
          <w:rStyle w:val="FootnoteReference"/>
          <w:rFonts w:ascii="Cambria" w:hAnsi="Cambria"/>
          <w:sz w:val="20"/>
          <w:szCs w:val="20"/>
          <w:lang w:val="es-ES_tradnl"/>
        </w:rPr>
        <w:footnoteReference w:id="107"/>
      </w:r>
      <w:r w:rsidRPr="00165EC6">
        <w:rPr>
          <w:rFonts w:ascii="Cambria" w:hAnsi="Cambria"/>
          <w:sz w:val="20"/>
          <w:szCs w:val="20"/>
          <w:lang w:val="es-ES_tradnl"/>
        </w:rPr>
        <w:t>.</w:t>
      </w:r>
    </w:p>
    <w:p w:rsidR="00B74E3A" w:rsidRPr="00165EC6" w:rsidRDefault="00B74E3A" w:rsidP="00B74E3A">
      <w:pPr>
        <w:jc w:val="both"/>
        <w:rPr>
          <w:rFonts w:ascii="-webkit-standard" w:hAnsi="-webkit-standard" w:hint="eastAsia"/>
          <w:sz w:val="20"/>
          <w:szCs w:val="20"/>
          <w:lang w:val="es-PE"/>
        </w:rPr>
      </w:pPr>
    </w:p>
    <w:p w:rsidR="00D24484" w:rsidRPr="00165EC6" w:rsidRDefault="00E21C4A" w:rsidP="009001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Arial"/>
          <w:snapToGrid w:val="0"/>
          <w:sz w:val="20"/>
          <w:szCs w:val="20"/>
          <w:lang w:val="es-CO"/>
        </w:rPr>
      </w:pPr>
      <w:r w:rsidRPr="00165EC6">
        <w:rPr>
          <w:rFonts w:ascii="Cambria" w:hAnsi="Cambria" w:cs="Arial"/>
          <w:snapToGrid w:val="0"/>
          <w:sz w:val="20"/>
          <w:szCs w:val="20"/>
          <w:lang w:val="es-CO"/>
        </w:rPr>
        <w:lastRenderedPageBreak/>
        <w:t xml:space="preserve">A la luz de lo anteriormente descrito </w:t>
      </w:r>
      <w:r w:rsidR="00B74E3A" w:rsidRPr="00165EC6">
        <w:rPr>
          <w:rFonts w:ascii="Cambria" w:hAnsi="Cambria" w:cs="Arial"/>
          <w:snapToGrid w:val="0"/>
          <w:sz w:val="20"/>
          <w:szCs w:val="20"/>
          <w:lang w:val="es-CO"/>
        </w:rPr>
        <w:t xml:space="preserve">puede </w:t>
      </w:r>
      <w:r w:rsidR="00B74E3A" w:rsidRPr="00165EC6">
        <w:rPr>
          <w:rFonts w:ascii="Cambria" w:hAnsi="Cambria"/>
          <w:sz w:val="20"/>
          <w:szCs w:val="20"/>
          <w:lang w:val="es-AR"/>
        </w:rPr>
        <w:t>afirmarse</w:t>
      </w:r>
      <w:r w:rsidR="00B74E3A" w:rsidRPr="00165EC6">
        <w:rPr>
          <w:rFonts w:ascii="Cambria" w:hAnsi="Cambria" w:cs="Arial"/>
          <w:snapToGrid w:val="0"/>
          <w:sz w:val="20"/>
          <w:szCs w:val="20"/>
          <w:lang w:val="es-CO"/>
        </w:rPr>
        <w:t xml:space="preserve"> </w:t>
      </w:r>
      <w:r w:rsidR="002658C8" w:rsidRPr="00165EC6">
        <w:rPr>
          <w:rFonts w:ascii="Cambria" w:hAnsi="Cambria" w:cs="Arial"/>
          <w:snapToGrid w:val="0"/>
          <w:sz w:val="20"/>
          <w:szCs w:val="20"/>
          <w:lang w:val="es-CO"/>
        </w:rPr>
        <w:t>q</w:t>
      </w:r>
      <w:r w:rsidR="00B74E3A" w:rsidRPr="00165EC6">
        <w:rPr>
          <w:rFonts w:ascii="Cambria" w:hAnsi="Cambria" w:cs="Arial"/>
          <w:snapToGrid w:val="0"/>
          <w:sz w:val="20"/>
          <w:szCs w:val="20"/>
          <w:lang w:val="es-CO"/>
        </w:rPr>
        <w:t>ue la Comisión entiende que el artículo 26 de la Convención Americana impone diversas obligaciones a los Estados que no se limitan a una prohibición de regresividad, el cual es tan sólo un correlato de la obligación de progresividad, pero no puede entenderse como la única obligación justiciable en el sistema interamericano bajo esta norma. Así, la Comisión afirma que</w:t>
      </w:r>
      <w:r w:rsidR="00C633AD" w:rsidRPr="00165EC6">
        <w:rPr>
          <w:rFonts w:ascii="Cambria" w:hAnsi="Cambria" w:cs="Arial"/>
          <w:snapToGrid w:val="0"/>
          <w:sz w:val="20"/>
          <w:szCs w:val="20"/>
          <w:lang w:val="es-CO"/>
        </w:rPr>
        <w:t xml:space="preserve"> teniendo en cuenta el </w:t>
      </w:r>
      <w:r w:rsidR="008B1291" w:rsidRPr="00165EC6">
        <w:rPr>
          <w:rFonts w:ascii="Cambria" w:hAnsi="Cambria" w:cs="Arial"/>
          <w:snapToGrid w:val="0"/>
          <w:sz w:val="20"/>
          <w:szCs w:val="20"/>
          <w:lang w:val="es-CO"/>
        </w:rPr>
        <w:t xml:space="preserve">marco interpretativo del </w:t>
      </w:r>
      <w:r w:rsidR="00C633AD" w:rsidRPr="00165EC6">
        <w:rPr>
          <w:rFonts w:ascii="Cambria" w:hAnsi="Cambria" w:cs="Arial"/>
          <w:snapToGrid w:val="0"/>
          <w:sz w:val="20"/>
          <w:szCs w:val="20"/>
          <w:lang w:val="es-CO"/>
        </w:rPr>
        <w:t xml:space="preserve">artículo 29 de la Convención Americana, el </w:t>
      </w:r>
      <w:r w:rsidR="00B74E3A" w:rsidRPr="00165EC6">
        <w:rPr>
          <w:rFonts w:ascii="Cambria" w:hAnsi="Cambria" w:cs="Arial"/>
          <w:snapToGrid w:val="0"/>
          <w:sz w:val="20"/>
          <w:szCs w:val="20"/>
          <w:lang w:val="es-CO"/>
        </w:rPr>
        <w:t>artículo 26</w:t>
      </w:r>
      <w:r w:rsidR="008B1291" w:rsidRPr="00165EC6">
        <w:rPr>
          <w:rFonts w:ascii="Cambria" w:hAnsi="Cambria" w:cs="Arial"/>
          <w:snapToGrid w:val="0"/>
          <w:sz w:val="20"/>
          <w:szCs w:val="20"/>
          <w:lang w:val="es-CO"/>
        </w:rPr>
        <w:t xml:space="preserve"> visto </w:t>
      </w:r>
      <w:r w:rsidR="00B74E3A" w:rsidRPr="00165EC6">
        <w:rPr>
          <w:rFonts w:ascii="Cambria" w:hAnsi="Cambria" w:cs="Arial"/>
          <w:snapToGrid w:val="0"/>
          <w:sz w:val="20"/>
          <w:szCs w:val="20"/>
          <w:lang w:val="es-CO"/>
        </w:rPr>
        <w:t>a la luz de los artículos 1.1 y 2 del mismo instrumento, se desprenden, al menos</w:t>
      </w:r>
      <w:r w:rsidR="001E735F" w:rsidRPr="00165EC6">
        <w:rPr>
          <w:rFonts w:ascii="Cambria" w:hAnsi="Cambria" w:cs="Arial"/>
          <w:snapToGrid w:val="0"/>
          <w:sz w:val="20"/>
          <w:szCs w:val="20"/>
          <w:lang w:val="es-CO"/>
        </w:rPr>
        <w:t xml:space="preserve"> las siguientes</w:t>
      </w:r>
      <w:r w:rsidR="00B74E3A" w:rsidRPr="00165EC6">
        <w:rPr>
          <w:rFonts w:ascii="Cambria" w:hAnsi="Cambria" w:cs="Arial"/>
          <w:snapToGrid w:val="0"/>
          <w:sz w:val="20"/>
          <w:szCs w:val="20"/>
          <w:lang w:val="es-CO"/>
        </w:rPr>
        <w:t xml:space="preserve"> obligaciones inmediatas y exigibles</w:t>
      </w:r>
      <w:r w:rsidR="001E735F" w:rsidRPr="00165EC6">
        <w:rPr>
          <w:rFonts w:ascii="Cambria" w:hAnsi="Cambria" w:cs="Arial"/>
          <w:snapToGrid w:val="0"/>
          <w:sz w:val="20"/>
          <w:szCs w:val="20"/>
          <w:lang w:val="es-CO"/>
        </w:rPr>
        <w:t>:</w:t>
      </w:r>
      <w:r w:rsidR="00B74E3A" w:rsidRPr="00165EC6">
        <w:rPr>
          <w:rFonts w:ascii="Cambria" w:hAnsi="Cambria" w:cs="Arial"/>
          <w:snapToGrid w:val="0"/>
          <w:sz w:val="20"/>
          <w:szCs w:val="20"/>
          <w:lang w:val="es-CO"/>
        </w:rPr>
        <w:t xml:space="preserve"> </w:t>
      </w:r>
      <w:r w:rsidR="001E735F" w:rsidRPr="00165EC6">
        <w:rPr>
          <w:rFonts w:ascii="Cambria" w:hAnsi="Cambria" w:cs="Arial"/>
          <w:snapToGrid w:val="0"/>
          <w:sz w:val="20"/>
          <w:szCs w:val="20"/>
          <w:lang w:val="es-CO"/>
        </w:rPr>
        <w:t>i) obligaciones generales de</w:t>
      </w:r>
      <w:r w:rsidR="00E51C22" w:rsidRPr="00165EC6">
        <w:rPr>
          <w:rFonts w:ascii="Cambria" w:hAnsi="Cambria" w:cs="Arial"/>
          <w:snapToGrid w:val="0"/>
          <w:sz w:val="20"/>
          <w:szCs w:val="20"/>
          <w:lang w:val="es-CO"/>
        </w:rPr>
        <w:t xml:space="preserve"> respeto y garantía</w:t>
      </w:r>
      <w:r w:rsidR="00557D2F" w:rsidRPr="00165EC6">
        <w:rPr>
          <w:rFonts w:ascii="Cambria" w:hAnsi="Cambria" w:cs="Arial"/>
          <w:snapToGrid w:val="0"/>
          <w:sz w:val="20"/>
          <w:szCs w:val="20"/>
          <w:lang w:val="es-CO"/>
        </w:rPr>
        <w:t>,</w:t>
      </w:r>
      <w:r w:rsidR="00E51C22" w:rsidRPr="00165EC6">
        <w:rPr>
          <w:rFonts w:ascii="Cambria" w:hAnsi="Cambria" w:cs="Arial"/>
          <w:snapToGrid w:val="0"/>
          <w:sz w:val="20"/>
          <w:szCs w:val="20"/>
          <w:lang w:val="es-CO"/>
        </w:rPr>
        <w:t xml:space="preserve"> ii) aplicación del principio de no discriminaci</w:t>
      </w:r>
      <w:r w:rsidR="001E735F" w:rsidRPr="00165EC6">
        <w:rPr>
          <w:rFonts w:ascii="Cambria" w:hAnsi="Cambria" w:cs="Arial"/>
          <w:snapToGrid w:val="0"/>
          <w:sz w:val="20"/>
          <w:szCs w:val="20"/>
          <w:lang w:val="es-CO"/>
        </w:rPr>
        <w:t>ón a los derechos económicos, sociales y culturales</w:t>
      </w:r>
      <w:r w:rsidR="00557D2F" w:rsidRPr="00165EC6">
        <w:rPr>
          <w:rFonts w:ascii="Cambria" w:hAnsi="Cambria" w:cs="Arial"/>
          <w:snapToGrid w:val="0"/>
          <w:sz w:val="20"/>
          <w:szCs w:val="20"/>
          <w:lang w:val="es-CO"/>
        </w:rPr>
        <w:t>,</w:t>
      </w:r>
      <w:r w:rsidR="001E735F" w:rsidRPr="00165EC6">
        <w:rPr>
          <w:rFonts w:ascii="Cambria" w:hAnsi="Cambria" w:cs="Arial"/>
          <w:snapToGrid w:val="0"/>
          <w:sz w:val="20"/>
          <w:szCs w:val="20"/>
          <w:lang w:val="es-CO"/>
        </w:rPr>
        <w:t xml:space="preserve"> </w:t>
      </w:r>
      <w:r w:rsidR="00E51C22" w:rsidRPr="00165EC6">
        <w:rPr>
          <w:rFonts w:ascii="Cambria" w:hAnsi="Cambria" w:cs="Arial"/>
          <w:snapToGrid w:val="0"/>
          <w:sz w:val="20"/>
          <w:szCs w:val="20"/>
          <w:lang w:val="es-CO"/>
        </w:rPr>
        <w:t xml:space="preserve">iii) obligaciones </w:t>
      </w:r>
      <w:r w:rsidR="00B74E3A" w:rsidRPr="00165EC6">
        <w:rPr>
          <w:rFonts w:ascii="Cambria" w:hAnsi="Cambria" w:cs="Arial"/>
          <w:snapToGrid w:val="0"/>
          <w:sz w:val="20"/>
          <w:szCs w:val="20"/>
          <w:lang w:val="es-CO"/>
        </w:rPr>
        <w:t xml:space="preserve">de dar pasos o adoptar medidas para </w:t>
      </w:r>
      <w:r w:rsidR="00B74E3A" w:rsidRPr="00165EC6">
        <w:rPr>
          <w:rFonts w:ascii="Cambria" w:hAnsi="Cambria" w:cs="Helvetica"/>
          <w:sz w:val="20"/>
          <w:szCs w:val="20"/>
          <w:lang w:val="es-CO" w:bidi="en-US"/>
        </w:rPr>
        <w:t>lograr</w:t>
      </w:r>
      <w:r w:rsidR="00B74E3A" w:rsidRPr="00165EC6">
        <w:rPr>
          <w:rFonts w:ascii="Cambria" w:hAnsi="Cambria" w:cs="Arial"/>
          <w:snapToGrid w:val="0"/>
          <w:sz w:val="20"/>
          <w:szCs w:val="20"/>
          <w:lang w:val="es-CO"/>
        </w:rPr>
        <w:t xml:space="preserve"> el goce de los derechos incorporados en dicho artículo</w:t>
      </w:r>
      <w:r w:rsidR="00C47FF1" w:rsidRPr="00165EC6">
        <w:rPr>
          <w:rFonts w:ascii="Cambria" w:hAnsi="Cambria" w:cs="Arial"/>
          <w:snapToGrid w:val="0"/>
          <w:sz w:val="20"/>
          <w:szCs w:val="20"/>
          <w:lang w:val="es-CO"/>
        </w:rPr>
        <w:t xml:space="preserve"> y iv) ofrecer recursos idóneos y efectivos para su</w:t>
      </w:r>
      <w:r w:rsidR="0047066D" w:rsidRPr="00165EC6">
        <w:rPr>
          <w:rFonts w:ascii="Cambria" w:hAnsi="Cambria" w:cs="Arial"/>
          <w:snapToGrid w:val="0"/>
          <w:sz w:val="20"/>
          <w:szCs w:val="20"/>
          <w:lang w:val="es-CO"/>
        </w:rPr>
        <w:t xml:space="preserve"> </w:t>
      </w:r>
      <w:r w:rsidR="00EB10FA" w:rsidRPr="00165EC6">
        <w:rPr>
          <w:rFonts w:ascii="Cambria" w:hAnsi="Cambria" w:cs="Arial"/>
          <w:snapToGrid w:val="0"/>
          <w:sz w:val="20"/>
          <w:szCs w:val="20"/>
          <w:lang w:val="es-CO"/>
        </w:rPr>
        <w:t>protección</w:t>
      </w:r>
      <w:r w:rsidR="00C47FF1" w:rsidRPr="00165EC6">
        <w:rPr>
          <w:rFonts w:ascii="Cambria" w:hAnsi="Cambria" w:cs="Arial"/>
          <w:snapToGrid w:val="0"/>
          <w:sz w:val="20"/>
          <w:szCs w:val="20"/>
          <w:lang w:val="es-CO"/>
        </w:rPr>
        <w:t xml:space="preserve"> </w:t>
      </w:r>
      <w:r w:rsidR="001E735F" w:rsidRPr="00165EC6">
        <w:rPr>
          <w:rFonts w:ascii="Cambria" w:hAnsi="Cambria" w:cs="Arial"/>
          <w:snapToGrid w:val="0"/>
          <w:sz w:val="20"/>
          <w:szCs w:val="20"/>
          <w:lang w:val="es-CO"/>
        </w:rPr>
        <w:t>.</w:t>
      </w:r>
      <w:r w:rsidR="00B74E3A" w:rsidRPr="00165EC6">
        <w:rPr>
          <w:rFonts w:ascii="Cambria" w:hAnsi="Cambria" w:cs="Arial"/>
          <w:snapToGrid w:val="0"/>
          <w:sz w:val="20"/>
          <w:szCs w:val="20"/>
          <w:lang w:val="es-CO"/>
        </w:rPr>
        <w:t>Las metodologías o fuentes de análisis que resulten pertinentes para cada una de estas obligaciones, deberán ser establecidas según las circunsta</w:t>
      </w:r>
      <w:r w:rsidR="00C630A3" w:rsidRPr="00165EC6">
        <w:rPr>
          <w:rFonts w:ascii="Cambria" w:hAnsi="Cambria" w:cs="Arial"/>
          <w:snapToGrid w:val="0"/>
          <w:sz w:val="20"/>
          <w:szCs w:val="20"/>
          <w:lang w:val="es-CO"/>
        </w:rPr>
        <w:t>n</w:t>
      </w:r>
      <w:r w:rsidR="00B74E3A" w:rsidRPr="00165EC6">
        <w:rPr>
          <w:rFonts w:ascii="Cambria" w:hAnsi="Cambria" w:cs="Arial"/>
          <w:snapToGrid w:val="0"/>
          <w:sz w:val="20"/>
          <w:szCs w:val="20"/>
          <w:lang w:val="es-CO"/>
        </w:rPr>
        <w:t>cias propias de cada caso.</w:t>
      </w:r>
    </w:p>
    <w:p w:rsidR="00D24484" w:rsidRPr="00165EC6" w:rsidRDefault="00D24484" w:rsidP="0090018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s="Arial"/>
          <w:snapToGrid w:val="0"/>
          <w:sz w:val="20"/>
          <w:szCs w:val="20"/>
          <w:lang w:val="es-CO"/>
        </w:rPr>
      </w:pPr>
    </w:p>
    <w:p w:rsidR="00B74E3A" w:rsidRPr="00165EC6" w:rsidRDefault="008B1291" w:rsidP="009001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Arial"/>
          <w:snapToGrid w:val="0"/>
          <w:sz w:val="20"/>
          <w:szCs w:val="20"/>
          <w:lang w:val="es-CO"/>
        </w:rPr>
      </w:pPr>
      <w:r w:rsidRPr="00165EC6">
        <w:rPr>
          <w:rFonts w:ascii="Cambria" w:hAnsi="Cambria" w:cs="Arial"/>
          <w:snapToGrid w:val="0"/>
          <w:sz w:val="20"/>
          <w:szCs w:val="20"/>
          <w:lang w:val="es-CO"/>
        </w:rPr>
        <w:t xml:space="preserve">En </w:t>
      </w:r>
      <w:r w:rsidR="009D48E7" w:rsidRPr="00165EC6">
        <w:rPr>
          <w:rFonts w:ascii="Cambria" w:hAnsi="Cambria" w:cs="Arial"/>
          <w:snapToGrid w:val="0"/>
          <w:sz w:val="20"/>
          <w:szCs w:val="20"/>
          <w:lang w:val="es-CO"/>
        </w:rPr>
        <w:t xml:space="preserve">relación </w:t>
      </w:r>
      <w:r w:rsidR="00557D2F" w:rsidRPr="00165EC6">
        <w:rPr>
          <w:rFonts w:ascii="Cambria" w:hAnsi="Cambria" w:cs="Arial"/>
          <w:snapToGrid w:val="0"/>
          <w:sz w:val="20"/>
          <w:szCs w:val="20"/>
          <w:lang w:val="es-CO"/>
        </w:rPr>
        <w:t>con</w:t>
      </w:r>
      <w:r w:rsidR="009D48E7" w:rsidRPr="00165EC6">
        <w:rPr>
          <w:rFonts w:ascii="Cambria" w:hAnsi="Cambria" w:cs="Arial"/>
          <w:snapToGrid w:val="0"/>
          <w:sz w:val="20"/>
          <w:szCs w:val="20"/>
          <w:lang w:val="es-CO"/>
        </w:rPr>
        <w:t xml:space="preserve"> los componentes exigibles e inmediatos de la obligación de dar pasos o adoptar </w:t>
      </w:r>
      <w:r w:rsidR="001A1E6D" w:rsidRPr="00165EC6">
        <w:rPr>
          <w:rFonts w:ascii="Cambria" w:hAnsi="Cambria" w:cs="Arial"/>
          <w:snapToGrid w:val="0"/>
          <w:sz w:val="20"/>
          <w:szCs w:val="20"/>
          <w:lang w:val="es-CO"/>
        </w:rPr>
        <w:t>medidas, el Comité DESC ha indicado, por ejemplo, que la</w:t>
      </w:r>
      <w:r w:rsidR="001A1E6D" w:rsidRPr="00165EC6">
        <w:rPr>
          <w:rFonts w:ascii="Cambria" w:hAnsi="Cambria"/>
          <w:sz w:val="20"/>
          <w:szCs w:val="20"/>
          <w:lang w:val="es-AR"/>
        </w:rPr>
        <w:t xml:space="preserve"> adopción de medidas </w:t>
      </w:r>
      <w:r w:rsidR="00B0567C" w:rsidRPr="00165EC6">
        <w:rPr>
          <w:rFonts w:ascii="Cambria" w:hAnsi="Cambria"/>
          <w:sz w:val="20"/>
          <w:szCs w:val="20"/>
          <w:lang w:val="es-AR"/>
        </w:rPr>
        <w:t>por sí misma no se encuentra limitada o condicionada a otras consideraciones; por ello, si bien el logro de la realización efectiva de los derechos podrá se</w:t>
      </w:r>
      <w:r w:rsidR="00D408F2" w:rsidRPr="00165EC6">
        <w:rPr>
          <w:rFonts w:ascii="Cambria" w:hAnsi="Cambria"/>
          <w:sz w:val="20"/>
          <w:szCs w:val="20"/>
          <w:lang w:val="es-AR"/>
        </w:rPr>
        <w:t>r</w:t>
      </w:r>
      <w:r w:rsidR="00B0567C" w:rsidRPr="00165EC6">
        <w:rPr>
          <w:rFonts w:ascii="Cambria" w:hAnsi="Cambria"/>
          <w:sz w:val="20"/>
          <w:szCs w:val="20"/>
          <w:lang w:val="es-AR"/>
        </w:rPr>
        <w:t xml:space="preserve"> paulatino, la adopción de medidas o providencias </w:t>
      </w:r>
      <w:r w:rsidR="006B55EF" w:rsidRPr="00165EC6">
        <w:rPr>
          <w:rFonts w:ascii="Cambria" w:hAnsi="Cambria"/>
          <w:sz w:val="20"/>
          <w:szCs w:val="20"/>
          <w:lang w:val="es-AR"/>
        </w:rPr>
        <w:t xml:space="preserve">para tales efectos </w:t>
      </w:r>
      <w:r w:rsidR="00B0567C" w:rsidRPr="00165EC6">
        <w:rPr>
          <w:rFonts w:ascii="Cambria" w:hAnsi="Cambria"/>
          <w:sz w:val="20"/>
          <w:szCs w:val="20"/>
          <w:lang w:val="es-AR"/>
        </w:rPr>
        <w:t>deben ser</w:t>
      </w:r>
      <w:r w:rsidR="001A1E6D" w:rsidRPr="00165EC6">
        <w:rPr>
          <w:rFonts w:ascii="Cambria" w:hAnsi="Cambria"/>
          <w:sz w:val="20"/>
          <w:szCs w:val="20"/>
          <w:lang w:val="es-AR"/>
        </w:rPr>
        <w:t xml:space="preserve"> </w:t>
      </w:r>
      <w:r w:rsidR="001A1E6D" w:rsidRPr="00165EC6">
        <w:rPr>
          <w:rFonts w:asciiTheme="majorHAnsi" w:hAnsiTheme="majorHAnsi" w:cs="Arial"/>
          <w:sz w:val="20"/>
          <w:szCs w:val="20"/>
          <w:shd w:val="clear" w:color="auto" w:fill="FFFFFF"/>
          <w:lang w:val="es-PE"/>
        </w:rPr>
        <w:t>deliberada</w:t>
      </w:r>
      <w:r w:rsidR="00B0567C" w:rsidRPr="00165EC6">
        <w:rPr>
          <w:rFonts w:asciiTheme="majorHAnsi" w:hAnsiTheme="majorHAnsi" w:cs="Arial"/>
          <w:sz w:val="20"/>
          <w:szCs w:val="20"/>
          <w:shd w:val="clear" w:color="auto" w:fill="FFFFFF"/>
          <w:lang w:val="es-PE"/>
        </w:rPr>
        <w:t>s</w:t>
      </w:r>
      <w:r w:rsidR="001A1E6D" w:rsidRPr="00165EC6">
        <w:rPr>
          <w:rFonts w:asciiTheme="majorHAnsi" w:hAnsiTheme="majorHAnsi" w:cs="Arial"/>
          <w:sz w:val="20"/>
          <w:szCs w:val="20"/>
          <w:shd w:val="clear" w:color="auto" w:fill="FFFFFF"/>
          <w:lang w:val="es-PE"/>
        </w:rPr>
        <w:t>, concreta</w:t>
      </w:r>
      <w:r w:rsidR="00B0567C" w:rsidRPr="00165EC6">
        <w:rPr>
          <w:rFonts w:asciiTheme="majorHAnsi" w:hAnsiTheme="majorHAnsi" w:cs="Arial"/>
          <w:sz w:val="20"/>
          <w:szCs w:val="20"/>
          <w:shd w:val="clear" w:color="auto" w:fill="FFFFFF"/>
          <w:lang w:val="es-PE"/>
        </w:rPr>
        <w:t>s</w:t>
      </w:r>
      <w:r w:rsidR="001A1E6D" w:rsidRPr="00165EC6">
        <w:rPr>
          <w:rFonts w:asciiTheme="majorHAnsi" w:hAnsiTheme="majorHAnsi" w:cs="Arial"/>
          <w:sz w:val="20"/>
          <w:szCs w:val="20"/>
          <w:shd w:val="clear" w:color="auto" w:fill="FFFFFF"/>
          <w:lang w:val="es-PE"/>
        </w:rPr>
        <w:t xml:space="preserve"> y orientadas lo más claramente posible a su cumplimiento</w:t>
      </w:r>
      <w:r w:rsidR="00557D2F" w:rsidRPr="00165EC6">
        <w:rPr>
          <w:rFonts w:asciiTheme="majorHAnsi" w:hAnsiTheme="majorHAnsi" w:cs="Arial"/>
          <w:sz w:val="20"/>
          <w:szCs w:val="20"/>
          <w:shd w:val="clear" w:color="auto" w:fill="FFFFFF"/>
          <w:lang w:val="es-PE"/>
        </w:rPr>
        <w:t>. E</w:t>
      </w:r>
      <w:r w:rsidR="001A1E6D" w:rsidRPr="00165EC6">
        <w:rPr>
          <w:rFonts w:asciiTheme="majorHAnsi" w:hAnsiTheme="majorHAnsi" w:cs="Arial"/>
          <w:sz w:val="20"/>
          <w:szCs w:val="20"/>
          <w:shd w:val="clear" w:color="auto" w:fill="FFFFFF"/>
          <w:lang w:val="es-PE"/>
        </w:rPr>
        <w:t>l Estado además tiene obligaciones básicas que deben satisfacer niveles esenciales de tales derechos</w:t>
      </w:r>
      <w:r w:rsidR="00557D2F" w:rsidRPr="00165EC6">
        <w:rPr>
          <w:rFonts w:asciiTheme="majorHAnsi" w:hAnsiTheme="majorHAnsi" w:cs="Arial"/>
          <w:sz w:val="20"/>
          <w:szCs w:val="20"/>
          <w:shd w:val="clear" w:color="auto" w:fill="FFFFFF"/>
          <w:lang w:val="es-PE"/>
        </w:rPr>
        <w:t>, las cuales no están sujetas al desarrollo progresivo sino que son de carácter inmediato</w:t>
      </w:r>
      <w:r w:rsidR="001A1E6D" w:rsidRPr="00165EC6">
        <w:rPr>
          <w:rStyle w:val="FootnoteReference"/>
          <w:rFonts w:ascii="Cambria" w:hAnsi="Cambria" w:cs="Arial"/>
          <w:snapToGrid w:val="0"/>
          <w:sz w:val="20"/>
          <w:szCs w:val="20"/>
          <w:lang w:val="es-CO"/>
        </w:rPr>
        <w:footnoteReference w:id="108"/>
      </w:r>
      <w:r w:rsidR="00811013" w:rsidRPr="00165EC6">
        <w:rPr>
          <w:rFonts w:asciiTheme="majorHAnsi" w:hAnsiTheme="majorHAnsi" w:cs="Arial"/>
          <w:sz w:val="20"/>
          <w:szCs w:val="20"/>
          <w:shd w:val="clear" w:color="auto" w:fill="FFFFFF"/>
          <w:lang w:val="es-PE"/>
        </w:rPr>
        <w:t>.</w:t>
      </w:r>
    </w:p>
    <w:p w:rsidR="00B74E3A" w:rsidRPr="00165EC6" w:rsidRDefault="00B74E3A" w:rsidP="00B74E3A">
      <w:pPr>
        <w:widowControl w:val="0"/>
        <w:autoSpaceDE w:val="0"/>
        <w:autoSpaceDN w:val="0"/>
        <w:adjustRightInd w:val="0"/>
        <w:jc w:val="both"/>
        <w:rPr>
          <w:rFonts w:ascii="Cambria" w:hAnsi="Cambria" w:cs="Arial"/>
          <w:snapToGrid w:val="0"/>
          <w:sz w:val="20"/>
          <w:szCs w:val="20"/>
          <w:lang w:val="es-CO"/>
        </w:rPr>
      </w:pPr>
    </w:p>
    <w:p w:rsidR="00B74E3A" w:rsidRPr="00165EC6" w:rsidRDefault="00671D0F" w:rsidP="00811013">
      <w:pPr>
        <w:pStyle w:val="Heading3"/>
        <w:ind w:left="180" w:firstLine="720"/>
        <w:rPr>
          <w:rFonts w:asciiTheme="majorHAnsi" w:hAnsiTheme="majorHAnsi"/>
          <w:snapToGrid w:val="0"/>
          <w:sz w:val="20"/>
          <w:szCs w:val="20"/>
          <w:lang w:val="es-CO"/>
        </w:rPr>
      </w:pPr>
      <w:bookmarkStart w:id="37" w:name="_Toc506225845"/>
      <w:r w:rsidRPr="00165EC6">
        <w:rPr>
          <w:rFonts w:asciiTheme="majorHAnsi" w:hAnsiTheme="majorHAnsi"/>
          <w:snapToGrid w:val="0"/>
          <w:sz w:val="20"/>
          <w:szCs w:val="20"/>
          <w:lang w:val="es-CO"/>
        </w:rPr>
        <w:t>2.</w:t>
      </w:r>
      <w:r w:rsidRPr="00165EC6">
        <w:rPr>
          <w:rFonts w:asciiTheme="majorHAnsi" w:hAnsiTheme="majorHAnsi"/>
          <w:snapToGrid w:val="0"/>
          <w:sz w:val="20"/>
          <w:szCs w:val="20"/>
          <w:lang w:val="es-CO"/>
        </w:rPr>
        <w:tab/>
      </w:r>
      <w:r w:rsidR="00B74E3A" w:rsidRPr="00165EC6">
        <w:rPr>
          <w:rFonts w:asciiTheme="majorHAnsi" w:hAnsiTheme="majorHAnsi"/>
          <w:snapToGrid w:val="0"/>
          <w:sz w:val="20"/>
          <w:szCs w:val="20"/>
          <w:lang w:val="es-CO"/>
        </w:rPr>
        <w:t>Análisis del presente caso</w:t>
      </w:r>
      <w:bookmarkEnd w:id="37"/>
    </w:p>
    <w:p w:rsidR="00B74E3A" w:rsidRPr="00165EC6" w:rsidRDefault="00B74E3A" w:rsidP="00B74E3A">
      <w:pPr>
        <w:jc w:val="both"/>
        <w:rPr>
          <w:rFonts w:ascii="Cambria" w:hAnsi="Cambria"/>
          <w:b/>
          <w:sz w:val="20"/>
          <w:szCs w:val="20"/>
        </w:rPr>
      </w:pPr>
    </w:p>
    <w:p w:rsidR="00B74E3A" w:rsidRPr="00165EC6" w:rsidRDefault="00B74E3A" w:rsidP="00F521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lang w:val="es-UY"/>
        </w:rPr>
      </w:pPr>
      <w:r w:rsidRPr="00165EC6">
        <w:rPr>
          <w:rFonts w:ascii="Cambria" w:hAnsi="Cambria"/>
          <w:sz w:val="20"/>
          <w:szCs w:val="20"/>
          <w:lang w:val="es-PE"/>
        </w:rPr>
        <w:t xml:space="preserve">En aplicación de los anteriores parámetros al presente caso, la Comisión empieza destacando que </w:t>
      </w:r>
      <w:r w:rsidRPr="00165EC6">
        <w:rPr>
          <w:rFonts w:ascii="Cambria" w:eastAsia="Batang" w:hAnsi="Cambria"/>
          <w:sz w:val="20"/>
          <w:szCs w:val="20"/>
          <w:lang w:val="es-UY"/>
        </w:rPr>
        <w:t xml:space="preserve">la Carta de la OEA en </w:t>
      </w:r>
      <w:r w:rsidRPr="00165EC6">
        <w:rPr>
          <w:rFonts w:ascii="Cambria" w:hAnsi="Cambria" w:cs="Arial"/>
          <w:snapToGrid w:val="0"/>
          <w:sz w:val="20"/>
          <w:szCs w:val="20"/>
          <w:lang w:val="es-CO"/>
        </w:rPr>
        <w:t>su</w:t>
      </w:r>
      <w:r w:rsidRPr="00165EC6">
        <w:rPr>
          <w:rFonts w:ascii="Cambria" w:eastAsia="Batang" w:hAnsi="Cambria"/>
          <w:sz w:val="20"/>
          <w:szCs w:val="20"/>
          <w:lang w:val="es-UY"/>
        </w:rPr>
        <w:t xml:space="preserve"> artículo 45 incorpora el derecho al trabajo en los siguientes términos: </w:t>
      </w:r>
    </w:p>
    <w:p w:rsidR="00B74E3A" w:rsidRPr="00165EC6" w:rsidRDefault="00B74E3A" w:rsidP="00B74E3A">
      <w:pPr>
        <w:pStyle w:val="ListParagraph"/>
        <w:rPr>
          <w:rFonts w:eastAsia="Batang"/>
          <w:color w:val="auto"/>
          <w:sz w:val="20"/>
          <w:szCs w:val="20"/>
          <w:lang w:val="es-UY"/>
        </w:rPr>
      </w:pPr>
    </w:p>
    <w:p w:rsidR="00B74E3A" w:rsidRPr="00165EC6" w:rsidRDefault="00B74E3A" w:rsidP="00B74E3A">
      <w:pPr>
        <w:ind w:left="720" w:right="720"/>
        <w:jc w:val="both"/>
        <w:rPr>
          <w:rFonts w:ascii="Cambria" w:eastAsia="Batang" w:hAnsi="Cambria"/>
          <w:sz w:val="20"/>
          <w:szCs w:val="20"/>
          <w:lang w:val="es-UY"/>
        </w:rPr>
      </w:pPr>
      <w:r w:rsidRPr="00165EC6">
        <w:rPr>
          <w:rFonts w:ascii="Cambria" w:eastAsia="Batang" w:hAnsi="Cambria"/>
          <w:sz w:val="20"/>
          <w:szCs w:val="20"/>
          <w:lang w:val="es-UY"/>
        </w:rPr>
        <w:t xml:space="preserve">Los Estados miembros […] convienen en dedicar sus máximos esfuerzos a la aplicación de los siguientes principios y mecanismos: </w:t>
      </w:r>
    </w:p>
    <w:p w:rsidR="00B74E3A" w:rsidRPr="00165EC6" w:rsidRDefault="00B74E3A" w:rsidP="00B74E3A">
      <w:pPr>
        <w:ind w:left="720" w:right="720"/>
        <w:jc w:val="both"/>
        <w:rPr>
          <w:rFonts w:ascii="Cambria" w:eastAsia="Batang" w:hAnsi="Cambria"/>
          <w:sz w:val="20"/>
          <w:szCs w:val="20"/>
          <w:lang w:val="es-UY"/>
        </w:rPr>
      </w:pPr>
    </w:p>
    <w:p w:rsidR="00B74E3A" w:rsidRPr="00165EC6" w:rsidRDefault="00B74E3A" w:rsidP="00B74E3A">
      <w:pPr>
        <w:ind w:left="720" w:right="720"/>
        <w:jc w:val="both"/>
        <w:rPr>
          <w:rFonts w:ascii="Cambria" w:eastAsia="Batang" w:hAnsi="Cambria"/>
          <w:sz w:val="20"/>
          <w:szCs w:val="20"/>
          <w:lang w:val="es-UY"/>
        </w:rPr>
      </w:pPr>
      <w:r w:rsidRPr="00165EC6">
        <w:rPr>
          <w:rFonts w:ascii="Cambria" w:eastAsia="Batang" w:hAnsi="Cambria"/>
          <w:sz w:val="20"/>
          <w:szCs w:val="20"/>
          <w:lang w:val="es-UY"/>
        </w:rPr>
        <w:t>b) El trabajo es un derecho y un deber social, otorga dignidad a quien lo realiza y debe prestarse en condiciones que, incluyendo un régimen de salarios justos, aseguren la vida, la salud y un nivel económico decoroso […]</w:t>
      </w:r>
      <w:r w:rsidR="00F521A4" w:rsidRPr="00165EC6">
        <w:rPr>
          <w:rStyle w:val="FootnoteReference"/>
          <w:rFonts w:ascii="Cambria" w:eastAsia="Batang" w:hAnsi="Cambria"/>
          <w:sz w:val="20"/>
          <w:szCs w:val="20"/>
          <w:lang w:val="es-UY"/>
        </w:rPr>
        <w:footnoteReference w:id="109"/>
      </w:r>
      <w:r w:rsidR="00F521A4" w:rsidRPr="00165EC6">
        <w:rPr>
          <w:rFonts w:ascii="Cambria" w:eastAsia="Batang" w:hAnsi="Cambria"/>
          <w:sz w:val="20"/>
          <w:szCs w:val="20"/>
          <w:lang w:val="es-UY"/>
        </w:rPr>
        <w:t>.</w:t>
      </w:r>
    </w:p>
    <w:p w:rsidR="008F5531" w:rsidRPr="00165EC6" w:rsidRDefault="008F5531" w:rsidP="00B74E3A">
      <w:pPr>
        <w:jc w:val="both"/>
        <w:rPr>
          <w:rFonts w:ascii="Cambria" w:eastAsia="Batang" w:hAnsi="Cambria"/>
          <w:sz w:val="20"/>
          <w:szCs w:val="20"/>
          <w:lang w:val="es-UY"/>
        </w:rPr>
      </w:pPr>
    </w:p>
    <w:p w:rsidR="00B74E3A" w:rsidRPr="00165EC6" w:rsidRDefault="008F5531" w:rsidP="00F521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PE"/>
        </w:rPr>
      </w:pPr>
      <w:r w:rsidRPr="00165EC6">
        <w:rPr>
          <w:rFonts w:ascii="Cambria" w:hAnsi="Cambria"/>
          <w:sz w:val="20"/>
          <w:szCs w:val="20"/>
          <w:lang w:val="es-PE"/>
        </w:rPr>
        <w:t xml:space="preserve">En forma más genérica, el art. 34 g) </w:t>
      </w:r>
      <w:r w:rsidR="00F521A4" w:rsidRPr="00165EC6">
        <w:rPr>
          <w:rFonts w:ascii="Cambria" w:hAnsi="Cambria"/>
          <w:sz w:val="20"/>
          <w:szCs w:val="20"/>
          <w:lang w:val="es-PE"/>
        </w:rPr>
        <w:t xml:space="preserve">de dicha Carta, </w:t>
      </w:r>
      <w:r w:rsidR="006B55EF" w:rsidRPr="00165EC6">
        <w:rPr>
          <w:rFonts w:ascii="Cambria" w:hAnsi="Cambria"/>
          <w:sz w:val="20"/>
          <w:szCs w:val="20"/>
          <w:lang w:val="es-PE"/>
        </w:rPr>
        <w:t xml:space="preserve">también </w:t>
      </w:r>
      <w:r w:rsidRPr="00165EC6">
        <w:rPr>
          <w:rFonts w:ascii="Cambria" w:hAnsi="Cambria"/>
          <w:sz w:val="20"/>
          <w:szCs w:val="20"/>
          <w:lang w:val="es-PE"/>
        </w:rPr>
        <w:t>incluye entre las metas para lograr un desarrollo integral, “(s)alarios justos, oportunidades de empleo y condiciones de trabajo aceptables para todos”</w:t>
      </w:r>
      <w:r w:rsidR="00F521A4" w:rsidRPr="00165EC6">
        <w:rPr>
          <w:rStyle w:val="FootnoteReference"/>
          <w:rFonts w:ascii="Cambria" w:hAnsi="Cambria"/>
          <w:sz w:val="20"/>
          <w:szCs w:val="20"/>
          <w:lang w:val="es-PE"/>
        </w:rPr>
        <w:footnoteReference w:id="110"/>
      </w:r>
      <w:r w:rsidRPr="00165EC6">
        <w:rPr>
          <w:rFonts w:ascii="Cambria" w:hAnsi="Cambria"/>
          <w:sz w:val="20"/>
          <w:szCs w:val="20"/>
          <w:lang w:val="es-PE"/>
        </w:rPr>
        <w:t>.</w:t>
      </w:r>
    </w:p>
    <w:p w:rsidR="008F5531" w:rsidRPr="00165EC6" w:rsidRDefault="008F5531" w:rsidP="00F521A4">
      <w:pPr>
        <w:ind w:firstLine="720"/>
        <w:jc w:val="both"/>
        <w:rPr>
          <w:rFonts w:ascii="Cambria" w:eastAsia="Batang" w:hAnsi="Cambria"/>
          <w:sz w:val="20"/>
          <w:szCs w:val="20"/>
          <w:lang w:val="es-UY"/>
        </w:rPr>
      </w:pPr>
    </w:p>
    <w:p w:rsidR="00B74E3A" w:rsidRPr="00165EC6" w:rsidRDefault="00B74E3A" w:rsidP="00F521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65EC6">
        <w:rPr>
          <w:rFonts w:ascii="Cambria" w:hAnsi="Cambria"/>
          <w:sz w:val="20"/>
          <w:szCs w:val="20"/>
          <w:lang w:val="es-AR"/>
        </w:rPr>
        <w:t>La Corte Interamericana ha indicado que “</w:t>
      </w:r>
      <w:r w:rsidRPr="00165EC6">
        <w:rPr>
          <w:rFonts w:ascii="Cambria" w:hAnsi="Cambria"/>
          <w:sz w:val="20"/>
          <w:szCs w:val="20"/>
          <w:lang w:val="es-ES"/>
        </w:rPr>
        <w:t xml:space="preserve">la Declaración [Americana] contiene y define aquellos derechos humanos esenciales a los que la Carta se refiere, de manera que no se puede interpretar y aplicar la Carta de la Organización en materia de derechos humanos, sin integrar las normas pertinentes de ella con las correspondientes disposiciones de la Declaración, como resulta de la práctica seguida por los órganos de la OEA”. Así, </w:t>
      </w:r>
      <w:r w:rsidR="006B55EF" w:rsidRPr="00165EC6">
        <w:rPr>
          <w:rFonts w:ascii="Cambria" w:hAnsi="Cambria"/>
          <w:sz w:val="20"/>
          <w:szCs w:val="20"/>
          <w:lang w:val="es-ES"/>
        </w:rPr>
        <w:t>la Declaración Americana representa</w:t>
      </w:r>
      <w:r w:rsidR="00EB0EFE" w:rsidRPr="00165EC6">
        <w:rPr>
          <w:rFonts w:ascii="Cambria" w:hAnsi="Cambria"/>
          <w:sz w:val="20"/>
          <w:szCs w:val="20"/>
          <w:lang w:val="es-ES"/>
        </w:rPr>
        <w:t xml:space="preserve"> </w:t>
      </w:r>
      <w:r w:rsidR="006B55EF" w:rsidRPr="00165EC6">
        <w:rPr>
          <w:rFonts w:ascii="Cambria" w:hAnsi="Cambria"/>
          <w:sz w:val="20"/>
          <w:szCs w:val="20"/>
          <w:lang w:val="es-ES"/>
        </w:rPr>
        <w:t xml:space="preserve">uno de los instrumentos relevantes para la identificación de los derechos económicos, sociales y culturales a los que alude el artículo 26 de la Convención CADH. Como ya se ha indicado, recurrir a otros instrumentos internacionales puede ser necesario para señalar la derivación de un derecho a partir de una medida u objetivo de política pública incluidas en una </w:t>
      </w:r>
      <w:r w:rsidR="006B55EF" w:rsidRPr="00165EC6">
        <w:rPr>
          <w:rFonts w:ascii="Cambria" w:hAnsi="Cambria"/>
          <w:sz w:val="20"/>
          <w:szCs w:val="20"/>
          <w:lang w:val="es-ES"/>
        </w:rPr>
        <w:lastRenderedPageBreak/>
        <w:t>norma de carácter económico, social, cultural, educativo o científico de la Carta de la OEA.</w:t>
      </w:r>
      <w:r w:rsidR="006B55EF" w:rsidRPr="00165EC6">
        <w:rPr>
          <w:rStyle w:val="FootnoteReference"/>
          <w:rFonts w:ascii="Cambria" w:hAnsi="Cambria"/>
          <w:sz w:val="20"/>
          <w:szCs w:val="20"/>
          <w:lang w:val="es-ES"/>
        </w:rPr>
        <w:footnoteReference w:id="111"/>
      </w:r>
      <w:r w:rsidR="006B55EF" w:rsidRPr="00165EC6">
        <w:rPr>
          <w:rFonts w:ascii="Cambria" w:hAnsi="Cambria"/>
          <w:sz w:val="20"/>
          <w:szCs w:val="20"/>
          <w:lang w:val="es-ES"/>
        </w:rPr>
        <w:t xml:space="preserve">. En particular, </w:t>
      </w:r>
      <w:r w:rsidRPr="00165EC6">
        <w:rPr>
          <w:rFonts w:ascii="Cambria" w:eastAsia="Batang" w:hAnsi="Cambria"/>
          <w:sz w:val="20"/>
          <w:szCs w:val="20"/>
          <w:lang w:val="es-UY"/>
        </w:rPr>
        <w:t xml:space="preserve">la Declaración Americana  establece, en su artículo XIV que “toda persona tiene derecho al trabajo en condiciones dignas y a seguir libremente su vocación, en cuanto lo permitan las oportunidades existentes de empleo”. </w:t>
      </w:r>
      <w:r w:rsidR="003C132E" w:rsidRPr="00165EC6">
        <w:rPr>
          <w:rFonts w:ascii="Cambria" w:eastAsia="Batang" w:hAnsi="Cambria"/>
          <w:sz w:val="20"/>
          <w:szCs w:val="20"/>
          <w:lang w:val="es-UY"/>
        </w:rPr>
        <w:t>En similar sentido</w:t>
      </w:r>
      <w:r w:rsidR="00EB0EFE" w:rsidRPr="00165EC6">
        <w:rPr>
          <w:rFonts w:ascii="Cambria" w:eastAsia="Batang" w:hAnsi="Cambria"/>
          <w:sz w:val="20"/>
          <w:szCs w:val="20"/>
          <w:lang w:val="es-UY"/>
        </w:rPr>
        <w:t>,</w:t>
      </w:r>
      <w:r w:rsidR="003C132E" w:rsidRPr="00165EC6">
        <w:rPr>
          <w:rFonts w:ascii="Cambria" w:eastAsia="Batang" w:hAnsi="Cambria"/>
          <w:sz w:val="20"/>
          <w:szCs w:val="20"/>
          <w:lang w:val="es-UY"/>
        </w:rPr>
        <w:t xml:space="preserve"> </w:t>
      </w:r>
      <w:r w:rsidR="00EB0EFE" w:rsidRPr="00165EC6">
        <w:rPr>
          <w:rFonts w:ascii="Cambria" w:eastAsia="Batang" w:hAnsi="Cambria"/>
          <w:sz w:val="20"/>
          <w:szCs w:val="20"/>
          <w:lang w:val="es-UY"/>
        </w:rPr>
        <w:t>e</w:t>
      </w:r>
      <w:r w:rsidR="003C132E" w:rsidRPr="00165EC6">
        <w:rPr>
          <w:rFonts w:ascii="Cambria" w:eastAsia="Batang" w:hAnsi="Cambria"/>
          <w:sz w:val="20"/>
          <w:szCs w:val="20"/>
          <w:lang w:val="es-UY"/>
        </w:rPr>
        <w:t>l Protocolo de San Salvador refiere que “todo persona tiene derecho al trabajo, el cual incluye la oportunidad de obtener los medios para llevar una vida digna y decorosa”.</w:t>
      </w:r>
    </w:p>
    <w:p w:rsidR="00B74E3A" w:rsidRPr="00165EC6" w:rsidRDefault="00B74E3A" w:rsidP="00F521A4">
      <w:pPr>
        <w:ind w:firstLine="720"/>
        <w:jc w:val="both"/>
        <w:rPr>
          <w:rFonts w:ascii="Cambria" w:eastAsia="Batang" w:hAnsi="Cambria"/>
          <w:sz w:val="20"/>
          <w:szCs w:val="20"/>
          <w:lang w:val="es-UY"/>
        </w:rPr>
      </w:pPr>
    </w:p>
    <w:p w:rsidR="00B74E3A" w:rsidRPr="00165EC6" w:rsidRDefault="00B74E3A" w:rsidP="00F521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lang w:val="es-UY"/>
        </w:rPr>
      </w:pPr>
      <w:r w:rsidRPr="00165EC6">
        <w:rPr>
          <w:rFonts w:ascii="Cambria" w:eastAsia="Batang" w:hAnsi="Cambria"/>
          <w:sz w:val="20"/>
          <w:szCs w:val="20"/>
          <w:lang w:val="es-UY"/>
        </w:rPr>
        <w:t>De lo anterior, la Comisión considera claro que el derecho al trabajo constituye una de las normas económicas y sociales mencionadas en el artículo 26 de la Convención y, en ese sentido, los Estados partes se encuentran en la obligación de procurar el desarrollo progresivo del mismo</w:t>
      </w:r>
      <w:r w:rsidR="002658C8" w:rsidRPr="00165EC6">
        <w:rPr>
          <w:rFonts w:ascii="Cambria" w:eastAsia="Batang" w:hAnsi="Cambria"/>
          <w:sz w:val="20"/>
          <w:szCs w:val="20"/>
          <w:lang w:val="es-UY"/>
        </w:rPr>
        <w:t>, así como de respetar, garantizar y adoptar las medidas necesarias para hacer efectivo tal derecho</w:t>
      </w:r>
      <w:r w:rsidR="00443892" w:rsidRPr="00165EC6">
        <w:rPr>
          <w:rFonts w:ascii="Cambria" w:eastAsia="Batang" w:hAnsi="Cambria"/>
          <w:sz w:val="20"/>
          <w:szCs w:val="20"/>
          <w:lang w:val="es-UY"/>
        </w:rPr>
        <w:t>.</w:t>
      </w:r>
      <w:r w:rsidRPr="00165EC6">
        <w:rPr>
          <w:rFonts w:ascii="Cambria" w:eastAsia="Batang" w:hAnsi="Cambria"/>
          <w:sz w:val="20"/>
          <w:szCs w:val="20"/>
          <w:lang w:val="es-UY"/>
        </w:rPr>
        <w:t xml:space="preserve"> </w:t>
      </w:r>
    </w:p>
    <w:p w:rsidR="00B74E3A" w:rsidRPr="00165EC6" w:rsidRDefault="00B74E3A" w:rsidP="00F521A4">
      <w:pPr>
        <w:ind w:firstLine="720"/>
        <w:jc w:val="both"/>
        <w:rPr>
          <w:rFonts w:ascii="Cambria" w:hAnsi="Cambria"/>
          <w:sz w:val="20"/>
          <w:szCs w:val="20"/>
          <w:lang w:val="es-PE"/>
        </w:rPr>
      </w:pPr>
    </w:p>
    <w:p w:rsidR="00B74E3A" w:rsidRPr="00165EC6" w:rsidRDefault="00B74E3A" w:rsidP="00F521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b/>
          <w:sz w:val="20"/>
          <w:szCs w:val="20"/>
          <w:lang w:val="es-PE"/>
        </w:rPr>
      </w:pPr>
      <w:r w:rsidRPr="00165EC6">
        <w:rPr>
          <w:rFonts w:ascii="Cambria" w:hAnsi="Cambria"/>
          <w:sz w:val="20"/>
          <w:szCs w:val="20"/>
          <w:lang w:val="es-PE"/>
        </w:rPr>
        <w:t xml:space="preserve">Ahora bien, en cuanto al contenido del derecho al trabajo y en lo relevante para el presente caso la Comisión observa que el Comité de Derechos Económicos, Sociales y Culturales, en su Observación General 18, indicó lo siguiente: </w:t>
      </w:r>
    </w:p>
    <w:p w:rsidR="00B74E3A" w:rsidRPr="00165EC6" w:rsidRDefault="0004756C" w:rsidP="0004756C">
      <w:pPr>
        <w:tabs>
          <w:tab w:val="left" w:pos="1470"/>
        </w:tabs>
        <w:jc w:val="both"/>
        <w:rPr>
          <w:rFonts w:ascii="Cambria" w:hAnsi="Cambria"/>
          <w:sz w:val="20"/>
          <w:szCs w:val="20"/>
          <w:lang w:val="es-PE"/>
        </w:rPr>
      </w:pPr>
      <w:r w:rsidRPr="00165EC6">
        <w:rPr>
          <w:rFonts w:ascii="Cambria" w:hAnsi="Cambria"/>
          <w:sz w:val="20"/>
          <w:szCs w:val="20"/>
          <w:lang w:val="es-PE"/>
        </w:rPr>
        <w:tab/>
      </w:r>
    </w:p>
    <w:tbl>
      <w:tblPr>
        <w:tblpPr w:leftFromText="180" w:rightFromText="180" w:vertAnchor="text" w:tblpY="1"/>
        <w:tblOverlap w:val="never"/>
        <w:tblW w:w="9360" w:type="dxa"/>
        <w:tblCellSpacing w:w="15" w:type="dxa"/>
        <w:tblCellMar>
          <w:top w:w="75" w:type="dxa"/>
          <w:left w:w="75" w:type="dxa"/>
          <w:bottom w:w="75" w:type="dxa"/>
          <w:right w:w="75" w:type="dxa"/>
        </w:tblCellMar>
        <w:tblLook w:val="04A0" w:firstRow="1" w:lastRow="0" w:firstColumn="1" w:lastColumn="0" w:noHBand="0" w:noVBand="1"/>
      </w:tblPr>
      <w:tblGrid>
        <w:gridCol w:w="9360"/>
      </w:tblGrid>
      <w:tr w:rsidR="00B74E3A" w:rsidRPr="005B42EE" w:rsidTr="00AB2B7E">
        <w:trPr>
          <w:trHeight w:val="2148"/>
          <w:tblCellSpacing w:w="15" w:type="dxa"/>
        </w:trPr>
        <w:tc>
          <w:tcPr>
            <w:tcW w:w="9300" w:type="dxa"/>
            <w:tcMar>
              <w:top w:w="45" w:type="dxa"/>
              <w:left w:w="45" w:type="dxa"/>
              <w:bottom w:w="45" w:type="dxa"/>
              <w:right w:w="45" w:type="dxa"/>
            </w:tcMar>
            <w:hideMark/>
          </w:tcPr>
          <w:p w:rsidR="00B74E3A" w:rsidRPr="00165EC6" w:rsidRDefault="00B74E3A" w:rsidP="00AB2B7E">
            <w:pPr>
              <w:ind w:left="720" w:right="810"/>
              <w:jc w:val="both"/>
              <w:rPr>
                <w:rFonts w:ascii="Cambria" w:eastAsia="Times New Roman" w:hAnsi="Cambria"/>
                <w:sz w:val="20"/>
                <w:szCs w:val="20"/>
                <w:lang w:val="es-PE"/>
              </w:rPr>
            </w:pPr>
            <w:r w:rsidRPr="00165EC6">
              <w:rPr>
                <w:rFonts w:ascii="Cambria" w:eastAsia="Times New Roman" w:hAnsi="Cambria"/>
                <w:sz w:val="20"/>
                <w:szCs w:val="20"/>
                <w:lang w:val="es-PE"/>
              </w:rPr>
              <w:t>El trabajo, según reza el artículo 6 del Pacto, debe ser un </w:t>
            </w:r>
            <w:r w:rsidRPr="00165EC6">
              <w:rPr>
                <w:rFonts w:ascii="Cambria" w:eastAsia="Times New Roman" w:hAnsi="Cambria"/>
                <w:i/>
                <w:iCs/>
                <w:sz w:val="20"/>
                <w:szCs w:val="20"/>
                <w:lang w:val="es-PE"/>
              </w:rPr>
              <w:t>trabajo digno.</w:t>
            </w:r>
            <w:r w:rsidRPr="00165EC6">
              <w:rPr>
                <w:rFonts w:ascii="Cambria" w:eastAsia="Times New Roman" w:hAnsi="Cambria"/>
                <w:sz w:val="20"/>
                <w:szCs w:val="20"/>
                <w:lang w:val="es-PE"/>
              </w:rPr>
              <w:t> Éste es el trabajo que respeta los derechos fundamentales de la persona humana, así como los derechos de los trabajadores en lo relativo a condiciones de seguridad laboral y remuneración. También ofrece una renta que permite a los trabajadores vivir y asegurar la vida de sus familias, tal como se subraya en el artículo 7 del Pacto. Estos derechos fundamentales también incluyen el respecto a la integridad física y mental del trabajador en el ejercicio de su empleo</w:t>
            </w:r>
            <w:r w:rsidRPr="00165EC6">
              <w:rPr>
                <w:rStyle w:val="FootnoteReference"/>
                <w:rFonts w:ascii="Cambria" w:eastAsia="Times New Roman" w:hAnsi="Cambria"/>
                <w:sz w:val="20"/>
                <w:szCs w:val="20"/>
              </w:rPr>
              <w:footnoteReference w:id="112"/>
            </w:r>
            <w:r w:rsidRPr="00165EC6">
              <w:rPr>
                <w:rFonts w:ascii="Cambria" w:eastAsia="Times New Roman" w:hAnsi="Cambria"/>
                <w:sz w:val="20"/>
                <w:szCs w:val="20"/>
                <w:lang w:val="es-PE"/>
              </w:rPr>
              <w:t>.</w:t>
            </w:r>
          </w:p>
          <w:p w:rsidR="00B74E3A" w:rsidRPr="00165EC6" w:rsidRDefault="00B74E3A" w:rsidP="00AB2B7E">
            <w:pPr>
              <w:ind w:right="810"/>
              <w:jc w:val="both"/>
              <w:rPr>
                <w:rFonts w:ascii="Cambria" w:eastAsia="Times New Roman" w:hAnsi="Cambria"/>
                <w:sz w:val="20"/>
                <w:szCs w:val="20"/>
                <w:lang w:val="es-PE"/>
              </w:rPr>
            </w:pPr>
          </w:p>
          <w:p w:rsidR="00B74E3A" w:rsidRPr="00165EC6" w:rsidRDefault="00B74E3A" w:rsidP="00F521A4">
            <w:pPr>
              <w:numPr>
                <w:ilvl w:val="0"/>
                <w:numId w:val="55"/>
              </w:numPr>
              <w:ind w:left="0"/>
              <w:jc w:val="both"/>
              <w:rPr>
                <w:rFonts w:ascii="Cambria" w:eastAsia="Times New Roman" w:hAnsi="Cambria"/>
                <w:sz w:val="20"/>
                <w:szCs w:val="20"/>
                <w:lang w:val="es-PE"/>
              </w:rPr>
            </w:pPr>
            <w:r w:rsidRPr="00165EC6">
              <w:rPr>
                <w:rFonts w:ascii="Cambria" w:eastAsia="Times New Roman" w:hAnsi="Cambria"/>
                <w:sz w:val="20"/>
                <w:szCs w:val="20"/>
                <w:lang w:val="es-PE"/>
              </w:rPr>
              <w:t xml:space="preserve">En la misma observación el Comité desarrolló los elementos de disponibilidad y accesibilidad, en los siguientes términos: </w:t>
            </w:r>
            <w:r w:rsidRPr="00165EC6">
              <w:rPr>
                <w:rFonts w:ascii="Cambria" w:hAnsi="Cambria"/>
                <w:sz w:val="20"/>
                <w:szCs w:val="20"/>
                <w:u w:val="single"/>
                <w:lang w:val="es-MX"/>
              </w:rPr>
              <w:t>Disponibilidad</w:t>
            </w:r>
            <w:r w:rsidRPr="00165EC6">
              <w:rPr>
                <w:rFonts w:ascii="Cambria" w:hAnsi="Cambria"/>
                <w:sz w:val="20"/>
                <w:szCs w:val="20"/>
                <w:lang w:val="es-MX"/>
              </w:rPr>
              <w:t xml:space="preserve">: Los Estados Partes deben contar con servicios especializados que tengan por función ayudar y apoyar a los individuos para permitirles identificar el empleo disponible y acceder a él.  </w:t>
            </w:r>
            <w:r w:rsidRPr="00165EC6">
              <w:rPr>
                <w:rFonts w:ascii="Cambria" w:hAnsi="Cambria"/>
                <w:sz w:val="20"/>
                <w:szCs w:val="20"/>
                <w:u w:val="single"/>
                <w:lang w:val="es-MX"/>
              </w:rPr>
              <w:t>Accesibilidad</w:t>
            </w:r>
            <w:r w:rsidRPr="00165EC6">
              <w:rPr>
                <w:rFonts w:ascii="Cambria" w:hAnsi="Cambria"/>
                <w:sz w:val="20"/>
                <w:szCs w:val="20"/>
                <w:lang w:val="es-MX"/>
              </w:rPr>
              <w:t xml:space="preserve">: El acceso al trabajo </w:t>
            </w:r>
            <w:r w:rsidRPr="00165EC6">
              <w:rPr>
                <w:rFonts w:ascii="Cambria" w:hAnsi="Cambria"/>
                <w:sz w:val="20"/>
                <w:szCs w:val="20"/>
                <w:lang w:val="es-ES"/>
              </w:rPr>
              <w:t>reviste tres dimensiones: no discriminación, accesibilidad física y acceso a la información. La discriminación en el acceso al trabajo y la continuidad del trabajo está prohibida. Los Estados deben asegurar una razonable adaptación para que los espacios de trabajo sean accesibles, en particular para las personas con discapacidades físicas. Todas las personas tienen el derecho a buscar, obtener e impartir información sobre oportunidades de empleo</w:t>
            </w:r>
            <w:r w:rsidRPr="00165EC6">
              <w:rPr>
                <w:rStyle w:val="FootnoteReference"/>
                <w:rFonts w:ascii="Cambria" w:eastAsia="Times New Roman" w:hAnsi="Cambria"/>
                <w:sz w:val="20"/>
                <w:szCs w:val="20"/>
              </w:rPr>
              <w:footnoteReference w:id="113"/>
            </w:r>
            <w:r w:rsidRPr="00165EC6">
              <w:rPr>
                <w:rFonts w:ascii="Cambria" w:hAnsi="Cambria" w:cs="Arial"/>
                <w:sz w:val="20"/>
                <w:szCs w:val="20"/>
                <w:lang w:val="es-ES"/>
              </w:rPr>
              <w:t>.</w:t>
            </w:r>
          </w:p>
          <w:p w:rsidR="00B74E3A" w:rsidRPr="00165EC6" w:rsidRDefault="00B74E3A" w:rsidP="00F521A4">
            <w:pPr>
              <w:ind w:firstLine="720"/>
              <w:jc w:val="both"/>
              <w:rPr>
                <w:rFonts w:ascii="Cambria" w:eastAsia="Times New Roman" w:hAnsi="Cambria"/>
                <w:sz w:val="20"/>
                <w:szCs w:val="20"/>
                <w:lang w:val="es-PE"/>
              </w:rPr>
            </w:pPr>
          </w:p>
          <w:p w:rsidR="00B74E3A" w:rsidRPr="00165EC6" w:rsidRDefault="00B74E3A" w:rsidP="00F521A4">
            <w:pPr>
              <w:numPr>
                <w:ilvl w:val="0"/>
                <w:numId w:val="55"/>
              </w:numPr>
              <w:ind w:left="0"/>
              <w:jc w:val="both"/>
              <w:rPr>
                <w:rFonts w:ascii="Cambria" w:eastAsia="Times New Roman" w:hAnsi="Cambria"/>
                <w:sz w:val="20"/>
                <w:szCs w:val="20"/>
                <w:lang w:val="es-PE"/>
              </w:rPr>
            </w:pPr>
            <w:r w:rsidRPr="00165EC6">
              <w:rPr>
                <w:rFonts w:ascii="Cambria" w:eastAsia="Times New Roman" w:hAnsi="Cambria"/>
                <w:sz w:val="20"/>
                <w:szCs w:val="20"/>
                <w:lang w:val="es-PE"/>
              </w:rPr>
              <w:t xml:space="preserve">Asimismo y de especial relevancia para el presente caso, el Comité se refirió al derecho a elegir y aceptar libremente empleo y a las “condiciones laborales seguras” como parte del estándar de </w:t>
            </w:r>
            <w:r w:rsidRPr="00165EC6">
              <w:rPr>
                <w:rFonts w:ascii="Cambria" w:eastAsia="Times New Roman" w:hAnsi="Cambria"/>
                <w:i/>
                <w:sz w:val="20"/>
                <w:szCs w:val="20"/>
                <w:lang w:val="es-PE"/>
              </w:rPr>
              <w:t>aceptabilidad y calidad</w:t>
            </w:r>
            <w:r w:rsidRPr="00165EC6">
              <w:rPr>
                <w:rFonts w:ascii="Cambria" w:eastAsia="Times New Roman" w:hAnsi="Cambria"/>
                <w:sz w:val="20"/>
                <w:szCs w:val="20"/>
                <w:lang w:val="es-PE"/>
              </w:rPr>
              <w:t xml:space="preserve"> del derecho al trabajo, en los siguientes términos: </w:t>
            </w:r>
          </w:p>
        </w:tc>
      </w:tr>
    </w:tbl>
    <w:p w:rsidR="00B74E3A" w:rsidRPr="00165EC6" w:rsidRDefault="00B74E3A" w:rsidP="00B74E3A">
      <w:pPr>
        <w:ind w:right="720"/>
        <w:jc w:val="both"/>
        <w:rPr>
          <w:rFonts w:ascii="Cambria" w:eastAsia="Times New Roman" w:hAnsi="Cambria"/>
          <w:sz w:val="20"/>
          <w:szCs w:val="20"/>
          <w:lang w:val="es-PE"/>
        </w:rPr>
      </w:pPr>
    </w:p>
    <w:p w:rsidR="00B74E3A" w:rsidRPr="00165EC6" w:rsidRDefault="00B74E3A" w:rsidP="00B74E3A">
      <w:pPr>
        <w:ind w:left="720" w:right="720"/>
        <w:jc w:val="both"/>
        <w:rPr>
          <w:rFonts w:ascii="Cambria" w:eastAsia="Times New Roman" w:hAnsi="Cambria"/>
          <w:sz w:val="20"/>
          <w:szCs w:val="20"/>
          <w:lang w:val="es-PE"/>
        </w:rPr>
      </w:pPr>
      <w:r w:rsidRPr="00165EC6">
        <w:rPr>
          <w:rFonts w:ascii="Cambria" w:eastAsia="Times New Roman" w:hAnsi="Cambria"/>
          <w:i/>
          <w:iCs/>
          <w:sz w:val="20"/>
          <w:szCs w:val="20"/>
          <w:lang w:val="es-PE"/>
        </w:rPr>
        <w:t>Aceptabilidad y calidad</w:t>
      </w:r>
      <w:r w:rsidRPr="00165EC6">
        <w:rPr>
          <w:rFonts w:ascii="Cambria" w:eastAsia="Times New Roman" w:hAnsi="Cambria"/>
          <w:sz w:val="20"/>
          <w:szCs w:val="20"/>
          <w:lang w:val="es-PE"/>
        </w:rPr>
        <w:t>. La protección del derecho al trabajo presenta varias dimensiones, especialmente el derecho del trabajador a condiciones justas y favorables de trabajo, en particular a condiciones laborales seguras, el derecho a constituir sindicatos y el derecho a elegir y aceptar libremente empleo</w:t>
      </w:r>
      <w:r w:rsidRPr="00165EC6">
        <w:rPr>
          <w:rStyle w:val="FootnoteReference"/>
          <w:rFonts w:ascii="Cambria" w:eastAsia="Times New Roman" w:hAnsi="Cambria"/>
          <w:sz w:val="20"/>
          <w:szCs w:val="20"/>
        </w:rPr>
        <w:footnoteReference w:id="114"/>
      </w:r>
      <w:r w:rsidRPr="00165EC6">
        <w:rPr>
          <w:rFonts w:ascii="Cambria" w:eastAsia="Times New Roman" w:hAnsi="Cambria"/>
          <w:sz w:val="20"/>
          <w:szCs w:val="20"/>
          <w:lang w:val="es-PE"/>
        </w:rPr>
        <w:t>.</w:t>
      </w:r>
    </w:p>
    <w:p w:rsidR="00B74E3A" w:rsidRPr="00165EC6" w:rsidRDefault="00B74E3A" w:rsidP="00F521A4">
      <w:pPr>
        <w:ind w:firstLine="720"/>
        <w:jc w:val="both"/>
        <w:rPr>
          <w:rFonts w:ascii="Cambria" w:hAnsi="Cambria"/>
          <w:b/>
          <w:sz w:val="20"/>
          <w:szCs w:val="20"/>
          <w:lang w:val="es-PE"/>
        </w:rPr>
      </w:pPr>
    </w:p>
    <w:p w:rsidR="003B56B9" w:rsidRPr="00165EC6" w:rsidRDefault="00B74E3A" w:rsidP="00F521A4">
      <w:pPr>
        <w:numPr>
          <w:ilvl w:val="0"/>
          <w:numId w:val="55"/>
        </w:numPr>
        <w:ind w:left="0"/>
        <w:jc w:val="both"/>
        <w:rPr>
          <w:rFonts w:asciiTheme="majorHAnsi" w:eastAsia="Batang" w:hAnsiTheme="majorHAnsi"/>
          <w:sz w:val="20"/>
          <w:szCs w:val="20"/>
          <w:lang w:val="es-ES_tradnl"/>
        </w:rPr>
      </w:pPr>
      <w:r w:rsidRPr="00165EC6">
        <w:rPr>
          <w:rFonts w:ascii="Cambria" w:eastAsia="Times New Roman" w:hAnsi="Cambria"/>
          <w:sz w:val="20"/>
          <w:szCs w:val="20"/>
          <w:lang w:val="es-PE"/>
        </w:rPr>
        <w:t xml:space="preserve">En cuanto al deber de proteger frente acciones de actores no estatales, indicó que </w:t>
      </w:r>
      <w:r w:rsidR="0047066D" w:rsidRPr="00165EC6">
        <w:rPr>
          <w:rFonts w:ascii="Cambria" w:eastAsia="Times New Roman" w:hAnsi="Cambria"/>
          <w:sz w:val="20"/>
          <w:szCs w:val="20"/>
          <w:lang w:val="es-PE"/>
        </w:rPr>
        <w:t>“</w:t>
      </w:r>
      <w:r w:rsidRPr="00165EC6">
        <w:rPr>
          <w:rFonts w:ascii="Cambria" w:eastAsia="Times New Roman" w:hAnsi="Cambria"/>
          <w:sz w:val="20"/>
          <w:szCs w:val="20"/>
          <w:lang w:val="es-PE"/>
        </w:rPr>
        <w:t xml:space="preserve">el incumplimiento de dicho deber se produce cuando los Estados Partes se abstienen de adoptar todas las medidas adecuadas para proteger a las personas sometidas a su jurisdicción contra las vulneraciones del </w:t>
      </w:r>
      <w:r w:rsidRPr="00165EC6">
        <w:rPr>
          <w:rFonts w:ascii="Cambria" w:eastAsia="Times New Roman" w:hAnsi="Cambria"/>
          <w:sz w:val="20"/>
          <w:szCs w:val="20"/>
          <w:lang w:val="es-PE"/>
        </w:rPr>
        <w:lastRenderedPageBreak/>
        <w:t>derecho al trabajo imputables a terceros”</w:t>
      </w:r>
      <w:r w:rsidRPr="00165EC6">
        <w:rPr>
          <w:rStyle w:val="FootnoteReference"/>
          <w:rFonts w:ascii="Cambria" w:eastAsia="Times New Roman" w:hAnsi="Cambria"/>
          <w:sz w:val="20"/>
          <w:szCs w:val="20"/>
        </w:rPr>
        <w:footnoteReference w:id="115"/>
      </w:r>
      <w:r w:rsidRPr="00165EC6">
        <w:rPr>
          <w:rFonts w:ascii="Cambria" w:eastAsia="Times New Roman" w:hAnsi="Cambria"/>
          <w:sz w:val="20"/>
          <w:szCs w:val="20"/>
          <w:lang w:val="es-PE"/>
        </w:rPr>
        <w:t>. </w:t>
      </w:r>
      <w:r w:rsidRPr="00165EC6">
        <w:rPr>
          <w:rFonts w:ascii="Cambria" w:eastAsia="Batang" w:hAnsi="Cambria"/>
          <w:sz w:val="20"/>
          <w:szCs w:val="20"/>
          <w:lang w:val="es-ES_tradnl"/>
        </w:rPr>
        <w:t>Asimismo, la Corte ha señalado que “el Estado es entonces responsable por sí mismo tanto cuando funciona como empleador, como por la actuación de terceros que actúen con su tolerancia, aquiescencia o negligencia, o respaldados por alguna directriz o política estatal que favorezca la creación o mantenimiento de situaciones de discriminación”</w:t>
      </w:r>
      <w:r w:rsidRPr="00165EC6">
        <w:rPr>
          <w:rFonts w:ascii="Cambria" w:eastAsia="Batang" w:hAnsi="Cambria"/>
          <w:sz w:val="20"/>
          <w:szCs w:val="20"/>
          <w:vertAlign w:val="superscript"/>
          <w:lang w:val="es-ES_tradnl"/>
        </w:rPr>
        <w:footnoteReference w:id="116"/>
      </w:r>
      <w:r w:rsidRPr="00165EC6">
        <w:rPr>
          <w:rFonts w:ascii="Cambria" w:eastAsia="Batang" w:hAnsi="Cambria"/>
          <w:sz w:val="20"/>
          <w:szCs w:val="20"/>
          <w:lang w:val="es-ES_tradnl"/>
        </w:rPr>
        <w:t>.</w:t>
      </w:r>
      <w:r w:rsidR="003B56B9" w:rsidRPr="00165EC6">
        <w:rPr>
          <w:rFonts w:ascii="Cambria" w:eastAsia="Batang" w:hAnsi="Cambria"/>
          <w:sz w:val="20"/>
          <w:szCs w:val="20"/>
          <w:lang w:val="es-ES_tradnl"/>
        </w:rPr>
        <w:t xml:space="preserve"> </w:t>
      </w:r>
    </w:p>
    <w:p w:rsidR="003B56B9" w:rsidRPr="00165EC6" w:rsidRDefault="003B56B9" w:rsidP="00F521A4">
      <w:pPr>
        <w:ind w:firstLine="720"/>
        <w:jc w:val="both"/>
        <w:rPr>
          <w:rFonts w:asciiTheme="majorHAnsi" w:eastAsia="Batang" w:hAnsiTheme="majorHAnsi"/>
          <w:sz w:val="20"/>
          <w:szCs w:val="20"/>
          <w:lang w:val="es-ES_tradnl"/>
        </w:rPr>
      </w:pPr>
    </w:p>
    <w:p w:rsidR="0025597B" w:rsidRPr="00165EC6" w:rsidRDefault="003B56B9" w:rsidP="00F521A4">
      <w:pPr>
        <w:numPr>
          <w:ilvl w:val="0"/>
          <w:numId w:val="55"/>
        </w:numPr>
        <w:ind w:left="0"/>
        <w:jc w:val="both"/>
        <w:rPr>
          <w:rFonts w:asciiTheme="majorHAnsi" w:eastAsia="Batang" w:hAnsiTheme="majorHAnsi"/>
          <w:sz w:val="20"/>
          <w:szCs w:val="20"/>
          <w:lang w:val="es-ES_tradnl"/>
        </w:rPr>
      </w:pPr>
      <w:r w:rsidRPr="00165EC6">
        <w:rPr>
          <w:rFonts w:asciiTheme="majorHAnsi" w:eastAsia="Times New Roman" w:hAnsiTheme="majorHAnsi"/>
          <w:sz w:val="20"/>
          <w:szCs w:val="20"/>
          <w:lang w:val="es-PE"/>
        </w:rPr>
        <w:t xml:space="preserve">Al respecto,  la CIDH entiende que a la luz del deber de garantía previsto en el artículo 1.1 de la CADH y </w:t>
      </w:r>
      <w:r w:rsidR="00B83AD5" w:rsidRPr="00165EC6">
        <w:rPr>
          <w:rFonts w:asciiTheme="majorHAnsi" w:eastAsia="Times New Roman" w:hAnsiTheme="majorHAnsi"/>
          <w:sz w:val="20"/>
          <w:szCs w:val="20"/>
          <w:lang w:val="es-PE"/>
        </w:rPr>
        <w:t>la interpretación que sobre el mismo han hecho los órganos del Sistema Interamericano</w:t>
      </w:r>
      <w:r w:rsidR="00901A2E" w:rsidRPr="00165EC6">
        <w:rPr>
          <w:rFonts w:asciiTheme="majorHAnsi" w:eastAsia="Times New Roman" w:hAnsiTheme="majorHAnsi"/>
          <w:sz w:val="20"/>
          <w:szCs w:val="20"/>
          <w:lang w:val="es-PE"/>
        </w:rPr>
        <w:t>,</w:t>
      </w:r>
      <w:r w:rsidRPr="00165EC6">
        <w:rPr>
          <w:rFonts w:asciiTheme="majorHAnsi" w:eastAsia="Times New Roman" w:hAnsiTheme="majorHAnsi"/>
          <w:sz w:val="20"/>
          <w:szCs w:val="20"/>
          <w:lang w:val="es-PE"/>
        </w:rPr>
        <w:t xml:space="preserve"> </w:t>
      </w:r>
      <w:r w:rsidRPr="00165EC6">
        <w:rPr>
          <w:rFonts w:asciiTheme="majorHAnsi" w:hAnsiTheme="majorHAnsi"/>
          <w:sz w:val="20"/>
          <w:szCs w:val="20"/>
          <w:lang w:val="es-PE"/>
        </w:rPr>
        <w:t xml:space="preserve">los Estados partes deben prevenir </w:t>
      </w:r>
      <w:r w:rsidR="00901A2E" w:rsidRPr="00165EC6">
        <w:rPr>
          <w:rFonts w:asciiTheme="majorHAnsi" w:hAnsiTheme="majorHAnsi"/>
          <w:sz w:val="20"/>
          <w:szCs w:val="20"/>
          <w:lang w:val="es-PE"/>
        </w:rPr>
        <w:t>la</w:t>
      </w:r>
      <w:r w:rsidRPr="00165EC6">
        <w:rPr>
          <w:rFonts w:asciiTheme="majorHAnsi" w:hAnsiTheme="majorHAnsi"/>
          <w:sz w:val="20"/>
          <w:szCs w:val="20"/>
          <w:lang w:val="es-PE"/>
        </w:rPr>
        <w:t xml:space="preserve"> conculcación de los derechos </w:t>
      </w:r>
      <w:r w:rsidR="0025597B" w:rsidRPr="00165EC6">
        <w:rPr>
          <w:rFonts w:asciiTheme="majorHAnsi" w:hAnsiTheme="majorHAnsi"/>
          <w:sz w:val="20"/>
          <w:szCs w:val="20"/>
          <w:lang w:val="es-PE"/>
        </w:rPr>
        <w:t>contenidos en el artículo 26</w:t>
      </w:r>
      <w:r w:rsidRPr="00165EC6">
        <w:rPr>
          <w:rFonts w:asciiTheme="majorHAnsi" w:hAnsiTheme="majorHAnsi"/>
          <w:sz w:val="20"/>
          <w:szCs w:val="20"/>
          <w:lang w:val="es-PE"/>
        </w:rPr>
        <w:t xml:space="preserve"> en el contexto de las actividades empresariales. De acuerdo al Comité DESC</w:t>
      </w:r>
      <w:r w:rsidR="00FE464A" w:rsidRPr="00165EC6">
        <w:rPr>
          <w:rFonts w:asciiTheme="majorHAnsi" w:hAnsiTheme="majorHAnsi"/>
          <w:sz w:val="20"/>
          <w:szCs w:val="20"/>
          <w:lang w:val="es-PE"/>
        </w:rPr>
        <w:t>,</w:t>
      </w:r>
      <w:r w:rsidRPr="00165EC6">
        <w:rPr>
          <w:rFonts w:asciiTheme="majorHAnsi" w:hAnsiTheme="majorHAnsi"/>
          <w:sz w:val="20"/>
          <w:szCs w:val="20"/>
          <w:lang w:val="es-PE"/>
        </w:rPr>
        <w:t xml:space="preserve"> ello incluye adoptar un marco jurídico que permita asegurar la protección de </w:t>
      </w:r>
      <w:r w:rsidR="00901A2E" w:rsidRPr="00165EC6">
        <w:rPr>
          <w:rFonts w:asciiTheme="majorHAnsi" w:hAnsiTheme="majorHAnsi"/>
          <w:sz w:val="20"/>
          <w:szCs w:val="20"/>
          <w:lang w:val="es-PE"/>
        </w:rPr>
        <w:t xml:space="preserve">dichos </w:t>
      </w:r>
      <w:r w:rsidRPr="00165EC6">
        <w:rPr>
          <w:rFonts w:asciiTheme="majorHAnsi" w:hAnsiTheme="majorHAnsi"/>
          <w:sz w:val="20"/>
          <w:szCs w:val="20"/>
          <w:lang w:val="es-PE"/>
        </w:rPr>
        <w:t>derechos</w:t>
      </w:r>
      <w:r w:rsidR="0025597B" w:rsidRPr="00165EC6">
        <w:rPr>
          <w:rFonts w:asciiTheme="majorHAnsi" w:hAnsiTheme="majorHAnsi"/>
          <w:sz w:val="20"/>
          <w:szCs w:val="20"/>
          <w:lang w:val="es-PE"/>
        </w:rPr>
        <w:t xml:space="preserve"> y que proporcione acceso efectivo a recursos para las víctimas de tales violaciones. Entre las acciones que asegur</w:t>
      </w:r>
      <w:r w:rsidR="00FE464A" w:rsidRPr="00165EC6">
        <w:rPr>
          <w:rFonts w:asciiTheme="majorHAnsi" w:hAnsiTheme="majorHAnsi"/>
          <w:sz w:val="20"/>
          <w:szCs w:val="20"/>
          <w:lang w:val="es-PE"/>
        </w:rPr>
        <w:t>e</w:t>
      </w:r>
      <w:r w:rsidR="0025597B" w:rsidRPr="00165EC6">
        <w:rPr>
          <w:rFonts w:asciiTheme="majorHAnsi" w:hAnsiTheme="majorHAnsi"/>
          <w:sz w:val="20"/>
          <w:szCs w:val="20"/>
          <w:lang w:val="es-PE"/>
        </w:rPr>
        <w:t>n un marco jurídico adecuado</w:t>
      </w:r>
      <w:r w:rsidR="00A96939" w:rsidRPr="00165EC6">
        <w:rPr>
          <w:rFonts w:asciiTheme="majorHAnsi" w:hAnsiTheme="majorHAnsi"/>
          <w:sz w:val="20"/>
          <w:szCs w:val="20"/>
          <w:lang w:val="es-PE"/>
        </w:rPr>
        <w:t>,</w:t>
      </w:r>
      <w:r w:rsidR="0025597B" w:rsidRPr="00165EC6">
        <w:rPr>
          <w:rFonts w:asciiTheme="majorHAnsi" w:hAnsiTheme="majorHAnsi"/>
          <w:sz w:val="20"/>
          <w:szCs w:val="20"/>
          <w:lang w:val="es-PE"/>
        </w:rPr>
        <w:t xml:space="preserve"> el Estado</w:t>
      </w:r>
      <w:r w:rsidRPr="00165EC6">
        <w:rPr>
          <w:rFonts w:asciiTheme="majorHAnsi" w:hAnsiTheme="majorHAnsi"/>
          <w:sz w:val="20"/>
          <w:szCs w:val="20"/>
          <w:lang w:val="es-PE"/>
        </w:rPr>
        <w:t xml:space="preserve"> </w:t>
      </w:r>
      <w:r w:rsidR="0025597B" w:rsidRPr="00165EC6">
        <w:rPr>
          <w:rFonts w:asciiTheme="majorHAnsi" w:hAnsiTheme="majorHAnsi"/>
          <w:sz w:val="20"/>
          <w:szCs w:val="20"/>
          <w:lang w:val="es-PE"/>
        </w:rPr>
        <w:t>deberá exigir</w:t>
      </w:r>
      <w:r w:rsidRPr="00165EC6">
        <w:rPr>
          <w:rFonts w:asciiTheme="majorHAnsi" w:hAnsiTheme="majorHAnsi"/>
          <w:sz w:val="20"/>
          <w:szCs w:val="20"/>
          <w:lang w:val="es-PE"/>
        </w:rPr>
        <w:t xml:space="preserve"> que las empresas ejerzan la diligencia debida en materia de derechos humanos a fin de identificar, prevenir y mitigar los riesgos de vulneración de los derechos</w:t>
      </w:r>
      <w:r w:rsidR="00FE464A" w:rsidRPr="00165EC6">
        <w:rPr>
          <w:rFonts w:asciiTheme="majorHAnsi" w:hAnsiTheme="majorHAnsi"/>
          <w:sz w:val="20"/>
          <w:szCs w:val="20"/>
          <w:lang w:val="es-PE"/>
        </w:rPr>
        <w:t xml:space="preserve"> en el marco de sus actividades</w:t>
      </w:r>
      <w:r w:rsidR="0025597B" w:rsidRPr="00165EC6">
        <w:rPr>
          <w:rStyle w:val="FootnoteReference"/>
          <w:rFonts w:asciiTheme="majorHAnsi" w:hAnsiTheme="majorHAnsi"/>
          <w:sz w:val="20"/>
          <w:szCs w:val="20"/>
          <w:lang w:val="es-PE"/>
        </w:rPr>
        <w:footnoteReference w:id="117"/>
      </w:r>
      <w:r w:rsidR="00A96939" w:rsidRPr="00165EC6">
        <w:rPr>
          <w:rFonts w:asciiTheme="majorHAnsi" w:hAnsiTheme="majorHAnsi"/>
          <w:sz w:val="20"/>
          <w:szCs w:val="20"/>
          <w:lang w:val="es-PE"/>
        </w:rPr>
        <w:t>.</w:t>
      </w:r>
    </w:p>
    <w:p w:rsidR="0025597B" w:rsidRPr="00165EC6" w:rsidRDefault="003B56B9" w:rsidP="00F521A4">
      <w:pPr>
        <w:ind w:firstLine="720"/>
        <w:jc w:val="both"/>
        <w:rPr>
          <w:rFonts w:asciiTheme="majorHAnsi" w:eastAsia="Batang" w:hAnsiTheme="majorHAnsi"/>
          <w:sz w:val="20"/>
          <w:szCs w:val="20"/>
          <w:lang w:val="es-ES_tradnl"/>
        </w:rPr>
      </w:pPr>
      <w:r w:rsidRPr="00165EC6">
        <w:rPr>
          <w:rFonts w:asciiTheme="majorHAnsi" w:hAnsiTheme="majorHAnsi"/>
          <w:sz w:val="20"/>
          <w:szCs w:val="20"/>
          <w:lang w:val="es-PE"/>
        </w:rPr>
        <w:t xml:space="preserve"> </w:t>
      </w:r>
      <w:r w:rsidR="003C132E" w:rsidRPr="00165EC6">
        <w:rPr>
          <w:rFonts w:asciiTheme="majorHAnsi" w:eastAsia="Batang" w:hAnsiTheme="majorHAnsi"/>
          <w:sz w:val="20"/>
          <w:szCs w:val="20"/>
          <w:lang w:val="es-ES_tradnl"/>
        </w:rPr>
        <w:t xml:space="preserve"> </w:t>
      </w:r>
    </w:p>
    <w:p w:rsidR="003C132E" w:rsidRPr="00165EC6" w:rsidRDefault="00C934E4" w:rsidP="00F521A4">
      <w:pPr>
        <w:numPr>
          <w:ilvl w:val="0"/>
          <w:numId w:val="55"/>
        </w:numPr>
        <w:ind w:left="0"/>
        <w:jc w:val="both"/>
        <w:rPr>
          <w:rFonts w:asciiTheme="majorHAnsi" w:eastAsia="Times New Roman" w:hAnsiTheme="majorHAnsi" w:cs="Arial"/>
          <w:sz w:val="20"/>
          <w:szCs w:val="20"/>
          <w:bdr w:val="none" w:sz="0" w:space="0" w:color="auto"/>
          <w:lang w:val="es-PE"/>
        </w:rPr>
      </w:pPr>
      <w:r w:rsidRPr="00165EC6">
        <w:rPr>
          <w:rFonts w:asciiTheme="majorHAnsi" w:eastAsia="Batang" w:hAnsiTheme="majorHAnsi"/>
          <w:sz w:val="20"/>
          <w:szCs w:val="20"/>
          <w:lang w:val="es-ES_tradnl"/>
        </w:rPr>
        <w:t>Finalmente, d</w:t>
      </w:r>
      <w:r w:rsidR="003C132E" w:rsidRPr="00165EC6">
        <w:rPr>
          <w:rFonts w:asciiTheme="majorHAnsi" w:eastAsia="Times New Roman" w:hAnsiTheme="majorHAnsi" w:cs="Arial"/>
          <w:sz w:val="20"/>
          <w:szCs w:val="20"/>
          <w:bdr w:val="none" w:sz="0" w:space="0" w:color="auto"/>
          <w:lang w:val="es-PE"/>
        </w:rPr>
        <w:t xml:space="preserve">entro de las </w:t>
      </w:r>
      <w:r w:rsidRPr="00165EC6">
        <w:rPr>
          <w:rFonts w:asciiTheme="majorHAnsi" w:eastAsia="Times New Roman" w:hAnsiTheme="majorHAnsi" w:cs="Arial"/>
          <w:sz w:val="20"/>
          <w:szCs w:val="20"/>
          <w:bdr w:val="none" w:sz="0" w:space="0" w:color="auto"/>
          <w:lang w:val="es-PE"/>
        </w:rPr>
        <w:t xml:space="preserve">obligaciones básicas de los Estados respecto de este derecho se </w:t>
      </w:r>
      <w:r w:rsidR="003C132E" w:rsidRPr="00165EC6">
        <w:rPr>
          <w:rFonts w:asciiTheme="majorHAnsi" w:eastAsia="Times New Roman" w:hAnsiTheme="majorHAnsi" w:cs="Arial"/>
          <w:sz w:val="20"/>
          <w:szCs w:val="20"/>
          <w:bdr w:val="none" w:sz="0" w:space="0" w:color="auto"/>
          <w:lang w:val="es-PE"/>
        </w:rPr>
        <w:t xml:space="preserve">incluye </w:t>
      </w:r>
      <w:r w:rsidRPr="00165EC6">
        <w:rPr>
          <w:rFonts w:asciiTheme="majorHAnsi" w:eastAsia="Times New Roman" w:hAnsiTheme="majorHAnsi" w:cs="Arial"/>
          <w:sz w:val="20"/>
          <w:szCs w:val="20"/>
          <w:bdr w:val="none" w:sz="0" w:space="0" w:color="auto"/>
          <w:lang w:val="es-PE"/>
        </w:rPr>
        <w:t>la g</w:t>
      </w:r>
      <w:r w:rsidR="003C132E" w:rsidRPr="00165EC6">
        <w:rPr>
          <w:rFonts w:asciiTheme="majorHAnsi" w:eastAsia="Times New Roman" w:hAnsiTheme="majorHAnsi" w:cs="Arial"/>
          <w:sz w:val="20"/>
          <w:szCs w:val="20"/>
          <w:bdr w:val="none" w:sz="0" w:space="0" w:color="auto"/>
          <w:lang w:val="es-PE"/>
        </w:rPr>
        <w:t>arant</w:t>
      </w:r>
      <w:r w:rsidRPr="00165EC6">
        <w:rPr>
          <w:rFonts w:asciiTheme="majorHAnsi" w:eastAsia="Times New Roman" w:hAnsiTheme="majorHAnsi" w:cs="Arial"/>
          <w:sz w:val="20"/>
          <w:szCs w:val="20"/>
          <w:bdr w:val="none" w:sz="0" w:space="0" w:color="auto"/>
          <w:lang w:val="es-PE"/>
        </w:rPr>
        <w:t>ía</w:t>
      </w:r>
      <w:r w:rsidR="003C132E" w:rsidRPr="00165EC6">
        <w:rPr>
          <w:rFonts w:asciiTheme="majorHAnsi" w:eastAsia="Times New Roman" w:hAnsiTheme="majorHAnsi" w:cs="Arial"/>
          <w:sz w:val="20"/>
          <w:szCs w:val="20"/>
          <w:bdr w:val="none" w:sz="0" w:space="0" w:color="auto"/>
          <w:lang w:val="es-PE"/>
        </w:rPr>
        <w:t xml:space="preserve"> </w:t>
      </w:r>
      <w:r w:rsidRPr="00165EC6">
        <w:rPr>
          <w:rFonts w:asciiTheme="majorHAnsi" w:eastAsia="Times New Roman" w:hAnsiTheme="majorHAnsi" w:cs="Arial"/>
          <w:sz w:val="20"/>
          <w:szCs w:val="20"/>
          <w:bdr w:val="none" w:sz="0" w:space="0" w:color="auto"/>
          <w:lang w:val="es-PE"/>
        </w:rPr>
        <w:t>de</w:t>
      </w:r>
      <w:r w:rsidR="003C132E" w:rsidRPr="00165EC6">
        <w:rPr>
          <w:rFonts w:asciiTheme="majorHAnsi" w:eastAsia="Times New Roman" w:hAnsiTheme="majorHAnsi" w:cs="Arial"/>
          <w:sz w:val="20"/>
          <w:szCs w:val="20"/>
          <w:bdr w:val="none" w:sz="0" w:space="0" w:color="auto"/>
          <w:lang w:val="es-PE"/>
        </w:rPr>
        <w:t xml:space="preserve"> acceso al empleo, en especial </w:t>
      </w:r>
      <w:r w:rsidRPr="00165EC6">
        <w:rPr>
          <w:rFonts w:asciiTheme="majorHAnsi" w:eastAsia="Times New Roman" w:hAnsiTheme="majorHAnsi" w:cs="Arial"/>
          <w:sz w:val="20"/>
          <w:szCs w:val="20"/>
          <w:bdr w:val="none" w:sz="0" w:space="0" w:color="auto"/>
          <w:lang w:val="es-PE"/>
        </w:rPr>
        <w:t>en relación</w:t>
      </w:r>
      <w:r w:rsidR="003C132E" w:rsidRPr="00165EC6">
        <w:rPr>
          <w:rFonts w:asciiTheme="majorHAnsi" w:eastAsia="Times New Roman" w:hAnsiTheme="majorHAnsi" w:cs="Arial"/>
          <w:sz w:val="20"/>
          <w:szCs w:val="20"/>
          <w:bdr w:val="none" w:sz="0" w:space="0" w:color="auto"/>
          <w:lang w:val="es-PE"/>
        </w:rPr>
        <w:t xml:space="preserve"> a la</w:t>
      </w:r>
      <w:r w:rsidRPr="00165EC6">
        <w:rPr>
          <w:rFonts w:asciiTheme="majorHAnsi" w:eastAsia="Times New Roman" w:hAnsiTheme="majorHAnsi" w:cs="Arial"/>
          <w:sz w:val="20"/>
          <w:szCs w:val="20"/>
          <w:bdr w:val="none" w:sz="0" w:space="0" w:color="auto"/>
          <w:lang w:val="es-PE"/>
        </w:rPr>
        <w:t xml:space="preserve">s </w:t>
      </w:r>
      <w:r w:rsidR="003C132E" w:rsidRPr="00165EC6">
        <w:rPr>
          <w:rFonts w:asciiTheme="majorHAnsi" w:eastAsia="Times New Roman" w:hAnsiTheme="majorHAnsi" w:cs="Arial"/>
          <w:sz w:val="20"/>
          <w:szCs w:val="20"/>
          <w:bdr w:val="none" w:sz="0" w:space="0" w:color="auto"/>
          <w:lang w:val="es-PE"/>
        </w:rPr>
        <w:t>personas y grupos desfavorecidos y marginados</w:t>
      </w:r>
      <w:r w:rsidRPr="00165EC6">
        <w:rPr>
          <w:rStyle w:val="FootnoteReference"/>
          <w:rFonts w:asciiTheme="majorHAnsi" w:eastAsia="Times New Roman" w:hAnsiTheme="majorHAnsi" w:cs="Arial"/>
          <w:sz w:val="20"/>
          <w:szCs w:val="20"/>
          <w:bdr w:val="none" w:sz="0" w:space="0" w:color="auto"/>
          <w:lang w:val="es-PE"/>
        </w:rPr>
        <w:footnoteReference w:id="118"/>
      </w:r>
      <w:r w:rsidR="003C132E" w:rsidRPr="00165EC6">
        <w:rPr>
          <w:rFonts w:asciiTheme="majorHAnsi" w:eastAsia="Times New Roman" w:hAnsiTheme="majorHAnsi" w:cs="Arial"/>
          <w:sz w:val="20"/>
          <w:szCs w:val="20"/>
          <w:bdr w:val="none" w:sz="0" w:space="0" w:color="auto"/>
          <w:lang w:val="es-PE"/>
        </w:rPr>
        <w:t>,</w:t>
      </w:r>
      <w:r w:rsidRPr="00165EC6">
        <w:rPr>
          <w:rFonts w:asciiTheme="majorHAnsi" w:eastAsia="Times New Roman" w:hAnsiTheme="majorHAnsi" w:cs="Arial"/>
          <w:sz w:val="20"/>
          <w:szCs w:val="20"/>
          <w:bdr w:val="none" w:sz="0" w:space="0" w:color="auto"/>
          <w:lang w:val="es-PE"/>
        </w:rPr>
        <w:t xml:space="preserve"> tal es el caso de las personas que se encuentran en una situación de pobreza. </w:t>
      </w:r>
    </w:p>
    <w:p w:rsidR="00B74E3A" w:rsidRPr="00165EC6" w:rsidRDefault="00B74E3A" w:rsidP="00F521A4">
      <w:pPr>
        <w:ind w:firstLine="720"/>
        <w:jc w:val="both"/>
        <w:rPr>
          <w:rFonts w:ascii="Cambria" w:eastAsia="Batang" w:hAnsi="Cambria"/>
          <w:sz w:val="20"/>
          <w:szCs w:val="20"/>
          <w:lang w:val="es-UY"/>
        </w:rPr>
      </w:pPr>
    </w:p>
    <w:p w:rsidR="00B74E3A" w:rsidRPr="00165EC6" w:rsidRDefault="00B74E3A" w:rsidP="00F521A4">
      <w:pPr>
        <w:numPr>
          <w:ilvl w:val="0"/>
          <w:numId w:val="55"/>
        </w:numPr>
        <w:ind w:left="0"/>
        <w:jc w:val="both"/>
        <w:rPr>
          <w:rFonts w:ascii="Cambria" w:eastAsia="Batang" w:hAnsi="Cambria"/>
          <w:sz w:val="20"/>
          <w:szCs w:val="20"/>
          <w:lang w:val="es-UY"/>
        </w:rPr>
      </w:pPr>
      <w:r w:rsidRPr="00165EC6">
        <w:rPr>
          <w:rFonts w:ascii="Cambria" w:eastAsia="Batang" w:hAnsi="Cambria"/>
          <w:sz w:val="20"/>
          <w:szCs w:val="20"/>
          <w:lang w:val="es-UY"/>
        </w:rPr>
        <w:t xml:space="preserve">Por su parte, en los artículos 6 y 7 del Protocolo de San Salvador, los Estados Partes se comprometen a adoptar las medidas que garanticen plena efectividad al derecho al trabajo y reconocen que toda persona debe </w:t>
      </w:r>
      <w:r w:rsidRPr="00165EC6">
        <w:rPr>
          <w:rFonts w:ascii="Cambria" w:eastAsia="Batang" w:hAnsi="Cambria"/>
          <w:sz w:val="20"/>
          <w:szCs w:val="20"/>
          <w:lang w:val="es-ES_tradnl"/>
        </w:rPr>
        <w:t>gozar</w:t>
      </w:r>
      <w:r w:rsidRPr="00165EC6">
        <w:rPr>
          <w:rFonts w:ascii="Cambria" w:eastAsia="Batang" w:hAnsi="Cambria"/>
          <w:sz w:val="20"/>
          <w:szCs w:val="20"/>
          <w:lang w:val="es-UY"/>
        </w:rPr>
        <w:t xml:space="preserve"> del mismo en condiciones justas, equitativas y satisfactorias; entre las que se incluyen el derecho a un salario digno, seguridad e higiene, la prohibición de labores peligrosas a los menores de 18 años y todo aquel que pueda poner en peligro su salud, seguridad o moral</w:t>
      </w:r>
      <w:r w:rsidRPr="00165EC6">
        <w:rPr>
          <w:rFonts w:ascii="Cambria" w:eastAsia="Batang" w:hAnsi="Cambria"/>
          <w:sz w:val="20"/>
          <w:szCs w:val="20"/>
          <w:vertAlign w:val="superscript"/>
          <w:lang w:val="es-UY"/>
        </w:rPr>
        <w:footnoteReference w:id="119"/>
      </w:r>
      <w:r w:rsidRPr="00165EC6">
        <w:rPr>
          <w:rFonts w:ascii="Cambria" w:eastAsia="Batang" w:hAnsi="Cambria"/>
          <w:sz w:val="20"/>
          <w:szCs w:val="20"/>
          <w:lang w:val="es-UY"/>
        </w:rPr>
        <w:t xml:space="preserve">. </w:t>
      </w:r>
    </w:p>
    <w:p w:rsidR="00B74E3A" w:rsidRPr="00165EC6" w:rsidRDefault="00B74E3A" w:rsidP="00F521A4">
      <w:pPr>
        <w:ind w:firstLine="720"/>
        <w:jc w:val="both"/>
        <w:rPr>
          <w:rFonts w:ascii="Cambria" w:eastAsia="Batang" w:hAnsi="Cambria" w:cs="Verdana"/>
          <w:b/>
          <w:sz w:val="20"/>
          <w:szCs w:val="20"/>
          <w:lang w:val="es-CO"/>
        </w:rPr>
      </w:pPr>
    </w:p>
    <w:p w:rsidR="00B74E3A" w:rsidRPr="00165EC6" w:rsidRDefault="00B74E3A" w:rsidP="00F521A4">
      <w:pPr>
        <w:numPr>
          <w:ilvl w:val="0"/>
          <w:numId w:val="55"/>
        </w:numPr>
        <w:ind w:left="0"/>
        <w:jc w:val="both"/>
        <w:rPr>
          <w:rFonts w:ascii="Cambria" w:eastAsia="Cambria" w:hAnsi="Cambria"/>
          <w:sz w:val="20"/>
          <w:szCs w:val="20"/>
          <w:lang w:val="es-ES_tradnl"/>
        </w:rPr>
      </w:pPr>
      <w:r w:rsidRPr="00165EC6">
        <w:rPr>
          <w:rFonts w:ascii="Cambria" w:eastAsia="Batang" w:hAnsi="Cambria"/>
          <w:sz w:val="20"/>
          <w:szCs w:val="20"/>
          <w:lang w:val="es-UY"/>
        </w:rPr>
        <w:t xml:space="preserve">Toda vez que </w:t>
      </w:r>
      <w:r w:rsidR="00F57587" w:rsidRPr="00165EC6">
        <w:rPr>
          <w:rFonts w:ascii="Cambria" w:eastAsia="Batang" w:hAnsi="Cambria"/>
          <w:sz w:val="20"/>
          <w:szCs w:val="20"/>
          <w:lang w:val="es-UY"/>
        </w:rPr>
        <w:t xml:space="preserve">el Estado ha reconocido que en el municipio de Santo Antônio de Jesus se vivía en una situación general de </w:t>
      </w:r>
      <w:r w:rsidRPr="00165EC6">
        <w:rPr>
          <w:rFonts w:ascii="Cambria" w:eastAsia="Batang" w:hAnsi="Cambria"/>
          <w:sz w:val="20"/>
          <w:szCs w:val="20"/>
          <w:lang w:val="es-UY"/>
        </w:rPr>
        <w:t>pobreza</w:t>
      </w:r>
      <w:r w:rsidR="00F57587" w:rsidRPr="00165EC6">
        <w:rPr>
          <w:rFonts w:ascii="Cambria" w:eastAsia="Batang" w:hAnsi="Cambria"/>
          <w:sz w:val="20"/>
          <w:szCs w:val="20"/>
          <w:lang w:val="es-UY"/>
        </w:rPr>
        <w:t xml:space="preserve"> y se ha referido a dicha situación como causa de la problemática del presente caso</w:t>
      </w:r>
      <w:r w:rsidRPr="00165EC6">
        <w:rPr>
          <w:rFonts w:ascii="Cambria" w:eastAsia="Batang" w:hAnsi="Cambria"/>
          <w:sz w:val="20"/>
          <w:szCs w:val="20"/>
          <w:lang w:val="es-UY"/>
        </w:rPr>
        <w:t xml:space="preserve">, es importante señalar que la </w:t>
      </w:r>
      <w:r w:rsidRPr="00165EC6">
        <w:rPr>
          <w:rFonts w:ascii="Cambria" w:eastAsia="Batang" w:hAnsi="Cambria"/>
          <w:sz w:val="20"/>
          <w:szCs w:val="20"/>
          <w:lang w:val="es-ES_tradnl"/>
        </w:rPr>
        <w:t>Comisión</w:t>
      </w:r>
      <w:r w:rsidRPr="00165EC6">
        <w:rPr>
          <w:rFonts w:ascii="Cambria" w:eastAsia="Batang" w:hAnsi="Cambria"/>
          <w:sz w:val="20"/>
          <w:szCs w:val="20"/>
          <w:lang w:val="es-UY"/>
        </w:rPr>
        <w:t xml:space="preserve"> y la Corte se han referido en varias ocasiones al riesgo mayor de violaciones de derechos humanos que enfrentan las personas que viven en dicha condición</w:t>
      </w:r>
      <w:r w:rsidRPr="00165EC6">
        <w:rPr>
          <w:rFonts w:ascii="Cambria" w:eastAsia="Batang" w:hAnsi="Cambria" w:cs="Verdana"/>
          <w:sz w:val="20"/>
          <w:szCs w:val="20"/>
          <w:vertAlign w:val="superscript"/>
          <w:lang w:val="es-AR"/>
        </w:rPr>
        <w:footnoteReference w:id="120"/>
      </w:r>
      <w:r w:rsidRPr="00165EC6">
        <w:rPr>
          <w:rFonts w:ascii="Cambria" w:eastAsia="Batang" w:hAnsi="Cambria"/>
          <w:sz w:val="20"/>
          <w:szCs w:val="20"/>
          <w:lang w:val="es-AR"/>
        </w:rPr>
        <w:t xml:space="preserve">. </w:t>
      </w:r>
      <w:r w:rsidR="001F1C05" w:rsidRPr="00165EC6">
        <w:rPr>
          <w:rFonts w:ascii="Cambria" w:eastAsia="Batang" w:hAnsi="Cambria"/>
          <w:sz w:val="20"/>
          <w:szCs w:val="20"/>
          <w:lang w:val="es-AR"/>
        </w:rPr>
        <w:t xml:space="preserve">En el caso particular de niños y niñas </w:t>
      </w:r>
      <w:r w:rsidR="001F1C05" w:rsidRPr="00165EC6">
        <w:rPr>
          <w:rFonts w:ascii="Cambria" w:hAnsi="Cambria"/>
          <w:sz w:val="20"/>
          <w:szCs w:val="20"/>
          <w:lang w:val="es-PE"/>
        </w:rPr>
        <w:t>en situación de pobreza</w:t>
      </w:r>
      <w:r w:rsidR="00CE05EE" w:rsidRPr="00165EC6">
        <w:rPr>
          <w:rFonts w:ascii="Cambria" w:hAnsi="Cambria"/>
          <w:sz w:val="20"/>
          <w:szCs w:val="20"/>
          <w:lang w:val="es-PE"/>
        </w:rPr>
        <w:t>,</w:t>
      </w:r>
      <w:r w:rsidR="001F1C05" w:rsidRPr="00165EC6">
        <w:rPr>
          <w:rFonts w:ascii="Cambria" w:hAnsi="Cambria"/>
          <w:sz w:val="20"/>
          <w:szCs w:val="20"/>
          <w:lang w:val="es-PE"/>
        </w:rPr>
        <w:t xml:space="preserve"> la CIDH </w:t>
      </w:r>
      <w:r w:rsidR="00CE05EE" w:rsidRPr="00165EC6">
        <w:rPr>
          <w:rFonts w:ascii="Cambria" w:hAnsi="Cambria"/>
          <w:sz w:val="20"/>
          <w:szCs w:val="20"/>
          <w:lang w:val="es-PE"/>
        </w:rPr>
        <w:t xml:space="preserve">ha </w:t>
      </w:r>
      <w:r w:rsidR="00585C43" w:rsidRPr="00165EC6">
        <w:rPr>
          <w:rFonts w:ascii="Cambria" w:hAnsi="Cambria"/>
          <w:sz w:val="20"/>
          <w:szCs w:val="20"/>
          <w:lang w:val="es-PE"/>
        </w:rPr>
        <w:t xml:space="preserve">indicado que se ven expuestos al trabajo informal </w:t>
      </w:r>
      <w:r w:rsidR="00777573" w:rsidRPr="00165EC6">
        <w:rPr>
          <w:rFonts w:ascii="Cambria" w:hAnsi="Cambria"/>
          <w:sz w:val="20"/>
          <w:szCs w:val="20"/>
          <w:lang w:val="es-PE"/>
        </w:rPr>
        <w:t>y a las peores formas de trabajo infantil. C</w:t>
      </w:r>
      <w:r w:rsidR="00585C43" w:rsidRPr="00165EC6">
        <w:rPr>
          <w:rFonts w:ascii="Cambria" w:hAnsi="Cambria"/>
          <w:sz w:val="20"/>
          <w:szCs w:val="20"/>
          <w:lang w:val="es-PE"/>
        </w:rPr>
        <w:t>uando estos realizan alguna actividad productiva se encuentran en un particular estado de vulnerabilidad que favorece si</w:t>
      </w:r>
      <w:r w:rsidR="00CE05EE" w:rsidRPr="00165EC6">
        <w:rPr>
          <w:rFonts w:ascii="Cambria" w:hAnsi="Cambria"/>
          <w:sz w:val="20"/>
          <w:szCs w:val="20"/>
          <w:lang w:val="es-PE"/>
        </w:rPr>
        <w:t xml:space="preserve">tuaciones </w:t>
      </w:r>
      <w:r w:rsidR="00585C43" w:rsidRPr="00165EC6">
        <w:rPr>
          <w:rFonts w:ascii="Cambria" w:hAnsi="Cambria"/>
          <w:sz w:val="20"/>
          <w:szCs w:val="20"/>
          <w:lang w:val="es-PE"/>
        </w:rPr>
        <w:t xml:space="preserve">de </w:t>
      </w:r>
      <w:r w:rsidR="00CE05EE" w:rsidRPr="00165EC6">
        <w:rPr>
          <w:rFonts w:ascii="Cambria" w:hAnsi="Cambria"/>
          <w:sz w:val="20"/>
          <w:szCs w:val="20"/>
          <w:lang w:val="es-PE"/>
        </w:rPr>
        <w:t>abuso, malos tratos y explotación</w:t>
      </w:r>
      <w:r w:rsidR="00585C43" w:rsidRPr="00165EC6">
        <w:rPr>
          <w:rFonts w:ascii="Cambria" w:hAnsi="Cambria"/>
          <w:sz w:val="20"/>
          <w:szCs w:val="20"/>
          <w:lang w:val="es-PE"/>
        </w:rPr>
        <w:t xml:space="preserve"> que además les impide denunciar tales situaciones</w:t>
      </w:r>
      <w:r w:rsidR="008926A2" w:rsidRPr="00165EC6">
        <w:rPr>
          <w:rStyle w:val="FootnoteReference"/>
          <w:rFonts w:ascii="Cambria" w:hAnsi="Cambria"/>
          <w:sz w:val="20"/>
          <w:szCs w:val="20"/>
          <w:lang w:val="es-PE"/>
        </w:rPr>
        <w:footnoteReference w:id="121"/>
      </w:r>
      <w:r w:rsidR="00585C43" w:rsidRPr="00165EC6">
        <w:rPr>
          <w:rFonts w:ascii="Cambria" w:hAnsi="Cambria"/>
          <w:sz w:val="20"/>
          <w:szCs w:val="20"/>
          <w:lang w:val="es-PE"/>
        </w:rPr>
        <w:t>.</w:t>
      </w:r>
      <w:r w:rsidR="00585C43" w:rsidRPr="00165EC6">
        <w:rPr>
          <w:lang w:val="es-PE"/>
        </w:rPr>
        <w:t xml:space="preserve"> </w:t>
      </w:r>
      <w:r w:rsidRPr="00165EC6">
        <w:rPr>
          <w:rFonts w:ascii="Cambria" w:eastAsia="Cambria" w:hAnsi="Cambria"/>
          <w:sz w:val="20"/>
          <w:szCs w:val="20"/>
          <w:lang w:val="es-ES_tradnl"/>
        </w:rPr>
        <w:t>La Corte Interamericana ha señalado que “no basta con que los Estados se abstengan de violar los derechos, sino que es imperativa la adopción de medidas positivas, determinables en función de las particulares necesidades de protección del sujeto de derecho, ya sea por su condición personal o por la situación específica en que se encuentre</w:t>
      </w:r>
      <w:r w:rsidRPr="00165EC6">
        <w:rPr>
          <w:rFonts w:ascii="Cambria" w:eastAsia="Batang" w:hAnsi="Cambria"/>
          <w:sz w:val="20"/>
          <w:szCs w:val="20"/>
          <w:vertAlign w:val="superscript"/>
          <w:lang w:val="es-ES_tradnl"/>
        </w:rPr>
        <w:footnoteReference w:id="122"/>
      </w:r>
      <w:r w:rsidRPr="00165EC6">
        <w:rPr>
          <w:rFonts w:ascii="Cambria" w:eastAsia="Cambria" w:hAnsi="Cambria"/>
          <w:sz w:val="20"/>
          <w:szCs w:val="20"/>
          <w:lang w:val="es-ES_tradnl"/>
        </w:rPr>
        <w:t>, como la extrema pobreza o marginación”</w:t>
      </w:r>
      <w:r w:rsidRPr="00165EC6">
        <w:rPr>
          <w:rFonts w:ascii="Cambria" w:eastAsia="Batang" w:hAnsi="Cambria"/>
          <w:sz w:val="20"/>
          <w:szCs w:val="20"/>
          <w:vertAlign w:val="superscript"/>
          <w:lang w:val="es-ES_tradnl"/>
        </w:rPr>
        <w:footnoteReference w:id="123"/>
      </w:r>
      <w:r w:rsidRPr="00165EC6">
        <w:rPr>
          <w:rFonts w:ascii="Cambria" w:eastAsia="Cambria" w:hAnsi="Cambria"/>
          <w:sz w:val="20"/>
          <w:szCs w:val="20"/>
          <w:lang w:val="es-ES_tradnl"/>
        </w:rPr>
        <w:t>.</w:t>
      </w:r>
    </w:p>
    <w:p w:rsidR="00B74E3A" w:rsidRPr="00165EC6" w:rsidRDefault="00B74E3A" w:rsidP="00F521A4">
      <w:pPr>
        <w:ind w:firstLine="720"/>
        <w:jc w:val="both"/>
        <w:rPr>
          <w:rFonts w:ascii="Cambria" w:eastAsia="Cambria" w:hAnsi="Cambria"/>
          <w:sz w:val="20"/>
          <w:szCs w:val="20"/>
          <w:lang w:val="es-ES_tradnl"/>
        </w:rPr>
      </w:pPr>
    </w:p>
    <w:p w:rsidR="00B74E3A" w:rsidRPr="00165EC6" w:rsidRDefault="00B74E3A" w:rsidP="00F521A4">
      <w:pPr>
        <w:numPr>
          <w:ilvl w:val="0"/>
          <w:numId w:val="55"/>
        </w:numPr>
        <w:ind w:left="0"/>
        <w:jc w:val="both"/>
        <w:rPr>
          <w:rFonts w:ascii="Cambria" w:eastAsia="Batang" w:hAnsi="Cambria"/>
          <w:sz w:val="20"/>
          <w:szCs w:val="20"/>
          <w:lang w:val="es-UY"/>
        </w:rPr>
      </w:pPr>
      <w:r w:rsidRPr="00165EC6">
        <w:rPr>
          <w:rFonts w:ascii="Cambria" w:eastAsia="Batang" w:hAnsi="Cambria"/>
          <w:sz w:val="20"/>
          <w:szCs w:val="20"/>
          <w:lang w:val="es-UY"/>
        </w:rPr>
        <w:t xml:space="preserve">Tal como resulta de los hechos probados, no existe controversia respecto a que el municipio de Santo Antônio de Jesus era y continúa siendo conocido por tener, como principal fuente de trabajo, la fabricación de fuegos artificiales, la cual, como ya fue analizado en detalle en las secciones anteriores del presente informe, se llevaba a cabo de manera sumamente riesgosa para la vida e integridad personal de los trabajadores sin que el Estado cumpliera sus deberes de fiscalización e inspección, a pesar de tener conocimiento histórico de la situación. Además, como se analizó, en el caso de niños y niñas, existía un contexto de lo que se ha denominado en el derecho internacional como una de las peores formas de trabajo infantil. </w:t>
      </w:r>
    </w:p>
    <w:p w:rsidR="00B74E3A" w:rsidRPr="00165EC6" w:rsidRDefault="00B74E3A" w:rsidP="00F521A4">
      <w:pPr>
        <w:ind w:firstLine="720"/>
        <w:jc w:val="both"/>
        <w:rPr>
          <w:rFonts w:ascii="Cambria" w:eastAsia="Batang" w:hAnsi="Cambria"/>
          <w:sz w:val="20"/>
          <w:szCs w:val="20"/>
          <w:lang w:val="es-UY"/>
        </w:rPr>
      </w:pPr>
    </w:p>
    <w:p w:rsidR="00B74E3A" w:rsidRPr="00165EC6" w:rsidRDefault="00B74E3A" w:rsidP="00F521A4">
      <w:pPr>
        <w:numPr>
          <w:ilvl w:val="0"/>
          <w:numId w:val="55"/>
        </w:numPr>
        <w:ind w:left="0"/>
        <w:jc w:val="both"/>
        <w:rPr>
          <w:rFonts w:ascii="Cambria" w:eastAsia="Batang" w:hAnsi="Cambria"/>
          <w:sz w:val="20"/>
          <w:szCs w:val="20"/>
          <w:lang w:val="es-CO"/>
        </w:rPr>
      </w:pPr>
      <w:r w:rsidRPr="00165EC6">
        <w:rPr>
          <w:rFonts w:ascii="Cambria" w:eastAsia="Batang" w:hAnsi="Cambria"/>
          <w:sz w:val="20"/>
          <w:szCs w:val="20"/>
          <w:lang w:val="es-UY"/>
        </w:rPr>
        <w:t xml:space="preserve">Tanto de la información de contexto referenciada en los hechos probados, como de las circunstancias propias del caso, se desprende con claridad el nexo entre esta grave situación y la pobreza en el municipio, la que resulta de tal magnitud que, como se dijo, no existen otras opciones de empleo. Este vínculo entre la situación de pobreza del municipio y la problemática del trabajo, incluyendo trabajo infantil, en fábricas de fuegos, fue reconocido por el propio Estado en la </w:t>
      </w:r>
      <w:r w:rsidRPr="00165EC6">
        <w:rPr>
          <w:rFonts w:ascii="Cambria" w:eastAsia="Batang" w:hAnsi="Cambria"/>
          <w:sz w:val="20"/>
          <w:szCs w:val="20"/>
          <w:lang w:val="es-CO"/>
        </w:rPr>
        <w:t>audiencia realizada el 19 de octubre de 2006 ante la CIDH. En dicha audiencia el Estado afirmó que “hay mucha pobreza en Santo Antonio, por lo que muchas familias trabajan en fábricas clandestinas”. De especial relevancia para este análisis, resulta el hecho de que se trata de un contexto arraigado en la zona que data de muchas décadas atrás y que ha sido transmitida de generación a generación.</w:t>
      </w:r>
    </w:p>
    <w:p w:rsidR="00B74E3A" w:rsidRPr="00165EC6" w:rsidRDefault="00B74E3A" w:rsidP="00F521A4">
      <w:pPr>
        <w:ind w:firstLine="720"/>
        <w:jc w:val="both"/>
        <w:rPr>
          <w:rFonts w:ascii="Cambria" w:eastAsia="Batang" w:hAnsi="Cambria"/>
          <w:sz w:val="20"/>
          <w:szCs w:val="20"/>
          <w:lang w:val="es-CO"/>
        </w:rPr>
      </w:pPr>
    </w:p>
    <w:p w:rsidR="00C6583A" w:rsidRPr="00165EC6" w:rsidRDefault="00B74E3A" w:rsidP="00F521A4">
      <w:pPr>
        <w:numPr>
          <w:ilvl w:val="0"/>
          <w:numId w:val="55"/>
        </w:numPr>
        <w:ind w:left="0"/>
        <w:jc w:val="both"/>
        <w:rPr>
          <w:rFonts w:ascii="Cambria" w:eastAsia="Batang" w:hAnsi="Cambria"/>
          <w:sz w:val="20"/>
          <w:szCs w:val="20"/>
          <w:lang w:val="es-UY"/>
        </w:rPr>
      </w:pPr>
      <w:r w:rsidRPr="00165EC6">
        <w:rPr>
          <w:rFonts w:ascii="Cambria" w:eastAsia="Batang" w:hAnsi="Cambria"/>
          <w:sz w:val="20"/>
          <w:szCs w:val="20"/>
          <w:lang w:val="es-UY"/>
        </w:rPr>
        <w:t xml:space="preserve">De lo anterior, es posible afirmar que la fabricación de fuegos artificiales era para el momento de los hechos la </w:t>
      </w:r>
      <w:r w:rsidRPr="00165EC6">
        <w:rPr>
          <w:rFonts w:ascii="Cambria" w:eastAsia="Batang" w:hAnsi="Cambria"/>
          <w:sz w:val="20"/>
          <w:szCs w:val="20"/>
          <w:lang w:val="es-CO"/>
        </w:rPr>
        <w:t>principal</w:t>
      </w:r>
      <w:r w:rsidRPr="00165EC6">
        <w:rPr>
          <w:rFonts w:ascii="Cambria" w:eastAsia="Batang" w:hAnsi="Cambria"/>
          <w:sz w:val="20"/>
          <w:szCs w:val="20"/>
          <w:lang w:val="es-UY"/>
        </w:rPr>
        <w:t xml:space="preserve">, por no decir, la única opción laboral para los habitantes de Santo Antônio de Jesus, quienes dada su situación de pobreza, </w:t>
      </w:r>
      <w:r w:rsidR="00B71B80" w:rsidRPr="00165EC6">
        <w:rPr>
          <w:rFonts w:ascii="Cambria" w:eastAsia="Batang" w:hAnsi="Cambria"/>
          <w:sz w:val="20"/>
          <w:szCs w:val="20"/>
          <w:lang w:val="es-UY"/>
        </w:rPr>
        <w:t xml:space="preserve">no tenían otra alternativa que aceptar </w:t>
      </w:r>
      <w:r w:rsidRPr="00165EC6">
        <w:rPr>
          <w:rFonts w:ascii="Cambria" w:eastAsia="Batang" w:hAnsi="Cambria"/>
          <w:sz w:val="20"/>
          <w:szCs w:val="20"/>
          <w:lang w:val="es-UY"/>
        </w:rPr>
        <w:t xml:space="preserve">un trabajo de alto riesgo, con baja paga y sin medidas de seguridad adecuadas. </w:t>
      </w:r>
    </w:p>
    <w:p w:rsidR="00C6583A" w:rsidRPr="00165EC6" w:rsidRDefault="00C6583A" w:rsidP="00F521A4">
      <w:pPr>
        <w:ind w:firstLine="720"/>
        <w:jc w:val="both"/>
        <w:rPr>
          <w:rFonts w:ascii="Cambria" w:eastAsia="Batang" w:hAnsi="Cambria"/>
          <w:sz w:val="20"/>
          <w:szCs w:val="20"/>
          <w:lang w:val="es-UY"/>
        </w:rPr>
      </w:pPr>
    </w:p>
    <w:p w:rsidR="00B74E3A" w:rsidRPr="00165EC6" w:rsidRDefault="00B74E3A" w:rsidP="00F521A4">
      <w:pPr>
        <w:numPr>
          <w:ilvl w:val="0"/>
          <w:numId w:val="55"/>
        </w:numPr>
        <w:ind w:left="0"/>
        <w:jc w:val="both"/>
        <w:rPr>
          <w:rFonts w:ascii="Cambria" w:eastAsia="Batang" w:hAnsi="Cambria"/>
          <w:sz w:val="20"/>
          <w:szCs w:val="20"/>
          <w:lang w:val="es-UY"/>
        </w:rPr>
      </w:pPr>
      <w:r w:rsidRPr="00165EC6">
        <w:rPr>
          <w:rFonts w:ascii="Cambria" w:eastAsia="Batang" w:hAnsi="Cambria"/>
          <w:sz w:val="20"/>
          <w:szCs w:val="20"/>
          <w:lang w:val="es-UY"/>
        </w:rPr>
        <w:t>En virtud de todos estos elementos, la Comisión considera que las muertes y lesiones de las 70 víctimas del presente caso no ocurrieron de manera aislada, sino como consecuencia de una situación de abandono e indiferencia por parte de un Estado que reconoció tener conocimiento de ello, sin adoptar, por décadas, medidas para ofrecer a los habitantes del municipio condiciones para satisfacer los contenidos más mínimos del derecho al trabajo</w:t>
      </w:r>
      <w:r w:rsidR="00EB0EFE" w:rsidRPr="00165EC6">
        <w:rPr>
          <w:rFonts w:ascii="Cambria" w:eastAsia="Batang" w:hAnsi="Cambria"/>
          <w:sz w:val="20"/>
          <w:szCs w:val="20"/>
          <w:lang w:val="es-UY"/>
        </w:rPr>
        <w:t>. Tampoco cumplió</w:t>
      </w:r>
      <w:r w:rsidR="00FE464A" w:rsidRPr="00165EC6">
        <w:rPr>
          <w:rFonts w:ascii="Cambria" w:eastAsia="Batang" w:hAnsi="Cambria"/>
          <w:sz w:val="20"/>
          <w:szCs w:val="20"/>
          <w:lang w:val="es-UY"/>
        </w:rPr>
        <w:t xml:space="preserve"> </w:t>
      </w:r>
      <w:r w:rsidR="00D46C76" w:rsidRPr="00165EC6">
        <w:rPr>
          <w:rFonts w:ascii="Cambria" w:eastAsia="Batang" w:hAnsi="Cambria"/>
          <w:sz w:val="20"/>
          <w:szCs w:val="20"/>
          <w:lang w:val="es-UY"/>
        </w:rPr>
        <w:t>su</w:t>
      </w:r>
      <w:r w:rsidR="00EB0EFE" w:rsidRPr="00165EC6">
        <w:rPr>
          <w:rFonts w:ascii="Cambria" w:eastAsia="Batang" w:hAnsi="Cambria"/>
          <w:sz w:val="20"/>
          <w:szCs w:val="20"/>
          <w:lang w:val="es-UY"/>
        </w:rPr>
        <w:t>s</w:t>
      </w:r>
      <w:r w:rsidR="00D46C76" w:rsidRPr="00165EC6">
        <w:rPr>
          <w:rFonts w:ascii="Cambria" w:eastAsia="Batang" w:hAnsi="Cambria"/>
          <w:sz w:val="20"/>
          <w:szCs w:val="20"/>
          <w:lang w:val="es-UY"/>
        </w:rPr>
        <w:t xml:space="preserve"> obligaciones de fiscalización y supervisión</w:t>
      </w:r>
      <w:r w:rsidR="00EB0EFE" w:rsidRPr="00165EC6">
        <w:rPr>
          <w:rFonts w:ascii="Cambria" w:eastAsia="Batang" w:hAnsi="Cambria"/>
          <w:sz w:val="20"/>
          <w:szCs w:val="20"/>
          <w:lang w:val="es-UY"/>
        </w:rPr>
        <w:t>, al no</w:t>
      </w:r>
      <w:r w:rsidR="00D46C76" w:rsidRPr="00165EC6">
        <w:rPr>
          <w:rFonts w:ascii="Cambria" w:eastAsia="Batang" w:hAnsi="Cambria"/>
          <w:sz w:val="20"/>
          <w:szCs w:val="20"/>
          <w:lang w:val="es-UY"/>
        </w:rPr>
        <w:t xml:space="preserve"> </w:t>
      </w:r>
      <w:r w:rsidR="00FE464A" w:rsidRPr="00165EC6">
        <w:rPr>
          <w:rFonts w:ascii="Cambria" w:eastAsia="Batang" w:hAnsi="Cambria"/>
          <w:sz w:val="20"/>
          <w:szCs w:val="20"/>
          <w:lang w:val="es-UY"/>
        </w:rPr>
        <w:t>requerir a las empresas implicadas en dichas actividades medidas de debida diligencia que permit</w:t>
      </w:r>
      <w:r w:rsidR="00EB0EFE" w:rsidRPr="00165EC6">
        <w:rPr>
          <w:rFonts w:ascii="Cambria" w:eastAsia="Batang" w:hAnsi="Cambria"/>
          <w:sz w:val="20"/>
          <w:szCs w:val="20"/>
          <w:lang w:val="es-UY"/>
        </w:rPr>
        <w:t>ieran</w:t>
      </w:r>
      <w:r w:rsidR="00FE464A" w:rsidRPr="00165EC6">
        <w:rPr>
          <w:rFonts w:ascii="Cambria" w:eastAsia="Batang" w:hAnsi="Cambria"/>
          <w:sz w:val="20"/>
          <w:szCs w:val="20"/>
          <w:lang w:val="es-UY"/>
        </w:rPr>
        <w:t xml:space="preserve"> la protección de dicho derecho.</w:t>
      </w:r>
    </w:p>
    <w:p w:rsidR="00E60171" w:rsidRPr="00165EC6" w:rsidRDefault="00E60171" w:rsidP="00F521A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ind w:firstLine="720"/>
        <w:contextualSpacing/>
        <w:jc w:val="both"/>
        <w:rPr>
          <w:rFonts w:ascii="Cambria" w:eastAsia="Calibri" w:hAnsi="Cambria"/>
          <w:sz w:val="20"/>
          <w:szCs w:val="20"/>
          <w:bdr w:val="none" w:sz="0" w:space="0" w:color="auto"/>
          <w:lang w:val="es-MX"/>
        </w:rPr>
      </w:pPr>
    </w:p>
    <w:p w:rsidR="00561965" w:rsidRPr="00165EC6" w:rsidRDefault="00561965" w:rsidP="00F521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ind w:left="0"/>
        <w:contextualSpacing/>
        <w:jc w:val="both"/>
        <w:rPr>
          <w:rFonts w:ascii="Cambria" w:eastAsia="Calibri" w:hAnsi="Cambria"/>
          <w:sz w:val="20"/>
          <w:szCs w:val="20"/>
          <w:bdr w:val="none" w:sz="0" w:space="0" w:color="auto"/>
          <w:lang w:val="es-MX"/>
        </w:rPr>
      </w:pPr>
      <w:r w:rsidRPr="00165EC6">
        <w:rPr>
          <w:rFonts w:ascii="Cambria" w:eastAsia="Batang" w:hAnsi="Cambria"/>
          <w:sz w:val="20"/>
          <w:szCs w:val="20"/>
          <w:lang w:val="es-UY"/>
        </w:rPr>
        <w:t>En el caso de los niñ</w:t>
      </w:r>
      <w:r w:rsidR="00E60171" w:rsidRPr="00165EC6">
        <w:rPr>
          <w:rFonts w:ascii="Cambria" w:eastAsia="Batang" w:hAnsi="Cambria"/>
          <w:sz w:val="20"/>
          <w:szCs w:val="20"/>
          <w:lang w:val="es-UY"/>
        </w:rPr>
        <w:t>os y las niñas</w:t>
      </w:r>
      <w:r w:rsidRPr="00165EC6">
        <w:rPr>
          <w:rFonts w:ascii="Cambria" w:eastAsia="Batang" w:hAnsi="Cambria"/>
          <w:sz w:val="20"/>
          <w:szCs w:val="20"/>
          <w:lang w:val="es-UY"/>
        </w:rPr>
        <w:t>, las omisiones estatales cobran una particular gravedad por el especial estatus de protección que la infancia tiene en el derecho internacional y nacional</w:t>
      </w:r>
      <w:r w:rsidR="00E60171" w:rsidRPr="00165EC6">
        <w:rPr>
          <w:rFonts w:ascii="Cambria" w:eastAsia="Batang" w:hAnsi="Cambria"/>
          <w:sz w:val="20"/>
          <w:szCs w:val="20"/>
          <w:lang w:val="es-UY"/>
        </w:rPr>
        <w:t>. Al permitir</w:t>
      </w:r>
      <w:r w:rsidRPr="00165EC6">
        <w:rPr>
          <w:rFonts w:ascii="Cambria" w:eastAsia="Batang" w:hAnsi="Cambria"/>
          <w:sz w:val="20"/>
          <w:szCs w:val="20"/>
          <w:lang w:val="es-UY"/>
        </w:rPr>
        <w:t xml:space="preserve"> que personas menores de dieciocho años trabaj</w:t>
      </w:r>
      <w:r w:rsidR="00070CE9" w:rsidRPr="00165EC6">
        <w:rPr>
          <w:rFonts w:ascii="Cambria" w:eastAsia="Batang" w:hAnsi="Cambria"/>
          <w:sz w:val="20"/>
          <w:szCs w:val="20"/>
          <w:lang w:val="es-UY"/>
        </w:rPr>
        <w:t>en</w:t>
      </w:r>
      <w:r w:rsidRPr="00165EC6">
        <w:rPr>
          <w:rFonts w:ascii="Cambria" w:eastAsia="Batang" w:hAnsi="Cambria"/>
          <w:sz w:val="20"/>
          <w:szCs w:val="20"/>
          <w:lang w:val="es-UY"/>
        </w:rPr>
        <w:t xml:space="preserve"> en una fábrica y actividad peligrosa</w:t>
      </w:r>
      <w:r w:rsidR="00E60171" w:rsidRPr="00165EC6">
        <w:rPr>
          <w:rFonts w:ascii="Cambria" w:eastAsia="Batang" w:hAnsi="Cambria"/>
          <w:sz w:val="20"/>
          <w:szCs w:val="20"/>
          <w:lang w:val="es-UY"/>
        </w:rPr>
        <w:t xml:space="preserve"> como la del presente caso, la vulneración del derecho al trabajo se ha producido en relación con la protección de la infancia prevista</w:t>
      </w:r>
      <w:r w:rsidR="00E60171" w:rsidRPr="00165EC6">
        <w:rPr>
          <w:rFonts w:ascii="Cambria" w:eastAsia="Batang" w:hAnsi="Cambria" w:cs="Segoe UI"/>
          <w:sz w:val="20"/>
          <w:szCs w:val="20"/>
          <w:bdr w:val="none" w:sz="0" w:space="0" w:color="auto"/>
          <w:lang w:val="es-CO"/>
        </w:rPr>
        <w:t xml:space="preserve"> en el artículo 19 de la Convención Americana.</w:t>
      </w:r>
    </w:p>
    <w:p w:rsidR="00561965" w:rsidRPr="00165EC6" w:rsidRDefault="00561965" w:rsidP="00A96939">
      <w:pPr>
        <w:pStyle w:val="ListParagraph"/>
        <w:ind w:left="0" w:firstLine="720"/>
        <w:jc w:val="both"/>
        <w:rPr>
          <w:rFonts w:eastAsia="Batang"/>
          <w:color w:val="auto"/>
          <w:sz w:val="20"/>
          <w:szCs w:val="20"/>
          <w:lang w:val="es-UY"/>
        </w:rPr>
      </w:pPr>
    </w:p>
    <w:p w:rsidR="00B74E3A" w:rsidRPr="00165EC6" w:rsidRDefault="00B74E3A" w:rsidP="00F521A4">
      <w:pPr>
        <w:numPr>
          <w:ilvl w:val="0"/>
          <w:numId w:val="55"/>
        </w:numPr>
        <w:ind w:left="0"/>
        <w:jc w:val="both"/>
        <w:rPr>
          <w:rFonts w:ascii="Cambria" w:eastAsia="Batang" w:hAnsi="Cambria"/>
          <w:sz w:val="20"/>
          <w:szCs w:val="20"/>
          <w:lang w:val="es-UY"/>
        </w:rPr>
      </w:pPr>
      <w:r w:rsidRPr="00165EC6">
        <w:rPr>
          <w:rFonts w:ascii="Cambria" w:eastAsia="Batang" w:hAnsi="Cambria"/>
          <w:sz w:val="20"/>
          <w:szCs w:val="20"/>
          <w:lang w:val="es-UY"/>
        </w:rPr>
        <w:t>En consecuencia, la Comisión concluye que el Estado violó, en perjuicio de las víctimas, el derecho al trabajo, establecido en el artículo 26 de la Convención Americana, en relación con las obligaciones establecidas en los artículos 1.1 y 2 del mismo instrumento</w:t>
      </w:r>
      <w:r w:rsidR="00BE4502" w:rsidRPr="00165EC6">
        <w:rPr>
          <w:rFonts w:ascii="Cambria" w:eastAsia="Batang" w:hAnsi="Cambria"/>
          <w:sz w:val="20"/>
          <w:szCs w:val="20"/>
          <w:lang w:val="es-UY"/>
        </w:rPr>
        <w:t>, a</w:t>
      </w:r>
      <w:r w:rsidR="00C6583A" w:rsidRPr="00165EC6">
        <w:rPr>
          <w:rFonts w:ascii="Cambria" w:eastAsia="Batang" w:hAnsi="Cambria"/>
          <w:sz w:val="20"/>
          <w:szCs w:val="20"/>
          <w:lang w:val="es-UY"/>
        </w:rPr>
        <w:t xml:space="preserve">sí como </w:t>
      </w:r>
      <w:r w:rsidR="00E60171" w:rsidRPr="00165EC6">
        <w:rPr>
          <w:rFonts w:ascii="Cambria" w:eastAsia="Batang" w:hAnsi="Cambria"/>
          <w:sz w:val="20"/>
          <w:szCs w:val="20"/>
          <w:lang w:val="es-UY"/>
        </w:rPr>
        <w:t xml:space="preserve">el artículo 19 en el caso de los niños y de las niñas. </w:t>
      </w:r>
      <w:r w:rsidR="00C6583A" w:rsidRPr="00165EC6">
        <w:rPr>
          <w:rFonts w:ascii="Cambria" w:eastAsia="Batang" w:hAnsi="Cambria"/>
          <w:sz w:val="20"/>
          <w:szCs w:val="20"/>
          <w:lang w:val="es-UY"/>
        </w:rPr>
        <w:t>L</w:t>
      </w:r>
      <w:r w:rsidRPr="00165EC6">
        <w:rPr>
          <w:rFonts w:ascii="Cambria" w:eastAsia="Batang" w:hAnsi="Cambria"/>
          <w:sz w:val="20"/>
          <w:szCs w:val="20"/>
          <w:lang w:val="es-UY"/>
        </w:rPr>
        <w:t xml:space="preserve">a Comisión concluye que al existir un nexo claro entre el incumplimiento de dichas obligaciones y la situación de pobreza de las víctimas, el Estado también es responsable por la violación del principio de igualdad y no discriminación, establecido en los artículos 24 y 1.1 de la Convención. </w:t>
      </w:r>
    </w:p>
    <w:p w:rsidR="00277412" w:rsidRPr="00165EC6" w:rsidRDefault="006B2D88" w:rsidP="006B2D88">
      <w:pPr>
        <w:pStyle w:val="Heading2"/>
        <w:ind w:firstLine="720"/>
        <w:rPr>
          <w:rFonts w:asciiTheme="majorHAnsi" w:eastAsia="Batang" w:hAnsiTheme="majorHAnsi"/>
          <w:i w:val="0"/>
          <w:sz w:val="20"/>
          <w:szCs w:val="20"/>
          <w:lang w:val="es-MX"/>
        </w:rPr>
      </w:pPr>
      <w:bookmarkStart w:id="38" w:name="_Toc506225846"/>
      <w:r w:rsidRPr="00165EC6">
        <w:rPr>
          <w:rFonts w:asciiTheme="majorHAnsi" w:eastAsia="Batang" w:hAnsiTheme="majorHAnsi"/>
          <w:i w:val="0"/>
          <w:sz w:val="20"/>
          <w:szCs w:val="20"/>
          <w:lang w:val="es-MX"/>
        </w:rPr>
        <w:lastRenderedPageBreak/>
        <w:t>C</w:t>
      </w:r>
      <w:r w:rsidR="00277412" w:rsidRPr="00165EC6">
        <w:rPr>
          <w:rFonts w:asciiTheme="majorHAnsi" w:eastAsia="Batang" w:hAnsiTheme="majorHAnsi"/>
          <w:i w:val="0"/>
          <w:sz w:val="20"/>
          <w:szCs w:val="20"/>
          <w:lang w:val="es-MX"/>
        </w:rPr>
        <w:t>.</w:t>
      </w:r>
      <w:r w:rsidR="00277412" w:rsidRPr="00165EC6">
        <w:rPr>
          <w:rFonts w:asciiTheme="majorHAnsi" w:eastAsia="Batang" w:hAnsiTheme="majorHAnsi"/>
          <w:i w:val="0"/>
          <w:sz w:val="20"/>
          <w:szCs w:val="20"/>
          <w:lang w:val="es-MX"/>
        </w:rPr>
        <w:tab/>
        <w:t>Derechos a las garantías judiciales</w:t>
      </w:r>
      <w:r w:rsidR="00332B40">
        <w:rPr>
          <w:rStyle w:val="FootnoteReference"/>
          <w:rFonts w:asciiTheme="majorHAnsi" w:eastAsia="Batang" w:hAnsiTheme="majorHAnsi"/>
          <w:i w:val="0"/>
          <w:sz w:val="20"/>
          <w:szCs w:val="20"/>
          <w:lang w:val="es-MX"/>
        </w:rPr>
        <w:footnoteReference w:id="124"/>
      </w:r>
      <w:r w:rsidR="00277412" w:rsidRPr="00165EC6">
        <w:rPr>
          <w:rFonts w:asciiTheme="majorHAnsi" w:eastAsia="Batang" w:hAnsiTheme="majorHAnsi"/>
          <w:i w:val="0"/>
          <w:sz w:val="20"/>
          <w:szCs w:val="20"/>
          <w:lang w:val="es-MX"/>
        </w:rPr>
        <w:t xml:space="preserve"> y a la protección judicial</w:t>
      </w:r>
      <w:r w:rsidR="00332B40">
        <w:rPr>
          <w:rStyle w:val="FootnoteReference"/>
          <w:rFonts w:asciiTheme="majorHAnsi" w:eastAsia="Batang" w:hAnsiTheme="majorHAnsi"/>
          <w:i w:val="0"/>
          <w:sz w:val="20"/>
          <w:szCs w:val="20"/>
          <w:lang w:val="es-MX"/>
        </w:rPr>
        <w:footnoteReference w:id="125"/>
      </w:r>
      <w:r w:rsidRPr="00165EC6">
        <w:rPr>
          <w:rFonts w:asciiTheme="majorHAnsi" w:eastAsia="Batang" w:hAnsiTheme="majorHAnsi"/>
          <w:i w:val="0"/>
          <w:sz w:val="20"/>
          <w:szCs w:val="20"/>
          <w:lang w:val="es-MX"/>
        </w:rPr>
        <w:t xml:space="preserve"> (</w:t>
      </w:r>
      <w:r w:rsidR="00B31853" w:rsidRPr="00165EC6">
        <w:rPr>
          <w:rFonts w:asciiTheme="majorHAnsi" w:eastAsia="Batang" w:hAnsiTheme="majorHAnsi"/>
          <w:i w:val="0"/>
          <w:sz w:val="20"/>
          <w:szCs w:val="20"/>
          <w:lang w:val="es-MX"/>
        </w:rPr>
        <w:t>A</w:t>
      </w:r>
      <w:r w:rsidRPr="00165EC6">
        <w:rPr>
          <w:rFonts w:asciiTheme="majorHAnsi" w:eastAsia="Batang" w:hAnsiTheme="majorHAnsi"/>
          <w:i w:val="0"/>
          <w:sz w:val="20"/>
          <w:szCs w:val="20"/>
          <w:lang w:val="es-MX"/>
        </w:rPr>
        <w:t>rtículo</w:t>
      </w:r>
      <w:r w:rsidR="00B31853" w:rsidRPr="00165EC6">
        <w:rPr>
          <w:rFonts w:asciiTheme="majorHAnsi" w:eastAsia="Batang" w:hAnsiTheme="majorHAnsi"/>
          <w:i w:val="0"/>
          <w:sz w:val="20"/>
          <w:szCs w:val="20"/>
          <w:lang w:val="es-MX"/>
        </w:rPr>
        <w:t>s</w:t>
      </w:r>
      <w:r w:rsidRPr="00165EC6">
        <w:rPr>
          <w:rFonts w:asciiTheme="majorHAnsi" w:eastAsia="Batang" w:hAnsiTheme="majorHAnsi"/>
          <w:i w:val="0"/>
          <w:sz w:val="20"/>
          <w:szCs w:val="20"/>
          <w:lang w:val="es-MX"/>
        </w:rPr>
        <w:t xml:space="preserve"> 8.1 y 25 de la Convención Americana)</w:t>
      </w:r>
      <w:r w:rsidR="00DC2CC9" w:rsidRPr="00165EC6">
        <w:rPr>
          <w:rFonts w:asciiTheme="majorHAnsi" w:eastAsia="Batang" w:hAnsiTheme="majorHAnsi"/>
          <w:i w:val="0"/>
          <w:sz w:val="20"/>
          <w:szCs w:val="20"/>
          <w:lang w:val="es-MX"/>
        </w:rPr>
        <w:t>.</w:t>
      </w:r>
      <w:bookmarkEnd w:id="38"/>
    </w:p>
    <w:p w:rsidR="00277412" w:rsidRPr="00332B40" w:rsidRDefault="00277412" w:rsidP="00094C9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MX"/>
        </w:rPr>
      </w:pPr>
    </w:p>
    <w:p w:rsidR="00277412" w:rsidRPr="00165EC6" w:rsidRDefault="00277412" w:rsidP="00F521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ES"/>
        </w:rPr>
      </w:pPr>
      <w:r w:rsidRPr="00165EC6">
        <w:rPr>
          <w:rFonts w:ascii="Cambria" w:eastAsia="Batang" w:hAnsi="Cambria"/>
          <w:sz w:val="20"/>
          <w:szCs w:val="20"/>
          <w:bdr w:val="none" w:sz="0" w:space="0" w:color="auto"/>
          <w:lang w:val="es-ES"/>
        </w:rPr>
        <w:t>La Comisión ha subrayado que la obligación de los Estados de actuar con la debida diligencia comprende el facilitar el acceso a recursos judiciales idóneos y efectivos frente a una violación de los derechos humanos</w:t>
      </w:r>
      <w:r w:rsidRPr="00165EC6">
        <w:rPr>
          <w:rFonts w:ascii="Cambria" w:eastAsia="Batang" w:hAnsi="Cambria"/>
          <w:sz w:val="20"/>
          <w:szCs w:val="20"/>
          <w:bdr w:val="none" w:sz="0" w:space="0" w:color="auto"/>
          <w:vertAlign w:val="superscript"/>
          <w:lang w:val="es-ES"/>
        </w:rPr>
        <w:footnoteReference w:id="126"/>
      </w:r>
      <w:r w:rsidRPr="00165EC6">
        <w:rPr>
          <w:rFonts w:ascii="Cambria" w:eastAsia="Batang" w:hAnsi="Cambria"/>
          <w:sz w:val="20"/>
          <w:szCs w:val="20"/>
          <w:bdr w:val="none" w:sz="0" w:space="0" w:color="auto"/>
          <w:lang w:val="es-ES"/>
        </w:rPr>
        <w:t>.  Asimismo, la Comisión ha establecido que el artículo 25 de la CADH guarda relación directa con su artículo 8.1, el cual consagra el derecho de toda persona a ser oída con las debidas garantías y dentro de un plazo razonable</w:t>
      </w:r>
      <w:r w:rsidRPr="00165EC6">
        <w:rPr>
          <w:rFonts w:ascii="Cambria" w:eastAsia="Batang" w:hAnsi="Cambria"/>
          <w:sz w:val="20"/>
          <w:szCs w:val="20"/>
          <w:bdr w:val="none" w:sz="0" w:space="0" w:color="auto"/>
          <w:vertAlign w:val="superscript"/>
          <w:lang w:val="es-ES"/>
        </w:rPr>
        <w:footnoteReference w:id="127"/>
      </w:r>
      <w:r w:rsidRPr="00165EC6">
        <w:rPr>
          <w:rFonts w:ascii="Cambria" w:eastAsia="Batang" w:hAnsi="Cambria"/>
          <w:sz w:val="20"/>
          <w:szCs w:val="20"/>
          <w:bdr w:val="none" w:sz="0" w:space="0" w:color="auto"/>
          <w:lang w:val="es-ES"/>
        </w:rPr>
        <w:t xml:space="preserve"> y</w:t>
      </w:r>
      <w:r w:rsidRPr="00165EC6">
        <w:rPr>
          <w:rFonts w:ascii="Cambria" w:eastAsia="Batang" w:hAnsi="Cambria"/>
          <w:sz w:val="20"/>
          <w:szCs w:val="20"/>
          <w:bdr w:val="none" w:sz="0" w:space="0" w:color="auto"/>
          <w:lang w:val="es-ES_tradnl"/>
        </w:rPr>
        <w:t xml:space="preserve"> confiere a los familiares de las víctimas el derecho a que se reparen los perjuicios sufridos por la muerte de sus seres queridos</w:t>
      </w:r>
      <w:r w:rsidRPr="00165EC6">
        <w:rPr>
          <w:rFonts w:ascii="Cambria" w:eastAsia="Batang" w:hAnsi="Cambria"/>
          <w:sz w:val="20"/>
          <w:szCs w:val="20"/>
          <w:bdr w:val="none" w:sz="0" w:space="0" w:color="auto"/>
          <w:vertAlign w:val="superscript"/>
          <w:lang w:val="es-ES_tradnl"/>
        </w:rPr>
        <w:footnoteReference w:id="128"/>
      </w:r>
      <w:r w:rsidRPr="00165EC6">
        <w:rPr>
          <w:rFonts w:ascii="Cambria" w:eastAsia="Batang" w:hAnsi="Cambria"/>
          <w:sz w:val="20"/>
          <w:szCs w:val="20"/>
          <w:bdr w:val="none" w:sz="0" w:space="0" w:color="auto"/>
          <w:lang w:val="es-ES_tradnl"/>
        </w:rPr>
        <w:t>.</w:t>
      </w:r>
      <w:r w:rsidRPr="00165EC6">
        <w:rPr>
          <w:rFonts w:ascii="Cambria" w:eastAsia="Batang" w:hAnsi="Cambria"/>
          <w:sz w:val="20"/>
          <w:szCs w:val="20"/>
          <w:bdr w:val="none" w:sz="0" w:space="0" w:color="auto"/>
          <w:lang w:val="es-ES"/>
        </w:rPr>
        <w:t xml:space="preserve"> La Corte ha señalado que la facultad de acceso a la justicia debe asegurar, en tiempo razonable, el derecho de las presuntas víctimas o sus familiares a que se haga todo lo necesario para conocer la verdad de lo sucedido y se sancione a los eventuales responsables</w:t>
      </w:r>
      <w:r w:rsidRPr="00165EC6">
        <w:rPr>
          <w:rFonts w:ascii="Cambria" w:eastAsia="Batang" w:hAnsi="Cambria"/>
          <w:sz w:val="20"/>
          <w:szCs w:val="20"/>
          <w:bdr w:val="none" w:sz="0" w:space="0" w:color="auto"/>
          <w:vertAlign w:val="superscript"/>
          <w:lang w:val="es-ES"/>
        </w:rPr>
        <w:footnoteReference w:id="129"/>
      </w:r>
      <w:r w:rsidRPr="00165EC6">
        <w:rPr>
          <w:rFonts w:ascii="Cambria" w:eastAsia="Batang" w:hAnsi="Cambria"/>
          <w:sz w:val="20"/>
          <w:szCs w:val="20"/>
          <w:bdr w:val="none" w:sz="0" w:space="0" w:color="auto"/>
          <w:lang w:val="es-ES"/>
        </w:rPr>
        <w:t xml:space="preserve">. </w:t>
      </w:r>
    </w:p>
    <w:p w:rsidR="00277412" w:rsidRPr="00165EC6" w:rsidRDefault="00277412" w:rsidP="00F521A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ES"/>
        </w:rPr>
      </w:pPr>
    </w:p>
    <w:p w:rsidR="00277412" w:rsidRPr="00165EC6" w:rsidRDefault="00277412" w:rsidP="00F521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Cambria" w:eastAsia="Batang" w:hAnsi="Cambria"/>
          <w:sz w:val="20"/>
          <w:szCs w:val="20"/>
          <w:bdr w:val="none" w:sz="0" w:space="0" w:color="auto"/>
          <w:lang w:val="es-ES"/>
        </w:rPr>
      </w:pPr>
      <w:r w:rsidRPr="00165EC6">
        <w:rPr>
          <w:rFonts w:ascii="Cambria" w:eastAsia="Batang" w:hAnsi="Cambria"/>
          <w:sz w:val="20"/>
          <w:szCs w:val="20"/>
          <w:bdr w:val="none" w:sz="0" w:space="0" w:color="auto"/>
          <w:lang w:val="es-ES"/>
        </w:rPr>
        <w:t xml:space="preserve">Los órganos del sistema </w:t>
      </w:r>
      <w:r w:rsidRPr="00165EC6">
        <w:rPr>
          <w:rFonts w:ascii="Cambria" w:eastAsia="Batang" w:hAnsi="Cambria"/>
          <w:sz w:val="20"/>
          <w:szCs w:val="20"/>
          <w:bdr w:val="none" w:sz="0" w:space="0" w:color="auto"/>
          <w:lang w:val="es-UY"/>
        </w:rPr>
        <w:t>interamericano han destacado la importancia de realizar una investigación</w:t>
      </w:r>
      <w:r w:rsidR="003F22E6" w:rsidRPr="00165EC6">
        <w:rPr>
          <w:rFonts w:ascii="Cambria" w:eastAsia="Batang" w:hAnsi="Cambria"/>
          <w:sz w:val="20"/>
          <w:szCs w:val="20"/>
          <w:bdr w:val="none" w:sz="0" w:space="0" w:color="auto"/>
          <w:lang w:val="es-UY"/>
        </w:rPr>
        <w:t xml:space="preserve"> de oficio</w:t>
      </w:r>
      <w:r w:rsidRPr="00165EC6">
        <w:rPr>
          <w:rFonts w:ascii="Cambria" w:eastAsia="Batang" w:hAnsi="Cambria"/>
          <w:sz w:val="20"/>
          <w:szCs w:val="20"/>
          <w:bdr w:val="none" w:sz="0" w:space="0" w:color="auto"/>
          <w:lang w:val="es-UY"/>
        </w:rPr>
        <w:t xml:space="preserve"> inmediata, exhaustiva, seria e imparcial ante violaciones de derechos humanos</w:t>
      </w:r>
      <w:r w:rsidRPr="00165EC6">
        <w:rPr>
          <w:rFonts w:asciiTheme="majorHAnsi" w:eastAsia="Batang" w:hAnsiTheme="majorHAnsi"/>
          <w:sz w:val="20"/>
          <w:szCs w:val="20"/>
          <w:bdr w:val="none" w:sz="0" w:space="0" w:color="auto"/>
          <w:vertAlign w:val="superscript"/>
          <w:lang w:val="es-ES"/>
        </w:rPr>
        <w:footnoteReference w:id="130"/>
      </w:r>
      <w:r w:rsidRPr="00165EC6">
        <w:rPr>
          <w:rFonts w:ascii="Cambria" w:eastAsia="Batang" w:hAnsi="Cambria"/>
          <w:sz w:val="20"/>
          <w:szCs w:val="20"/>
          <w:bdr w:val="none" w:sz="0" w:space="0" w:color="auto"/>
          <w:lang w:val="es-ES"/>
        </w:rPr>
        <w:t>.</w:t>
      </w:r>
      <w:r w:rsidR="006515B2" w:rsidRPr="00165EC6">
        <w:rPr>
          <w:rFonts w:ascii="Cambria" w:eastAsia="Batang" w:hAnsi="Cambria"/>
          <w:sz w:val="20"/>
          <w:szCs w:val="20"/>
          <w:bdr w:val="none" w:sz="0" w:space="0" w:color="auto"/>
          <w:lang w:val="es-ES"/>
        </w:rPr>
        <w:t xml:space="preserve"> En esa misma línea de ideas, en relación a violaciones a derechos humanos en el marco de actividades empresariales, el Comité DESC ha indicado que “L</w:t>
      </w:r>
      <w:r w:rsidR="006515B2" w:rsidRPr="00165EC6">
        <w:rPr>
          <w:rFonts w:ascii="Cambria" w:hAnsi="Cambria"/>
          <w:sz w:val="20"/>
          <w:szCs w:val="20"/>
          <w:lang w:val="es-PE"/>
        </w:rPr>
        <w:t>os Estados partes deben proporcionar medios adecuados de reparación a las personas o grupos perjudicados y asegurar la rendición de cuentas de las empresas”</w:t>
      </w:r>
      <w:r w:rsidR="00DA458C" w:rsidRPr="00165EC6">
        <w:rPr>
          <w:rStyle w:val="FootnoteReference"/>
          <w:rFonts w:ascii="Cambria" w:hAnsi="Cambria"/>
          <w:sz w:val="20"/>
          <w:szCs w:val="20"/>
          <w:lang w:val="es-PE"/>
        </w:rPr>
        <w:footnoteReference w:id="131"/>
      </w:r>
      <w:r w:rsidR="00DA458C" w:rsidRPr="00165EC6">
        <w:rPr>
          <w:rFonts w:ascii="Cambria" w:hAnsi="Cambria"/>
          <w:sz w:val="20"/>
          <w:szCs w:val="20"/>
          <w:lang w:val="es-PE"/>
        </w:rPr>
        <w:t xml:space="preserve"> para lo cual es imprescindible que haya recursos disponibles, efectivos y rápidos así como el acceso a información pertinente que permita resolver una denuncia.</w:t>
      </w:r>
      <w:r w:rsidR="00DA458C" w:rsidRPr="00165EC6">
        <w:rPr>
          <w:rStyle w:val="FootnoteReference"/>
          <w:rFonts w:ascii="Cambria" w:hAnsi="Cambria"/>
          <w:sz w:val="20"/>
          <w:szCs w:val="20"/>
          <w:lang w:val="es-PE"/>
        </w:rPr>
        <w:footnoteReference w:id="132"/>
      </w:r>
      <w:r w:rsidR="00DA458C" w:rsidRPr="00165EC6">
        <w:rPr>
          <w:lang w:val="es-PE"/>
        </w:rPr>
        <w:t xml:space="preserve"> </w:t>
      </w:r>
    </w:p>
    <w:p w:rsidR="00277412" w:rsidRPr="00165EC6" w:rsidRDefault="00277412" w:rsidP="00F521A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UY"/>
        </w:rPr>
      </w:pPr>
    </w:p>
    <w:p w:rsidR="00277412" w:rsidRPr="00165EC6" w:rsidRDefault="00277412" w:rsidP="00F521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cs="Arial"/>
          <w:sz w:val="20"/>
          <w:szCs w:val="20"/>
          <w:bdr w:val="none" w:sz="0" w:space="0" w:color="auto"/>
          <w:lang w:val="es-ES"/>
        </w:rPr>
      </w:pPr>
      <w:r w:rsidRPr="00165EC6">
        <w:rPr>
          <w:rFonts w:ascii="Cambria" w:eastAsia="Batang" w:hAnsi="Cambria"/>
          <w:sz w:val="20"/>
          <w:szCs w:val="20"/>
          <w:bdr w:val="none" w:sz="0" w:space="0" w:color="auto"/>
          <w:lang w:val="es-ES"/>
        </w:rPr>
        <w:t>La Corte ha definido la impunidad como “la falta en su conjunto de investigación, persecución, captura, enjuiciamiento y condena de los responsables de las violaciones de los derechos protegidos por la Convención Americana, toda vez que el Estado tiene la obligación de combatir tal situación por todos los medios legales disponibles ya que impunidad propicia la repetición crónica de las violaciones de derechos humanos y la total indefensión de las víctimas y sus familiares”</w:t>
      </w:r>
      <w:r w:rsidRPr="00165EC6">
        <w:rPr>
          <w:rFonts w:ascii="Cambria" w:eastAsia="Batang" w:hAnsi="Cambria"/>
          <w:sz w:val="20"/>
          <w:szCs w:val="20"/>
          <w:bdr w:val="none" w:sz="0" w:space="0" w:color="auto"/>
          <w:vertAlign w:val="superscript"/>
          <w:lang w:val="es-ES"/>
        </w:rPr>
        <w:footnoteReference w:id="133"/>
      </w:r>
      <w:r w:rsidRPr="00165EC6">
        <w:rPr>
          <w:rFonts w:ascii="Cambria" w:eastAsia="Batang" w:hAnsi="Cambria"/>
          <w:sz w:val="20"/>
          <w:szCs w:val="20"/>
          <w:bdr w:val="none" w:sz="0" w:space="0" w:color="auto"/>
          <w:lang w:val="es-ES"/>
        </w:rPr>
        <w:t xml:space="preserve">.   </w:t>
      </w:r>
    </w:p>
    <w:p w:rsidR="00277412" w:rsidRPr="00165EC6" w:rsidRDefault="00277412" w:rsidP="00F521A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ES"/>
        </w:rPr>
      </w:pPr>
    </w:p>
    <w:p w:rsidR="00277412" w:rsidRPr="00165EC6" w:rsidRDefault="00563176" w:rsidP="00F521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contextualSpacing/>
        <w:jc w:val="both"/>
        <w:rPr>
          <w:rFonts w:ascii="Cambria" w:eastAsia="Batang" w:hAnsi="Cambria"/>
          <w:sz w:val="20"/>
          <w:szCs w:val="20"/>
          <w:bdr w:val="none" w:sz="0" w:space="0" w:color="auto"/>
          <w:lang w:val="es-AR"/>
        </w:rPr>
      </w:pPr>
      <w:r w:rsidRPr="00165EC6">
        <w:rPr>
          <w:rFonts w:ascii="Cambria" w:eastAsia="Batang" w:hAnsi="Cambria"/>
          <w:sz w:val="20"/>
          <w:szCs w:val="20"/>
          <w:bdr w:val="none" w:sz="0" w:space="0" w:color="auto"/>
          <w:lang w:val="es-AR"/>
        </w:rPr>
        <w:t>Específicamente respecto de</w:t>
      </w:r>
      <w:r w:rsidR="003F596D" w:rsidRPr="00165EC6">
        <w:rPr>
          <w:rFonts w:ascii="Cambria" w:eastAsia="Batang" w:hAnsi="Cambria"/>
          <w:sz w:val="20"/>
          <w:szCs w:val="20"/>
          <w:bdr w:val="none" w:sz="0" w:space="0" w:color="auto"/>
          <w:lang w:val="es-AR"/>
        </w:rPr>
        <w:t xml:space="preserve">l plazo razonable, </w:t>
      </w:r>
      <w:r w:rsidR="007225F3" w:rsidRPr="00165EC6">
        <w:rPr>
          <w:rFonts w:ascii="Cambria" w:eastAsia="Batang" w:hAnsi="Cambria"/>
          <w:sz w:val="20"/>
          <w:szCs w:val="20"/>
          <w:bdr w:val="none" w:sz="0" w:space="0" w:color="auto"/>
          <w:lang w:val="es-AR"/>
        </w:rPr>
        <w:t xml:space="preserve">según </w:t>
      </w:r>
      <w:r w:rsidR="00277412" w:rsidRPr="00165EC6">
        <w:rPr>
          <w:rFonts w:ascii="Cambria" w:eastAsia="Batang" w:hAnsi="Cambria"/>
          <w:sz w:val="20"/>
          <w:szCs w:val="20"/>
          <w:bdr w:val="none" w:sz="0" w:space="0" w:color="auto"/>
          <w:lang w:val="es-AR"/>
        </w:rPr>
        <w:t>los términos del artículo 8.1 de la Convención, la Comisión tomará en consideración, a la luz de las circunstancias concretas del caso, los cuatro elementos que ha tomado en cuenta en su jurisprudencia, a saber: a) la complejidad del asunto; b) a actividad procesal de los interesados; c) la conducta de las autoridades judiciales; y d) la afectación generada en la situación jurídica de la persona involucrada en el proceso</w:t>
      </w:r>
      <w:r w:rsidR="00277412" w:rsidRPr="00165EC6">
        <w:rPr>
          <w:rFonts w:ascii="Cambria" w:eastAsia="Batang" w:hAnsi="Cambria"/>
          <w:sz w:val="20"/>
          <w:szCs w:val="20"/>
          <w:bdr w:val="none" w:sz="0" w:space="0" w:color="auto"/>
          <w:vertAlign w:val="superscript"/>
          <w:lang w:val="es-AR"/>
        </w:rPr>
        <w:footnoteReference w:id="134"/>
      </w:r>
      <w:r w:rsidR="00277412" w:rsidRPr="00165EC6">
        <w:rPr>
          <w:rFonts w:ascii="Cambria" w:eastAsia="Batang" w:hAnsi="Cambria"/>
          <w:sz w:val="20"/>
          <w:szCs w:val="20"/>
          <w:bdr w:val="none" w:sz="0" w:space="0" w:color="auto"/>
          <w:lang w:val="es-AR"/>
        </w:rPr>
        <w:t>.</w:t>
      </w:r>
    </w:p>
    <w:p w:rsidR="00277412" w:rsidRPr="00165EC6" w:rsidRDefault="00277412" w:rsidP="00F521A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AR"/>
        </w:rPr>
      </w:pPr>
    </w:p>
    <w:p w:rsidR="00277412" w:rsidRPr="00165EC6" w:rsidRDefault="00277412" w:rsidP="00F521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contextualSpacing/>
        <w:jc w:val="both"/>
        <w:rPr>
          <w:rFonts w:ascii="Cambria" w:eastAsia="Batang" w:hAnsi="Cambria"/>
          <w:sz w:val="20"/>
          <w:szCs w:val="20"/>
          <w:bdr w:val="none" w:sz="0" w:space="0" w:color="auto"/>
          <w:lang w:val="es-AR"/>
        </w:rPr>
      </w:pPr>
      <w:r w:rsidRPr="00165EC6">
        <w:rPr>
          <w:rFonts w:ascii="Cambria" w:eastAsia="Batang" w:hAnsi="Cambria"/>
          <w:sz w:val="20"/>
          <w:szCs w:val="20"/>
          <w:bdr w:val="none" w:sz="0" w:space="0" w:color="auto"/>
          <w:lang w:val="es-AR"/>
        </w:rPr>
        <w:t>La Comisión considera que el retardo en el desarrollo de la investigación no puede justificarse en razón de la complejidad del asunto cuando i) hay individualización de posibles autores; ii) consta la existencia de testigos; y iii) existen posibles líneas de investigación. En todo caso, a fin de que un argumento de complejidad sea procedente, no es suficiente con que los Estado</w:t>
      </w:r>
      <w:r w:rsidR="00316F4A" w:rsidRPr="00165EC6">
        <w:rPr>
          <w:rFonts w:ascii="Cambria" w:eastAsia="Batang" w:hAnsi="Cambria"/>
          <w:sz w:val="20"/>
          <w:szCs w:val="20"/>
          <w:bdr w:val="none" w:sz="0" w:space="0" w:color="auto"/>
          <w:lang w:val="es-AR"/>
        </w:rPr>
        <w:t>s</w:t>
      </w:r>
      <w:r w:rsidRPr="00165EC6">
        <w:rPr>
          <w:rFonts w:ascii="Cambria" w:eastAsia="Batang" w:hAnsi="Cambria"/>
          <w:sz w:val="20"/>
          <w:szCs w:val="20"/>
          <w:bdr w:val="none" w:sz="0" w:space="0" w:color="auto"/>
          <w:lang w:val="es-AR"/>
        </w:rPr>
        <w:t xml:space="preserve"> invoquen en términos genéricos la complejidad de un asunto. Es necesario que se presente información específica que vincule en cada caso la complejidad con la demora</w:t>
      </w:r>
      <w:r w:rsidRPr="00165EC6">
        <w:rPr>
          <w:rFonts w:ascii="Cambria" w:eastAsia="Batang" w:hAnsi="Cambria"/>
          <w:sz w:val="20"/>
          <w:szCs w:val="20"/>
          <w:bdr w:val="none" w:sz="0" w:space="0" w:color="auto"/>
          <w:vertAlign w:val="superscript"/>
          <w:lang w:val="es-AR"/>
        </w:rPr>
        <w:footnoteReference w:id="135"/>
      </w:r>
      <w:r w:rsidRPr="00165EC6">
        <w:rPr>
          <w:rFonts w:ascii="Cambria" w:eastAsia="Batang" w:hAnsi="Cambria"/>
          <w:sz w:val="20"/>
          <w:szCs w:val="20"/>
          <w:bdr w:val="none" w:sz="0" w:space="0" w:color="auto"/>
          <w:lang w:val="es-AR"/>
        </w:rPr>
        <w:t xml:space="preserve">. </w:t>
      </w:r>
    </w:p>
    <w:p w:rsidR="00277412" w:rsidRPr="00165EC6" w:rsidRDefault="00277412" w:rsidP="00F521A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AR"/>
        </w:rPr>
      </w:pPr>
    </w:p>
    <w:p w:rsidR="00277412" w:rsidRPr="00165EC6" w:rsidRDefault="00F101B8" w:rsidP="00F521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Cambria" w:eastAsia="Batang" w:hAnsi="Cambria"/>
          <w:sz w:val="20"/>
          <w:szCs w:val="20"/>
          <w:bdr w:val="none" w:sz="0" w:space="0" w:color="auto"/>
          <w:lang w:val="es-UY"/>
        </w:rPr>
      </w:pPr>
      <w:r w:rsidRPr="00165EC6">
        <w:rPr>
          <w:rFonts w:ascii="Cambria" w:eastAsia="Batang" w:hAnsi="Cambria"/>
          <w:sz w:val="20"/>
          <w:szCs w:val="20"/>
          <w:bdr w:val="none" w:sz="0" w:space="0" w:color="auto"/>
          <w:lang w:val="es-UY"/>
        </w:rPr>
        <w:t>Así, e</w:t>
      </w:r>
      <w:r w:rsidR="00277412" w:rsidRPr="00165EC6">
        <w:rPr>
          <w:rFonts w:ascii="Cambria" w:eastAsia="Batang" w:hAnsi="Cambria"/>
          <w:sz w:val="20"/>
          <w:szCs w:val="20"/>
          <w:bdr w:val="none" w:sz="0" w:space="0" w:color="auto"/>
          <w:lang w:val="es-UY"/>
        </w:rPr>
        <w:t xml:space="preserve">l </w:t>
      </w:r>
      <w:r w:rsidR="00277412" w:rsidRPr="00165EC6">
        <w:rPr>
          <w:rFonts w:ascii="Cambria" w:eastAsia="Batang" w:hAnsi="Cambria"/>
          <w:b/>
          <w:sz w:val="20"/>
          <w:szCs w:val="20"/>
          <w:bdr w:val="none" w:sz="0" w:space="0" w:color="auto"/>
          <w:lang w:val="es-UY"/>
        </w:rPr>
        <w:t>proceso penal</w:t>
      </w:r>
      <w:r w:rsidR="00277412" w:rsidRPr="00165EC6">
        <w:rPr>
          <w:rFonts w:ascii="Cambria" w:eastAsia="Batang" w:hAnsi="Cambria"/>
          <w:sz w:val="20"/>
          <w:szCs w:val="20"/>
          <w:bdr w:val="none" w:sz="0" w:space="0" w:color="auto"/>
          <w:lang w:val="es-UY"/>
        </w:rPr>
        <w:t xml:space="preserve"> fue iniciado de oficio el mismo día de la explosión y se presentó acusación formal el 12 de abril de 1999</w:t>
      </w:r>
      <w:r w:rsidR="00277412" w:rsidRPr="00165EC6">
        <w:rPr>
          <w:rFonts w:ascii="Cambria" w:eastAsia="Batang" w:hAnsi="Cambria"/>
          <w:sz w:val="20"/>
          <w:szCs w:val="20"/>
          <w:bdr w:val="none" w:sz="0" w:space="0" w:color="auto"/>
          <w:lang w:val="es-AR"/>
        </w:rPr>
        <w:t>.</w:t>
      </w:r>
      <w:r w:rsidR="00277412" w:rsidRPr="00165EC6">
        <w:rPr>
          <w:rFonts w:ascii="Cambria" w:eastAsia="Batang" w:hAnsi="Cambria"/>
          <w:sz w:val="20"/>
          <w:szCs w:val="20"/>
          <w:bdr w:val="none" w:sz="0" w:space="0" w:color="auto"/>
          <w:lang w:val="es-UY"/>
        </w:rPr>
        <w:t xml:space="preserve"> El Estado afirmó que las actuaciones procesales y los recursos judiciales en Brasil estaban siendo manejados de conformidad con la complejidad del caso que involucra</w:t>
      </w:r>
      <w:r w:rsidR="002F594E" w:rsidRPr="00165EC6">
        <w:rPr>
          <w:rFonts w:ascii="Cambria" w:eastAsia="Batang" w:hAnsi="Cambria"/>
          <w:sz w:val="20"/>
          <w:szCs w:val="20"/>
          <w:bdr w:val="none" w:sz="0" w:space="0" w:color="auto"/>
          <w:lang w:val="es-UY"/>
        </w:rPr>
        <w:t xml:space="preserve"> 70 víctimas</w:t>
      </w:r>
      <w:r w:rsidR="00277412" w:rsidRPr="00165EC6">
        <w:rPr>
          <w:rFonts w:ascii="Cambria" w:eastAsia="Batang" w:hAnsi="Cambria"/>
          <w:sz w:val="20"/>
          <w:szCs w:val="20"/>
          <w:bdr w:val="none" w:sz="0" w:space="0" w:color="auto"/>
          <w:lang w:val="es-UY"/>
        </w:rPr>
        <w:t xml:space="preserve"> y siempre en respeto a los derechos </w:t>
      </w:r>
      <w:r w:rsidR="00B03854" w:rsidRPr="00165EC6">
        <w:rPr>
          <w:rFonts w:ascii="Cambria" w:eastAsia="Batang" w:hAnsi="Cambria"/>
          <w:sz w:val="20"/>
          <w:szCs w:val="20"/>
          <w:bdr w:val="none" w:sz="0" w:space="0" w:color="auto"/>
          <w:lang w:val="es-UY"/>
        </w:rPr>
        <w:t>a la</w:t>
      </w:r>
      <w:r w:rsidR="00277412" w:rsidRPr="00165EC6">
        <w:rPr>
          <w:rFonts w:ascii="Cambria" w:eastAsia="Batang" w:hAnsi="Cambria"/>
          <w:sz w:val="20"/>
          <w:szCs w:val="20"/>
          <w:bdr w:val="none" w:sz="0" w:space="0" w:color="auto"/>
          <w:lang w:val="es-UY"/>
        </w:rPr>
        <w:t xml:space="preserve"> libertad personal de los acusados. La Comisión estima, sin embargo, que el gran número de víctimas no ha sido el motivo de la demora en el procedimiento penal, pues los posibles </w:t>
      </w:r>
      <w:r w:rsidR="00B71B80" w:rsidRPr="00165EC6">
        <w:rPr>
          <w:rFonts w:ascii="Cambria" w:eastAsia="Batang" w:hAnsi="Cambria"/>
          <w:sz w:val="20"/>
          <w:szCs w:val="20"/>
          <w:bdr w:val="none" w:sz="0" w:space="0" w:color="auto"/>
          <w:lang w:val="es-UY"/>
        </w:rPr>
        <w:t>responsables</w:t>
      </w:r>
      <w:r w:rsidR="00277412" w:rsidRPr="00165EC6">
        <w:rPr>
          <w:rFonts w:ascii="Cambria" w:eastAsia="Batang" w:hAnsi="Cambria"/>
          <w:sz w:val="20"/>
          <w:szCs w:val="20"/>
          <w:bdr w:val="none" w:sz="0" w:space="0" w:color="auto"/>
          <w:lang w:val="es-UY"/>
        </w:rPr>
        <w:t xml:space="preserve"> fueron identificados por las autoridades policiales y judiciales en las primeras etapas de la investigación. </w:t>
      </w:r>
      <w:r w:rsidR="00DE7141" w:rsidRPr="00165EC6">
        <w:rPr>
          <w:rFonts w:ascii="Cambria" w:eastAsia="Batang" w:hAnsi="Cambria"/>
          <w:sz w:val="20"/>
          <w:szCs w:val="20"/>
          <w:bdr w:val="none" w:sz="0" w:space="0" w:color="auto"/>
          <w:lang w:val="es-UY"/>
        </w:rPr>
        <w:t xml:space="preserve">Además, el Estado no ha demostrado que la investigación se ha demorado como consecuencias de diligencias probatorias específicas respecto de las 70 víctimas, especialmente cuando el hecho generador de las muertes y lesiones fue uno solo – la explosión – y no se encontraría en duda el nexo de causalidad entre la explosión y las muertes y lesiones. </w:t>
      </w:r>
      <w:r w:rsidR="005E174B" w:rsidRPr="00165EC6">
        <w:rPr>
          <w:rFonts w:ascii="Cambria" w:eastAsia="Batang" w:hAnsi="Cambria"/>
          <w:sz w:val="20"/>
          <w:szCs w:val="20"/>
          <w:bdr w:val="none" w:sz="0" w:space="0" w:color="auto"/>
          <w:lang w:val="es-UY"/>
        </w:rPr>
        <w:t>En todo caso, aún</w:t>
      </w:r>
      <w:r w:rsidR="00277412" w:rsidRPr="00165EC6">
        <w:rPr>
          <w:rFonts w:ascii="Cambria" w:eastAsia="Batang" w:hAnsi="Cambria"/>
          <w:sz w:val="20"/>
          <w:szCs w:val="20"/>
          <w:bdr w:val="none" w:sz="0" w:space="0" w:color="auto"/>
          <w:lang w:val="es-UY"/>
        </w:rPr>
        <w:t xml:space="preserve"> cuando se tratara de un caso complejo, la Comisión considera que no existe justificación para un retardo procesal de más de 18 años. </w:t>
      </w:r>
    </w:p>
    <w:p w:rsidR="00277412" w:rsidRPr="00165EC6" w:rsidRDefault="00277412" w:rsidP="00A9693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UY"/>
        </w:rPr>
      </w:pPr>
    </w:p>
    <w:p w:rsidR="00277412" w:rsidRPr="00165EC6" w:rsidRDefault="00277412" w:rsidP="00F521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ind w:left="0"/>
        <w:contextualSpacing/>
        <w:jc w:val="both"/>
        <w:rPr>
          <w:rFonts w:ascii="Cambria" w:eastAsia="Batang" w:hAnsi="Cambria"/>
          <w:sz w:val="20"/>
          <w:szCs w:val="20"/>
          <w:bdr w:val="none" w:sz="0" w:space="0" w:color="auto"/>
          <w:lang w:val="es-CR"/>
        </w:rPr>
      </w:pPr>
      <w:r w:rsidRPr="00165EC6">
        <w:rPr>
          <w:rFonts w:ascii="Cambria" w:eastAsia="Batang" w:hAnsi="Cambria"/>
          <w:sz w:val="20"/>
          <w:szCs w:val="20"/>
          <w:bdr w:val="none" w:sz="0" w:space="0" w:color="auto"/>
          <w:lang w:val="es-UY"/>
        </w:rPr>
        <w:t xml:space="preserve">Por otra parte, la Comisión no encuentra elementos que permitan inferir que existió algún tipo de actividad o conducta de parte de los familiares de las víctimas que hubiera entorpecido la investigación. La Corte ha establecido que </w:t>
      </w:r>
      <w:r w:rsidRPr="00165EC6">
        <w:rPr>
          <w:rFonts w:ascii="Cambria" w:eastAsia="Batang" w:hAnsi="Cambria"/>
          <w:sz w:val="20"/>
          <w:szCs w:val="20"/>
          <w:bdr w:val="none" w:sz="0" w:space="0" w:color="auto"/>
          <w:lang w:val="es-CR"/>
        </w:rPr>
        <w:t>los Estados tienen la obligación de garantizar el derecho de las víctimas o sus familiares de participar en todas las etapas de los respectivos procesos</w:t>
      </w:r>
      <w:r w:rsidRPr="00165EC6">
        <w:rPr>
          <w:rFonts w:ascii="Cambria" w:eastAsia="Batang" w:hAnsi="Cambria"/>
          <w:sz w:val="20"/>
          <w:szCs w:val="20"/>
          <w:bdr w:val="none" w:sz="0" w:space="0" w:color="auto"/>
          <w:vertAlign w:val="superscript"/>
          <w:lang w:val="es-CR"/>
        </w:rPr>
        <w:footnoteReference w:id="136"/>
      </w:r>
      <w:r w:rsidRPr="00165EC6">
        <w:rPr>
          <w:rFonts w:ascii="Cambria" w:eastAsia="Batang" w:hAnsi="Cambria"/>
          <w:sz w:val="20"/>
          <w:szCs w:val="20"/>
          <w:bdr w:val="none" w:sz="0" w:space="0" w:color="auto"/>
          <w:lang w:val="es-CR"/>
        </w:rPr>
        <w:t>.</w:t>
      </w:r>
      <w:r w:rsidR="00F101B8" w:rsidRPr="00165EC6">
        <w:rPr>
          <w:rFonts w:ascii="Cambria" w:eastAsia="Batang" w:hAnsi="Cambria"/>
          <w:sz w:val="20"/>
          <w:szCs w:val="20"/>
          <w:bdr w:val="none" w:sz="0" w:space="0" w:color="auto"/>
          <w:lang w:val="es-CR"/>
        </w:rPr>
        <w:t xml:space="preserve"> </w:t>
      </w:r>
      <w:r w:rsidRPr="00165EC6">
        <w:rPr>
          <w:rFonts w:ascii="Cambria" w:eastAsia="Batang" w:hAnsi="Cambria"/>
          <w:sz w:val="20"/>
          <w:szCs w:val="20"/>
          <w:bdr w:val="none" w:sz="0" w:space="0" w:color="auto"/>
          <w:lang w:val="es-CR"/>
        </w:rPr>
        <w:t>Sin embargo, la búsqueda efectiva de la verdad corresponde al Estado y no depende de la iniciativa procesal de la víctima, o de sus familiares o de la aportación privada de elementos probatorios</w:t>
      </w:r>
      <w:r w:rsidRPr="00165EC6">
        <w:rPr>
          <w:rFonts w:ascii="Cambria" w:eastAsia="Batang" w:hAnsi="Cambria"/>
          <w:sz w:val="20"/>
          <w:szCs w:val="20"/>
          <w:bdr w:val="none" w:sz="0" w:space="0" w:color="auto"/>
          <w:vertAlign w:val="superscript"/>
          <w:lang w:val="es-CR"/>
        </w:rPr>
        <w:footnoteReference w:id="137"/>
      </w:r>
      <w:r w:rsidRPr="00165EC6">
        <w:rPr>
          <w:rFonts w:ascii="Cambria" w:eastAsia="Batang" w:hAnsi="Cambria"/>
          <w:sz w:val="20"/>
          <w:szCs w:val="20"/>
          <w:bdr w:val="none" w:sz="0" w:space="0" w:color="auto"/>
          <w:lang w:val="es-CR"/>
        </w:rPr>
        <w:t>. En el presente caso</w:t>
      </w:r>
      <w:r w:rsidR="003A46E4" w:rsidRPr="00165EC6">
        <w:rPr>
          <w:rFonts w:ascii="Cambria" w:eastAsia="Batang" w:hAnsi="Cambria"/>
          <w:sz w:val="20"/>
          <w:szCs w:val="20"/>
          <w:bdr w:val="none" w:sz="0" w:space="0" w:color="auto"/>
          <w:lang w:val="es-CR"/>
        </w:rPr>
        <w:t xml:space="preserve">, tratándose de violaciones de derechos humanos de gravedad, era el Estado el que tenía el deber de impulsar la investigación de oficio. </w:t>
      </w:r>
    </w:p>
    <w:p w:rsidR="00277412" w:rsidRPr="00165EC6" w:rsidRDefault="00277412" w:rsidP="00F521A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UY"/>
        </w:rPr>
      </w:pPr>
    </w:p>
    <w:p w:rsidR="00277412" w:rsidRPr="00165EC6" w:rsidRDefault="002C2F00" w:rsidP="00F521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contextualSpacing/>
        <w:jc w:val="both"/>
        <w:rPr>
          <w:rFonts w:ascii="Cambria" w:eastAsia="Batang" w:hAnsi="Cambria" w:cs="Verdana"/>
          <w:sz w:val="20"/>
          <w:szCs w:val="20"/>
          <w:bdr w:val="none" w:sz="0" w:space="0" w:color="auto"/>
          <w:lang w:val="es-AR"/>
        </w:rPr>
      </w:pPr>
      <w:r w:rsidRPr="00165EC6">
        <w:rPr>
          <w:rFonts w:ascii="Cambria" w:eastAsia="Batang" w:hAnsi="Cambria"/>
          <w:sz w:val="20"/>
          <w:szCs w:val="20"/>
          <w:bdr w:val="none" w:sz="0" w:space="0" w:color="auto"/>
          <w:lang w:val="es-UY"/>
        </w:rPr>
        <w:t xml:space="preserve">En cuanto a la actuación de las </w:t>
      </w:r>
      <w:r w:rsidR="00E534EF" w:rsidRPr="00165EC6">
        <w:rPr>
          <w:rFonts w:ascii="Cambria" w:eastAsia="Batang" w:hAnsi="Cambria"/>
          <w:sz w:val="20"/>
          <w:szCs w:val="20"/>
          <w:bdr w:val="none" w:sz="0" w:space="0" w:color="auto"/>
          <w:lang w:val="es-UY"/>
        </w:rPr>
        <w:t>autoridades</w:t>
      </w:r>
      <w:r w:rsidRPr="00165EC6">
        <w:rPr>
          <w:rFonts w:ascii="Cambria" w:eastAsia="Batang" w:hAnsi="Cambria"/>
          <w:sz w:val="20"/>
          <w:szCs w:val="20"/>
          <w:bdr w:val="none" w:sz="0" w:space="0" w:color="auto"/>
          <w:lang w:val="es-UY"/>
        </w:rPr>
        <w:t xml:space="preserve"> judiciales, e</w:t>
      </w:r>
      <w:r w:rsidR="00277412" w:rsidRPr="00165EC6">
        <w:rPr>
          <w:rFonts w:ascii="Cambria" w:eastAsia="Batang" w:hAnsi="Cambria"/>
          <w:sz w:val="20"/>
          <w:szCs w:val="20"/>
          <w:bdr w:val="none" w:sz="0" w:space="0" w:color="auto"/>
          <w:lang w:val="es-AR"/>
        </w:rPr>
        <w:t xml:space="preserve">l Estado indicó que el procedimiento penal especial de Tribunal de Jurados prevé trámites más extensos y fases procesales adicionales al proceso penal ordinario; sin embargo, </w:t>
      </w:r>
      <w:r w:rsidR="00277412" w:rsidRPr="00165EC6">
        <w:rPr>
          <w:rFonts w:ascii="Cambria" w:eastAsia="Batang" w:hAnsi="Cambria" w:cs="Verdana"/>
          <w:sz w:val="20"/>
          <w:szCs w:val="20"/>
          <w:bdr w:val="none" w:sz="0" w:space="0" w:color="auto"/>
          <w:lang w:val="es-AR"/>
        </w:rPr>
        <w:t xml:space="preserve">la CIDH observa que el retraso en el proceso no deriva de las características del procedimiento especial del Tribunal de Jurados, sino de la actuación de las autoridades durante el trámite del procedimiento judicial, en especial </w:t>
      </w:r>
      <w:r w:rsidRPr="00165EC6">
        <w:rPr>
          <w:rFonts w:ascii="Cambria" w:eastAsia="Batang" w:hAnsi="Cambria" w:cs="Verdana"/>
          <w:sz w:val="20"/>
          <w:szCs w:val="20"/>
          <w:bdr w:val="none" w:sz="0" w:space="0" w:color="auto"/>
          <w:lang w:val="es-AR"/>
        </w:rPr>
        <w:t>los traslados ocasio</w:t>
      </w:r>
      <w:r w:rsidR="009A393A" w:rsidRPr="00165EC6">
        <w:rPr>
          <w:rFonts w:ascii="Cambria" w:eastAsia="Batang" w:hAnsi="Cambria" w:cs="Verdana"/>
          <w:sz w:val="20"/>
          <w:szCs w:val="20"/>
          <w:bdr w:val="none" w:sz="0" w:space="0" w:color="auto"/>
          <w:lang w:val="es-AR"/>
        </w:rPr>
        <w:t>nados por las decisiones relativas a competencia</w:t>
      </w:r>
      <w:r w:rsidR="00C4593F" w:rsidRPr="00165EC6">
        <w:rPr>
          <w:rFonts w:ascii="Cambria" w:eastAsia="Batang" w:hAnsi="Cambria" w:cs="Verdana"/>
          <w:sz w:val="20"/>
          <w:szCs w:val="20"/>
          <w:bdr w:val="none" w:sz="0" w:space="0" w:color="auto"/>
          <w:lang w:val="es-AR"/>
        </w:rPr>
        <w:t>, largos lapsos de inactividad</w:t>
      </w:r>
      <w:r w:rsidR="009A393A" w:rsidRPr="00165EC6">
        <w:rPr>
          <w:rFonts w:ascii="Cambria" w:eastAsia="Batang" w:hAnsi="Cambria" w:cs="Verdana"/>
          <w:sz w:val="20"/>
          <w:szCs w:val="20"/>
          <w:bdr w:val="none" w:sz="0" w:space="0" w:color="auto"/>
          <w:lang w:val="es-AR"/>
        </w:rPr>
        <w:t xml:space="preserve"> y </w:t>
      </w:r>
      <w:r w:rsidR="00C4593F" w:rsidRPr="00165EC6">
        <w:rPr>
          <w:rFonts w:ascii="Cambria" w:eastAsia="Batang" w:hAnsi="Cambria" w:cs="Verdana"/>
          <w:sz w:val="20"/>
          <w:szCs w:val="20"/>
          <w:bdr w:val="none" w:sz="0" w:space="0" w:color="auto"/>
          <w:lang w:val="es-AR"/>
        </w:rPr>
        <w:t>de la</w:t>
      </w:r>
      <w:r w:rsidR="00277412" w:rsidRPr="00165EC6">
        <w:rPr>
          <w:rFonts w:ascii="Cambria" w:eastAsia="Batang" w:hAnsi="Cambria" w:cs="Verdana"/>
          <w:sz w:val="20"/>
          <w:szCs w:val="20"/>
          <w:bdr w:val="none" w:sz="0" w:space="0" w:color="auto"/>
          <w:lang w:val="es-AR"/>
        </w:rPr>
        <w:t xml:space="preserve"> demora en que se resolvieron los recursos presentados. </w:t>
      </w:r>
    </w:p>
    <w:p w:rsidR="00277412" w:rsidRPr="00165EC6" w:rsidRDefault="00277412" w:rsidP="00F521A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AR"/>
        </w:rPr>
      </w:pPr>
    </w:p>
    <w:p w:rsidR="00277412" w:rsidRPr="00165EC6" w:rsidRDefault="00277412" w:rsidP="00F521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contextualSpacing/>
        <w:jc w:val="both"/>
        <w:rPr>
          <w:rFonts w:ascii="Cambria" w:eastAsia="Batang" w:hAnsi="Cambria" w:cs="Verdana"/>
          <w:sz w:val="20"/>
          <w:szCs w:val="20"/>
          <w:bdr w:val="none" w:sz="0" w:space="0" w:color="auto"/>
          <w:lang w:val="es-AR"/>
        </w:rPr>
      </w:pPr>
      <w:r w:rsidRPr="00165EC6">
        <w:rPr>
          <w:rFonts w:ascii="Cambria" w:eastAsia="Batang" w:hAnsi="Cambria"/>
          <w:sz w:val="20"/>
          <w:szCs w:val="20"/>
          <w:bdr w:val="none" w:sz="0" w:space="0" w:color="auto"/>
          <w:lang w:val="es-AR"/>
        </w:rPr>
        <w:t>Como ya se indicó, el Estado no proporcionó información sobre</w:t>
      </w:r>
      <w:r w:rsidR="002B5C6C" w:rsidRPr="00165EC6">
        <w:rPr>
          <w:rFonts w:ascii="Cambria" w:eastAsia="Batang" w:hAnsi="Cambria"/>
          <w:sz w:val="20"/>
          <w:szCs w:val="20"/>
          <w:bdr w:val="none" w:sz="0" w:space="0" w:color="auto"/>
          <w:lang w:val="es-AR"/>
        </w:rPr>
        <w:t xml:space="preserve"> dil</w:t>
      </w:r>
      <w:r w:rsidR="006515B2" w:rsidRPr="00165EC6">
        <w:rPr>
          <w:rFonts w:ascii="Cambria" w:eastAsia="Batang" w:hAnsi="Cambria"/>
          <w:sz w:val="20"/>
          <w:szCs w:val="20"/>
          <w:bdr w:val="none" w:sz="0" w:space="0" w:color="auto"/>
          <w:lang w:val="es-AR"/>
        </w:rPr>
        <w:t>i</w:t>
      </w:r>
      <w:r w:rsidR="002B5C6C" w:rsidRPr="00165EC6">
        <w:rPr>
          <w:rFonts w:ascii="Cambria" w:eastAsia="Batang" w:hAnsi="Cambria"/>
          <w:sz w:val="20"/>
          <w:szCs w:val="20"/>
          <w:bdr w:val="none" w:sz="0" w:space="0" w:color="auto"/>
          <w:lang w:val="es-AR"/>
        </w:rPr>
        <w:t xml:space="preserve">gencia alguna entre la acusación formal de 12 de abril de 1999 </w:t>
      </w:r>
      <w:r w:rsidR="00BE5027" w:rsidRPr="00165EC6">
        <w:rPr>
          <w:rFonts w:ascii="Cambria" w:eastAsia="Batang" w:hAnsi="Cambria"/>
          <w:sz w:val="20"/>
          <w:szCs w:val="20"/>
          <w:bdr w:val="none" w:sz="0" w:space="0" w:color="auto"/>
          <w:lang w:val="es-AR"/>
        </w:rPr>
        <w:t>y el 9</w:t>
      </w:r>
      <w:r w:rsidRPr="00165EC6">
        <w:rPr>
          <w:rFonts w:ascii="Cambria" w:eastAsia="Batang" w:hAnsi="Cambria"/>
          <w:sz w:val="20"/>
          <w:szCs w:val="20"/>
          <w:bdr w:val="none" w:sz="0" w:space="0" w:color="auto"/>
          <w:lang w:val="es-AR"/>
        </w:rPr>
        <w:t xml:space="preserve"> de noviembre de 2004, fecha en que se resolvió que el proceso debía seguirse ante un Tribunal de Jurados. Asimismo, la Comisión advierte que no fue sino hasta el 20 de octubre de 2010, que se pronunció sentencia </w:t>
      </w:r>
      <w:r w:rsidR="00C4593F" w:rsidRPr="00165EC6">
        <w:rPr>
          <w:rFonts w:ascii="Cambria" w:eastAsia="Batang" w:hAnsi="Cambria"/>
          <w:sz w:val="20"/>
          <w:szCs w:val="20"/>
          <w:bdr w:val="none" w:sz="0" w:space="0" w:color="auto"/>
          <w:lang w:val="es-AR"/>
        </w:rPr>
        <w:t xml:space="preserve">inicial </w:t>
      </w:r>
      <w:r w:rsidRPr="00165EC6">
        <w:rPr>
          <w:rFonts w:ascii="Cambria" w:eastAsia="Batang" w:hAnsi="Cambria"/>
          <w:sz w:val="20"/>
          <w:szCs w:val="20"/>
          <w:bdr w:val="none" w:sz="0" w:space="0" w:color="auto"/>
          <w:lang w:val="es-AR"/>
        </w:rPr>
        <w:t xml:space="preserve">condenatoria; esto es, casi 12 años después de iniciadas las investigaciones. </w:t>
      </w:r>
      <w:r w:rsidR="00F101B8" w:rsidRPr="00165EC6">
        <w:rPr>
          <w:rFonts w:ascii="Cambria" w:eastAsia="Batang" w:hAnsi="Cambria"/>
          <w:sz w:val="20"/>
          <w:szCs w:val="20"/>
          <w:bdr w:val="none" w:sz="0" w:space="0" w:color="auto"/>
          <w:lang w:val="es-AR"/>
        </w:rPr>
        <w:t>Por otra parte, los recursos presentados por l</w:t>
      </w:r>
      <w:r w:rsidRPr="00165EC6">
        <w:rPr>
          <w:rFonts w:ascii="Cambria" w:eastAsia="Batang" w:hAnsi="Cambria"/>
          <w:sz w:val="20"/>
          <w:szCs w:val="20"/>
          <w:bdr w:val="none" w:sz="0" w:space="0" w:color="auto"/>
          <w:lang w:val="es-AR"/>
        </w:rPr>
        <w:t xml:space="preserve">as personas condenadas </w:t>
      </w:r>
      <w:r w:rsidR="00F101B8" w:rsidRPr="00165EC6">
        <w:rPr>
          <w:rFonts w:ascii="Cambria" w:eastAsia="Batang" w:hAnsi="Cambria"/>
          <w:sz w:val="20"/>
          <w:szCs w:val="20"/>
          <w:bdr w:val="none" w:sz="0" w:space="0" w:color="auto"/>
          <w:lang w:val="es-AR"/>
        </w:rPr>
        <w:t xml:space="preserve">fueron resueltos </w:t>
      </w:r>
      <w:r w:rsidR="00DD1E2B" w:rsidRPr="00165EC6">
        <w:rPr>
          <w:rFonts w:ascii="Cambria" w:eastAsia="Batang" w:hAnsi="Cambria"/>
          <w:sz w:val="20"/>
          <w:szCs w:val="20"/>
          <w:bdr w:val="none" w:sz="0" w:space="0" w:color="auto"/>
          <w:lang w:val="es-AR"/>
        </w:rPr>
        <w:t xml:space="preserve">con demora significativa; así, los recursos presentados en </w:t>
      </w:r>
      <w:r w:rsidRPr="00165EC6">
        <w:rPr>
          <w:rFonts w:ascii="Cambria" w:eastAsia="Batang" w:hAnsi="Cambria"/>
          <w:sz w:val="20"/>
          <w:szCs w:val="20"/>
          <w:bdr w:val="none" w:sz="0" w:space="0" w:color="auto"/>
          <w:lang w:val="es-AR"/>
        </w:rPr>
        <w:t>junio de 2012</w:t>
      </w:r>
      <w:r w:rsidR="009739DD" w:rsidRPr="00165EC6">
        <w:rPr>
          <w:rFonts w:ascii="Cambria" w:eastAsia="Batang" w:hAnsi="Cambria"/>
          <w:sz w:val="20"/>
          <w:szCs w:val="20"/>
          <w:bdr w:val="none" w:sz="0" w:space="0" w:color="auto"/>
          <w:lang w:val="es-AR"/>
        </w:rPr>
        <w:t xml:space="preserve"> fueron resueltos en </w:t>
      </w:r>
      <w:r w:rsidRPr="00165EC6">
        <w:rPr>
          <w:rFonts w:ascii="Cambria" w:eastAsia="Batang" w:hAnsi="Cambria"/>
          <w:sz w:val="20"/>
          <w:szCs w:val="20"/>
          <w:bdr w:val="none" w:sz="0" w:space="0" w:color="auto"/>
          <w:lang w:val="es-AR"/>
        </w:rPr>
        <w:t>septiembre de 2014</w:t>
      </w:r>
      <w:r w:rsidR="00DD1E2B" w:rsidRPr="00165EC6">
        <w:rPr>
          <w:rFonts w:ascii="Cambria" w:eastAsia="Batang" w:hAnsi="Cambria"/>
          <w:sz w:val="20"/>
          <w:szCs w:val="20"/>
          <w:bdr w:val="none" w:sz="0" w:space="0" w:color="auto"/>
          <w:lang w:val="es-AR"/>
        </w:rPr>
        <w:t>. A más, el</w:t>
      </w:r>
      <w:r w:rsidRPr="00165EC6">
        <w:rPr>
          <w:rFonts w:ascii="Cambria" w:eastAsia="Batang" w:hAnsi="Cambria"/>
          <w:sz w:val="20"/>
          <w:szCs w:val="20"/>
          <w:bdr w:val="none" w:sz="0" w:space="0" w:color="auto"/>
          <w:lang w:val="es-AR"/>
        </w:rPr>
        <w:t xml:space="preserve"> recurso de inconstitucionalidad </w:t>
      </w:r>
      <w:r w:rsidR="00DD1E2B" w:rsidRPr="00165EC6">
        <w:rPr>
          <w:rFonts w:ascii="Cambria" w:eastAsia="Batang" w:hAnsi="Cambria"/>
          <w:sz w:val="20"/>
          <w:szCs w:val="20"/>
          <w:bdr w:val="none" w:sz="0" w:space="0" w:color="auto"/>
          <w:lang w:val="es-AR"/>
        </w:rPr>
        <w:t xml:space="preserve">presentado </w:t>
      </w:r>
      <w:r w:rsidRPr="00165EC6">
        <w:rPr>
          <w:rFonts w:ascii="Cambria" w:eastAsia="Batang" w:hAnsi="Cambria"/>
          <w:sz w:val="20"/>
          <w:szCs w:val="20"/>
          <w:bdr w:val="none" w:sz="0" w:space="0" w:color="auto"/>
          <w:lang w:val="es-AR"/>
        </w:rPr>
        <w:t xml:space="preserve">el 28 de octubre de 2014 y, según la información con que cuenta la CIDH, se encuentra pendiente de decisión ante el Supremo Tribunal Federal. </w:t>
      </w:r>
    </w:p>
    <w:p w:rsidR="00277412" w:rsidRPr="00165EC6" w:rsidRDefault="00277412" w:rsidP="00A969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eastAsia="Batang" w:hAnsi="Cambria" w:cs="Verdana"/>
          <w:sz w:val="20"/>
          <w:szCs w:val="20"/>
          <w:bdr w:val="none" w:sz="0" w:space="0" w:color="auto"/>
          <w:lang w:val="es-AR"/>
        </w:rPr>
      </w:pPr>
    </w:p>
    <w:p w:rsidR="00BE7BD0" w:rsidRPr="00165EC6" w:rsidRDefault="00277412" w:rsidP="00F521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Cambria" w:eastAsia="Batang" w:hAnsi="Cambria"/>
          <w:sz w:val="20"/>
          <w:szCs w:val="20"/>
          <w:bdr w:val="none" w:sz="0" w:space="0" w:color="auto"/>
          <w:lang w:val="es-UY"/>
        </w:rPr>
      </w:pPr>
      <w:r w:rsidRPr="00165EC6">
        <w:rPr>
          <w:rFonts w:ascii="Cambria" w:eastAsia="Batang" w:hAnsi="Cambria"/>
          <w:sz w:val="20"/>
          <w:szCs w:val="20"/>
          <w:bdr w:val="none" w:sz="0" w:space="0" w:color="auto"/>
          <w:lang w:val="es-UY"/>
        </w:rPr>
        <w:t xml:space="preserve">La Comisión estima que la demora en el desarrollo del proceso penal, los conflictos de competencia y la falta de actuación diligente por parte de las autoridades judiciales </w:t>
      </w:r>
      <w:r w:rsidR="003A46E4" w:rsidRPr="00165EC6">
        <w:rPr>
          <w:rFonts w:ascii="Cambria" w:eastAsia="Batang" w:hAnsi="Cambria"/>
          <w:sz w:val="20"/>
          <w:szCs w:val="20"/>
          <w:bdr w:val="none" w:sz="0" w:space="0" w:color="auto"/>
          <w:lang w:val="es-UY"/>
        </w:rPr>
        <w:t xml:space="preserve">en el conocimiento de los </w:t>
      </w:r>
      <w:r w:rsidR="003A46E4" w:rsidRPr="00165EC6">
        <w:rPr>
          <w:rFonts w:ascii="Cambria" w:eastAsia="Batang" w:hAnsi="Cambria"/>
          <w:sz w:val="20"/>
          <w:szCs w:val="20"/>
          <w:bdr w:val="none" w:sz="0" w:space="0" w:color="auto"/>
          <w:lang w:val="es-UY"/>
        </w:rPr>
        <w:lastRenderedPageBreak/>
        <w:t xml:space="preserve">recursos, fueron las causas del retraso </w:t>
      </w:r>
      <w:r w:rsidRPr="00165EC6">
        <w:rPr>
          <w:rFonts w:ascii="Cambria" w:eastAsia="Batang" w:hAnsi="Cambria"/>
          <w:sz w:val="20"/>
          <w:szCs w:val="20"/>
          <w:bdr w:val="none" w:sz="0" w:space="0" w:color="auto"/>
          <w:lang w:val="es-UY"/>
        </w:rPr>
        <w:t>en el proceso penal. El Estado no ha justificado</w:t>
      </w:r>
      <w:r w:rsidR="003A46E4" w:rsidRPr="00165EC6">
        <w:rPr>
          <w:rFonts w:ascii="Cambria" w:eastAsia="Batang" w:hAnsi="Cambria"/>
          <w:sz w:val="20"/>
          <w:szCs w:val="20"/>
          <w:bdr w:val="none" w:sz="0" w:space="0" w:color="auto"/>
          <w:lang w:val="es-UY"/>
        </w:rPr>
        <w:t xml:space="preserve"> debidamente</w:t>
      </w:r>
      <w:r w:rsidRPr="00165EC6">
        <w:rPr>
          <w:rFonts w:ascii="Cambria" w:eastAsia="Batang" w:hAnsi="Cambria"/>
          <w:sz w:val="20"/>
          <w:szCs w:val="20"/>
          <w:bdr w:val="none" w:sz="0" w:space="0" w:color="auto"/>
          <w:lang w:val="es-UY"/>
        </w:rPr>
        <w:t xml:space="preserve"> la inacción de las autoridades, ni los largos espacios de tiempo sin actuaciones. </w:t>
      </w:r>
    </w:p>
    <w:p w:rsidR="00950E00" w:rsidRPr="00165EC6" w:rsidRDefault="00950E00" w:rsidP="00F521A4">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eastAsia="Batang" w:hAnsi="Cambria"/>
          <w:sz w:val="20"/>
          <w:szCs w:val="20"/>
          <w:bdr w:val="none" w:sz="0" w:space="0" w:color="auto"/>
          <w:lang w:val="es-UY"/>
        </w:rPr>
      </w:pPr>
    </w:p>
    <w:p w:rsidR="00950E00" w:rsidRPr="00165EC6" w:rsidRDefault="002B08CD" w:rsidP="00F521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Cambria" w:eastAsia="Batang" w:hAnsi="Cambria"/>
          <w:sz w:val="20"/>
          <w:szCs w:val="20"/>
          <w:bdr w:val="none" w:sz="0" w:space="0" w:color="auto"/>
          <w:lang w:val="es-UY"/>
        </w:rPr>
      </w:pPr>
      <w:r w:rsidRPr="00165EC6">
        <w:rPr>
          <w:rFonts w:ascii="Cambria" w:eastAsia="Batang" w:hAnsi="Cambria"/>
          <w:sz w:val="20"/>
          <w:szCs w:val="20"/>
          <w:bdr w:val="none" w:sz="0" w:space="0" w:color="auto"/>
          <w:lang w:val="es-UY"/>
        </w:rPr>
        <w:t xml:space="preserve">En virtud de lo anterior, </w:t>
      </w:r>
      <w:r w:rsidR="00950E00" w:rsidRPr="00165EC6">
        <w:rPr>
          <w:rFonts w:ascii="Cambria" w:eastAsia="Batang" w:hAnsi="Cambria"/>
          <w:sz w:val="20"/>
          <w:szCs w:val="20"/>
          <w:bdr w:val="none" w:sz="0" w:space="0" w:color="auto"/>
          <w:lang w:val="es-UY"/>
        </w:rPr>
        <w:t>la Comisión consider</w:t>
      </w:r>
      <w:r w:rsidRPr="00165EC6">
        <w:rPr>
          <w:rFonts w:ascii="Cambria" w:eastAsia="Batang" w:hAnsi="Cambria"/>
          <w:sz w:val="20"/>
          <w:szCs w:val="20"/>
          <w:bdr w:val="none" w:sz="0" w:space="0" w:color="auto"/>
          <w:lang w:val="es-UY"/>
        </w:rPr>
        <w:t>a que el Estado incumplió con su deber de investigar los hechos con la debida diligencia y en un plazo razonable. Además, la Comisión observa que</w:t>
      </w:r>
      <w:r w:rsidR="00BF324F" w:rsidRPr="00165EC6">
        <w:rPr>
          <w:rFonts w:ascii="Cambria" w:eastAsia="Batang" w:hAnsi="Cambria"/>
          <w:sz w:val="20"/>
          <w:szCs w:val="20"/>
          <w:bdr w:val="none" w:sz="0" w:space="0" w:color="auto"/>
          <w:lang w:val="es-UY"/>
        </w:rPr>
        <w:t xml:space="preserve"> otro factor de impunidad tiene que ver con que</w:t>
      </w:r>
      <w:r w:rsidRPr="00165EC6">
        <w:rPr>
          <w:rFonts w:ascii="Cambria" w:eastAsia="Batang" w:hAnsi="Cambria"/>
          <w:sz w:val="20"/>
          <w:szCs w:val="20"/>
          <w:bdr w:val="none" w:sz="0" w:space="0" w:color="auto"/>
          <w:lang w:val="es-UY"/>
        </w:rPr>
        <w:t xml:space="preserve"> los procesos penales fueron iniciados exclusivamente respecto de actores no estatales vinculados con la fábrica de fuegos. Sin embargo, </w:t>
      </w:r>
      <w:r w:rsidR="003421E7" w:rsidRPr="00165EC6">
        <w:rPr>
          <w:rFonts w:ascii="Cambria" w:eastAsia="Batang" w:hAnsi="Cambria"/>
          <w:sz w:val="20"/>
          <w:szCs w:val="20"/>
          <w:bdr w:val="none" w:sz="0" w:space="0" w:color="auto"/>
          <w:lang w:val="es-UY"/>
        </w:rPr>
        <w:t xml:space="preserve">de la información disponible se desprende que el Estado no inició investigación penal alguna contra autoridades estatales que incumplieron sus deberes legales y, con ello, </w:t>
      </w:r>
      <w:r w:rsidR="00C4593F" w:rsidRPr="00165EC6">
        <w:rPr>
          <w:rFonts w:ascii="Cambria" w:eastAsia="Batang" w:hAnsi="Cambria"/>
          <w:sz w:val="20"/>
          <w:szCs w:val="20"/>
          <w:bdr w:val="none" w:sz="0" w:space="0" w:color="auto"/>
          <w:lang w:val="es-UY"/>
        </w:rPr>
        <w:t xml:space="preserve">el Estado tenía y tiene el deber de investigar su posible responsabilidad respecto a </w:t>
      </w:r>
      <w:r w:rsidR="003421E7" w:rsidRPr="00165EC6">
        <w:rPr>
          <w:rFonts w:ascii="Cambria" w:eastAsia="Batang" w:hAnsi="Cambria"/>
          <w:sz w:val="20"/>
          <w:szCs w:val="20"/>
          <w:bdr w:val="none" w:sz="0" w:space="0" w:color="auto"/>
          <w:lang w:val="es-UY"/>
        </w:rPr>
        <w:t>la muerte y lesiones de las víctimas. Estos posibles grados de responsabilidad de agentes estatales no f</w:t>
      </w:r>
      <w:r w:rsidR="006860BE" w:rsidRPr="00165EC6">
        <w:rPr>
          <w:rFonts w:ascii="Cambria" w:eastAsia="Batang" w:hAnsi="Cambria"/>
          <w:sz w:val="20"/>
          <w:szCs w:val="20"/>
          <w:bdr w:val="none" w:sz="0" w:space="0" w:color="auto"/>
          <w:lang w:val="es-UY"/>
        </w:rPr>
        <w:t xml:space="preserve">ueron ni siquiera investigados en la vía administrativa. Como se indica en los hechos probados, las investigaciones administrativas </w:t>
      </w:r>
      <w:r w:rsidR="00F86329" w:rsidRPr="00165EC6">
        <w:rPr>
          <w:rFonts w:ascii="Cambria" w:eastAsia="Batang" w:hAnsi="Cambria"/>
          <w:sz w:val="20"/>
          <w:szCs w:val="20"/>
          <w:bdr w:val="none" w:sz="0" w:space="0" w:color="auto"/>
          <w:lang w:val="es-UY"/>
        </w:rPr>
        <w:t xml:space="preserve">se limitaron a evaluar las irregularidades en la fábrica con posterioridad a la explosión, pero no tuvieron la finalidad de </w:t>
      </w:r>
      <w:r w:rsidR="00C91061" w:rsidRPr="00165EC6">
        <w:rPr>
          <w:rFonts w:ascii="Cambria" w:eastAsia="Batang" w:hAnsi="Cambria"/>
          <w:sz w:val="20"/>
          <w:szCs w:val="20"/>
          <w:bdr w:val="none" w:sz="0" w:space="0" w:color="auto"/>
          <w:lang w:val="es-UY"/>
        </w:rPr>
        <w:t xml:space="preserve">establecer responsabilidad de ningún tipo ante la falta de fiscalización que imponía la ley y que fue reconocida por el Estado. </w:t>
      </w:r>
    </w:p>
    <w:p w:rsidR="00277412" w:rsidRPr="00165EC6" w:rsidRDefault="00277412" w:rsidP="00F521A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eastAsia="Batang" w:hAnsi="Cambria"/>
          <w:sz w:val="20"/>
          <w:szCs w:val="20"/>
          <w:bdr w:val="none" w:sz="0" w:space="0" w:color="auto"/>
          <w:lang w:val="es-AR"/>
        </w:rPr>
      </w:pPr>
    </w:p>
    <w:p w:rsidR="00277412" w:rsidRPr="00165EC6" w:rsidRDefault="00277412" w:rsidP="00F521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Cambria" w:eastAsia="Batang" w:hAnsi="Cambria"/>
          <w:sz w:val="20"/>
          <w:szCs w:val="20"/>
          <w:bdr w:val="none" w:sz="0" w:space="0" w:color="auto"/>
          <w:lang w:val="es-UY"/>
        </w:rPr>
      </w:pPr>
      <w:r w:rsidRPr="00165EC6">
        <w:rPr>
          <w:rFonts w:ascii="Cambria" w:eastAsia="Batang" w:hAnsi="Cambria"/>
          <w:sz w:val="20"/>
          <w:szCs w:val="20"/>
          <w:bdr w:val="none" w:sz="0" w:space="0" w:color="auto"/>
          <w:lang w:val="es-UY"/>
        </w:rPr>
        <w:t xml:space="preserve">Respecto a los </w:t>
      </w:r>
      <w:r w:rsidRPr="00165EC6">
        <w:rPr>
          <w:rFonts w:ascii="Cambria" w:eastAsia="Batang" w:hAnsi="Cambria"/>
          <w:b/>
          <w:sz w:val="20"/>
          <w:szCs w:val="20"/>
          <w:bdr w:val="none" w:sz="0" w:space="0" w:color="auto"/>
          <w:lang w:val="es-UY"/>
        </w:rPr>
        <w:t>procedimientos civiles</w:t>
      </w:r>
      <w:r w:rsidRPr="00165EC6">
        <w:rPr>
          <w:rFonts w:ascii="Cambria" w:eastAsia="Batang" w:hAnsi="Cambria"/>
          <w:sz w:val="20"/>
          <w:szCs w:val="20"/>
          <w:bdr w:val="none" w:sz="0" w:space="0" w:color="auto"/>
          <w:lang w:val="es-UY"/>
        </w:rPr>
        <w:t xml:space="preserve">, la Comisión advierte que en aquél seguido contra el Estado de Brasil, el Estado de Bahía, la Municipalidad de Santo </w:t>
      </w:r>
      <w:r w:rsidR="00FE716D" w:rsidRPr="00165EC6">
        <w:rPr>
          <w:rFonts w:ascii="Cambria" w:eastAsia="Batang" w:hAnsi="Cambria"/>
          <w:sz w:val="20"/>
          <w:szCs w:val="20"/>
          <w:bdr w:val="none" w:sz="0" w:space="0" w:color="auto"/>
          <w:lang w:val="es-UY"/>
        </w:rPr>
        <w:t>Antônio</w:t>
      </w:r>
      <w:r w:rsidR="00750771" w:rsidRPr="00165EC6">
        <w:rPr>
          <w:rFonts w:ascii="Cambria" w:eastAsia="Batang" w:hAnsi="Cambria"/>
          <w:sz w:val="20"/>
          <w:szCs w:val="20"/>
          <w:bdr w:val="none" w:sz="0" w:space="0" w:color="auto"/>
          <w:lang w:val="es-UY"/>
        </w:rPr>
        <w:t xml:space="preserve"> </w:t>
      </w:r>
      <w:r w:rsidRPr="00165EC6">
        <w:rPr>
          <w:rFonts w:ascii="Cambria" w:eastAsia="Batang" w:hAnsi="Cambria"/>
          <w:sz w:val="20"/>
          <w:szCs w:val="20"/>
          <w:bdr w:val="none" w:sz="0" w:space="0" w:color="auto"/>
          <w:lang w:val="es-UY"/>
        </w:rPr>
        <w:t>y Mário</w:t>
      </w:r>
      <w:r w:rsidR="00750771" w:rsidRPr="00165EC6">
        <w:rPr>
          <w:rFonts w:ascii="Cambria" w:eastAsia="Batang" w:hAnsi="Cambria"/>
          <w:sz w:val="20"/>
          <w:szCs w:val="20"/>
          <w:bdr w:val="none" w:sz="0" w:space="0" w:color="auto"/>
          <w:lang w:val="es-UY"/>
        </w:rPr>
        <w:t xml:space="preserve"> </w:t>
      </w:r>
      <w:r w:rsidRPr="00165EC6">
        <w:rPr>
          <w:rFonts w:ascii="Cambria" w:eastAsia="Batang" w:hAnsi="Cambria"/>
          <w:sz w:val="20"/>
          <w:szCs w:val="20"/>
          <w:bdr w:val="none" w:sz="0" w:space="0" w:color="auto"/>
          <w:lang w:val="es-UY"/>
        </w:rPr>
        <w:t xml:space="preserve">Fróes Prazeres Bastos,  el 5 de marzo de 2002, el Juez Federal aceptó el pedido de anticipación de tutela para los menores de 18 años cuyas madres fallecieron; sin embargo, no fue sino hasta septiembre de 2006 que se empezaron a cumplir y se pagó únicamente a cinco de los 39 beneficiarios, pues </w:t>
      </w:r>
      <w:r w:rsidR="00C4593F" w:rsidRPr="00165EC6">
        <w:rPr>
          <w:rFonts w:ascii="Cambria" w:eastAsia="Batang" w:hAnsi="Cambria"/>
          <w:sz w:val="20"/>
          <w:szCs w:val="20"/>
          <w:bdr w:val="none" w:sz="0" w:space="0" w:color="auto"/>
          <w:lang w:val="es-UY"/>
        </w:rPr>
        <w:t xml:space="preserve">tras este lapso de tiempo, </w:t>
      </w:r>
      <w:r w:rsidRPr="00165EC6">
        <w:rPr>
          <w:rFonts w:ascii="Cambria" w:eastAsia="Batang" w:hAnsi="Cambria"/>
          <w:sz w:val="20"/>
          <w:szCs w:val="20"/>
          <w:bdr w:val="none" w:sz="0" w:space="0" w:color="auto"/>
          <w:lang w:val="es-UY"/>
        </w:rPr>
        <w:t xml:space="preserve">la mayoría contaba ya con más de 18 años.   </w:t>
      </w:r>
    </w:p>
    <w:p w:rsidR="00277412" w:rsidRPr="00165EC6" w:rsidRDefault="00277412" w:rsidP="00F521A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UY"/>
        </w:rPr>
      </w:pPr>
    </w:p>
    <w:p w:rsidR="00277412" w:rsidRPr="00165EC6" w:rsidRDefault="00277412" w:rsidP="00F521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Cambria" w:eastAsia="Batang" w:hAnsi="Cambria"/>
          <w:sz w:val="20"/>
          <w:szCs w:val="20"/>
          <w:bdr w:val="none" w:sz="0" w:space="0" w:color="auto"/>
          <w:lang w:val="es-UY"/>
        </w:rPr>
      </w:pPr>
      <w:r w:rsidRPr="00165EC6">
        <w:rPr>
          <w:rFonts w:ascii="Cambria" w:eastAsia="Batang" w:hAnsi="Cambria"/>
          <w:sz w:val="20"/>
          <w:szCs w:val="20"/>
          <w:bdr w:val="none" w:sz="0" w:space="0" w:color="auto"/>
          <w:lang w:val="es-UY"/>
        </w:rPr>
        <w:t>La Comisión advierte que ese proceso civil fue de</w:t>
      </w:r>
      <w:r w:rsidR="00750771" w:rsidRPr="00165EC6">
        <w:rPr>
          <w:rFonts w:ascii="Cambria" w:eastAsia="Batang" w:hAnsi="Cambria"/>
          <w:sz w:val="20"/>
          <w:szCs w:val="20"/>
          <w:bdr w:val="none" w:sz="0" w:space="0" w:color="auto"/>
          <w:lang w:val="es-UY"/>
        </w:rPr>
        <w:t>s</w:t>
      </w:r>
      <w:r w:rsidRPr="00165EC6">
        <w:rPr>
          <w:rFonts w:ascii="Cambria" w:eastAsia="Batang" w:hAnsi="Cambria"/>
          <w:sz w:val="20"/>
          <w:szCs w:val="20"/>
          <w:bdr w:val="none" w:sz="0" w:space="0" w:color="auto"/>
          <w:lang w:val="es-UY"/>
        </w:rPr>
        <w:t xml:space="preserve">glosado por el alto número de litisconsortes y, según ha quedado establecido, ninguno de esos procesos ha sido resuelto de manera definitiva.  La Comisión no cuenta con información detallada sobre las actuaciones judiciales llevadas a cabo en cada uno de esos procesos; sin embargo, </w:t>
      </w:r>
      <w:r w:rsidR="00751F95" w:rsidRPr="00165EC6">
        <w:rPr>
          <w:rFonts w:ascii="Cambria" w:eastAsia="Batang" w:hAnsi="Cambria"/>
          <w:sz w:val="20"/>
          <w:szCs w:val="20"/>
          <w:bdr w:val="none" w:sz="0" w:space="0" w:color="auto"/>
          <w:lang w:val="es-UY"/>
        </w:rPr>
        <w:t>observa</w:t>
      </w:r>
      <w:r w:rsidRPr="00165EC6">
        <w:rPr>
          <w:rFonts w:ascii="Cambria" w:eastAsia="Batang" w:hAnsi="Cambria"/>
          <w:sz w:val="20"/>
          <w:szCs w:val="20"/>
          <w:bdr w:val="none" w:sz="0" w:space="0" w:color="auto"/>
          <w:lang w:val="es-UY"/>
        </w:rPr>
        <w:t xml:space="preserve"> que han pasado 15 años desde la presentación de la demanda, sin que la autoridad judicial haya resuelto sobre los daños morales y materiales demandados por los familiares de las víctimas. </w:t>
      </w:r>
    </w:p>
    <w:p w:rsidR="00277412" w:rsidRPr="00165EC6" w:rsidRDefault="00277412" w:rsidP="00F521A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UY"/>
        </w:rPr>
      </w:pPr>
    </w:p>
    <w:p w:rsidR="00277412" w:rsidRPr="00165EC6" w:rsidRDefault="00277412" w:rsidP="00F521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Cambria" w:eastAsia="Batang" w:hAnsi="Cambria"/>
          <w:sz w:val="20"/>
          <w:szCs w:val="20"/>
          <w:bdr w:val="none" w:sz="0" w:space="0" w:color="auto"/>
          <w:lang w:val="es-UY"/>
        </w:rPr>
      </w:pPr>
      <w:r w:rsidRPr="00165EC6">
        <w:rPr>
          <w:rFonts w:ascii="Cambria" w:eastAsia="Batang" w:hAnsi="Cambria"/>
          <w:sz w:val="20"/>
          <w:szCs w:val="20"/>
          <w:bdr w:val="none" w:sz="0" w:space="0" w:color="auto"/>
          <w:lang w:val="es-UY"/>
        </w:rPr>
        <w:t xml:space="preserve">Por lo que hace al proceso civil instaurado el 9 de enero de 1999, contra Osvaldo Prazeres Bastos, Maria Juelieta Fróes Bastos y Mário Fróes Bastos, la Comisión advierte que, según información pública, terminó su fase inicial por acuerdo entre los familiares de las víctimas y los demandados y fue homologado por el juzgado de primera instancia el 10 de diciembre de 2013. Como se ha mencionado anteriormente, la Comisión no cuenta con información sobre las diligencias judiciales realizadas en ese proceso, ni respecto del contenido ni cumplimiento del acuerdo firmado entre demandantes y demandados. No obstante, la Comisión subraya que pasaron casi 15 años entre la presentación de la demanda y la homologación del acuerdo. </w:t>
      </w:r>
    </w:p>
    <w:p w:rsidR="00277412" w:rsidRPr="00165EC6" w:rsidRDefault="00277412" w:rsidP="00F521A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UY"/>
        </w:rPr>
      </w:pPr>
    </w:p>
    <w:p w:rsidR="00546F81" w:rsidRPr="00165EC6" w:rsidRDefault="00277412" w:rsidP="00F521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contextualSpacing/>
        <w:jc w:val="both"/>
        <w:rPr>
          <w:rFonts w:ascii="Cambria" w:eastAsia="Batang" w:hAnsi="Cambria"/>
          <w:i/>
          <w:sz w:val="20"/>
          <w:szCs w:val="20"/>
          <w:bdr w:val="none" w:sz="0" w:space="0" w:color="auto"/>
          <w:lang w:val="es-CL"/>
        </w:rPr>
      </w:pPr>
      <w:r w:rsidRPr="00165EC6">
        <w:rPr>
          <w:rFonts w:ascii="Cambria" w:eastAsia="Batang" w:hAnsi="Cambria"/>
          <w:sz w:val="20"/>
          <w:szCs w:val="20"/>
          <w:bdr w:val="none" w:sz="0" w:space="0" w:color="auto"/>
          <w:lang w:val="es-AR"/>
        </w:rPr>
        <w:t xml:space="preserve">Respecto de los </w:t>
      </w:r>
      <w:r w:rsidRPr="00165EC6">
        <w:rPr>
          <w:rFonts w:ascii="Cambria" w:eastAsia="Batang" w:hAnsi="Cambria"/>
          <w:b/>
          <w:sz w:val="20"/>
          <w:szCs w:val="20"/>
          <w:bdr w:val="none" w:sz="0" w:space="0" w:color="auto"/>
          <w:lang w:val="es-AR"/>
        </w:rPr>
        <w:t>procesos laborales</w:t>
      </w:r>
      <w:r w:rsidRPr="00165EC6">
        <w:rPr>
          <w:rFonts w:ascii="Cambria" w:eastAsia="Batang" w:hAnsi="Cambria"/>
          <w:sz w:val="20"/>
          <w:szCs w:val="20"/>
          <w:bdr w:val="none" w:sz="0" w:space="0" w:color="auto"/>
          <w:lang w:val="es-AR"/>
        </w:rPr>
        <w:t>, la Comisión observa que, mediante sentencia del 12 de junio de 2001, se reconoció vínculo laboral con el señor Mário</w:t>
      </w:r>
      <w:r w:rsidR="00750771" w:rsidRPr="00165EC6">
        <w:rPr>
          <w:rFonts w:ascii="Cambria" w:eastAsia="Batang" w:hAnsi="Cambria"/>
          <w:sz w:val="20"/>
          <w:szCs w:val="20"/>
          <w:bdr w:val="none" w:sz="0" w:space="0" w:color="auto"/>
          <w:lang w:val="es-AR"/>
        </w:rPr>
        <w:t xml:space="preserve"> </w:t>
      </w:r>
      <w:r w:rsidRPr="00165EC6">
        <w:rPr>
          <w:rFonts w:ascii="Cambria" w:eastAsia="Batang" w:hAnsi="Cambria"/>
          <w:sz w:val="20"/>
          <w:szCs w:val="20"/>
          <w:bdr w:val="none" w:sz="0" w:space="0" w:color="auto"/>
          <w:lang w:val="es-AR"/>
        </w:rPr>
        <w:t xml:space="preserve">Fróes Prazeres Bastos y se resolvió parcialmente el derecho de las víctimas y sus familiares a indemnización.  </w:t>
      </w:r>
      <w:r w:rsidR="00BE4502" w:rsidRPr="00165EC6">
        <w:rPr>
          <w:rFonts w:ascii="Cambria" w:eastAsia="Batang" w:hAnsi="Cambria"/>
          <w:sz w:val="20"/>
          <w:szCs w:val="20"/>
          <w:bdr w:val="none" w:sz="0" w:space="0" w:color="auto"/>
          <w:lang w:val="es-AR"/>
        </w:rPr>
        <w:t>T</w:t>
      </w:r>
      <w:r w:rsidRPr="00165EC6">
        <w:rPr>
          <w:rFonts w:ascii="Cambria" w:eastAsia="Batang" w:hAnsi="Cambria"/>
          <w:sz w:val="20"/>
          <w:szCs w:val="20"/>
          <w:bdr w:val="none" w:sz="0" w:space="0" w:color="auto"/>
          <w:lang w:val="es-AR"/>
        </w:rPr>
        <w:t>oda vez que el vínculo laboral reconocido fue con Mário Fróes y no con su padre, el señor Osvaldo</w:t>
      </w:r>
      <w:r w:rsidR="00BE4502" w:rsidRPr="00165EC6">
        <w:rPr>
          <w:rFonts w:ascii="Cambria" w:eastAsia="Batang" w:hAnsi="Cambria"/>
          <w:sz w:val="20"/>
          <w:szCs w:val="20"/>
          <w:bdr w:val="none" w:sz="0" w:space="0" w:color="auto"/>
          <w:lang w:val="es-AR"/>
        </w:rPr>
        <w:t xml:space="preserve"> Prazeres Bastos</w:t>
      </w:r>
      <w:r w:rsidRPr="00165EC6">
        <w:rPr>
          <w:rFonts w:ascii="Cambria" w:eastAsia="Batang" w:hAnsi="Cambria"/>
          <w:sz w:val="20"/>
          <w:szCs w:val="20"/>
          <w:bdr w:val="none" w:sz="0" w:space="0" w:color="auto"/>
          <w:lang w:val="es-AR"/>
        </w:rPr>
        <w:t>, dueño de la hacienda en la que se encontraba la fábrica, las autoridades archivaron los procesos por no “haberse encontrado</w:t>
      </w:r>
      <w:r w:rsidRPr="00165EC6">
        <w:rPr>
          <w:rFonts w:ascii="Cambria" w:eastAsia="Batang" w:hAnsi="Cambria"/>
          <w:sz w:val="20"/>
          <w:szCs w:val="20"/>
          <w:bdr w:val="none" w:sz="0" w:space="0" w:color="auto"/>
          <w:lang w:val="es-CO"/>
        </w:rPr>
        <w:t xml:space="preserve"> bienes del ejecutado que garanticen la ejecución”</w:t>
      </w:r>
      <w:r w:rsidR="00546F81" w:rsidRPr="00165EC6">
        <w:rPr>
          <w:rFonts w:ascii="Cambria" w:eastAsia="Batang" w:hAnsi="Cambria"/>
          <w:sz w:val="20"/>
          <w:szCs w:val="20"/>
          <w:bdr w:val="none" w:sz="0" w:space="0" w:color="auto"/>
          <w:lang w:val="es-CO"/>
        </w:rPr>
        <w:t xml:space="preserve">. </w:t>
      </w:r>
      <w:r w:rsidR="00B5201E" w:rsidRPr="00165EC6">
        <w:rPr>
          <w:rFonts w:ascii="Cambria" w:eastAsia="Batang" w:hAnsi="Cambria"/>
          <w:sz w:val="20"/>
          <w:szCs w:val="20"/>
          <w:bdr w:val="none" w:sz="0" w:space="0" w:color="auto"/>
          <w:lang w:val="es-CO"/>
        </w:rPr>
        <w:t xml:space="preserve"> Del </w:t>
      </w:r>
      <w:r w:rsidR="00232C8A" w:rsidRPr="00165EC6">
        <w:rPr>
          <w:rFonts w:ascii="Cambria" w:eastAsia="Batang" w:hAnsi="Cambria"/>
          <w:sz w:val="20"/>
          <w:szCs w:val="20"/>
          <w:bdr w:val="none" w:sz="0" w:space="0" w:color="auto"/>
          <w:lang w:val="es-CO"/>
        </w:rPr>
        <w:t>expediente</w:t>
      </w:r>
      <w:r w:rsidR="00B5201E" w:rsidRPr="00165EC6">
        <w:rPr>
          <w:rFonts w:ascii="Cambria" w:eastAsia="Batang" w:hAnsi="Cambria"/>
          <w:sz w:val="20"/>
          <w:szCs w:val="20"/>
          <w:bdr w:val="none" w:sz="0" w:space="0" w:color="auto"/>
          <w:lang w:val="es-CO"/>
        </w:rPr>
        <w:t xml:space="preserve"> no se desprende que se hubieran desplegado todas las  medidas posibles para procurar la ejecución de las indemnizaciones, incluyendo la investigación </w:t>
      </w:r>
      <w:r w:rsidR="002D7634" w:rsidRPr="00165EC6">
        <w:rPr>
          <w:rFonts w:ascii="Cambria" w:eastAsia="Batang" w:hAnsi="Cambria"/>
          <w:sz w:val="20"/>
          <w:szCs w:val="20"/>
          <w:bdr w:val="none" w:sz="0" w:space="0" w:color="auto"/>
          <w:lang w:val="es-CO"/>
        </w:rPr>
        <w:t xml:space="preserve">sobre el verdadero </w:t>
      </w:r>
      <w:r w:rsidR="00232C8A" w:rsidRPr="00165EC6">
        <w:rPr>
          <w:rFonts w:ascii="Cambria" w:eastAsia="Batang" w:hAnsi="Cambria"/>
          <w:sz w:val="20"/>
          <w:szCs w:val="20"/>
          <w:bdr w:val="none" w:sz="0" w:space="0" w:color="auto"/>
          <w:lang w:val="es-CO"/>
        </w:rPr>
        <w:t>vínculo</w:t>
      </w:r>
      <w:r w:rsidR="002D7634" w:rsidRPr="00165EC6">
        <w:rPr>
          <w:rFonts w:ascii="Cambria" w:eastAsia="Batang" w:hAnsi="Cambria"/>
          <w:sz w:val="20"/>
          <w:szCs w:val="20"/>
          <w:bdr w:val="none" w:sz="0" w:space="0" w:color="auto"/>
          <w:lang w:val="es-CO"/>
        </w:rPr>
        <w:t xml:space="preserve"> del </w:t>
      </w:r>
      <w:r w:rsidRPr="00165EC6">
        <w:rPr>
          <w:rFonts w:ascii="Cambria" w:eastAsia="Batang" w:hAnsi="Cambria"/>
          <w:sz w:val="20"/>
          <w:szCs w:val="20"/>
          <w:bdr w:val="none" w:sz="0" w:space="0" w:color="auto"/>
          <w:lang w:val="es-CO"/>
        </w:rPr>
        <w:t xml:space="preserve">señor Osvaldo </w:t>
      </w:r>
      <w:r w:rsidRPr="00165EC6">
        <w:rPr>
          <w:rFonts w:ascii="Cambria" w:eastAsia="Batang" w:hAnsi="Cambria"/>
          <w:sz w:val="20"/>
          <w:szCs w:val="20"/>
          <w:bdr w:val="none" w:sz="0" w:space="0" w:color="auto"/>
          <w:lang w:val="es-CL"/>
        </w:rPr>
        <w:t>Prazeres Bastos</w:t>
      </w:r>
      <w:r w:rsidR="002D7634" w:rsidRPr="00165EC6">
        <w:rPr>
          <w:rFonts w:ascii="Cambria" w:eastAsia="Batang" w:hAnsi="Cambria"/>
          <w:sz w:val="20"/>
          <w:szCs w:val="20"/>
          <w:bdr w:val="none" w:sz="0" w:space="0" w:color="auto"/>
          <w:lang w:val="es-CL"/>
        </w:rPr>
        <w:t xml:space="preserve"> con la f</w:t>
      </w:r>
      <w:r w:rsidR="00232C8A" w:rsidRPr="00165EC6">
        <w:rPr>
          <w:rFonts w:ascii="Cambria" w:eastAsia="Batang" w:hAnsi="Cambria"/>
          <w:sz w:val="20"/>
          <w:szCs w:val="20"/>
          <w:bdr w:val="none" w:sz="0" w:space="0" w:color="auto"/>
          <w:lang w:val="es-CL"/>
        </w:rPr>
        <w:t>ábrica</w:t>
      </w:r>
      <w:r w:rsidR="00646DF2" w:rsidRPr="00165EC6">
        <w:rPr>
          <w:rFonts w:ascii="Cambria" w:eastAsia="Batang" w:hAnsi="Cambria"/>
          <w:sz w:val="20"/>
          <w:szCs w:val="20"/>
          <w:bdr w:val="none" w:sz="0" w:space="0" w:color="auto"/>
          <w:lang w:val="es-CL"/>
        </w:rPr>
        <w:t xml:space="preserve"> y para </w:t>
      </w:r>
      <w:r w:rsidR="00232C8A" w:rsidRPr="00165EC6">
        <w:rPr>
          <w:rFonts w:ascii="Cambria" w:eastAsia="Batang" w:hAnsi="Cambria"/>
          <w:sz w:val="20"/>
          <w:szCs w:val="20"/>
          <w:bdr w:val="none" w:sz="0" w:space="0" w:color="auto"/>
          <w:lang w:val="es-CL"/>
        </w:rPr>
        <w:t>identificar</w:t>
      </w:r>
      <w:r w:rsidR="002D7634" w:rsidRPr="00165EC6">
        <w:rPr>
          <w:rFonts w:ascii="Cambria" w:eastAsia="Batang" w:hAnsi="Cambria"/>
          <w:sz w:val="20"/>
          <w:szCs w:val="20"/>
          <w:bdr w:val="none" w:sz="0" w:space="0" w:color="auto"/>
          <w:lang w:val="es-CL"/>
        </w:rPr>
        <w:t xml:space="preserve"> posibles bienes</w:t>
      </w:r>
      <w:r w:rsidR="006E6220" w:rsidRPr="00165EC6">
        <w:rPr>
          <w:rFonts w:ascii="Cambria" w:eastAsia="Batang" w:hAnsi="Cambria"/>
          <w:sz w:val="20"/>
          <w:szCs w:val="20"/>
          <w:bdr w:val="none" w:sz="0" w:space="0" w:color="auto"/>
          <w:lang w:val="es-CL"/>
        </w:rPr>
        <w:t xml:space="preserve"> existente</w:t>
      </w:r>
      <w:r w:rsidR="00232C8A" w:rsidRPr="00165EC6">
        <w:rPr>
          <w:rFonts w:ascii="Cambria" w:eastAsia="Batang" w:hAnsi="Cambria"/>
          <w:sz w:val="20"/>
          <w:szCs w:val="20"/>
          <w:bdr w:val="none" w:sz="0" w:space="0" w:color="auto"/>
          <w:lang w:val="es-CL"/>
        </w:rPr>
        <w:t>s</w:t>
      </w:r>
      <w:r w:rsidR="00646DF2" w:rsidRPr="00165EC6">
        <w:rPr>
          <w:rFonts w:ascii="Cambria" w:eastAsia="Batang" w:hAnsi="Cambria"/>
          <w:sz w:val="20"/>
          <w:szCs w:val="20"/>
          <w:bdr w:val="none" w:sz="0" w:space="0" w:color="auto"/>
          <w:lang w:val="es-CL"/>
        </w:rPr>
        <w:t xml:space="preserve"> que </w:t>
      </w:r>
      <w:r w:rsidR="00623F12" w:rsidRPr="00165EC6">
        <w:rPr>
          <w:rFonts w:ascii="Cambria" w:eastAsia="Batang" w:hAnsi="Cambria"/>
          <w:sz w:val="20"/>
          <w:szCs w:val="20"/>
          <w:bdr w:val="none" w:sz="0" w:space="0" w:color="auto"/>
          <w:lang w:val="es-CL"/>
        </w:rPr>
        <w:t>h</w:t>
      </w:r>
      <w:r w:rsidR="00646DF2" w:rsidRPr="00165EC6">
        <w:rPr>
          <w:rFonts w:ascii="Cambria" w:eastAsia="Batang" w:hAnsi="Cambria"/>
          <w:sz w:val="20"/>
          <w:szCs w:val="20"/>
          <w:bdr w:val="none" w:sz="0" w:space="0" w:color="auto"/>
          <w:lang w:val="es-CL"/>
        </w:rPr>
        <w:t>icieran</w:t>
      </w:r>
      <w:r w:rsidR="00623F12" w:rsidRPr="00165EC6">
        <w:rPr>
          <w:rFonts w:ascii="Cambria" w:eastAsia="Batang" w:hAnsi="Cambria"/>
          <w:sz w:val="20"/>
          <w:szCs w:val="20"/>
          <w:bdr w:val="none" w:sz="0" w:space="0" w:color="auto"/>
          <w:lang w:val="es-CL"/>
        </w:rPr>
        <w:t xml:space="preserve"> efectiva la reparación </w:t>
      </w:r>
      <w:r w:rsidR="00F0459F" w:rsidRPr="00165EC6">
        <w:rPr>
          <w:rFonts w:ascii="Cambria" w:eastAsia="Batang" w:hAnsi="Cambria"/>
          <w:sz w:val="20"/>
          <w:szCs w:val="20"/>
          <w:bdr w:val="none" w:sz="0" w:space="0" w:color="auto"/>
          <w:lang w:val="es-CL"/>
        </w:rPr>
        <w:t xml:space="preserve">reconocida judicialmente. </w:t>
      </w:r>
      <w:r w:rsidR="00B84BB1" w:rsidRPr="00165EC6">
        <w:rPr>
          <w:rFonts w:ascii="Cambria" w:eastAsia="Batang" w:hAnsi="Cambria"/>
          <w:sz w:val="20"/>
          <w:szCs w:val="20"/>
          <w:bdr w:val="none" w:sz="0" w:space="0" w:color="auto"/>
          <w:lang w:val="es-CL"/>
        </w:rPr>
        <w:t>De esta manera, el único proceso que culminó con una decisión definitiva, terminó siendo en la prá</w:t>
      </w:r>
      <w:r w:rsidR="007111F4" w:rsidRPr="00165EC6">
        <w:rPr>
          <w:rFonts w:ascii="Cambria" w:eastAsia="Batang" w:hAnsi="Cambria"/>
          <w:sz w:val="20"/>
          <w:szCs w:val="20"/>
          <w:bdr w:val="none" w:sz="0" w:space="0" w:color="auto"/>
          <w:lang w:val="es-CL"/>
        </w:rPr>
        <w:t>ctica ilusorio</w:t>
      </w:r>
      <w:r w:rsidR="00B84BB1" w:rsidRPr="00165EC6">
        <w:rPr>
          <w:rFonts w:ascii="Cambria" w:eastAsia="Batang" w:hAnsi="Cambria"/>
          <w:sz w:val="20"/>
          <w:szCs w:val="20"/>
          <w:bdr w:val="none" w:sz="0" w:space="0" w:color="auto"/>
          <w:lang w:val="es-CL"/>
        </w:rPr>
        <w:t xml:space="preserve">. </w:t>
      </w:r>
      <w:r w:rsidR="00546F81" w:rsidRPr="00165EC6">
        <w:rPr>
          <w:rFonts w:ascii="Cambria" w:eastAsia="Batang" w:hAnsi="Cambria"/>
          <w:sz w:val="20"/>
          <w:szCs w:val="20"/>
          <w:bdr w:val="none" w:sz="0" w:space="0" w:color="auto"/>
          <w:lang w:val="es-CO"/>
        </w:rPr>
        <w:t xml:space="preserve"> </w:t>
      </w:r>
    </w:p>
    <w:p w:rsidR="00277412" w:rsidRPr="00165EC6" w:rsidRDefault="00277412" w:rsidP="00F521A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i/>
          <w:sz w:val="20"/>
          <w:szCs w:val="20"/>
          <w:bdr w:val="none" w:sz="0" w:space="0" w:color="auto"/>
          <w:lang w:val="es-CL"/>
        </w:rPr>
      </w:pPr>
    </w:p>
    <w:p w:rsidR="00C207C8" w:rsidRPr="00165EC6" w:rsidRDefault="00277412" w:rsidP="00F521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AR"/>
        </w:rPr>
      </w:pPr>
      <w:r w:rsidRPr="00165EC6">
        <w:rPr>
          <w:rFonts w:ascii="Cambria" w:eastAsia="Batang" w:hAnsi="Cambria"/>
          <w:sz w:val="20"/>
          <w:szCs w:val="20"/>
          <w:bdr w:val="none" w:sz="0" w:space="0" w:color="auto"/>
          <w:lang w:val="es-UY"/>
        </w:rPr>
        <w:t>Por todo lo expuesto, l</w:t>
      </w:r>
      <w:r w:rsidRPr="00165EC6">
        <w:rPr>
          <w:rFonts w:ascii="Cambria" w:eastAsia="Batang" w:hAnsi="Cambria"/>
          <w:sz w:val="20"/>
          <w:szCs w:val="20"/>
          <w:bdr w:val="none" w:sz="0" w:space="0" w:color="auto"/>
          <w:lang w:val="es-AR"/>
        </w:rPr>
        <w:t xml:space="preserve">a Comisión </w:t>
      </w:r>
      <w:r w:rsidR="007111F4" w:rsidRPr="00165EC6">
        <w:rPr>
          <w:rFonts w:ascii="Cambria" w:eastAsia="Batang" w:hAnsi="Cambria"/>
          <w:sz w:val="20"/>
          <w:szCs w:val="20"/>
          <w:bdr w:val="none" w:sz="0" w:space="0" w:color="auto"/>
          <w:lang w:val="es-AR"/>
        </w:rPr>
        <w:t xml:space="preserve">considera </w:t>
      </w:r>
      <w:r w:rsidRPr="00165EC6">
        <w:rPr>
          <w:rFonts w:ascii="Cambria" w:eastAsia="Batang" w:hAnsi="Cambria"/>
          <w:sz w:val="20"/>
          <w:szCs w:val="20"/>
          <w:bdr w:val="none" w:sz="0" w:space="0" w:color="auto"/>
          <w:lang w:val="es-AR"/>
        </w:rPr>
        <w:t>que el Estado no garantizó el acceso a la justicia, la determinación de la verdad de los hechos, la investigación y sanción de los responsables, ni la reparación de las cons</w:t>
      </w:r>
      <w:r w:rsidR="00546F81" w:rsidRPr="00165EC6">
        <w:rPr>
          <w:rFonts w:ascii="Cambria" w:eastAsia="Batang" w:hAnsi="Cambria"/>
          <w:sz w:val="20"/>
          <w:szCs w:val="20"/>
          <w:bdr w:val="none" w:sz="0" w:space="0" w:color="auto"/>
          <w:lang w:val="es-AR"/>
        </w:rPr>
        <w:t>e</w:t>
      </w:r>
      <w:r w:rsidRPr="00165EC6">
        <w:rPr>
          <w:rFonts w:ascii="Cambria" w:eastAsia="Batang" w:hAnsi="Cambria"/>
          <w:sz w:val="20"/>
          <w:szCs w:val="20"/>
          <w:bdr w:val="none" w:sz="0" w:space="0" w:color="auto"/>
          <w:lang w:val="es-AR"/>
        </w:rPr>
        <w:t xml:space="preserve">cuencias de las </w:t>
      </w:r>
      <w:r w:rsidRPr="00165EC6">
        <w:rPr>
          <w:rFonts w:ascii="Cambria" w:eastAsia="Batang" w:hAnsi="Cambria"/>
          <w:sz w:val="20"/>
          <w:szCs w:val="20"/>
          <w:bdr w:val="none" w:sz="0" w:space="0" w:color="auto"/>
          <w:lang w:val="es-ES"/>
        </w:rPr>
        <w:t>violaciones</w:t>
      </w:r>
      <w:r w:rsidR="007111F4" w:rsidRPr="00165EC6">
        <w:rPr>
          <w:rFonts w:ascii="Cambria" w:eastAsia="Batang" w:hAnsi="Cambria"/>
          <w:sz w:val="20"/>
          <w:szCs w:val="20"/>
          <w:bdr w:val="none" w:sz="0" w:space="0" w:color="auto"/>
          <w:lang w:val="es-ES"/>
        </w:rPr>
        <w:t xml:space="preserve"> a los derechos humanos de las víctimas.</w:t>
      </w:r>
      <w:r w:rsidRPr="00165EC6">
        <w:rPr>
          <w:rFonts w:ascii="Cambria" w:eastAsia="Batang" w:hAnsi="Cambria"/>
          <w:sz w:val="20"/>
          <w:szCs w:val="20"/>
          <w:bdr w:val="none" w:sz="0" w:space="0" w:color="auto"/>
          <w:lang w:val="es-AR"/>
        </w:rPr>
        <w:t xml:space="preserve"> La situación de impunidad </w:t>
      </w:r>
      <w:r w:rsidR="007111F4" w:rsidRPr="00165EC6">
        <w:rPr>
          <w:rFonts w:ascii="Cambria" w:eastAsia="Batang" w:hAnsi="Cambria"/>
          <w:sz w:val="20"/>
          <w:szCs w:val="20"/>
          <w:bdr w:val="none" w:sz="0" w:space="0" w:color="auto"/>
          <w:lang w:val="es-AR"/>
        </w:rPr>
        <w:t xml:space="preserve">y falta de reparación </w:t>
      </w:r>
      <w:r w:rsidRPr="00165EC6">
        <w:rPr>
          <w:rFonts w:ascii="Cambria" w:eastAsia="Batang" w:hAnsi="Cambria"/>
          <w:sz w:val="20"/>
          <w:szCs w:val="20"/>
          <w:bdr w:val="none" w:sz="0" w:space="0" w:color="auto"/>
          <w:lang w:val="es-AR"/>
        </w:rPr>
        <w:t>en el presente caso persiste hasta la fecha.</w:t>
      </w:r>
      <w:r w:rsidR="00DE14A9" w:rsidRPr="00165EC6">
        <w:rPr>
          <w:rFonts w:ascii="Cambria" w:eastAsia="Batang" w:hAnsi="Cambria"/>
          <w:sz w:val="20"/>
          <w:szCs w:val="20"/>
          <w:bdr w:val="none" w:sz="0" w:space="0" w:color="auto"/>
          <w:lang w:val="es-AR"/>
        </w:rPr>
        <w:t xml:space="preserve"> </w:t>
      </w:r>
    </w:p>
    <w:p w:rsidR="00C207C8" w:rsidRPr="00165EC6" w:rsidRDefault="00C207C8" w:rsidP="00F521A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AR"/>
        </w:rPr>
      </w:pPr>
    </w:p>
    <w:p w:rsidR="00546F81" w:rsidRPr="00165EC6" w:rsidRDefault="00DE14A9" w:rsidP="00F521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AR"/>
        </w:rPr>
      </w:pPr>
      <w:r w:rsidRPr="00165EC6">
        <w:rPr>
          <w:rFonts w:ascii="Cambria" w:eastAsia="Batang" w:hAnsi="Cambria"/>
          <w:sz w:val="20"/>
          <w:szCs w:val="20"/>
          <w:bdr w:val="none" w:sz="0" w:space="0" w:color="auto"/>
          <w:lang w:val="es-AR"/>
        </w:rPr>
        <w:lastRenderedPageBreak/>
        <w:t xml:space="preserve">Como se indicó </w:t>
      </w:r>
      <w:r w:rsidR="0071178F" w:rsidRPr="00165EC6">
        <w:rPr>
          <w:rFonts w:ascii="Cambria" w:eastAsia="Batang" w:hAnsi="Cambria"/>
          <w:sz w:val="20"/>
          <w:szCs w:val="20"/>
          <w:bdr w:val="none" w:sz="0" w:space="0" w:color="auto"/>
          <w:lang w:val="es-AR"/>
        </w:rPr>
        <w:t xml:space="preserve">anteriormente, la impunidad permite la repetición crónica de las violaciones de derechos humanos. En este caso, esto resulta de especial relevancia, tomando en cuenta no sólo que la tragedia sucedida en perjuicio de las víctimas tuvo lugar en un contexto que abarca a miles de personas en el mismo municipio que dependen de estas actividades, sino que de la información disponible, se desprende que el Estado no ha adoptado medidas efectivas, integrales y decisivas para erradicar </w:t>
      </w:r>
      <w:r w:rsidR="00C207C8" w:rsidRPr="00165EC6">
        <w:rPr>
          <w:rFonts w:ascii="Cambria" w:eastAsia="Batang" w:hAnsi="Cambria"/>
          <w:sz w:val="20"/>
          <w:szCs w:val="20"/>
          <w:bdr w:val="none" w:sz="0" w:space="0" w:color="auto"/>
          <w:lang w:val="es-AR"/>
        </w:rPr>
        <w:t xml:space="preserve">estas prácticas y sus causas estructurales. </w:t>
      </w:r>
      <w:r w:rsidR="0071178F" w:rsidRPr="00165EC6">
        <w:rPr>
          <w:rFonts w:ascii="Cambria" w:eastAsia="Batang" w:hAnsi="Cambria"/>
          <w:sz w:val="20"/>
          <w:szCs w:val="20"/>
          <w:bdr w:val="none" w:sz="0" w:space="0" w:color="auto"/>
          <w:lang w:val="es-AR"/>
        </w:rPr>
        <w:t xml:space="preserve"> </w:t>
      </w:r>
    </w:p>
    <w:p w:rsidR="00277412" w:rsidRPr="00165EC6" w:rsidRDefault="00277412" w:rsidP="00F521A4">
      <w:pPr>
        <w:pBdr>
          <w:top w:val="none" w:sz="0" w:space="0" w:color="auto"/>
          <w:left w:val="none" w:sz="0" w:space="0" w:color="auto"/>
          <w:bottom w:val="none" w:sz="0" w:space="0" w:color="auto"/>
          <w:right w:val="none" w:sz="0" w:space="0" w:color="auto"/>
          <w:between w:val="none" w:sz="0" w:space="0" w:color="auto"/>
          <w:bar w:val="none" w:sz="0" w:color="auto"/>
        </w:pBdr>
        <w:spacing w:after="200"/>
        <w:ind w:firstLine="720"/>
        <w:contextualSpacing/>
        <w:jc w:val="both"/>
        <w:rPr>
          <w:rFonts w:ascii="Cambria" w:eastAsia="Batang" w:hAnsi="Cambria"/>
          <w:sz w:val="20"/>
          <w:szCs w:val="20"/>
          <w:bdr w:val="none" w:sz="0" w:space="0" w:color="auto"/>
          <w:lang w:val="es-AR"/>
        </w:rPr>
      </w:pPr>
    </w:p>
    <w:p w:rsidR="00277412" w:rsidRPr="00165EC6" w:rsidRDefault="00277412" w:rsidP="00F521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ES"/>
        </w:rPr>
      </w:pPr>
      <w:r w:rsidRPr="00165EC6">
        <w:rPr>
          <w:rFonts w:ascii="Cambria" w:eastAsia="Batang" w:hAnsi="Cambria"/>
          <w:sz w:val="20"/>
          <w:szCs w:val="20"/>
          <w:bdr w:val="none" w:sz="0" w:space="0" w:color="auto"/>
          <w:lang w:val="es-ES"/>
        </w:rPr>
        <w:t>En virtud de las anteriores consideraciones, la Comisión concluye que el Estado de Brasil violó los derechos a las garantías judiciales y protección judicial establecidos en los artículos 8.1 y 25</w:t>
      </w:r>
      <w:r w:rsidR="00BB5BE2" w:rsidRPr="00165EC6">
        <w:rPr>
          <w:rFonts w:ascii="Cambria" w:eastAsia="Batang" w:hAnsi="Cambria"/>
          <w:sz w:val="20"/>
          <w:szCs w:val="20"/>
          <w:bdr w:val="none" w:sz="0" w:space="0" w:color="auto"/>
          <w:lang w:val="es-ES"/>
        </w:rPr>
        <w:t>.1</w:t>
      </w:r>
      <w:r w:rsidRPr="00165EC6">
        <w:rPr>
          <w:rFonts w:ascii="Cambria" w:eastAsia="Batang" w:hAnsi="Cambria"/>
          <w:sz w:val="20"/>
          <w:szCs w:val="20"/>
          <w:bdr w:val="none" w:sz="0" w:space="0" w:color="auto"/>
          <w:lang w:val="es-ES"/>
        </w:rPr>
        <w:t xml:space="preserve"> de la Convención, en relación con las obligaciones establecidas en </w:t>
      </w:r>
      <w:r w:rsidR="0014209A" w:rsidRPr="00165EC6">
        <w:rPr>
          <w:rFonts w:ascii="Cambria" w:eastAsia="Batang" w:hAnsi="Cambria"/>
          <w:sz w:val="20"/>
          <w:szCs w:val="20"/>
          <w:bdr w:val="none" w:sz="0" w:space="0" w:color="auto"/>
          <w:lang w:val="es-ES"/>
        </w:rPr>
        <w:t>el</w:t>
      </w:r>
      <w:r w:rsidRPr="00165EC6">
        <w:rPr>
          <w:rFonts w:ascii="Cambria" w:eastAsia="Batang" w:hAnsi="Cambria"/>
          <w:sz w:val="20"/>
          <w:szCs w:val="20"/>
          <w:bdr w:val="none" w:sz="0" w:space="0" w:color="auto"/>
          <w:lang w:val="es-ES"/>
        </w:rPr>
        <w:t xml:space="preserve"> artículo 1.1</w:t>
      </w:r>
      <w:r w:rsidR="00BB5BE2" w:rsidRPr="00165EC6">
        <w:rPr>
          <w:rFonts w:ascii="Cambria" w:eastAsia="Batang" w:hAnsi="Cambria"/>
          <w:sz w:val="20"/>
          <w:szCs w:val="20"/>
          <w:bdr w:val="none" w:sz="0" w:space="0" w:color="auto"/>
          <w:lang w:val="es-ES"/>
        </w:rPr>
        <w:t xml:space="preserve"> del mismo instrumento,</w:t>
      </w:r>
      <w:r w:rsidRPr="00165EC6">
        <w:rPr>
          <w:rFonts w:ascii="Cambria" w:eastAsia="Batang" w:hAnsi="Cambria"/>
          <w:sz w:val="20"/>
          <w:szCs w:val="20"/>
          <w:bdr w:val="none" w:sz="0" w:space="0" w:color="auto"/>
          <w:lang w:val="es-ES"/>
        </w:rPr>
        <w:t xml:space="preserve"> en perjuicio</w:t>
      </w:r>
      <w:r w:rsidR="0014209A" w:rsidRPr="00165EC6">
        <w:rPr>
          <w:rFonts w:ascii="Cambria" w:eastAsia="Batang" w:hAnsi="Cambria"/>
          <w:sz w:val="20"/>
          <w:szCs w:val="20"/>
          <w:bdr w:val="none" w:sz="0" w:space="0" w:color="auto"/>
          <w:lang w:val="es-ES"/>
        </w:rPr>
        <w:t xml:space="preserve"> de los</w:t>
      </w:r>
      <w:r w:rsidRPr="00165EC6">
        <w:rPr>
          <w:rFonts w:ascii="Cambria" w:eastAsia="Batang" w:hAnsi="Cambria"/>
          <w:sz w:val="20"/>
          <w:szCs w:val="20"/>
          <w:bdr w:val="none" w:sz="0" w:space="0" w:color="auto"/>
          <w:lang w:val="es-ES"/>
        </w:rPr>
        <w:t xml:space="preserve"> </w:t>
      </w:r>
      <w:r w:rsidR="0014209A" w:rsidRPr="00165EC6">
        <w:rPr>
          <w:rFonts w:ascii="Cambria" w:eastAsia="Batang" w:hAnsi="Cambria"/>
          <w:sz w:val="20"/>
          <w:szCs w:val="20"/>
          <w:bdr w:val="none" w:sz="0" w:space="0" w:color="auto"/>
          <w:lang w:val="es-ES"/>
        </w:rPr>
        <w:t xml:space="preserve">familiares de las víctimas y de las seis víctimas </w:t>
      </w:r>
      <w:r w:rsidRPr="00165EC6">
        <w:rPr>
          <w:rFonts w:ascii="Cambria" w:eastAsia="Batang" w:hAnsi="Cambria"/>
          <w:sz w:val="20"/>
          <w:szCs w:val="20"/>
          <w:bdr w:val="none" w:sz="0" w:space="0" w:color="auto"/>
          <w:lang w:val="es-ES"/>
        </w:rPr>
        <w:t>sobrevivientes</w:t>
      </w:r>
      <w:r w:rsidR="00582477" w:rsidRPr="00165EC6">
        <w:rPr>
          <w:rFonts w:ascii="Cambria" w:eastAsia="Batang" w:hAnsi="Cambria"/>
          <w:sz w:val="20"/>
          <w:szCs w:val="20"/>
          <w:bdr w:val="none" w:sz="0" w:space="0" w:color="auto"/>
          <w:lang w:val="es-ES"/>
        </w:rPr>
        <w:t xml:space="preserve">, conforme se indica en el Anexo único del presente informe. </w:t>
      </w:r>
      <w:r w:rsidRPr="00165EC6">
        <w:rPr>
          <w:rFonts w:ascii="Cambria" w:eastAsia="Batang" w:hAnsi="Cambria"/>
          <w:sz w:val="20"/>
          <w:szCs w:val="20"/>
          <w:bdr w:val="none" w:sz="0" w:space="0" w:color="auto"/>
          <w:lang w:val="es-ES"/>
        </w:rPr>
        <w:t xml:space="preserve"> </w:t>
      </w:r>
    </w:p>
    <w:p w:rsidR="00277412" w:rsidRPr="00165EC6" w:rsidRDefault="00277412" w:rsidP="00094C9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ES"/>
        </w:rPr>
      </w:pPr>
    </w:p>
    <w:p w:rsidR="00277412" w:rsidRPr="00165EC6" w:rsidRDefault="00E5557F" w:rsidP="00E5557F">
      <w:pPr>
        <w:pStyle w:val="Heading2"/>
        <w:ind w:firstLine="720"/>
        <w:rPr>
          <w:rFonts w:asciiTheme="majorHAnsi" w:eastAsia="Batang" w:hAnsiTheme="majorHAnsi"/>
          <w:i w:val="0"/>
          <w:sz w:val="20"/>
          <w:szCs w:val="20"/>
          <w:lang w:val="es-UY"/>
        </w:rPr>
      </w:pPr>
      <w:bookmarkStart w:id="40" w:name="_Toc506225847"/>
      <w:r w:rsidRPr="00165EC6">
        <w:rPr>
          <w:rFonts w:asciiTheme="majorHAnsi" w:eastAsia="Batang" w:hAnsiTheme="majorHAnsi"/>
          <w:i w:val="0"/>
          <w:sz w:val="20"/>
          <w:szCs w:val="20"/>
          <w:lang w:val="es-UY"/>
        </w:rPr>
        <w:t>D</w:t>
      </w:r>
      <w:r w:rsidR="00277412" w:rsidRPr="00165EC6">
        <w:rPr>
          <w:rFonts w:asciiTheme="majorHAnsi" w:eastAsia="Batang" w:hAnsiTheme="majorHAnsi"/>
          <w:i w:val="0"/>
          <w:sz w:val="20"/>
          <w:szCs w:val="20"/>
          <w:lang w:val="es-UY"/>
        </w:rPr>
        <w:t>.</w:t>
      </w:r>
      <w:r w:rsidR="00277412" w:rsidRPr="00165EC6">
        <w:rPr>
          <w:rFonts w:asciiTheme="majorHAnsi" w:eastAsia="Batang" w:hAnsiTheme="majorHAnsi"/>
          <w:i w:val="0"/>
          <w:sz w:val="20"/>
          <w:szCs w:val="20"/>
          <w:lang w:val="es-UY"/>
        </w:rPr>
        <w:tab/>
        <w:t>Derecho a la integridad personal de los familiares de las víctimas fallecidas</w:t>
      </w:r>
      <w:r w:rsidRPr="00165EC6">
        <w:rPr>
          <w:rFonts w:asciiTheme="majorHAnsi" w:eastAsia="Batang" w:hAnsiTheme="majorHAnsi"/>
          <w:i w:val="0"/>
          <w:sz w:val="20"/>
          <w:szCs w:val="20"/>
          <w:lang w:val="es-UY"/>
        </w:rPr>
        <w:t>.</w:t>
      </w:r>
      <w:bookmarkEnd w:id="40"/>
    </w:p>
    <w:p w:rsidR="00277412" w:rsidRPr="00165EC6" w:rsidRDefault="00277412" w:rsidP="00094C9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ES"/>
        </w:rPr>
      </w:pPr>
    </w:p>
    <w:p w:rsidR="00277412" w:rsidRPr="00165EC6" w:rsidRDefault="00277412" w:rsidP="00F521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jc w:val="both"/>
        <w:rPr>
          <w:rFonts w:ascii="Cambria" w:eastAsia="Batang" w:hAnsi="Cambria"/>
          <w:bCs/>
          <w:sz w:val="20"/>
          <w:szCs w:val="20"/>
          <w:bdr w:val="none" w:sz="0" w:space="0" w:color="auto"/>
          <w:lang w:val="es-VE"/>
        </w:rPr>
      </w:pPr>
      <w:r w:rsidRPr="00165EC6">
        <w:rPr>
          <w:rFonts w:ascii="Cambria" w:eastAsia="Batang" w:hAnsi="Cambria"/>
          <w:bCs/>
          <w:sz w:val="20"/>
          <w:szCs w:val="20"/>
          <w:bdr w:val="none" w:sz="0" w:space="0" w:color="auto"/>
          <w:lang w:val="es-VE"/>
        </w:rPr>
        <w:t>Con respecto de los familiares de víctimas de ciertas violaciones de derechos humanos, la Comisión y la Corte Interamericana han indicado que éstos pueden ser considerados, a su vez, como víctimas</w:t>
      </w:r>
      <w:r w:rsidRPr="00165EC6">
        <w:rPr>
          <w:rFonts w:ascii="Cambria" w:eastAsia="Batang" w:hAnsi="Cambria"/>
          <w:bCs/>
          <w:sz w:val="20"/>
          <w:szCs w:val="20"/>
          <w:bdr w:val="none" w:sz="0" w:space="0" w:color="auto"/>
          <w:vertAlign w:val="superscript"/>
          <w:lang w:val="es-VE"/>
        </w:rPr>
        <w:footnoteReference w:id="138"/>
      </w:r>
      <w:r w:rsidRPr="00165EC6">
        <w:rPr>
          <w:rFonts w:ascii="Cambria" w:eastAsia="Batang" w:hAnsi="Cambria"/>
          <w:bCs/>
          <w:sz w:val="20"/>
          <w:szCs w:val="20"/>
          <w:bdr w:val="none" w:sz="0" w:space="0" w:color="auto"/>
          <w:lang w:val="es-VE"/>
        </w:rPr>
        <w:t>. Al respecto, la Corte ha dispuesto que pueden verse afectados en su integridad psíquica y moral</w:t>
      </w:r>
      <w:r w:rsidR="007A6CD2" w:rsidRPr="00165EC6">
        <w:rPr>
          <w:rFonts w:ascii="Cambria" w:eastAsia="Batang" w:hAnsi="Cambria"/>
          <w:bCs/>
          <w:sz w:val="20"/>
          <w:szCs w:val="20"/>
          <w:bdr w:val="none" w:sz="0" w:space="0" w:color="auto"/>
          <w:lang w:val="es-VE"/>
        </w:rPr>
        <w:t>,</w:t>
      </w:r>
      <w:r w:rsidRPr="00165EC6">
        <w:rPr>
          <w:rFonts w:ascii="Cambria" w:eastAsia="Batang" w:hAnsi="Cambria"/>
          <w:bCs/>
          <w:sz w:val="20"/>
          <w:szCs w:val="20"/>
          <w:bdr w:val="none" w:sz="0" w:space="0" w:color="auto"/>
          <w:lang w:val="es-VE"/>
        </w:rPr>
        <w:t xml:space="preserve"> como consecuencia de las situaciones particulares que padecieron las víctimas, así como de las posteriores actuaciones u omisiones de las autoridades internas frente a estos hechos</w:t>
      </w:r>
      <w:r w:rsidRPr="00165EC6">
        <w:rPr>
          <w:rFonts w:ascii="Cambria" w:eastAsia="Batang" w:hAnsi="Cambria"/>
          <w:bCs/>
          <w:sz w:val="20"/>
          <w:szCs w:val="20"/>
          <w:bdr w:val="none" w:sz="0" w:space="0" w:color="auto"/>
          <w:vertAlign w:val="superscript"/>
          <w:lang w:val="es-VE"/>
        </w:rPr>
        <w:footnoteReference w:id="139"/>
      </w:r>
      <w:r w:rsidRPr="00165EC6">
        <w:rPr>
          <w:rFonts w:ascii="Cambria" w:eastAsia="Batang" w:hAnsi="Cambria"/>
          <w:bCs/>
          <w:sz w:val="20"/>
          <w:szCs w:val="20"/>
          <w:bdr w:val="none" w:sz="0" w:space="0" w:color="auto"/>
          <w:lang w:val="es-VE"/>
        </w:rPr>
        <w:t>.</w:t>
      </w:r>
    </w:p>
    <w:p w:rsidR="00277412" w:rsidRPr="00165EC6" w:rsidRDefault="00277412" w:rsidP="00F521A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Cambria" w:eastAsia="Batang" w:hAnsi="Cambria"/>
          <w:bCs/>
          <w:sz w:val="20"/>
          <w:szCs w:val="20"/>
          <w:bdr w:val="none" w:sz="0" w:space="0" w:color="auto"/>
          <w:lang w:val="es-VE"/>
        </w:rPr>
      </w:pPr>
    </w:p>
    <w:p w:rsidR="00277412" w:rsidRPr="00165EC6" w:rsidRDefault="00277412" w:rsidP="00F521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ES"/>
        </w:rPr>
      </w:pPr>
      <w:r w:rsidRPr="00165EC6">
        <w:rPr>
          <w:rFonts w:ascii="Cambria" w:eastAsia="Batang" w:hAnsi="Cambria"/>
          <w:sz w:val="20"/>
          <w:szCs w:val="20"/>
          <w:bdr w:val="none" w:sz="0" w:space="0" w:color="auto"/>
          <w:lang w:val="es-ES"/>
        </w:rPr>
        <w:t xml:space="preserve">La Comisión ya dio por establecido que el Estado es responsable por </w:t>
      </w:r>
      <w:r w:rsidR="00820491" w:rsidRPr="00165EC6">
        <w:rPr>
          <w:rFonts w:ascii="Cambria" w:eastAsia="Batang" w:hAnsi="Cambria"/>
          <w:sz w:val="20"/>
          <w:szCs w:val="20"/>
          <w:bdr w:val="none" w:sz="0" w:space="0" w:color="auto"/>
          <w:lang w:val="es-ES"/>
        </w:rPr>
        <w:t xml:space="preserve">las </w:t>
      </w:r>
      <w:r w:rsidRPr="00165EC6">
        <w:rPr>
          <w:rFonts w:ascii="Cambria" w:eastAsia="Batang" w:hAnsi="Cambria"/>
          <w:sz w:val="20"/>
          <w:szCs w:val="20"/>
          <w:bdr w:val="none" w:sz="0" w:space="0" w:color="auto"/>
          <w:lang w:val="es-ES"/>
        </w:rPr>
        <w:t xml:space="preserve">muertes y lesiones de las víctimas de la explosión del 11 de diciembre de 1998 y por la falta de diligencia en las actuaciones judiciales seguidas por los hechos.  Las muertes de sus familiares, en esas circunstancias, constituyen en sí mismas una fuente de sufrimiento, que se ha visto incrementado por la falta de respuesta frente a las acciones de justicia que se han emprendido. </w:t>
      </w:r>
    </w:p>
    <w:p w:rsidR="00277412" w:rsidRPr="00165EC6" w:rsidRDefault="00277412" w:rsidP="00F521A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ES"/>
        </w:rPr>
      </w:pPr>
    </w:p>
    <w:p w:rsidR="00277412" w:rsidRPr="00165EC6" w:rsidRDefault="00277412" w:rsidP="00F521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ES"/>
        </w:rPr>
      </w:pPr>
      <w:r w:rsidRPr="00165EC6">
        <w:rPr>
          <w:rFonts w:ascii="Cambria" w:eastAsia="Batang" w:hAnsi="Cambria"/>
          <w:sz w:val="20"/>
          <w:szCs w:val="20"/>
          <w:bdr w:val="none" w:sz="0" w:space="0" w:color="auto"/>
          <w:lang w:val="es-ES"/>
        </w:rPr>
        <w:t xml:space="preserve">De acuerdo a lo anterior, considera que la pérdida de sus seres queridos, la ausencia de verdad y justicia, han ocasionado sufrimiento y angustia a quienes forman parte de la familia nuclear de las 70 víctimas de la explosión, en violación a su derecho a la integridad psíquica y moral establecido en el artículo 5.1 de la Convención Americana, en relación con las obligaciones contenidas en el artículo 1.1 del mismo instrumento.  </w:t>
      </w:r>
    </w:p>
    <w:p w:rsidR="00277412" w:rsidRPr="00165EC6" w:rsidRDefault="00277412" w:rsidP="00E5557F">
      <w:pPr>
        <w:pStyle w:val="Heading1"/>
        <w:numPr>
          <w:ilvl w:val="0"/>
          <w:numId w:val="0"/>
        </w:numPr>
        <w:ind w:left="720"/>
        <w:rPr>
          <w:rFonts w:eastAsia="Batang"/>
          <w:color w:val="auto"/>
          <w:sz w:val="20"/>
          <w:szCs w:val="20"/>
          <w:bdr w:val="none" w:sz="0" w:space="0" w:color="auto"/>
          <w:lang w:val="es-ES"/>
        </w:rPr>
      </w:pPr>
      <w:bookmarkStart w:id="41" w:name="_Toc370840760"/>
      <w:bookmarkStart w:id="42" w:name="_Toc370840855"/>
      <w:bookmarkStart w:id="43" w:name="_Toc370879094"/>
      <w:bookmarkStart w:id="44" w:name="_Toc506225848"/>
      <w:r w:rsidRPr="00165EC6">
        <w:rPr>
          <w:rFonts w:eastAsia="Batang"/>
          <w:color w:val="auto"/>
          <w:sz w:val="20"/>
          <w:szCs w:val="20"/>
          <w:bdr w:val="none" w:sz="0" w:space="0" w:color="auto"/>
          <w:lang w:val="es-ES"/>
        </w:rPr>
        <w:t>VI.</w:t>
      </w:r>
      <w:r w:rsidRPr="00165EC6">
        <w:rPr>
          <w:rFonts w:eastAsia="Batang"/>
          <w:color w:val="auto"/>
          <w:sz w:val="20"/>
          <w:szCs w:val="20"/>
          <w:bdr w:val="none" w:sz="0" w:space="0" w:color="auto"/>
          <w:lang w:val="es-ES"/>
        </w:rPr>
        <w:tab/>
        <w:t>CONCLUSIONES</w:t>
      </w:r>
      <w:bookmarkEnd w:id="41"/>
      <w:bookmarkEnd w:id="42"/>
      <w:bookmarkEnd w:id="43"/>
      <w:r w:rsidRPr="00165EC6">
        <w:rPr>
          <w:rFonts w:eastAsia="Batang"/>
          <w:color w:val="auto"/>
          <w:sz w:val="20"/>
          <w:szCs w:val="20"/>
          <w:bdr w:val="none" w:sz="0" w:space="0" w:color="auto"/>
          <w:lang w:val="es-ES"/>
        </w:rPr>
        <w:t xml:space="preserve"> Y RECOMENDACIONES</w:t>
      </w:r>
      <w:bookmarkEnd w:id="44"/>
      <w:r w:rsidR="005712A8">
        <w:rPr>
          <w:rFonts w:eastAsia="Batang"/>
          <w:color w:val="auto"/>
          <w:sz w:val="20"/>
          <w:szCs w:val="20"/>
          <w:bdr w:val="none" w:sz="0" w:space="0" w:color="auto"/>
          <w:lang w:val="es-ES"/>
        </w:rPr>
        <w:t>.</w:t>
      </w:r>
      <w:r w:rsidRPr="00165EC6">
        <w:rPr>
          <w:rFonts w:eastAsia="Batang"/>
          <w:color w:val="auto"/>
          <w:sz w:val="20"/>
          <w:szCs w:val="20"/>
          <w:bdr w:val="none" w:sz="0" w:space="0" w:color="auto"/>
          <w:lang w:val="es-ES"/>
        </w:rPr>
        <w:t xml:space="preserve"> </w:t>
      </w:r>
    </w:p>
    <w:p w:rsidR="00277412" w:rsidRPr="00165EC6" w:rsidRDefault="00277412" w:rsidP="00094C9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ES_tradnl"/>
        </w:rPr>
      </w:pPr>
    </w:p>
    <w:p w:rsidR="00277412" w:rsidRPr="00165EC6" w:rsidRDefault="00277412" w:rsidP="00F521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pacing w:val="-2"/>
          <w:sz w:val="20"/>
          <w:szCs w:val="20"/>
          <w:bdr w:val="none" w:sz="0" w:space="0" w:color="auto"/>
          <w:lang w:val="es-ES_tradnl"/>
        </w:rPr>
      </w:pPr>
      <w:r w:rsidRPr="00165EC6">
        <w:rPr>
          <w:rFonts w:ascii="Cambria" w:eastAsia="Batang" w:hAnsi="Cambria"/>
          <w:sz w:val="20"/>
          <w:szCs w:val="20"/>
          <w:bdr w:val="none" w:sz="0" w:space="0" w:color="auto"/>
          <w:lang w:val="es-ES_tradnl"/>
        </w:rPr>
        <w:t xml:space="preserve">Con base en las consideraciones de hecho y de derecho expuestas a lo largo del presente informe, la Comisión Interamericana concluye que el Estado de Brasil </w:t>
      </w:r>
      <w:r w:rsidRPr="00165EC6">
        <w:rPr>
          <w:rFonts w:ascii="Cambria" w:eastAsia="Batang" w:hAnsi="Cambria" w:cs="Arial"/>
          <w:sz w:val="20"/>
          <w:szCs w:val="20"/>
          <w:bdr w:val="none" w:sz="0" w:space="0" w:color="auto"/>
          <w:lang w:val="es-ES_tradnl"/>
        </w:rPr>
        <w:t>es responsable por la violación de los derechos a la vida</w:t>
      </w:r>
      <w:r w:rsidR="00B66BDB" w:rsidRPr="00165EC6">
        <w:rPr>
          <w:rFonts w:ascii="Cambria" w:eastAsia="Batang" w:hAnsi="Cambria" w:cs="Arial"/>
          <w:sz w:val="20"/>
          <w:szCs w:val="20"/>
          <w:bdr w:val="none" w:sz="0" w:space="0" w:color="auto"/>
          <w:lang w:val="es-ES_tradnl"/>
        </w:rPr>
        <w:t xml:space="preserve">, </w:t>
      </w:r>
      <w:r w:rsidR="00466A5A" w:rsidRPr="00165EC6">
        <w:rPr>
          <w:rFonts w:ascii="Cambria" w:eastAsia="Batang" w:hAnsi="Cambria" w:cs="Arial"/>
          <w:sz w:val="20"/>
          <w:szCs w:val="20"/>
          <w:bdr w:val="none" w:sz="0" w:space="0" w:color="auto"/>
          <w:lang w:val="es-ES_tradnl"/>
        </w:rPr>
        <w:t>a la</w:t>
      </w:r>
      <w:r w:rsidRPr="00165EC6">
        <w:rPr>
          <w:rFonts w:ascii="Cambria" w:eastAsia="Batang" w:hAnsi="Cambria" w:cs="Arial"/>
          <w:sz w:val="20"/>
          <w:szCs w:val="20"/>
          <w:bdr w:val="none" w:sz="0" w:space="0" w:color="auto"/>
          <w:lang w:val="es-ES_tradnl"/>
        </w:rPr>
        <w:t xml:space="preserve"> integridad personal, </w:t>
      </w:r>
      <w:r w:rsidR="00466A5A" w:rsidRPr="00165EC6">
        <w:rPr>
          <w:rFonts w:ascii="Cambria" w:eastAsia="Batang" w:hAnsi="Cambria" w:cs="Arial"/>
          <w:sz w:val="20"/>
          <w:szCs w:val="20"/>
          <w:bdr w:val="none" w:sz="0" w:space="0" w:color="auto"/>
          <w:lang w:val="es-ES_tradnl"/>
        </w:rPr>
        <w:t>en relación con</w:t>
      </w:r>
      <w:r w:rsidR="00A67B3E" w:rsidRPr="00165EC6">
        <w:rPr>
          <w:rFonts w:ascii="Cambria" w:eastAsia="Batang" w:hAnsi="Cambria" w:cs="Arial"/>
          <w:sz w:val="20"/>
          <w:szCs w:val="20"/>
          <w:bdr w:val="none" w:sz="0" w:space="0" w:color="auto"/>
          <w:lang w:val="es-ES_tradnl"/>
        </w:rPr>
        <w:t xml:space="preserve"> el deber de especial protección de</w:t>
      </w:r>
      <w:r w:rsidR="00B66BDB" w:rsidRPr="00165EC6">
        <w:rPr>
          <w:rFonts w:ascii="Cambria" w:eastAsia="Batang" w:hAnsi="Cambria" w:cs="Arial"/>
          <w:sz w:val="20"/>
          <w:szCs w:val="20"/>
          <w:bdr w:val="none" w:sz="0" w:space="0" w:color="auto"/>
          <w:lang w:val="es-ES_tradnl"/>
        </w:rPr>
        <w:t xml:space="preserve"> la niñez, el derecho al trabajo, </w:t>
      </w:r>
      <w:r w:rsidR="00D630A2" w:rsidRPr="00165EC6">
        <w:rPr>
          <w:rFonts w:ascii="Cambria" w:eastAsia="Batang" w:hAnsi="Cambria" w:cs="Arial"/>
          <w:sz w:val="20"/>
          <w:szCs w:val="20"/>
          <w:bdr w:val="none" w:sz="0" w:space="0" w:color="auto"/>
          <w:lang w:val="es-ES_tradnl"/>
        </w:rPr>
        <w:t xml:space="preserve">a la igualdad y no discriminación, a las garantías judiciales y protección judicial, establecidos en los artículos </w:t>
      </w:r>
      <w:r w:rsidRPr="00165EC6">
        <w:rPr>
          <w:rFonts w:ascii="Cambria" w:eastAsia="Batang" w:hAnsi="Cambria" w:cs="Arial"/>
          <w:sz w:val="20"/>
          <w:szCs w:val="20"/>
          <w:bdr w:val="none" w:sz="0" w:space="0" w:color="auto"/>
          <w:lang w:val="es-ES_tradnl"/>
        </w:rPr>
        <w:t>4</w:t>
      </w:r>
      <w:r w:rsidR="00D630A2" w:rsidRPr="00165EC6">
        <w:rPr>
          <w:rFonts w:ascii="Cambria" w:eastAsia="Batang" w:hAnsi="Cambria" w:cs="Arial"/>
          <w:sz w:val="20"/>
          <w:szCs w:val="20"/>
          <w:bdr w:val="none" w:sz="0" w:space="0" w:color="auto"/>
          <w:lang w:val="es-ES_tradnl"/>
        </w:rPr>
        <w:t>.1</w:t>
      </w:r>
      <w:r w:rsidRPr="00165EC6">
        <w:rPr>
          <w:rFonts w:ascii="Cambria" w:eastAsia="Batang" w:hAnsi="Cambria" w:cs="Arial"/>
          <w:sz w:val="20"/>
          <w:szCs w:val="20"/>
          <w:bdr w:val="none" w:sz="0" w:space="0" w:color="auto"/>
          <w:lang w:val="es-ES_tradnl"/>
        </w:rPr>
        <w:t>, 5</w:t>
      </w:r>
      <w:r w:rsidR="00D630A2" w:rsidRPr="00165EC6">
        <w:rPr>
          <w:rFonts w:ascii="Cambria" w:eastAsia="Batang" w:hAnsi="Cambria" w:cs="Arial"/>
          <w:sz w:val="20"/>
          <w:szCs w:val="20"/>
          <w:bdr w:val="none" w:sz="0" w:space="0" w:color="auto"/>
          <w:lang w:val="es-ES_tradnl"/>
        </w:rPr>
        <w:t>.1</w:t>
      </w:r>
      <w:r w:rsidRPr="00165EC6">
        <w:rPr>
          <w:rFonts w:ascii="Cambria" w:eastAsia="Batang" w:hAnsi="Cambria" w:cs="Arial"/>
          <w:sz w:val="20"/>
          <w:szCs w:val="20"/>
          <w:bdr w:val="none" w:sz="0" w:space="0" w:color="auto"/>
          <w:lang w:val="es-ES_tradnl"/>
        </w:rPr>
        <w:t xml:space="preserve">, </w:t>
      </w:r>
      <w:r w:rsidR="00466A5A" w:rsidRPr="00165EC6">
        <w:rPr>
          <w:rFonts w:ascii="Cambria" w:eastAsia="Batang" w:hAnsi="Cambria" w:cs="Arial"/>
          <w:sz w:val="20"/>
          <w:szCs w:val="20"/>
          <w:bdr w:val="none" w:sz="0" w:space="0" w:color="auto"/>
          <w:lang w:val="es-ES_tradnl"/>
        </w:rPr>
        <w:t>19</w:t>
      </w:r>
      <w:r w:rsidR="00D630A2" w:rsidRPr="00165EC6">
        <w:rPr>
          <w:rFonts w:ascii="Cambria" w:eastAsia="Batang" w:hAnsi="Cambria" w:cs="Arial"/>
          <w:sz w:val="20"/>
          <w:szCs w:val="20"/>
          <w:bdr w:val="none" w:sz="0" w:space="0" w:color="auto"/>
          <w:lang w:val="es-ES_tradnl"/>
        </w:rPr>
        <w:t xml:space="preserve">, </w:t>
      </w:r>
      <w:r w:rsidR="002740EE" w:rsidRPr="00165EC6">
        <w:rPr>
          <w:rFonts w:ascii="Cambria" w:eastAsia="Batang" w:hAnsi="Cambria" w:cs="Arial"/>
          <w:sz w:val="20"/>
          <w:szCs w:val="20"/>
          <w:bdr w:val="none" w:sz="0" w:space="0" w:color="auto"/>
          <w:lang w:val="es-ES_tradnl"/>
        </w:rPr>
        <w:t xml:space="preserve">24, </w:t>
      </w:r>
      <w:r w:rsidR="00466A5A" w:rsidRPr="00165EC6">
        <w:rPr>
          <w:rFonts w:ascii="Cambria" w:eastAsia="Batang" w:hAnsi="Cambria" w:cs="Arial"/>
          <w:sz w:val="20"/>
          <w:szCs w:val="20"/>
          <w:bdr w:val="none" w:sz="0" w:space="0" w:color="auto"/>
          <w:lang w:val="es-ES_tradnl"/>
        </w:rPr>
        <w:t>26</w:t>
      </w:r>
      <w:r w:rsidR="00D630A2" w:rsidRPr="00165EC6">
        <w:rPr>
          <w:rFonts w:ascii="Cambria" w:eastAsia="Batang" w:hAnsi="Cambria" w:cs="Arial"/>
          <w:sz w:val="20"/>
          <w:szCs w:val="20"/>
          <w:bdr w:val="none" w:sz="0" w:space="0" w:color="auto"/>
          <w:lang w:val="es-ES_tradnl"/>
        </w:rPr>
        <w:t xml:space="preserve">, 8.1 y 25.1 de </w:t>
      </w:r>
      <w:r w:rsidRPr="00165EC6">
        <w:rPr>
          <w:rFonts w:ascii="Cambria" w:eastAsia="Batang" w:hAnsi="Cambria" w:cs="Arial"/>
          <w:sz w:val="20"/>
          <w:szCs w:val="20"/>
          <w:bdr w:val="none" w:sz="0" w:space="0" w:color="auto"/>
          <w:lang w:val="es-ES_tradnl"/>
        </w:rPr>
        <w:t>la Convención Americana</w:t>
      </w:r>
      <w:r w:rsidR="00D630A2" w:rsidRPr="00165EC6">
        <w:rPr>
          <w:rFonts w:ascii="Cambria" w:eastAsia="Batang" w:hAnsi="Cambria" w:cs="Arial"/>
          <w:sz w:val="20"/>
          <w:szCs w:val="20"/>
          <w:bdr w:val="none" w:sz="0" w:space="0" w:color="auto"/>
          <w:lang w:val="es-ES_tradnl"/>
        </w:rPr>
        <w:t xml:space="preserve"> en relación con </w:t>
      </w:r>
      <w:r w:rsidRPr="00165EC6">
        <w:rPr>
          <w:rFonts w:ascii="Cambria" w:eastAsia="Batang" w:hAnsi="Cambria" w:cs="Arial"/>
          <w:sz w:val="20"/>
          <w:szCs w:val="20"/>
          <w:bdr w:val="none" w:sz="0" w:space="0" w:color="auto"/>
          <w:lang w:val="es-ES_tradnl"/>
        </w:rPr>
        <w:t xml:space="preserve">las obligaciones establecidas en </w:t>
      </w:r>
      <w:r w:rsidR="00466A5A" w:rsidRPr="00165EC6">
        <w:rPr>
          <w:rFonts w:ascii="Cambria" w:eastAsia="Batang" w:hAnsi="Cambria" w:cs="Arial"/>
          <w:sz w:val="20"/>
          <w:szCs w:val="20"/>
          <w:bdr w:val="none" w:sz="0" w:space="0" w:color="auto"/>
          <w:lang w:val="es-ES_tradnl"/>
        </w:rPr>
        <w:t>el</w:t>
      </w:r>
      <w:r w:rsidRPr="00165EC6">
        <w:rPr>
          <w:rFonts w:ascii="Cambria" w:eastAsia="Batang" w:hAnsi="Cambria" w:cs="Arial"/>
          <w:sz w:val="20"/>
          <w:szCs w:val="20"/>
          <w:bdr w:val="none" w:sz="0" w:space="0" w:color="auto"/>
          <w:lang w:val="es-ES_tradnl"/>
        </w:rPr>
        <w:t xml:space="preserve"> artículo 1.1 </w:t>
      </w:r>
      <w:r w:rsidR="00C4593F" w:rsidRPr="00165EC6">
        <w:rPr>
          <w:rFonts w:ascii="Cambria" w:eastAsia="Batang" w:hAnsi="Cambria" w:cs="Arial"/>
          <w:sz w:val="20"/>
          <w:szCs w:val="20"/>
          <w:bdr w:val="none" w:sz="0" w:space="0" w:color="auto"/>
          <w:lang w:val="es-ES_tradnl"/>
        </w:rPr>
        <w:t xml:space="preserve">y 2 </w:t>
      </w:r>
      <w:r w:rsidRPr="00165EC6">
        <w:rPr>
          <w:rFonts w:ascii="Cambria" w:eastAsia="Batang" w:hAnsi="Cambria" w:cs="Arial"/>
          <w:sz w:val="20"/>
          <w:szCs w:val="20"/>
          <w:bdr w:val="none" w:sz="0" w:space="0" w:color="auto"/>
          <w:lang w:val="es-ES_tradnl"/>
        </w:rPr>
        <w:t>del mismo instrumento</w:t>
      </w:r>
      <w:r w:rsidR="006C6AEE" w:rsidRPr="00165EC6">
        <w:rPr>
          <w:rFonts w:ascii="Cambria" w:eastAsia="Batang" w:hAnsi="Cambria" w:cs="Arial"/>
          <w:sz w:val="20"/>
          <w:szCs w:val="20"/>
          <w:bdr w:val="none" w:sz="0" w:space="0" w:color="auto"/>
          <w:lang w:val="es-ES_tradnl"/>
        </w:rPr>
        <w:t xml:space="preserve">, en perjuicio de las personas que se individualizan en el Anexo Único del presente informe. </w:t>
      </w:r>
      <w:r w:rsidRPr="00165EC6">
        <w:rPr>
          <w:rFonts w:ascii="Cambria" w:eastAsia="Batang" w:hAnsi="Cambria"/>
          <w:spacing w:val="-2"/>
          <w:sz w:val="20"/>
          <w:szCs w:val="20"/>
          <w:bdr w:val="none" w:sz="0" w:space="0" w:color="auto"/>
          <w:lang w:val="es-ES_tradnl"/>
        </w:rPr>
        <w:t xml:space="preserve"> </w:t>
      </w:r>
    </w:p>
    <w:p w:rsidR="00277412" w:rsidRPr="00165EC6" w:rsidRDefault="00277412" w:rsidP="00F521A4">
      <w:pPr>
        <w:keepNext/>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ES_tradnl"/>
        </w:rPr>
      </w:pPr>
    </w:p>
    <w:p w:rsidR="00277412" w:rsidRPr="00165EC6" w:rsidRDefault="00277412" w:rsidP="00F521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Batang" w:hAnsi="Cambria"/>
          <w:sz w:val="20"/>
          <w:szCs w:val="20"/>
          <w:bdr w:val="none" w:sz="0" w:space="0" w:color="auto"/>
          <w:lang w:val="es-ES_tradnl"/>
        </w:rPr>
      </w:pPr>
      <w:r w:rsidRPr="00165EC6">
        <w:rPr>
          <w:rFonts w:ascii="Cambria" w:eastAsia="Batang" w:hAnsi="Cambria"/>
          <w:sz w:val="20"/>
          <w:szCs w:val="20"/>
          <w:bdr w:val="none" w:sz="0" w:space="0" w:color="auto"/>
          <w:lang w:val="es-ES_tradnl"/>
        </w:rPr>
        <w:t>En virtud de las anteriores conclusiones,</w:t>
      </w: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Batang" w:hAnsi="Cambria"/>
          <w:sz w:val="20"/>
          <w:szCs w:val="20"/>
          <w:bdr w:val="none" w:sz="0" w:space="0" w:color="auto"/>
          <w:lang w:val="es-ES_tradnl"/>
        </w:rPr>
      </w:pP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b/>
          <w:sz w:val="20"/>
          <w:szCs w:val="20"/>
          <w:bdr w:val="none" w:sz="0" w:space="0" w:color="auto"/>
          <w:lang w:val="es-ES_tradnl"/>
        </w:rPr>
      </w:pPr>
      <w:r w:rsidRPr="00165EC6">
        <w:rPr>
          <w:rFonts w:ascii="Cambria" w:eastAsia="Batang" w:hAnsi="Cambria"/>
          <w:b/>
          <w:sz w:val="20"/>
          <w:szCs w:val="20"/>
          <w:bdr w:val="none" w:sz="0" w:space="0" w:color="auto"/>
          <w:lang w:val="es-ES_tradnl"/>
        </w:rPr>
        <w:t>LA COMISIÓN INTERAMERICANA DE DERECHOS HUMANOS, RECOMIENDA AL ESTADO DE BRASIL:</w:t>
      </w:r>
    </w:p>
    <w:p w:rsidR="00277412" w:rsidRPr="00165EC6" w:rsidRDefault="00277412" w:rsidP="0027741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Batang" w:hAnsi="Calibri Light"/>
          <w:sz w:val="20"/>
          <w:szCs w:val="20"/>
          <w:bdr w:val="none" w:sz="0" w:space="0" w:color="auto"/>
          <w:lang w:val="es-ES"/>
        </w:rPr>
      </w:pPr>
    </w:p>
    <w:p w:rsidR="00277412" w:rsidRPr="00165EC6" w:rsidRDefault="00277412" w:rsidP="006C1D4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1440"/>
        </w:tabs>
        <w:ind w:left="720" w:firstLine="0"/>
        <w:jc w:val="both"/>
        <w:rPr>
          <w:rFonts w:ascii="Cambria" w:eastAsia="Batang" w:hAnsi="Cambria"/>
          <w:bCs/>
          <w:sz w:val="20"/>
          <w:szCs w:val="20"/>
          <w:bdr w:val="none" w:sz="0" w:space="0" w:color="auto"/>
          <w:lang w:val="es-AR"/>
        </w:rPr>
      </w:pPr>
      <w:r w:rsidRPr="00165EC6">
        <w:rPr>
          <w:rFonts w:ascii="Cambria" w:eastAsia="Batang" w:hAnsi="Cambria"/>
          <w:bCs/>
          <w:sz w:val="20"/>
          <w:szCs w:val="20"/>
          <w:bdr w:val="none" w:sz="0" w:space="0" w:color="auto"/>
          <w:lang w:val="es-AR"/>
        </w:rPr>
        <w:t xml:space="preserve">Reparar integralmente las violaciones de derechos humanos declaradas en el presente informe, tanto en el aspecto material como inmaterial. El Estado deberá adoptar medidas de compensación económica y satisfacción del daño moral. </w:t>
      </w:r>
    </w:p>
    <w:p w:rsidR="00D856AB" w:rsidRPr="00165EC6" w:rsidRDefault="00D856AB" w:rsidP="00B74E3A">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Batang" w:hAnsi="Cambria"/>
          <w:bCs/>
          <w:sz w:val="20"/>
          <w:szCs w:val="20"/>
          <w:bdr w:val="none" w:sz="0" w:space="0" w:color="auto"/>
          <w:lang w:val="es-AR"/>
        </w:rPr>
      </w:pPr>
    </w:p>
    <w:p w:rsidR="00AB2B7E" w:rsidRPr="00165EC6" w:rsidRDefault="00277412" w:rsidP="006C1D4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1440"/>
        </w:tabs>
        <w:ind w:left="720" w:firstLine="0"/>
        <w:jc w:val="both"/>
        <w:rPr>
          <w:rFonts w:ascii="Cambria" w:eastAsia="Batang" w:hAnsi="Cambria"/>
          <w:bCs/>
          <w:sz w:val="20"/>
          <w:szCs w:val="20"/>
          <w:bdr w:val="none" w:sz="0" w:space="0" w:color="auto"/>
          <w:lang w:val="es-AR"/>
        </w:rPr>
      </w:pPr>
      <w:r w:rsidRPr="00165EC6">
        <w:rPr>
          <w:rFonts w:ascii="Cambria" w:eastAsia="Batang" w:hAnsi="Cambria"/>
          <w:bCs/>
          <w:sz w:val="20"/>
          <w:szCs w:val="20"/>
          <w:bdr w:val="none" w:sz="0" w:space="0" w:color="auto"/>
          <w:lang w:val="es-AR"/>
        </w:rPr>
        <w:t>Disponer las medidas de atención en salud física y mental necesarias a las víctimas sobrevivientes de la explosión. Asimismo, disponer las medidas de salud mental necesarias a los familiares directos de las víctimas</w:t>
      </w:r>
      <w:r w:rsidR="004069CD" w:rsidRPr="00165EC6">
        <w:rPr>
          <w:rFonts w:ascii="Cambria" w:eastAsia="Batang" w:hAnsi="Cambria"/>
          <w:bCs/>
          <w:sz w:val="20"/>
          <w:szCs w:val="20"/>
          <w:bdr w:val="none" w:sz="0" w:space="0" w:color="auto"/>
          <w:lang w:val="es-AR"/>
        </w:rPr>
        <w:t xml:space="preserve"> de la explosión. Estas medidas deben implementarse en caso de ser voluntad de las víctimas y de manera concertada con ellas y sus representantes.</w:t>
      </w:r>
    </w:p>
    <w:p w:rsidR="00AB2B7E" w:rsidRPr="00165EC6" w:rsidRDefault="00AB2B7E" w:rsidP="00AB2B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4069CD" w:rsidRPr="00165EC6" w:rsidRDefault="00AB2B7E" w:rsidP="006C1D4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1440"/>
        </w:tabs>
        <w:ind w:left="720" w:firstLine="0"/>
        <w:jc w:val="both"/>
        <w:rPr>
          <w:rFonts w:ascii="Cambria" w:eastAsia="Batang" w:hAnsi="Cambria"/>
          <w:bCs/>
          <w:sz w:val="20"/>
          <w:szCs w:val="20"/>
          <w:bdr w:val="none" w:sz="0" w:space="0" w:color="auto"/>
          <w:lang w:val="es-AR"/>
        </w:rPr>
      </w:pPr>
      <w:r w:rsidRPr="00165EC6">
        <w:rPr>
          <w:rFonts w:ascii="Cambria" w:eastAsia="Batang" w:hAnsi="Cambria"/>
          <w:bCs/>
          <w:sz w:val="20"/>
          <w:szCs w:val="20"/>
          <w:bdr w:val="none" w:sz="0" w:space="0" w:color="auto"/>
          <w:lang w:val="es-AR"/>
        </w:rPr>
        <w:t xml:space="preserve">Investigar </w:t>
      </w:r>
      <w:r w:rsidR="003A164F" w:rsidRPr="00165EC6">
        <w:rPr>
          <w:rFonts w:ascii="Cambria" w:eastAsia="Batang" w:hAnsi="Cambria"/>
          <w:bCs/>
          <w:sz w:val="20"/>
          <w:szCs w:val="20"/>
          <w:bdr w:val="none" w:sz="0" w:space="0" w:color="auto"/>
          <w:lang w:val="es-AR"/>
        </w:rPr>
        <w:t xml:space="preserve">de manera </w:t>
      </w:r>
      <w:r w:rsidRPr="00165EC6">
        <w:rPr>
          <w:rFonts w:ascii="Cambria" w:hAnsi="Cambria"/>
          <w:sz w:val="20"/>
          <w:szCs w:val="20"/>
          <w:lang w:val="es-ES"/>
        </w:rPr>
        <w:t>diligente, efectiva y dentro de un plazo razonable con el objeto de esclarecer los hechos en forma completa, identificar todas las posibles responsabilidades e imponer las sanciones que correspondan respecto de las violaciones de derechos humanos declaradas en el presente informe.</w:t>
      </w:r>
      <w:r w:rsidR="003A164F" w:rsidRPr="00165EC6">
        <w:rPr>
          <w:rFonts w:ascii="Cambria" w:hAnsi="Cambria"/>
          <w:sz w:val="20"/>
          <w:szCs w:val="20"/>
          <w:lang w:val="es-ES"/>
        </w:rPr>
        <w:t xml:space="preserve"> Esta recomendación incluye tanto las investigaciones penales como administrativas que correspondan, no sólo respecto de personas vinculadas con la Fábrica de Fuegos, sino con las autoridades estatales que incumplieron sus deberes de inspección y fiscalización, en los términos expresados en el presente informe. </w:t>
      </w:r>
    </w:p>
    <w:p w:rsidR="004069CD" w:rsidRPr="00165EC6" w:rsidRDefault="004069CD" w:rsidP="004069C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Batang" w:hAnsi="Cambria"/>
          <w:bCs/>
          <w:sz w:val="20"/>
          <w:szCs w:val="20"/>
          <w:bdr w:val="none" w:sz="0" w:space="0" w:color="auto"/>
          <w:lang w:val="es-AR"/>
        </w:rPr>
      </w:pPr>
    </w:p>
    <w:p w:rsidR="003A164F" w:rsidRPr="00165EC6" w:rsidRDefault="00170D38" w:rsidP="006C1D4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1440"/>
        </w:tabs>
        <w:ind w:left="720" w:firstLine="0"/>
        <w:jc w:val="both"/>
        <w:rPr>
          <w:rFonts w:ascii="Cambria" w:eastAsia="Batang" w:hAnsi="Cambria"/>
          <w:bCs/>
          <w:sz w:val="20"/>
          <w:szCs w:val="20"/>
          <w:bdr w:val="none" w:sz="0" w:space="0" w:color="auto"/>
          <w:lang w:val="es-AR"/>
        </w:rPr>
      </w:pPr>
      <w:r w:rsidRPr="00165EC6">
        <w:rPr>
          <w:rFonts w:ascii="Cambria" w:eastAsia="Batang" w:hAnsi="Cambria"/>
          <w:bCs/>
          <w:sz w:val="20"/>
          <w:szCs w:val="20"/>
          <w:bdr w:val="none" w:sz="0" w:space="0" w:color="auto"/>
          <w:lang w:val="es-AR"/>
        </w:rPr>
        <w:t>Adoptar</w:t>
      </w:r>
      <w:r w:rsidR="003A164F" w:rsidRPr="00165EC6">
        <w:rPr>
          <w:rFonts w:ascii="Cambria" w:eastAsia="Batang" w:hAnsi="Cambria"/>
          <w:bCs/>
          <w:sz w:val="20"/>
          <w:szCs w:val="20"/>
          <w:bdr w:val="none" w:sz="0" w:space="0" w:color="auto"/>
          <w:lang w:val="es-AR"/>
        </w:rPr>
        <w:t xml:space="preserve"> las medidas necesarias para </w:t>
      </w:r>
      <w:r w:rsidR="00491145" w:rsidRPr="00165EC6">
        <w:rPr>
          <w:rFonts w:ascii="Cambria" w:eastAsia="Batang" w:hAnsi="Cambria"/>
          <w:bCs/>
          <w:sz w:val="20"/>
          <w:szCs w:val="20"/>
          <w:bdr w:val="none" w:sz="0" w:space="0" w:color="auto"/>
          <w:lang w:val="es-AR"/>
        </w:rPr>
        <w:t xml:space="preserve">que las </w:t>
      </w:r>
      <w:r w:rsidR="00BB7690" w:rsidRPr="00165EC6">
        <w:rPr>
          <w:rFonts w:ascii="Cambria" w:eastAsia="Batang" w:hAnsi="Cambria"/>
          <w:bCs/>
          <w:sz w:val="20"/>
          <w:szCs w:val="20"/>
          <w:bdr w:val="none" w:sz="0" w:space="0" w:color="auto"/>
          <w:lang w:val="es-AR"/>
        </w:rPr>
        <w:t>responsabilidades</w:t>
      </w:r>
      <w:r w:rsidR="00491145" w:rsidRPr="00165EC6">
        <w:rPr>
          <w:rFonts w:ascii="Cambria" w:eastAsia="Batang" w:hAnsi="Cambria"/>
          <w:bCs/>
          <w:sz w:val="20"/>
          <w:szCs w:val="20"/>
          <w:bdr w:val="none" w:sz="0" w:space="0" w:color="auto"/>
          <w:lang w:val="es-AR"/>
        </w:rPr>
        <w:t xml:space="preserve"> y reparaciones establecidas en los procesos laborales y civiles respectivos, sean implementadas de manera efectiva. </w:t>
      </w:r>
    </w:p>
    <w:p w:rsidR="003A164F" w:rsidRPr="00165EC6" w:rsidRDefault="003A164F" w:rsidP="003A16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bCs/>
          <w:sz w:val="20"/>
          <w:szCs w:val="20"/>
          <w:bdr w:val="none" w:sz="0" w:space="0" w:color="auto"/>
          <w:lang w:val="es-AR"/>
        </w:rPr>
      </w:pPr>
    </w:p>
    <w:p w:rsidR="00277412" w:rsidRPr="00165EC6" w:rsidRDefault="00D065F9" w:rsidP="006C1D4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1440"/>
        </w:tabs>
        <w:ind w:left="720" w:firstLine="0"/>
        <w:jc w:val="both"/>
        <w:rPr>
          <w:rFonts w:ascii="Cambria" w:eastAsia="Batang" w:hAnsi="Cambria"/>
          <w:bCs/>
          <w:sz w:val="20"/>
          <w:szCs w:val="20"/>
          <w:bdr w:val="none" w:sz="0" w:space="0" w:color="auto"/>
          <w:lang w:val="es-AR"/>
        </w:rPr>
      </w:pPr>
      <w:r w:rsidRPr="00165EC6">
        <w:rPr>
          <w:rFonts w:ascii="Cambria" w:eastAsia="Batang" w:hAnsi="Cambria"/>
          <w:bCs/>
          <w:sz w:val="20"/>
          <w:szCs w:val="20"/>
          <w:bdr w:val="none" w:sz="0" w:space="0" w:color="auto"/>
          <w:lang w:val="es-AR"/>
        </w:rPr>
        <w:t xml:space="preserve">Adoptar </w:t>
      </w:r>
      <w:r w:rsidR="00170D38" w:rsidRPr="00165EC6">
        <w:rPr>
          <w:rFonts w:ascii="Cambria" w:eastAsia="Batang" w:hAnsi="Cambria"/>
          <w:bCs/>
          <w:sz w:val="20"/>
          <w:szCs w:val="20"/>
          <w:bdr w:val="none" w:sz="0" w:space="0" w:color="auto"/>
          <w:lang w:val="es-AR"/>
        </w:rPr>
        <w:t>las medidas</w:t>
      </w:r>
      <w:r w:rsidRPr="00165EC6">
        <w:rPr>
          <w:rFonts w:ascii="Cambria" w:eastAsia="Batang" w:hAnsi="Cambria"/>
          <w:bCs/>
          <w:sz w:val="20"/>
          <w:szCs w:val="20"/>
          <w:bdr w:val="none" w:sz="0" w:space="0" w:color="auto"/>
          <w:lang w:val="es-AR"/>
        </w:rPr>
        <w:t xml:space="preserve"> legislativas, administrativas y de otra índole, para </w:t>
      </w:r>
      <w:r w:rsidR="00277412" w:rsidRPr="00165EC6">
        <w:rPr>
          <w:rFonts w:ascii="Cambria" w:eastAsia="Batang" w:hAnsi="Cambria"/>
          <w:bCs/>
          <w:sz w:val="20"/>
          <w:szCs w:val="20"/>
          <w:bdr w:val="none" w:sz="0" w:space="0" w:color="auto"/>
          <w:lang w:val="es-AR"/>
        </w:rPr>
        <w:t xml:space="preserve">evitar que en el futuro se produzcan hechos similares. </w:t>
      </w:r>
      <w:r w:rsidRPr="00165EC6">
        <w:rPr>
          <w:rFonts w:ascii="Cambria" w:eastAsia="Batang" w:hAnsi="Cambria"/>
          <w:bCs/>
          <w:sz w:val="20"/>
          <w:szCs w:val="20"/>
          <w:bdr w:val="none" w:sz="0" w:space="0" w:color="auto"/>
          <w:lang w:val="es-AR"/>
        </w:rPr>
        <w:t>En particular, el Estado deber</w:t>
      </w:r>
      <w:r w:rsidR="00BB7690">
        <w:rPr>
          <w:rFonts w:ascii="Cambria" w:eastAsia="Batang" w:hAnsi="Cambria"/>
          <w:bCs/>
          <w:sz w:val="20"/>
          <w:szCs w:val="20"/>
          <w:bdr w:val="none" w:sz="0" w:space="0" w:color="auto"/>
          <w:lang w:val="es-AR"/>
        </w:rPr>
        <w:t>á</w:t>
      </w:r>
      <w:r w:rsidRPr="00165EC6">
        <w:rPr>
          <w:rFonts w:ascii="Cambria" w:eastAsia="Batang" w:hAnsi="Cambria"/>
          <w:bCs/>
          <w:sz w:val="20"/>
          <w:szCs w:val="20"/>
          <w:bdr w:val="none" w:sz="0" w:space="0" w:color="auto"/>
          <w:lang w:val="es-AR"/>
        </w:rPr>
        <w:t xml:space="preserve"> adopta</w:t>
      </w:r>
      <w:r w:rsidR="00B34353" w:rsidRPr="00165EC6">
        <w:rPr>
          <w:rFonts w:ascii="Cambria" w:eastAsia="Batang" w:hAnsi="Cambria"/>
          <w:bCs/>
          <w:sz w:val="20"/>
          <w:szCs w:val="20"/>
          <w:bdr w:val="none" w:sz="0" w:space="0" w:color="auto"/>
          <w:lang w:val="es-AR"/>
        </w:rPr>
        <w:t xml:space="preserve">r todas las medidas necesarias y </w:t>
      </w:r>
      <w:r w:rsidRPr="00165EC6">
        <w:rPr>
          <w:rFonts w:ascii="Cambria" w:eastAsia="Batang" w:hAnsi="Cambria"/>
          <w:bCs/>
          <w:sz w:val="20"/>
          <w:szCs w:val="20"/>
          <w:bdr w:val="none" w:sz="0" w:space="0" w:color="auto"/>
          <w:lang w:val="es-AR"/>
        </w:rPr>
        <w:t>sostenibles para ofrecer posibilidades laborales</w:t>
      </w:r>
      <w:r w:rsidR="00E534EF">
        <w:rPr>
          <w:rFonts w:ascii="Cambria" w:eastAsia="Batang" w:hAnsi="Cambria"/>
          <w:bCs/>
          <w:sz w:val="20"/>
          <w:szCs w:val="20"/>
          <w:bdr w:val="none" w:sz="0" w:space="0" w:color="auto"/>
          <w:lang w:val="es-AR"/>
        </w:rPr>
        <w:t xml:space="preserve"> en la zona,</w:t>
      </w:r>
      <w:r w:rsidR="00D758B9" w:rsidRPr="00165EC6">
        <w:rPr>
          <w:rFonts w:ascii="Cambria" w:eastAsia="Batang" w:hAnsi="Cambria"/>
          <w:bCs/>
          <w:sz w:val="20"/>
          <w:szCs w:val="20"/>
          <w:bdr w:val="none" w:sz="0" w:space="0" w:color="auto"/>
          <w:lang w:val="es-AR"/>
        </w:rPr>
        <w:t xml:space="preserve"> distintas a las analizadas en este caso. El Estado también deberá adoptar todas las medidas necesarias para prevenir, erradicar y sancionar el trabajo </w:t>
      </w:r>
      <w:r w:rsidR="00C4593F" w:rsidRPr="00165EC6">
        <w:rPr>
          <w:rFonts w:ascii="Cambria" w:eastAsia="Batang" w:hAnsi="Cambria"/>
          <w:bCs/>
          <w:sz w:val="20"/>
          <w:szCs w:val="20"/>
          <w:bdr w:val="none" w:sz="0" w:space="0" w:color="auto"/>
          <w:lang w:val="es-AR"/>
        </w:rPr>
        <w:t>infantil</w:t>
      </w:r>
      <w:r w:rsidR="00D758B9" w:rsidRPr="00165EC6">
        <w:rPr>
          <w:rFonts w:ascii="Cambria" w:eastAsia="Batang" w:hAnsi="Cambria"/>
          <w:bCs/>
          <w:sz w:val="20"/>
          <w:szCs w:val="20"/>
          <w:bdr w:val="none" w:sz="0" w:space="0" w:color="auto"/>
          <w:lang w:val="es-AR"/>
        </w:rPr>
        <w:t>.</w:t>
      </w:r>
      <w:r w:rsidR="00B34353" w:rsidRPr="00165EC6">
        <w:rPr>
          <w:rFonts w:ascii="Cambria" w:eastAsia="Batang" w:hAnsi="Cambria"/>
          <w:bCs/>
          <w:sz w:val="20"/>
          <w:szCs w:val="20"/>
          <w:bdr w:val="none" w:sz="0" w:space="0" w:color="auto"/>
          <w:lang w:val="es-AR"/>
        </w:rPr>
        <w:t xml:space="preserve"> </w:t>
      </w:r>
      <w:r w:rsidRPr="00165EC6">
        <w:rPr>
          <w:rFonts w:ascii="Cambria" w:eastAsia="Batang" w:hAnsi="Cambria"/>
          <w:bCs/>
          <w:sz w:val="20"/>
          <w:szCs w:val="20"/>
          <w:bdr w:val="none" w:sz="0" w:space="0" w:color="auto"/>
          <w:lang w:val="es-AR"/>
        </w:rPr>
        <w:t xml:space="preserve">Asimismo, el Estado deberá fortalecer sus instituciones para asegurar que las mismas cumplan debidamente con su obligación de fiscalización e inspección de empresas que realizan actividades peligrosas. Esto implica contar con mecanismos adecuados de rendición de cuentas frente a autoridades que omitan el cumplimiento de dichas obligaciones. </w:t>
      </w:r>
    </w:p>
    <w:p w:rsidR="00D27EA6" w:rsidRPr="005C6994" w:rsidRDefault="00D27EA6" w:rsidP="007913B9">
      <w:pPr>
        <w:ind w:firstLine="720"/>
        <w:jc w:val="center"/>
        <w:rPr>
          <w:rFonts w:asciiTheme="majorHAnsi" w:hAnsiTheme="majorHAnsi"/>
          <w:b/>
          <w:sz w:val="20"/>
          <w:szCs w:val="20"/>
          <w:lang w:val="es-ES_tradnl"/>
        </w:rPr>
      </w:pPr>
      <w:r w:rsidRPr="005C6994">
        <w:rPr>
          <w:rFonts w:asciiTheme="majorHAnsi" w:hAnsiTheme="majorHAnsi"/>
          <w:b/>
          <w:sz w:val="20"/>
          <w:szCs w:val="20"/>
          <w:lang w:val="es-ES_tradnl"/>
        </w:rPr>
        <w:t xml:space="preserve"> </w:t>
      </w:r>
    </w:p>
    <w:sectPr w:rsidR="00D27EA6" w:rsidRPr="005C699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6A1" w:rsidRDefault="00DA16A1">
      <w:r>
        <w:separator/>
      </w:r>
    </w:p>
  </w:endnote>
  <w:endnote w:type="continuationSeparator" w:id="0">
    <w:p w:rsidR="00DA16A1" w:rsidRDefault="00DA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ebkit-standar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433541"/>
      <w:docPartObj>
        <w:docPartGallery w:val="Page Numbers (Bottom of Page)"/>
        <w:docPartUnique/>
      </w:docPartObj>
    </w:sdtPr>
    <w:sdtEndPr>
      <w:rPr>
        <w:noProof/>
        <w:sz w:val="16"/>
        <w:szCs w:val="22"/>
      </w:rPr>
    </w:sdtEndPr>
    <w:sdtContent>
      <w:p w:rsidR="00DA16A1" w:rsidRPr="00934A2C" w:rsidRDefault="00DA16A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D0543">
          <w:rPr>
            <w:noProof/>
            <w:sz w:val="16"/>
            <w:szCs w:val="22"/>
          </w:rPr>
          <w:t>37</w:t>
        </w:r>
        <w:r w:rsidRPr="00934A2C">
          <w:rPr>
            <w:noProof/>
            <w:sz w:val="16"/>
            <w:szCs w:val="22"/>
          </w:rPr>
          <w:fldChar w:fldCharType="end"/>
        </w:r>
      </w:p>
    </w:sdtContent>
  </w:sdt>
  <w:p w:rsidR="00DA16A1" w:rsidRDefault="00DA16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A1" w:rsidRPr="00934A2C" w:rsidRDefault="00DA16A1">
    <w:pPr>
      <w:pStyle w:val="Footer"/>
      <w:jc w:val="center"/>
      <w:rPr>
        <w:sz w:val="16"/>
        <w:szCs w:val="22"/>
      </w:rPr>
    </w:pPr>
  </w:p>
  <w:p w:rsidR="00DA16A1" w:rsidRDefault="00DA1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6A1" w:rsidRPr="000F35ED" w:rsidRDefault="00DA16A1">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DA16A1" w:rsidRPr="000F35ED" w:rsidRDefault="00DA16A1" w:rsidP="000F35ED">
      <w:pPr>
        <w:rPr>
          <w:rFonts w:asciiTheme="majorHAnsi" w:hAnsiTheme="majorHAnsi"/>
          <w:sz w:val="16"/>
          <w:szCs w:val="16"/>
        </w:rPr>
      </w:pPr>
      <w:r w:rsidRPr="000F35ED">
        <w:rPr>
          <w:rFonts w:asciiTheme="majorHAnsi" w:hAnsiTheme="majorHAnsi"/>
          <w:sz w:val="16"/>
          <w:szCs w:val="16"/>
        </w:rPr>
        <w:separator/>
      </w:r>
    </w:p>
    <w:p w:rsidR="00DA16A1" w:rsidRPr="000F35ED" w:rsidRDefault="00DA16A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DA16A1" w:rsidRPr="000F35ED" w:rsidRDefault="00DA16A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DA16A1" w:rsidRPr="006C7F40" w:rsidRDefault="00DA16A1" w:rsidP="006C7F40">
      <w:pPr>
        <w:pStyle w:val="FootnoteText"/>
        <w:jc w:val="both"/>
        <w:rPr>
          <w:rFonts w:asciiTheme="majorHAnsi" w:hAnsiTheme="majorHAnsi"/>
          <w:sz w:val="16"/>
          <w:szCs w:val="16"/>
          <w:lang w:val="es-MX"/>
        </w:rPr>
      </w:pPr>
      <w:r w:rsidRPr="006C7F40">
        <w:rPr>
          <w:rStyle w:val="FootnoteReference"/>
          <w:rFonts w:asciiTheme="majorHAnsi" w:hAnsiTheme="majorHAnsi"/>
          <w:sz w:val="16"/>
          <w:szCs w:val="16"/>
        </w:rPr>
        <w:footnoteRef/>
      </w:r>
      <w:r w:rsidRPr="006C7F40">
        <w:rPr>
          <w:rFonts w:asciiTheme="majorHAnsi" w:hAnsiTheme="majorHAnsi"/>
          <w:sz w:val="16"/>
          <w:szCs w:val="16"/>
          <w:lang w:val="es-MX"/>
        </w:rPr>
        <w:t xml:space="preserve"> Conforme a lo dispuesto por el artículo 17.2 del Reglamento de la Comisión, la comisionada Flavia Piovesan, de nacionalidad brasileña, no participó del debate ni de la decisión del presente caso. </w:t>
      </w:r>
    </w:p>
  </w:footnote>
  <w:footnote w:id="3">
    <w:p w:rsidR="00DA16A1" w:rsidRPr="00AA1AB5" w:rsidRDefault="00DA16A1" w:rsidP="00B901BF">
      <w:pPr>
        <w:pStyle w:val="FootnoteText"/>
        <w:jc w:val="both"/>
        <w:rPr>
          <w:rFonts w:asciiTheme="majorHAnsi" w:hAnsiTheme="majorHAnsi"/>
          <w:sz w:val="16"/>
          <w:szCs w:val="16"/>
          <w:lang w:val="es-CO"/>
        </w:rPr>
      </w:pPr>
      <w:r w:rsidRPr="00F075A9">
        <w:rPr>
          <w:rStyle w:val="FootnoteReference"/>
          <w:rFonts w:asciiTheme="majorHAnsi" w:hAnsiTheme="majorHAnsi"/>
          <w:sz w:val="16"/>
          <w:szCs w:val="16"/>
        </w:rPr>
        <w:footnoteRef/>
      </w:r>
      <w:r w:rsidRPr="00F075A9">
        <w:rPr>
          <w:rFonts w:asciiTheme="majorHAnsi" w:hAnsiTheme="majorHAnsi"/>
          <w:sz w:val="16"/>
          <w:szCs w:val="16"/>
          <w:lang w:val="es-CO"/>
        </w:rPr>
        <w:t xml:space="preserve"> La Comisión recibió información sustantiva de las partes desde la presentación</w:t>
      </w:r>
      <w:r w:rsidRPr="00F075A9">
        <w:rPr>
          <w:rFonts w:asciiTheme="majorHAnsi" w:hAnsiTheme="majorHAnsi"/>
          <w:sz w:val="16"/>
          <w:szCs w:val="16"/>
          <w:lang w:val="es-MX"/>
        </w:rPr>
        <w:t xml:space="preserve"> de</w:t>
      </w:r>
      <w:r w:rsidRPr="00F075A9">
        <w:rPr>
          <w:rFonts w:asciiTheme="majorHAnsi" w:hAnsiTheme="majorHAnsi"/>
          <w:sz w:val="16"/>
          <w:szCs w:val="16"/>
          <w:lang w:val="es-CO"/>
        </w:rPr>
        <w:t xml:space="preserve"> la petición y hasta el año 2010. En sus comunicaciones </w:t>
      </w:r>
      <w:r w:rsidRPr="00165EC6">
        <w:rPr>
          <w:rFonts w:asciiTheme="majorHAnsi" w:hAnsiTheme="majorHAnsi"/>
          <w:sz w:val="16"/>
          <w:szCs w:val="16"/>
          <w:lang w:val="es-CO"/>
        </w:rPr>
        <w:t xml:space="preserve">posteriores, los peticionarios manifestaron su interés en continuar el proceso ante la CIDH y su solicitud de que se emitiera un informe de fondo.  </w:t>
      </w:r>
      <w:r>
        <w:rPr>
          <w:rFonts w:asciiTheme="majorHAnsi" w:hAnsiTheme="majorHAnsi"/>
          <w:sz w:val="16"/>
          <w:szCs w:val="16"/>
          <w:lang w:val="es-CO"/>
        </w:rPr>
        <w:t xml:space="preserve"> </w:t>
      </w:r>
    </w:p>
  </w:footnote>
  <w:footnote w:id="4">
    <w:p w:rsidR="00DA16A1" w:rsidRPr="00F075A9" w:rsidRDefault="00DA16A1" w:rsidP="00237CE7">
      <w:pPr>
        <w:jc w:val="both"/>
        <w:rPr>
          <w:rFonts w:ascii="Cambria" w:hAnsi="Cambria"/>
          <w:iCs/>
          <w:sz w:val="16"/>
          <w:szCs w:val="16"/>
          <w:lang w:val="es-AR"/>
        </w:rPr>
      </w:pPr>
      <w:r w:rsidRPr="00B74E3A">
        <w:rPr>
          <w:rStyle w:val="FootnoteReference"/>
          <w:rFonts w:ascii="Cambria" w:hAnsi="Cambria"/>
          <w:sz w:val="16"/>
          <w:szCs w:val="16"/>
        </w:rPr>
        <w:footnoteRef/>
      </w:r>
      <w:r w:rsidRPr="00B74E3A">
        <w:rPr>
          <w:rFonts w:ascii="Cambria" w:hAnsi="Cambria"/>
          <w:sz w:val="16"/>
          <w:szCs w:val="16"/>
          <w:lang w:val="es-ES"/>
        </w:rPr>
        <w:t xml:space="preserve"> CIDH, Informe </w:t>
      </w:r>
      <w:r w:rsidRPr="00B74E3A">
        <w:rPr>
          <w:rFonts w:ascii="Cambria" w:hAnsi="Cambria"/>
          <w:sz w:val="16"/>
          <w:szCs w:val="16"/>
          <w:lang w:val="es-AR"/>
        </w:rPr>
        <w:t>Nº</w:t>
      </w:r>
      <w:r w:rsidRPr="00B74E3A">
        <w:rPr>
          <w:rFonts w:ascii="Cambria" w:hAnsi="Cambria"/>
          <w:sz w:val="16"/>
          <w:szCs w:val="16"/>
          <w:lang w:val="es-ES"/>
        </w:rPr>
        <w:t xml:space="preserve"> 15</w:t>
      </w:r>
      <w:r w:rsidRPr="00F075A9">
        <w:rPr>
          <w:rFonts w:ascii="Cambria" w:hAnsi="Cambria"/>
          <w:sz w:val="16"/>
          <w:szCs w:val="16"/>
          <w:lang w:val="es-ES"/>
        </w:rPr>
        <w:t>/15, Admisibilidad. Petición 374-05. Trabajadores del Sindicato de Trabajadores de la Federación Nacional de Cafeteros de Colombia</w:t>
      </w:r>
      <w:r w:rsidRPr="00F075A9">
        <w:rPr>
          <w:rFonts w:ascii="Cambria" w:hAnsi="Cambria"/>
          <w:iCs/>
          <w:sz w:val="16"/>
          <w:szCs w:val="16"/>
          <w:lang w:val="es-AR"/>
        </w:rPr>
        <w:t xml:space="preserve">. Colombia. 24 de marzo de 2015, párr. 39. Asimismo, véase: </w:t>
      </w:r>
      <w:r w:rsidRPr="00F075A9">
        <w:rPr>
          <w:rFonts w:ascii="Cambria" w:hAnsi="Cambria"/>
          <w:color w:val="000000"/>
          <w:sz w:val="16"/>
          <w:szCs w:val="16"/>
          <w:lang w:val="es-MX"/>
        </w:rPr>
        <w:t xml:space="preserve">Corte IDH. </w:t>
      </w:r>
      <w:r w:rsidRPr="00F075A9">
        <w:rPr>
          <w:rFonts w:ascii="Cambria" w:hAnsi="Cambria"/>
          <w:iCs/>
          <w:sz w:val="16"/>
          <w:szCs w:val="16"/>
          <w:lang w:val="es-AR"/>
        </w:rPr>
        <w:t>Caso Wong Ho Wing Vs. Perú. Excepción Preliminar, Fondo, Reparaciones y Costas. Sentencia de 30 de junio de 2015. Serie C No. 297, párr. 25.</w:t>
      </w:r>
    </w:p>
  </w:footnote>
  <w:footnote w:id="5">
    <w:p w:rsidR="00DA16A1" w:rsidRPr="00226176" w:rsidRDefault="00DA16A1">
      <w:pPr>
        <w:pStyle w:val="FootnoteText"/>
        <w:rPr>
          <w:rFonts w:asciiTheme="majorHAnsi" w:hAnsiTheme="majorHAnsi"/>
          <w:sz w:val="16"/>
          <w:szCs w:val="16"/>
          <w:lang w:val="es-MX"/>
        </w:rPr>
      </w:pPr>
      <w:r w:rsidRPr="00226176">
        <w:rPr>
          <w:rStyle w:val="FootnoteReference"/>
          <w:rFonts w:asciiTheme="majorHAnsi" w:hAnsiTheme="majorHAnsi"/>
          <w:sz w:val="16"/>
          <w:szCs w:val="16"/>
        </w:rPr>
        <w:footnoteRef/>
      </w:r>
      <w:r w:rsidRPr="00226176">
        <w:rPr>
          <w:rFonts w:asciiTheme="majorHAnsi" w:hAnsiTheme="majorHAnsi"/>
          <w:sz w:val="16"/>
          <w:szCs w:val="16"/>
          <w:lang w:val="es-MX"/>
        </w:rPr>
        <w:t xml:space="preserve"> Según información proporcionada por la parte peticionaria, dos de las niñas se encontraban embarazadas. </w:t>
      </w:r>
    </w:p>
  </w:footnote>
  <w:footnote w:id="6">
    <w:p w:rsidR="00DA16A1" w:rsidRPr="00CD4887" w:rsidRDefault="00DA16A1">
      <w:pPr>
        <w:pStyle w:val="FootnoteText"/>
        <w:rPr>
          <w:lang w:val="es-MX"/>
        </w:rPr>
      </w:pPr>
      <w:r w:rsidRPr="00226176">
        <w:rPr>
          <w:rStyle w:val="FootnoteReference"/>
          <w:rFonts w:asciiTheme="majorHAnsi" w:hAnsiTheme="majorHAnsi"/>
          <w:sz w:val="16"/>
          <w:szCs w:val="16"/>
        </w:rPr>
        <w:footnoteRef/>
      </w:r>
      <w:r w:rsidRPr="00226176">
        <w:rPr>
          <w:rFonts w:asciiTheme="majorHAnsi" w:hAnsiTheme="majorHAnsi"/>
          <w:sz w:val="16"/>
          <w:szCs w:val="16"/>
          <w:lang w:val="es-MX"/>
        </w:rPr>
        <w:t xml:space="preserve"> Según información proporcionada por la parte peticionaria, dos de estas mujeres se encontraban embarazadas.</w:t>
      </w:r>
    </w:p>
  </w:footnote>
  <w:footnote w:id="7">
    <w:p w:rsidR="00DA16A1" w:rsidRPr="00B74E3A" w:rsidRDefault="00DA16A1">
      <w:pPr>
        <w:pStyle w:val="FootnoteText"/>
        <w:jc w:val="both"/>
        <w:rPr>
          <w:rFonts w:ascii="Cambria" w:hAnsi="Cambria"/>
          <w:sz w:val="16"/>
          <w:szCs w:val="16"/>
          <w:lang w:val="es-CO"/>
        </w:rPr>
      </w:pPr>
      <w:r w:rsidRPr="00B74E3A">
        <w:rPr>
          <w:rStyle w:val="FootnoteReference"/>
          <w:rFonts w:ascii="Cambria" w:hAnsi="Cambria"/>
          <w:sz w:val="16"/>
          <w:szCs w:val="16"/>
        </w:rPr>
        <w:footnoteRef/>
      </w:r>
      <w:r w:rsidRPr="00B74E3A">
        <w:rPr>
          <w:rFonts w:ascii="Cambria" w:hAnsi="Cambria"/>
          <w:sz w:val="16"/>
          <w:szCs w:val="16"/>
          <w:lang w:val="es-CO"/>
        </w:rPr>
        <w:t>Anexo</w:t>
      </w:r>
      <w:r>
        <w:rPr>
          <w:rFonts w:ascii="Cambria" w:hAnsi="Cambria"/>
          <w:sz w:val="16"/>
          <w:szCs w:val="16"/>
          <w:lang w:val="es-CO"/>
        </w:rPr>
        <w:t xml:space="preserve"> 1</w:t>
      </w:r>
      <w:r w:rsidRPr="00B74E3A">
        <w:rPr>
          <w:rFonts w:ascii="Cambria" w:hAnsi="Cambria"/>
          <w:sz w:val="16"/>
          <w:szCs w:val="16"/>
          <w:lang w:val="es-CO"/>
        </w:rPr>
        <w:t xml:space="preserve">. Reportaje “Jugar con fuego, nunca más”, presentado por el Estado mediante comunicación del 12 de octubre de 2005. </w:t>
      </w:r>
    </w:p>
  </w:footnote>
  <w:footnote w:id="8">
    <w:p w:rsidR="00DA16A1" w:rsidRPr="00F075A9" w:rsidRDefault="00DA16A1">
      <w:pPr>
        <w:jc w:val="both"/>
        <w:rPr>
          <w:rFonts w:ascii="Cambria" w:hAnsi="Cambria"/>
          <w:sz w:val="16"/>
          <w:szCs w:val="16"/>
          <w:lang w:val="es-CO" w:eastAsia="es-ES"/>
        </w:rPr>
      </w:pPr>
      <w:r w:rsidRPr="00B74E3A">
        <w:rPr>
          <w:rStyle w:val="FootnoteReference"/>
          <w:rFonts w:ascii="Cambria" w:hAnsi="Cambria"/>
          <w:sz w:val="16"/>
          <w:szCs w:val="16"/>
          <w:lang w:eastAsia="es-ES"/>
        </w:rPr>
        <w:footnoteRef/>
      </w:r>
      <w:r w:rsidRPr="00F075A9">
        <w:rPr>
          <w:rStyle w:val="FootnoteReference"/>
          <w:rFonts w:ascii="Cambria" w:hAnsi="Cambria"/>
          <w:sz w:val="16"/>
          <w:szCs w:val="16"/>
          <w:lang w:val="es-CO" w:eastAsia="es-ES"/>
        </w:rPr>
        <w:t xml:space="preserve"> </w:t>
      </w:r>
      <w:r w:rsidRPr="00F075A9">
        <w:rPr>
          <w:rFonts w:ascii="Cambria" w:hAnsi="Cambria"/>
          <w:sz w:val="16"/>
          <w:szCs w:val="16"/>
          <w:lang w:val="es-CO" w:eastAsia="es-ES"/>
        </w:rPr>
        <w:t>Anexo</w:t>
      </w:r>
      <w:r>
        <w:rPr>
          <w:rFonts w:ascii="Cambria" w:hAnsi="Cambria"/>
          <w:sz w:val="16"/>
          <w:szCs w:val="16"/>
          <w:lang w:val="es-CO" w:eastAsia="es-ES"/>
        </w:rPr>
        <w:t xml:space="preserve"> 2</w:t>
      </w:r>
      <w:r w:rsidRPr="00F075A9">
        <w:rPr>
          <w:rFonts w:ascii="Cambria" w:hAnsi="Cambria"/>
          <w:sz w:val="16"/>
          <w:szCs w:val="16"/>
          <w:lang w:val="es-CO" w:eastAsia="es-ES"/>
        </w:rPr>
        <w:t xml:space="preserve">. Nota periodística. Anexo a petición inicial. </w:t>
      </w:r>
    </w:p>
  </w:footnote>
  <w:footnote w:id="9">
    <w:p w:rsidR="00DA16A1" w:rsidRPr="00B74E3A" w:rsidRDefault="00DA16A1">
      <w:pPr>
        <w:pStyle w:val="FootnoteText"/>
        <w:jc w:val="both"/>
        <w:rPr>
          <w:rFonts w:ascii="Cambria" w:hAnsi="Cambria"/>
          <w:sz w:val="16"/>
          <w:szCs w:val="16"/>
          <w:lang w:val="es-CO"/>
        </w:rPr>
      </w:pPr>
      <w:r w:rsidRPr="00B74E3A">
        <w:rPr>
          <w:rStyle w:val="FootnoteReference"/>
          <w:rFonts w:ascii="Cambria" w:hAnsi="Cambria"/>
          <w:sz w:val="16"/>
          <w:szCs w:val="16"/>
        </w:rPr>
        <w:footnoteRef/>
      </w:r>
      <w:r w:rsidRPr="00F075A9">
        <w:rPr>
          <w:rFonts w:ascii="Cambria" w:hAnsi="Cambria"/>
          <w:sz w:val="16"/>
          <w:szCs w:val="16"/>
          <w:lang w:val="es-CO"/>
        </w:rPr>
        <w:t xml:space="preserve"> Anexo</w:t>
      </w:r>
      <w:r>
        <w:rPr>
          <w:rFonts w:ascii="Cambria" w:hAnsi="Cambria"/>
          <w:sz w:val="16"/>
          <w:szCs w:val="16"/>
          <w:lang w:val="es-CO"/>
        </w:rPr>
        <w:t xml:space="preserve"> 3</w:t>
      </w:r>
      <w:r w:rsidRPr="00F075A9">
        <w:rPr>
          <w:rFonts w:ascii="Cambria" w:hAnsi="Cambria"/>
          <w:sz w:val="16"/>
          <w:szCs w:val="16"/>
          <w:lang w:val="es-CO"/>
        </w:rPr>
        <w:t xml:space="preserve">. </w:t>
      </w:r>
      <w:r w:rsidRPr="00263798">
        <w:rPr>
          <w:rFonts w:ascii="Cambria" w:hAnsi="Cambria"/>
          <w:sz w:val="16"/>
          <w:szCs w:val="16"/>
          <w:lang w:val="pt-BR"/>
        </w:rPr>
        <w:t>Certificado de antecedentes criminales de Osvaldo Prazeres Bastos, firmado por Iracema Silva de Jesus, de fecha de 12 de abril de 1999. A</w:t>
      </w:r>
      <w:r>
        <w:rPr>
          <w:rFonts w:ascii="Cambria" w:hAnsi="Cambria"/>
          <w:sz w:val="16"/>
          <w:szCs w:val="16"/>
          <w:lang w:val="pt-BR"/>
        </w:rPr>
        <w:t>nexo a petición inicial</w:t>
      </w:r>
      <w:r w:rsidRPr="00F075A9">
        <w:rPr>
          <w:rFonts w:ascii="Cambria" w:hAnsi="Cambria"/>
          <w:sz w:val="16"/>
          <w:szCs w:val="16"/>
          <w:lang w:val="es-CO"/>
        </w:rPr>
        <w:t xml:space="preserve">.  </w:t>
      </w:r>
    </w:p>
  </w:footnote>
  <w:footnote w:id="10">
    <w:p w:rsidR="00DA16A1" w:rsidRPr="00B74E3A" w:rsidRDefault="00DA16A1">
      <w:pPr>
        <w:jc w:val="both"/>
        <w:rPr>
          <w:rStyle w:val="FootnoteReference"/>
          <w:rFonts w:ascii="Cambria" w:hAnsi="Cambria"/>
          <w:sz w:val="16"/>
          <w:szCs w:val="16"/>
          <w:lang w:val="es-MX" w:eastAsia="es-ES"/>
        </w:rPr>
      </w:pPr>
      <w:r w:rsidRPr="00B74E3A">
        <w:rPr>
          <w:rStyle w:val="FootnoteReference"/>
          <w:rFonts w:ascii="Cambria" w:hAnsi="Cambria"/>
          <w:sz w:val="16"/>
          <w:szCs w:val="16"/>
          <w:lang w:eastAsia="es-ES"/>
        </w:rPr>
        <w:footnoteRef/>
      </w:r>
      <w:r w:rsidRPr="00B74E3A">
        <w:rPr>
          <w:rStyle w:val="FootnoteReference"/>
          <w:rFonts w:ascii="Cambria" w:hAnsi="Cambria"/>
          <w:sz w:val="16"/>
          <w:szCs w:val="16"/>
          <w:lang w:val="es-CO" w:eastAsia="es-ES"/>
        </w:rPr>
        <w:t xml:space="preserve"> </w:t>
      </w:r>
      <w:r w:rsidRPr="00B74E3A">
        <w:rPr>
          <w:rFonts w:ascii="Cambria" w:hAnsi="Cambria"/>
          <w:sz w:val="16"/>
          <w:szCs w:val="16"/>
          <w:lang w:val="es-CO" w:eastAsia="es-ES"/>
        </w:rPr>
        <w:t>Anexo</w:t>
      </w:r>
      <w:r>
        <w:rPr>
          <w:rFonts w:ascii="Cambria" w:hAnsi="Cambria"/>
          <w:sz w:val="16"/>
          <w:szCs w:val="16"/>
          <w:lang w:val="es-CO" w:eastAsia="es-ES"/>
        </w:rPr>
        <w:t xml:space="preserve"> 4</w:t>
      </w:r>
      <w:r w:rsidRPr="00B74E3A">
        <w:rPr>
          <w:rFonts w:ascii="Cambria" w:hAnsi="Cambria"/>
          <w:sz w:val="16"/>
          <w:szCs w:val="16"/>
          <w:lang w:val="es-CO" w:eastAsia="es-ES"/>
        </w:rPr>
        <w:t xml:space="preserve">. </w:t>
      </w:r>
      <w:r>
        <w:rPr>
          <w:rFonts w:ascii="Cambria" w:hAnsi="Cambria"/>
          <w:sz w:val="16"/>
          <w:szCs w:val="16"/>
          <w:lang w:val="es-CO" w:eastAsia="es-ES"/>
        </w:rPr>
        <w:t xml:space="preserve"> </w:t>
      </w:r>
      <w:r w:rsidRPr="00B74E3A">
        <w:rPr>
          <w:rFonts w:ascii="Cambria" w:hAnsi="Cambria"/>
          <w:sz w:val="16"/>
          <w:szCs w:val="16"/>
          <w:lang w:val="es-CO" w:eastAsia="es-ES"/>
        </w:rPr>
        <w:t>Audio de audiencia celebrada el 19 de octubre de 2006, en el marco del 126 periodo ordinario de sesiones de la CIDH.</w:t>
      </w:r>
      <w:r w:rsidRPr="00B74E3A">
        <w:rPr>
          <w:rStyle w:val="FootnoteReference"/>
          <w:rFonts w:ascii="Cambria" w:hAnsi="Cambria"/>
          <w:sz w:val="16"/>
          <w:szCs w:val="16"/>
          <w:lang w:val="es-MX" w:eastAsia="es-ES"/>
        </w:rPr>
        <w:t xml:space="preserve"> </w:t>
      </w:r>
    </w:p>
  </w:footnote>
  <w:footnote w:id="11">
    <w:p w:rsidR="00DA16A1" w:rsidRPr="00B74E3A" w:rsidRDefault="00DA16A1">
      <w:pPr>
        <w:jc w:val="both"/>
        <w:rPr>
          <w:rFonts w:ascii="Cambria" w:hAnsi="Cambria"/>
          <w:sz w:val="16"/>
          <w:szCs w:val="16"/>
          <w:lang w:val="es-CO" w:eastAsia="es-ES"/>
        </w:rPr>
      </w:pPr>
      <w:r w:rsidRPr="00B74E3A">
        <w:rPr>
          <w:rStyle w:val="FootnoteReference"/>
          <w:rFonts w:ascii="Cambria" w:hAnsi="Cambria"/>
          <w:sz w:val="16"/>
          <w:szCs w:val="16"/>
          <w:lang w:eastAsia="es-ES"/>
        </w:rPr>
        <w:footnoteRef/>
      </w:r>
      <w:r w:rsidRPr="00B74E3A">
        <w:rPr>
          <w:rStyle w:val="FootnoteReference"/>
          <w:rFonts w:ascii="Cambria" w:hAnsi="Cambria"/>
          <w:sz w:val="16"/>
          <w:szCs w:val="16"/>
          <w:lang w:val="es-MX" w:eastAsia="es-ES"/>
        </w:rPr>
        <w:t xml:space="preserve"> </w:t>
      </w:r>
      <w:r w:rsidRPr="00B74E3A">
        <w:rPr>
          <w:rFonts w:ascii="Cambria" w:hAnsi="Cambria"/>
          <w:sz w:val="16"/>
          <w:szCs w:val="16"/>
          <w:lang w:val="es-CO" w:eastAsia="es-ES"/>
        </w:rPr>
        <w:t>Anexo</w:t>
      </w:r>
      <w:r>
        <w:rPr>
          <w:rFonts w:ascii="Cambria" w:hAnsi="Cambria"/>
          <w:sz w:val="16"/>
          <w:szCs w:val="16"/>
          <w:lang w:val="es-CO" w:eastAsia="es-ES"/>
        </w:rPr>
        <w:t xml:space="preserve"> 5</w:t>
      </w:r>
      <w:r w:rsidRPr="00B74E3A">
        <w:rPr>
          <w:rFonts w:ascii="Cambria" w:hAnsi="Cambria"/>
          <w:sz w:val="16"/>
          <w:szCs w:val="16"/>
          <w:lang w:val="es-CO" w:eastAsia="es-ES"/>
        </w:rPr>
        <w:t xml:space="preserve">. Sentencia laboral del proceso número 42.01.00.1357-01, firmada por la Jueza Esmeralda Simões Martinez. Anexo a petición inicial. </w:t>
      </w:r>
    </w:p>
  </w:footnote>
  <w:footnote w:id="12">
    <w:p w:rsidR="00DA16A1" w:rsidRPr="00F075A9" w:rsidRDefault="00DA16A1">
      <w:pPr>
        <w:jc w:val="both"/>
        <w:rPr>
          <w:rStyle w:val="FootnoteReference"/>
          <w:rFonts w:ascii="Cambria" w:hAnsi="Cambria"/>
          <w:sz w:val="16"/>
          <w:szCs w:val="16"/>
          <w:lang w:val="es-CO" w:eastAsia="es-ES"/>
        </w:rPr>
      </w:pPr>
      <w:r w:rsidRPr="00B74E3A">
        <w:rPr>
          <w:rStyle w:val="FootnoteReference"/>
          <w:rFonts w:ascii="Cambria" w:hAnsi="Cambria"/>
          <w:sz w:val="16"/>
          <w:szCs w:val="16"/>
        </w:rPr>
        <w:footnoteRef/>
      </w:r>
      <w:r w:rsidRPr="00B74E3A">
        <w:rPr>
          <w:rFonts w:ascii="Cambria" w:hAnsi="Cambria"/>
          <w:sz w:val="16"/>
          <w:szCs w:val="16"/>
          <w:lang w:val="es-CO"/>
        </w:rPr>
        <w:t xml:space="preserve"> Anexo</w:t>
      </w:r>
      <w:r>
        <w:rPr>
          <w:rFonts w:ascii="Cambria" w:hAnsi="Cambria"/>
          <w:sz w:val="16"/>
          <w:szCs w:val="16"/>
          <w:lang w:val="es-CO"/>
        </w:rPr>
        <w:t xml:space="preserve"> 6</w:t>
      </w:r>
      <w:r w:rsidRPr="00B74E3A">
        <w:rPr>
          <w:rFonts w:ascii="Cambria" w:hAnsi="Cambria"/>
          <w:sz w:val="16"/>
          <w:szCs w:val="16"/>
          <w:lang w:val="es-CO"/>
        </w:rPr>
        <w:t xml:space="preserve">. Documento Síntesis del Grupo de Trabajo. </w:t>
      </w:r>
      <w:r w:rsidRPr="00F075A9">
        <w:rPr>
          <w:rFonts w:ascii="Cambria" w:hAnsi="Cambria"/>
          <w:sz w:val="16"/>
          <w:szCs w:val="16"/>
          <w:lang w:val="es-CO"/>
        </w:rPr>
        <w:t xml:space="preserve">Anexo a </w:t>
      </w:r>
      <w:r>
        <w:rPr>
          <w:rFonts w:ascii="Cambria" w:hAnsi="Cambria"/>
          <w:sz w:val="16"/>
          <w:szCs w:val="16"/>
          <w:lang w:val="es-CO"/>
        </w:rPr>
        <w:t>comunicación del Estado de 4 de agosto de 2008.</w:t>
      </w:r>
    </w:p>
  </w:footnote>
  <w:footnote w:id="13">
    <w:p w:rsidR="00DA16A1" w:rsidRPr="00B74E3A" w:rsidRDefault="00DA16A1">
      <w:pPr>
        <w:jc w:val="both"/>
        <w:rPr>
          <w:rFonts w:ascii="Cambria" w:hAnsi="Cambria"/>
          <w:sz w:val="16"/>
          <w:szCs w:val="16"/>
          <w:lang w:val="es-CO"/>
        </w:rPr>
      </w:pPr>
      <w:r w:rsidRPr="00B74E3A">
        <w:rPr>
          <w:rStyle w:val="FootnoteReference"/>
          <w:rFonts w:ascii="Cambria" w:hAnsi="Cambria"/>
          <w:sz w:val="16"/>
          <w:szCs w:val="16"/>
          <w:lang w:eastAsia="es-ES"/>
        </w:rPr>
        <w:footnoteRef/>
      </w:r>
      <w:r w:rsidRPr="00F075A9">
        <w:rPr>
          <w:rStyle w:val="FootnoteReference"/>
          <w:rFonts w:ascii="Cambria" w:hAnsi="Cambria"/>
          <w:sz w:val="16"/>
          <w:szCs w:val="16"/>
          <w:lang w:val="es-CO" w:eastAsia="es-ES"/>
        </w:rPr>
        <w:t xml:space="preserve"> </w:t>
      </w:r>
      <w:r w:rsidRPr="00F075A9">
        <w:rPr>
          <w:rFonts w:ascii="Cambria" w:hAnsi="Cambria"/>
          <w:sz w:val="16"/>
          <w:szCs w:val="16"/>
          <w:lang w:val="es-CO"/>
        </w:rPr>
        <w:t>Anexo</w:t>
      </w:r>
      <w:r>
        <w:rPr>
          <w:rFonts w:ascii="Cambria" w:hAnsi="Cambria"/>
          <w:sz w:val="16"/>
          <w:szCs w:val="16"/>
          <w:lang w:val="es-CO"/>
        </w:rPr>
        <w:t xml:space="preserve"> 7</w:t>
      </w:r>
      <w:r w:rsidRPr="00F075A9">
        <w:rPr>
          <w:rFonts w:ascii="Cambria" w:hAnsi="Cambria"/>
          <w:sz w:val="16"/>
          <w:szCs w:val="16"/>
          <w:lang w:val="es-CO"/>
        </w:rPr>
        <w:t xml:space="preserve">. </w:t>
      </w:r>
      <w:r w:rsidRPr="00B74E3A">
        <w:rPr>
          <w:rFonts w:ascii="Cambria" w:hAnsi="Cambria"/>
          <w:sz w:val="16"/>
          <w:szCs w:val="16"/>
          <w:lang w:val="es-CO"/>
        </w:rPr>
        <w:t>Acusación formal del Ministerio Publico de 12 de abril de 1999, expediente criminal 0000447-05.1999.8.05.0229, presentada por la parte peticionaria.</w:t>
      </w:r>
    </w:p>
  </w:footnote>
  <w:footnote w:id="14">
    <w:p w:rsidR="00DA16A1" w:rsidRPr="00B74E3A" w:rsidRDefault="00DA16A1">
      <w:pPr>
        <w:jc w:val="both"/>
        <w:rPr>
          <w:rFonts w:ascii="Cambria" w:hAnsi="Cambria"/>
          <w:sz w:val="16"/>
          <w:szCs w:val="16"/>
          <w:lang w:val="es-CO"/>
        </w:rPr>
      </w:pPr>
      <w:r w:rsidRPr="00B74E3A">
        <w:rPr>
          <w:rStyle w:val="FootnoteReference"/>
          <w:rFonts w:ascii="Cambria" w:hAnsi="Cambria"/>
          <w:sz w:val="16"/>
          <w:szCs w:val="16"/>
        </w:rPr>
        <w:footnoteRef/>
      </w:r>
      <w:r w:rsidRPr="00B74E3A">
        <w:rPr>
          <w:rFonts w:ascii="Cambria" w:hAnsi="Cambria"/>
          <w:sz w:val="16"/>
          <w:szCs w:val="16"/>
          <w:lang w:val="es-CO"/>
        </w:rPr>
        <w:t xml:space="preserve"> Anexo</w:t>
      </w:r>
      <w:r>
        <w:rPr>
          <w:rFonts w:ascii="Cambria" w:hAnsi="Cambria"/>
          <w:sz w:val="16"/>
          <w:szCs w:val="16"/>
          <w:lang w:val="es-CO"/>
        </w:rPr>
        <w:t xml:space="preserve"> 7</w:t>
      </w:r>
      <w:r w:rsidRPr="00B74E3A">
        <w:rPr>
          <w:rFonts w:ascii="Cambria" w:hAnsi="Cambria"/>
          <w:sz w:val="16"/>
          <w:szCs w:val="16"/>
          <w:lang w:val="es-CO"/>
        </w:rPr>
        <w:t>. Acusación formal del Ministerio Publico de 12 de abril de 1999, expediente criminal 0000447-05.1999.8.05.0229, presentada por la parte peticionaria.</w:t>
      </w:r>
    </w:p>
  </w:footnote>
  <w:footnote w:id="15">
    <w:p w:rsidR="00DA16A1" w:rsidRPr="00B74E3A" w:rsidRDefault="00DA16A1">
      <w:pPr>
        <w:jc w:val="both"/>
        <w:rPr>
          <w:rFonts w:ascii="Cambria" w:hAnsi="Cambria"/>
          <w:sz w:val="16"/>
          <w:szCs w:val="16"/>
          <w:lang w:val="es-CO"/>
        </w:rPr>
      </w:pPr>
      <w:r w:rsidRPr="00B74E3A">
        <w:rPr>
          <w:rStyle w:val="FootnoteReference"/>
          <w:rFonts w:ascii="Cambria" w:hAnsi="Cambria"/>
          <w:sz w:val="16"/>
          <w:szCs w:val="16"/>
        </w:rPr>
        <w:footnoteRef/>
      </w:r>
      <w:r w:rsidRPr="00B74E3A">
        <w:rPr>
          <w:rFonts w:ascii="Cambria" w:hAnsi="Cambria"/>
          <w:sz w:val="16"/>
          <w:szCs w:val="16"/>
          <w:lang w:val="es-CO"/>
        </w:rPr>
        <w:t xml:space="preserve"> Anexo</w:t>
      </w:r>
      <w:r>
        <w:rPr>
          <w:rFonts w:ascii="Cambria" w:hAnsi="Cambria"/>
          <w:sz w:val="16"/>
          <w:szCs w:val="16"/>
          <w:lang w:val="es-CO"/>
        </w:rPr>
        <w:t xml:space="preserve"> 7</w:t>
      </w:r>
      <w:r w:rsidRPr="00B74E3A">
        <w:rPr>
          <w:rFonts w:ascii="Cambria" w:hAnsi="Cambria"/>
          <w:sz w:val="16"/>
          <w:szCs w:val="16"/>
          <w:lang w:val="es-CO"/>
        </w:rPr>
        <w:t>. Acusación formal del Ministerio Publico de 12 de abril de 1999, expediente criminal 0000447-05.1999.8.05.0229, presentada por la parte peticionaria.</w:t>
      </w:r>
    </w:p>
  </w:footnote>
  <w:footnote w:id="16">
    <w:p w:rsidR="00DA16A1" w:rsidRPr="00B74E3A" w:rsidRDefault="00DA16A1">
      <w:pPr>
        <w:jc w:val="both"/>
        <w:rPr>
          <w:rFonts w:ascii="Cambria" w:eastAsia="Times New Roman" w:hAnsi="Cambria" w:cs="Arial"/>
          <w:sz w:val="16"/>
          <w:szCs w:val="16"/>
          <w:lang w:val="es-MX"/>
        </w:rPr>
      </w:pPr>
      <w:r w:rsidRPr="00B74E3A">
        <w:rPr>
          <w:rStyle w:val="FootnoteReference"/>
          <w:rFonts w:ascii="Cambria" w:hAnsi="Cambria"/>
          <w:sz w:val="16"/>
          <w:szCs w:val="16"/>
        </w:rPr>
        <w:footnoteRef/>
      </w:r>
      <w:r w:rsidRPr="00B74E3A">
        <w:rPr>
          <w:rStyle w:val="FootnoteReference"/>
          <w:rFonts w:ascii="Cambria" w:hAnsi="Cambria"/>
          <w:sz w:val="16"/>
          <w:szCs w:val="16"/>
          <w:lang w:val="es-MX"/>
        </w:rPr>
        <w:t xml:space="preserve"> </w:t>
      </w:r>
      <w:r w:rsidRPr="00B74E3A">
        <w:rPr>
          <w:rFonts w:ascii="Cambria" w:eastAsia="Times New Roman" w:hAnsi="Cambria" w:cs="Arial"/>
          <w:sz w:val="16"/>
          <w:szCs w:val="16"/>
          <w:lang w:val="es-MX"/>
        </w:rPr>
        <w:t>Anexo</w:t>
      </w:r>
      <w:r>
        <w:rPr>
          <w:rFonts w:ascii="Cambria" w:eastAsia="Times New Roman" w:hAnsi="Cambria" w:cs="Arial"/>
          <w:sz w:val="16"/>
          <w:szCs w:val="16"/>
          <w:lang w:val="es-MX"/>
        </w:rPr>
        <w:t xml:space="preserve"> 8</w:t>
      </w:r>
      <w:r w:rsidRPr="00B74E3A">
        <w:rPr>
          <w:rFonts w:ascii="Cambria" w:eastAsia="Times New Roman" w:hAnsi="Cambria" w:cs="Arial"/>
          <w:sz w:val="16"/>
          <w:szCs w:val="16"/>
          <w:lang w:val="es-MX"/>
        </w:rPr>
        <w:t>. Documental “Salve, Santo Antônio”, presentado por la parte peticionaria, de fecha de 2004.</w:t>
      </w:r>
    </w:p>
  </w:footnote>
  <w:footnote w:id="17">
    <w:p w:rsidR="00DA16A1" w:rsidRPr="00F075A9" w:rsidRDefault="00DA16A1">
      <w:pPr>
        <w:jc w:val="both"/>
        <w:rPr>
          <w:rFonts w:ascii="Cambria" w:eastAsia="Times New Roman" w:hAnsi="Cambria" w:cs="Arial"/>
          <w:sz w:val="16"/>
          <w:szCs w:val="16"/>
          <w:lang w:val="es-CO"/>
        </w:rPr>
      </w:pPr>
      <w:r w:rsidRPr="00B74E3A">
        <w:rPr>
          <w:rStyle w:val="FootnoteReference"/>
          <w:rFonts w:ascii="Cambria" w:hAnsi="Cambria"/>
          <w:sz w:val="16"/>
          <w:szCs w:val="16"/>
        </w:rPr>
        <w:footnoteRef/>
      </w:r>
      <w:r w:rsidRPr="00B74E3A">
        <w:rPr>
          <w:rStyle w:val="FootnoteReference"/>
          <w:rFonts w:ascii="Cambria" w:hAnsi="Cambria"/>
          <w:sz w:val="16"/>
          <w:szCs w:val="16"/>
          <w:lang w:val="es-MX"/>
        </w:rPr>
        <w:t xml:space="preserve"> </w:t>
      </w:r>
      <w:r w:rsidRPr="00B74E3A">
        <w:rPr>
          <w:rFonts w:ascii="Cambria" w:eastAsia="Times New Roman" w:hAnsi="Cambria" w:cs="Arial"/>
          <w:sz w:val="16"/>
          <w:szCs w:val="16"/>
          <w:lang w:val="es-MX"/>
        </w:rPr>
        <w:t>Anexo</w:t>
      </w:r>
      <w:r>
        <w:rPr>
          <w:rFonts w:ascii="Cambria" w:eastAsia="Times New Roman" w:hAnsi="Cambria" w:cs="Arial"/>
          <w:sz w:val="16"/>
          <w:szCs w:val="16"/>
          <w:lang w:val="es-MX"/>
        </w:rPr>
        <w:t xml:space="preserve"> 5</w:t>
      </w:r>
      <w:r w:rsidRPr="00B74E3A">
        <w:rPr>
          <w:rFonts w:ascii="Cambria" w:eastAsia="Times New Roman" w:hAnsi="Cambria" w:cs="Arial"/>
          <w:sz w:val="16"/>
          <w:szCs w:val="16"/>
          <w:lang w:val="es-MX"/>
        </w:rPr>
        <w:t xml:space="preserve">. Sentencia laboral del proceso número 42.01.00.1357-01. </w:t>
      </w:r>
      <w:r w:rsidRPr="00F075A9">
        <w:rPr>
          <w:rFonts w:ascii="Cambria" w:eastAsia="Times New Roman" w:hAnsi="Cambria" w:cs="Arial"/>
          <w:sz w:val="16"/>
          <w:szCs w:val="16"/>
          <w:lang w:val="es-CO"/>
        </w:rPr>
        <w:t xml:space="preserve">Anexo a petición inicial. </w:t>
      </w:r>
    </w:p>
  </w:footnote>
  <w:footnote w:id="18">
    <w:p w:rsidR="00DA16A1" w:rsidRPr="00B74E3A" w:rsidRDefault="00DA16A1">
      <w:pPr>
        <w:jc w:val="both"/>
        <w:rPr>
          <w:rFonts w:ascii="Cambria" w:eastAsia="Times New Roman" w:hAnsi="Cambria" w:cs="Arial"/>
          <w:sz w:val="16"/>
          <w:szCs w:val="16"/>
          <w:lang w:val="es-MX"/>
        </w:rPr>
      </w:pPr>
      <w:r w:rsidRPr="00B74E3A">
        <w:rPr>
          <w:rStyle w:val="FootnoteReference"/>
          <w:rFonts w:ascii="Cambria" w:hAnsi="Cambria"/>
          <w:sz w:val="16"/>
          <w:szCs w:val="16"/>
        </w:rPr>
        <w:footnoteRef/>
      </w:r>
      <w:r w:rsidRPr="00F075A9">
        <w:rPr>
          <w:rStyle w:val="FootnoteReference"/>
          <w:rFonts w:ascii="Cambria" w:hAnsi="Cambria"/>
          <w:sz w:val="16"/>
          <w:szCs w:val="16"/>
          <w:lang w:val="es-CO"/>
        </w:rPr>
        <w:t xml:space="preserve"> </w:t>
      </w:r>
      <w:r w:rsidRPr="00F075A9">
        <w:rPr>
          <w:rFonts w:ascii="Cambria" w:eastAsia="Times New Roman" w:hAnsi="Cambria" w:cs="Arial"/>
          <w:sz w:val="16"/>
          <w:szCs w:val="16"/>
          <w:lang w:val="es-CO"/>
        </w:rPr>
        <w:t>Anexo</w:t>
      </w:r>
      <w:r>
        <w:rPr>
          <w:rFonts w:ascii="Cambria" w:eastAsia="Times New Roman" w:hAnsi="Cambria" w:cs="Arial"/>
          <w:sz w:val="16"/>
          <w:szCs w:val="16"/>
          <w:lang w:val="es-CO"/>
        </w:rPr>
        <w:t xml:space="preserve"> 9</w:t>
      </w:r>
      <w:r w:rsidRPr="00F075A9">
        <w:rPr>
          <w:rFonts w:ascii="Cambria" w:eastAsia="Times New Roman" w:hAnsi="Cambria" w:cs="Arial"/>
          <w:sz w:val="16"/>
          <w:szCs w:val="16"/>
          <w:lang w:val="es-CO"/>
        </w:rPr>
        <w:t xml:space="preserve">. </w:t>
      </w:r>
      <w:r w:rsidRPr="00B74E3A">
        <w:rPr>
          <w:rFonts w:ascii="Cambria" w:eastAsia="Times New Roman" w:hAnsi="Cambria" w:cs="Arial"/>
          <w:sz w:val="16"/>
          <w:szCs w:val="16"/>
          <w:lang w:val="es-MX"/>
        </w:rPr>
        <w:t xml:space="preserve">Certificado de Registro número 381 – SFPC/6, de fecha de 19 de diciembre de 1995. Anexo a petición inicial. </w:t>
      </w:r>
    </w:p>
  </w:footnote>
  <w:footnote w:id="19">
    <w:p w:rsidR="00DA16A1" w:rsidRPr="00B74E3A" w:rsidRDefault="00DA16A1">
      <w:pPr>
        <w:jc w:val="both"/>
        <w:rPr>
          <w:rFonts w:ascii="Cambria" w:eastAsia="Times New Roman" w:hAnsi="Cambria" w:cs="Arial"/>
          <w:sz w:val="16"/>
          <w:szCs w:val="16"/>
          <w:lang w:val="es-MX"/>
        </w:rPr>
      </w:pPr>
      <w:r w:rsidRPr="00B74E3A">
        <w:rPr>
          <w:rStyle w:val="FootnoteReference"/>
          <w:rFonts w:ascii="Cambria" w:hAnsi="Cambria"/>
          <w:sz w:val="16"/>
          <w:szCs w:val="16"/>
        </w:rPr>
        <w:footnoteRef/>
      </w:r>
      <w:r w:rsidRPr="00B74E3A">
        <w:rPr>
          <w:rStyle w:val="FootnoteReference"/>
          <w:rFonts w:ascii="Cambria" w:hAnsi="Cambria"/>
          <w:sz w:val="16"/>
          <w:szCs w:val="16"/>
          <w:lang w:val="es-MX"/>
        </w:rPr>
        <w:t xml:space="preserve"> </w:t>
      </w:r>
      <w:r w:rsidRPr="00B74E3A">
        <w:rPr>
          <w:rFonts w:ascii="Cambria" w:eastAsia="Times New Roman" w:hAnsi="Cambria" w:cs="Arial"/>
          <w:sz w:val="16"/>
          <w:szCs w:val="16"/>
          <w:lang w:val="es-MX"/>
        </w:rPr>
        <w:t>Anexo</w:t>
      </w:r>
      <w:r>
        <w:rPr>
          <w:rFonts w:ascii="Cambria" w:eastAsia="Times New Roman" w:hAnsi="Cambria" w:cs="Arial"/>
          <w:sz w:val="16"/>
          <w:szCs w:val="16"/>
          <w:lang w:val="es-MX"/>
        </w:rPr>
        <w:t>10</w:t>
      </w:r>
      <w:r w:rsidRPr="00B74E3A">
        <w:rPr>
          <w:rFonts w:ascii="Cambria" w:eastAsia="Times New Roman" w:hAnsi="Cambria" w:cs="Arial"/>
          <w:sz w:val="16"/>
          <w:szCs w:val="16"/>
          <w:lang w:val="es-MX"/>
        </w:rPr>
        <w:t>. Oficios números 592-SFPC/6 y 612-SFPC/6 y Portaría número 13/DMB de 1999. Anexo a petición inicial.</w:t>
      </w:r>
    </w:p>
  </w:footnote>
  <w:footnote w:id="20">
    <w:p w:rsidR="00DA16A1" w:rsidRPr="00B74E3A" w:rsidRDefault="00DA16A1">
      <w:pPr>
        <w:jc w:val="both"/>
        <w:rPr>
          <w:rStyle w:val="FootnoteReference"/>
          <w:rFonts w:ascii="Cambria" w:hAnsi="Cambria"/>
          <w:sz w:val="16"/>
          <w:szCs w:val="16"/>
          <w:lang w:val="es-MX"/>
        </w:rPr>
      </w:pPr>
      <w:r w:rsidRPr="00B74E3A">
        <w:rPr>
          <w:rStyle w:val="FootnoteReference"/>
          <w:rFonts w:ascii="Cambria" w:hAnsi="Cambria"/>
          <w:sz w:val="16"/>
          <w:szCs w:val="16"/>
        </w:rPr>
        <w:footnoteRef/>
      </w:r>
      <w:r w:rsidRPr="00B74E3A">
        <w:rPr>
          <w:rFonts w:ascii="Cambria" w:hAnsi="Cambria"/>
          <w:sz w:val="16"/>
          <w:szCs w:val="16"/>
          <w:lang w:val="es-CO"/>
        </w:rPr>
        <w:t xml:space="preserve"> Anexo</w:t>
      </w:r>
      <w:r>
        <w:rPr>
          <w:rFonts w:ascii="Cambria" w:hAnsi="Cambria"/>
          <w:sz w:val="16"/>
          <w:szCs w:val="16"/>
          <w:lang w:val="es-CO"/>
        </w:rPr>
        <w:t xml:space="preserve"> 11</w:t>
      </w:r>
      <w:r w:rsidRPr="00B74E3A">
        <w:rPr>
          <w:rFonts w:ascii="Cambria" w:hAnsi="Cambria"/>
          <w:sz w:val="16"/>
          <w:szCs w:val="16"/>
          <w:lang w:val="es-CO"/>
        </w:rPr>
        <w:t xml:space="preserve">. Constancia de confiscación, del 13 de diciembre de 1998. Anexo a petición inicial. </w:t>
      </w:r>
    </w:p>
  </w:footnote>
  <w:footnote w:id="21">
    <w:p w:rsidR="00DA16A1" w:rsidRPr="00B74E3A" w:rsidRDefault="00DA16A1" w:rsidP="00EA2E09">
      <w:pPr>
        <w:jc w:val="both"/>
        <w:rPr>
          <w:rFonts w:ascii="Cambria" w:hAnsi="Cambria"/>
          <w:sz w:val="16"/>
          <w:szCs w:val="16"/>
          <w:lang w:val="es-CO"/>
        </w:rPr>
      </w:pPr>
      <w:r w:rsidRPr="00B74E3A">
        <w:rPr>
          <w:rStyle w:val="FootnoteReference"/>
          <w:rFonts w:ascii="Cambria" w:hAnsi="Cambria"/>
          <w:sz w:val="16"/>
          <w:szCs w:val="16"/>
        </w:rPr>
        <w:footnoteRef/>
      </w:r>
      <w:r w:rsidRPr="00B74E3A">
        <w:rPr>
          <w:rStyle w:val="FootnoteReference"/>
          <w:rFonts w:ascii="Cambria" w:hAnsi="Cambria"/>
          <w:sz w:val="16"/>
          <w:szCs w:val="16"/>
          <w:lang w:val="es-CO"/>
        </w:rPr>
        <w:t xml:space="preserve"> </w:t>
      </w:r>
      <w:r w:rsidRPr="00B74E3A">
        <w:rPr>
          <w:rFonts w:ascii="Cambria" w:hAnsi="Cambria"/>
          <w:sz w:val="16"/>
          <w:szCs w:val="16"/>
          <w:lang w:val="es-CO"/>
        </w:rPr>
        <w:t>Anexo</w:t>
      </w:r>
      <w:r>
        <w:rPr>
          <w:rFonts w:ascii="Cambria" w:hAnsi="Cambria"/>
          <w:sz w:val="16"/>
          <w:szCs w:val="16"/>
          <w:lang w:val="es-CO"/>
        </w:rPr>
        <w:t xml:space="preserve"> 12</w:t>
      </w:r>
      <w:r w:rsidRPr="00B74E3A">
        <w:rPr>
          <w:rFonts w:ascii="Cambria" w:hAnsi="Cambria"/>
          <w:sz w:val="16"/>
          <w:szCs w:val="16"/>
          <w:lang w:val="es-CO"/>
        </w:rPr>
        <w:t xml:space="preserve">. </w:t>
      </w:r>
      <w:r w:rsidRPr="00B74E3A">
        <w:rPr>
          <w:rFonts w:ascii="Cambria" w:hAnsi="Cambria"/>
          <w:sz w:val="16"/>
          <w:szCs w:val="16"/>
          <w:lang w:val="es-MX"/>
        </w:rPr>
        <w:t>Examen Pericial de 8 de enero de 1999. Anexo a petición inicial.</w:t>
      </w:r>
    </w:p>
  </w:footnote>
  <w:footnote w:id="22">
    <w:p w:rsidR="00DA16A1" w:rsidRPr="00B74E3A" w:rsidRDefault="00DA16A1">
      <w:pPr>
        <w:jc w:val="both"/>
        <w:rPr>
          <w:rStyle w:val="FootnoteReference"/>
          <w:rFonts w:ascii="Cambria" w:hAnsi="Cambria"/>
          <w:sz w:val="16"/>
          <w:szCs w:val="16"/>
          <w:lang w:val="es-MX"/>
        </w:rPr>
      </w:pPr>
      <w:r w:rsidRPr="00B74E3A">
        <w:rPr>
          <w:rStyle w:val="FootnoteReference"/>
          <w:rFonts w:ascii="Cambria" w:hAnsi="Cambria"/>
          <w:sz w:val="16"/>
          <w:szCs w:val="16"/>
        </w:rPr>
        <w:footnoteRef/>
      </w:r>
      <w:r w:rsidRPr="00B74E3A">
        <w:rPr>
          <w:rStyle w:val="FootnoteReference"/>
          <w:rFonts w:ascii="Cambria" w:hAnsi="Cambria"/>
          <w:sz w:val="16"/>
          <w:szCs w:val="16"/>
          <w:lang w:val="es-MX"/>
        </w:rPr>
        <w:t xml:space="preserve"> </w:t>
      </w:r>
      <w:r w:rsidRPr="00B74E3A">
        <w:rPr>
          <w:rFonts w:ascii="Cambria" w:hAnsi="Cambria"/>
          <w:sz w:val="16"/>
          <w:szCs w:val="16"/>
          <w:lang w:val="es-CO"/>
        </w:rPr>
        <w:t>Anexo</w:t>
      </w:r>
      <w:r>
        <w:rPr>
          <w:rFonts w:ascii="Cambria" w:hAnsi="Cambria"/>
          <w:sz w:val="16"/>
          <w:szCs w:val="16"/>
          <w:lang w:val="es-CO"/>
        </w:rPr>
        <w:t xml:space="preserve"> 13</w:t>
      </w:r>
      <w:r w:rsidRPr="00B74E3A">
        <w:rPr>
          <w:rFonts w:ascii="Cambria" w:hAnsi="Cambria"/>
          <w:sz w:val="16"/>
          <w:szCs w:val="16"/>
          <w:lang w:val="es-CO"/>
        </w:rPr>
        <w:t xml:space="preserve">. Oficio 592-SFPC/6, resumen de supervisión del 13 de octubre de 1999. Anexo a petición inicial. </w:t>
      </w:r>
      <w:r w:rsidRPr="00B74E3A">
        <w:rPr>
          <w:rStyle w:val="FootnoteReference"/>
          <w:rFonts w:ascii="Cambria" w:hAnsi="Cambria"/>
          <w:sz w:val="16"/>
          <w:szCs w:val="16"/>
          <w:lang w:val="es-MX"/>
        </w:rPr>
        <w:t xml:space="preserve"> </w:t>
      </w:r>
    </w:p>
  </w:footnote>
  <w:footnote w:id="23">
    <w:p w:rsidR="00DA16A1" w:rsidRPr="008C6584" w:rsidRDefault="00DA16A1" w:rsidP="00B901BF">
      <w:pPr>
        <w:pStyle w:val="FootnoteText"/>
        <w:rPr>
          <w:lang w:val="es-MX"/>
        </w:rPr>
      </w:pPr>
      <w:r w:rsidRPr="00F075A9">
        <w:rPr>
          <w:rStyle w:val="FootnoteReference"/>
          <w:rFonts w:asciiTheme="majorHAnsi" w:hAnsiTheme="majorHAnsi"/>
          <w:sz w:val="16"/>
          <w:szCs w:val="16"/>
        </w:rPr>
        <w:footnoteRef/>
      </w:r>
      <w:r w:rsidRPr="00F075A9">
        <w:rPr>
          <w:rFonts w:asciiTheme="majorHAnsi" w:hAnsiTheme="majorHAnsi"/>
          <w:sz w:val="16"/>
          <w:szCs w:val="16"/>
          <w:lang w:val="es-MX"/>
        </w:rPr>
        <w:t xml:space="preserve"> </w:t>
      </w:r>
      <w:r w:rsidRPr="00F075A9">
        <w:rPr>
          <w:rFonts w:asciiTheme="majorHAnsi" w:hAnsiTheme="majorHAnsi"/>
          <w:sz w:val="16"/>
          <w:szCs w:val="16"/>
          <w:lang w:val="es-CO"/>
        </w:rPr>
        <w:t>Anexo</w:t>
      </w:r>
      <w:r>
        <w:rPr>
          <w:rFonts w:asciiTheme="majorHAnsi" w:hAnsiTheme="majorHAnsi"/>
          <w:sz w:val="16"/>
          <w:szCs w:val="16"/>
          <w:lang w:val="es-CO"/>
        </w:rPr>
        <w:t xml:space="preserve"> 13</w:t>
      </w:r>
      <w:r w:rsidRPr="00F075A9">
        <w:rPr>
          <w:rFonts w:asciiTheme="majorHAnsi" w:hAnsiTheme="majorHAnsi"/>
          <w:sz w:val="16"/>
          <w:szCs w:val="16"/>
          <w:lang w:val="es-CO"/>
        </w:rPr>
        <w:t>. Oficio 592</w:t>
      </w:r>
      <w:r w:rsidRPr="00F075A9">
        <w:rPr>
          <w:rFonts w:ascii="Cambria" w:hAnsi="Cambria"/>
          <w:sz w:val="16"/>
          <w:szCs w:val="16"/>
          <w:lang w:val="es-CO"/>
        </w:rPr>
        <w:t>-592-SFPC/6, resumen de supervisión del 13 de octubre de 1999. Anexo a petición inicial.</w:t>
      </w:r>
    </w:p>
  </w:footnote>
  <w:footnote w:id="24">
    <w:p w:rsidR="00DA16A1" w:rsidRPr="00B74E3A" w:rsidRDefault="00DA16A1">
      <w:pPr>
        <w:jc w:val="both"/>
        <w:rPr>
          <w:rStyle w:val="FootnoteReference"/>
          <w:rFonts w:ascii="Cambria" w:hAnsi="Cambria"/>
          <w:sz w:val="16"/>
          <w:szCs w:val="16"/>
          <w:lang w:val="es-CO"/>
        </w:rPr>
      </w:pPr>
      <w:r w:rsidRPr="00B74E3A">
        <w:rPr>
          <w:rStyle w:val="FootnoteReference"/>
          <w:rFonts w:ascii="Cambria" w:hAnsi="Cambria"/>
          <w:sz w:val="16"/>
          <w:szCs w:val="16"/>
        </w:rPr>
        <w:footnoteRef/>
      </w:r>
      <w:r w:rsidRPr="00B74E3A">
        <w:rPr>
          <w:rStyle w:val="FootnoteReference"/>
          <w:rFonts w:ascii="Cambria" w:hAnsi="Cambria"/>
          <w:sz w:val="16"/>
          <w:szCs w:val="16"/>
          <w:lang w:val="es-MX"/>
        </w:rPr>
        <w:t xml:space="preserve"> </w:t>
      </w:r>
      <w:r w:rsidRPr="00B74E3A">
        <w:rPr>
          <w:rFonts w:ascii="Cambria" w:hAnsi="Cambria"/>
          <w:sz w:val="16"/>
          <w:szCs w:val="16"/>
          <w:lang w:val="es-CO"/>
        </w:rPr>
        <w:t>Anexo</w:t>
      </w:r>
      <w:r>
        <w:rPr>
          <w:rFonts w:ascii="Cambria" w:hAnsi="Cambria"/>
          <w:sz w:val="16"/>
          <w:szCs w:val="16"/>
          <w:lang w:val="es-CO"/>
        </w:rPr>
        <w:t xml:space="preserve"> 14</w:t>
      </w:r>
      <w:r w:rsidRPr="00B74E3A">
        <w:rPr>
          <w:rFonts w:ascii="Cambria" w:hAnsi="Cambria"/>
          <w:sz w:val="16"/>
          <w:szCs w:val="16"/>
          <w:lang w:val="es-CO"/>
        </w:rPr>
        <w:t>. Resolución del proceso administrativo del Ejército Brasileño, del 2 de diciembre de 1</w:t>
      </w:r>
      <w:r>
        <w:rPr>
          <w:rFonts w:ascii="Cambria" w:hAnsi="Cambria"/>
          <w:sz w:val="16"/>
          <w:szCs w:val="16"/>
          <w:lang w:val="es-CO"/>
        </w:rPr>
        <w:t xml:space="preserve">999. Anexo a petición inicial. </w:t>
      </w:r>
    </w:p>
  </w:footnote>
  <w:footnote w:id="25">
    <w:p w:rsidR="00DA16A1" w:rsidRPr="00B74E3A" w:rsidRDefault="00DA16A1">
      <w:pPr>
        <w:jc w:val="both"/>
        <w:rPr>
          <w:rFonts w:ascii="Cambria" w:hAnsi="Cambria"/>
          <w:sz w:val="16"/>
          <w:szCs w:val="16"/>
          <w:lang w:val="es-CO"/>
        </w:rPr>
      </w:pPr>
      <w:r w:rsidRPr="00B74E3A">
        <w:rPr>
          <w:rStyle w:val="FootnoteReference"/>
          <w:rFonts w:ascii="Cambria" w:hAnsi="Cambria"/>
          <w:sz w:val="16"/>
          <w:szCs w:val="16"/>
        </w:rPr>
        <w:footnoteRef/>
      </w:r>
      <w:r w:rsidRPr="00B74E3A">
        <w:rPr>
          <w:rFonts w:ascii="Cambria" w:hAnsi="Cambria"/>
          <w:sz w:val="16"/>
          <w:szCs w:val="16"/>
          <w:lang w:val="es-CO"/>
        </w:rPr>
        <w:t xml:space="preserve"> Anexo</w:t>
      </w:r>
      <w:r>
        <w:rPr>
          <w:rFonts w:ascii="Cambria" w:hAnsi="Cambria"/>
          <w:sz w:val="16"/>
          <w:szCs w:val="16"/>
          <w:lang w:val="es-CO"/>
        </w:rPr>
        <w:t xml:space="preserve"> 15</w:t>
      </w:r>
      <w:r w:rsidRPr="00B74E3A">
        <w:rPr>
          <w:rFonts w:ascii="Cambria" w:hAnsi="Cambria"/>
          <w:sz w:val="16"/>
          <w:szCs w:val="16"/>
          <w:lang w:val="es-CO"/>
        </w:rPr>
        <w:t>. Decreto número 2.998, de 23 de marzo de 1999.</w:t>
      </w:r>
    </w:p>
  </w:footnote>
  <w:footnote w:id="26">
    <w:p w:rsidR="00DA16A1" w:rsidRPr="00B74E3A" w:rsidRDefault="00DA16A1">
      <w:pPr>
        <w:jc w:val="both"/>
        <w:rPr>
          <w:rFonts w:ascii="Cambria" w:hAnsi="Cambria"/>
          <w:sz w:val="16"/>
          <w:szCs w:val="16"/>
          <w:lang w:val="es-CO"/>
        </w:rPr>
      </w:pPr>
      <w:r w:rsidRPr="00B74E3A">
        <w:rPr>
          <w:rStyle w:val="FootnoteReference"/>
          <w:rFonts w:ascii="Cambria" w:hAnsi="Cambria"/>
          <w:sz w:val="16"/>
          <w:szCs w:val="16"/>
        </w:rPr>
        <w:footnoteRef/>
      </w:r>
      <w:r w:rsidRPr="00B74E3A">
        <w:rPr>
          <w:rFonts w:ascii="Cambria" w:hAnsi="Cambria"/>
          <w:sz w:val="16"/>
          <w:szCs w:val="16"/>
          <w:lang w:val="es-CO"/>
        </w:rPr>
        <w:t xml:space="preserve"> Anexo</w:t>
      </w:r>
      <w:r>
        <w:rPr>
          <w:rFonts w:ascii="Cambria" w:hAnsi="Cambria"/>
          <w:sz w:val="16"/>
          <w:szCs w:val="16"/>
          <w:lang w:val="es-CO"/>
        </w:rPr>
        <w:t xml:space="preserve"> 5</w:t>
      </w:r>
      <w:r w:rsidRPr="00B74E3A">
        <w:rPr>
          <w:rFonts w:ascii="Cambria" w:hAnsi="Cambria"/>
          <w:sz w:val="16"/>
          <w:szCs w:val="16"/>
          <w:lang w:val="es-CO"/>
        </w:rPr>
        <w:t>. Sentencia laboral del proceso número 42.01.00.135</w:t>
      </w:r>
      <w:r>
        <w:rPr>
          <w:rFonts w:ascii="Cambria" w:hAnsi="Cambria"/>
          <w:sz w:val="16"/>
          <w:szCs w:val="16"/>
          <w:lang w:val="es-CO"/>
        </w:rPr>
        <w:t>7-01. Anexo a petición inicial.</w:t>
      </w:r>
    </w:p>
  </w:footnote>
  <w:footnote w:id="27">
    <w:p w:rsidR="00DA16A1" w:rsidRPr="00B74E3A" w:rsidRDefault="00DA16A1">
      <w:pPr>
        <w:jc w:val="both"/>
        <w:rPr>
          <w:rFonts w:ascii="Cambria" w:hAnsi="Cambria"/>
          <w:sz w:val="16"/>
          <w:szCs w:val="16"/>
          <w:lang w:val="es-CO"/>
        </w:rPr>
      </w:pPr>
      <w:r w:rsidRPr="00B74E3A">
        <w:rPr>
          <w:rStyle w:val="FootnoteReference"/>
          <w:rFonts w:ascii="Cambria" w:hAnsi="Cambria"/>
          <w:sz w:val="16"/>
          <w:szCs w:val="16"/>
        </w:rPr>
        <w:footnoteRef/>
      </w:r>
      <w:r w:rsidRPr="00B74E3A">
        <w:rPr>
          <w:rFonts w:ascii="Cambria" w:hAnsi="Cambria"/>
          <w:sz w:val="16"/>
          <w:szCs w:val="16"/>
          <w:lang w:val="es-CO"/>
        </w:rPr>
        <w:t xml:space="preserve"> Anexo</w:t>
      </w:r>
      <w:r>
        <w:rPr>
          <w:rFonts w:ascii="Cambria" w:hAnsi="Cambria"/>
          <w:sz w:val="16"/>
          <w:szCs w:val="16"/>
          <w:lang w:val="es-CO"/>
        </w:rPr>
        <w:t xml:space="preserve"> 16</w:t>
      </w:r>
      <w:r w:rsidRPr="00B74E3A">
        <w:rPr>
          <w:rFonts w:ascii="Cambria" w:hAnsi="Cambria"/>
          <w:sz w:val="16"/>
          <w:szCs w:val="16"/>
          <w:lang w:val="es-CO"/>
        </w:rPr>
        <w:t xml:space="preserve">. Oficio número 774-SFPC/6 de la 6ª Región Militar de 26 de octubre de 1999. Anexo a petición inicial. </w:t>
      </w:r>
    </w:p>
  </w:footnote>
  <w:footnote w:id="28">
    <w:p w:rsidR="00DA16A1" w:rsidRPr="00B74E3A" w:rsidRDefault="00DA16A1">
      <w:pPr>
        <w:jc w:val="both"/>
        <w:rPr>
          <w:rFonts w:ascii="Cambria" w:hAnsi="Cambria"/>
          <w:sz w:val="16"/>
          <w:szCs w:val="16"/>
          <w:lang w:val="es-CO"/>
        </w:rPr>
      </w:pPr>
      <w:r w:rsidRPr="00B74E3A">
        <w:rPr>
          <w:rStyle w:val="FootnoteReference"/>
          <w:rFonts w:ascii="Cambria" w:hAnsi="Cambria"/>
          <w:sz w:val="16"/>
          <w:szCs w:val="16"/>
        </w:rPr>
        <w:footnoteRef/>
      </w:r>
      <w:r w:rsidRPr="00B74E3A">
        <w:rPr>
          <w:rStyle w:val="FootnoteReference"/>
          <w:rFonts w:ascii="Cambria" w:hAnsi="Cambria"/>
          <w:sz w:val="16"/>
          <w:szCs w:val="16"/>
          <w:lang w:val="es-CO"/>
        </w:rPr>
        <w:t xml:space="preserve"> </w:t>
      </w:r>
      <w:r w:rsidRPr="00B74E3A">
        <w:rPr>
          <w:rFonts w:ascii="Cambria" w:hAnsi="Cambria"/>
          <w:sz w:val="16"/>
          <w:szCs w:val="16"/>
          <w:lang w:val="es-CO"/>
        </w:rPr>
        <w:t>Anexo</w:t>
      </w:r>
      <w:r>
        <w:rPr>
          <w:rFonts w:ascii="Cambria" w:hAnsi="Cambria"/>
          <w:sz w:val="16"/>
          <w:szCs w:val="16"/>
          <w:lang w:val="es-CO"/>
        </w:rPr>
        <w:t>16</w:t>
      </w:r>
      <w:r w:rsidRPr="00B74E3A">
        <w:rPr>
          <w:rFonts w:ascii="Cambria" w:hAnsi="Cambria"/>
          <w:sz w:val="16"/>
          <w:szCs w:val="16"/>
          <w:lang w:val="es-CO"/>
        </w:rPr>
        <w:t>. Oficio número 774-SFPC/6 de 26 de octubre de 1999. Anexo a la petición inicial.</w:t>
      </w:r>
    </w:p>
  </w:footnote>
  <w:footnote w:id="29">
    <w:p w:rsidR="00DA16A1" w:rsidRPr="00B74E3A" w:rsidRDefault="00DA16A1">
      <w:pPr>
        <w:jc w:val="both"/>
        <w:rPr>
          <w:rFonts w:ascii="Cambria" w:hAnsi="Cambria"/>
          <w:sz w:val="16"/>
          <w:szCs w:val="16"/>
          <w:lang w:val="es-CO"/>
        </w:rPr>
      </w:pPr>
      <w:r w:rsidRPr="00B74E3A">
        <w:rPr>
          <w:rStyle w:val="FootnoteReference"/>
          <w:rFonts w:ascii="Cambria" w:hAnsi="Cambria"/>
          <w:sz w:val="16"/>
          <w:szCs w:val="16"/>
        </w:rPr>
        <w:footnoteRef/>
      </w:r>
      <w:r w:rsidRPr="00B74E3A">
        <w:rPr>
          <w:rStyle w:val="FootnoteReference"/>
          <w:rFonts w:ascii="Cambria" w:hAnsi="Cambria"/>
          <w:sz w:val="16"/>
          <w:szCs w:val="16"/>
          <w:lang w:val="es-CO"/>
        </w:rPr>
        <w:t xml:space="preserve"> </w:t>
      </w:r>
      <w:r w:rsidRPr="00B74E3A">
        <w:rPr>
          <w:rFonts w:ascii="Cambria" w:hAnsi="Cambria"/>
          <w:sz w:val="16"/>
          <w:szCs w:val="16"/>
          <w:lang w:val="es-CO"/>
        </w:rPr>
        <w:t>Anexo</w:t>
      </w:r>
      <w:r>
        <w:rPr>
          <w:rFonts w:ascii="Cambria" w:hAnsi="Cambria"/>
          <w:sz w:val="16"/>
          <w:szCs w:val="16"/>
          <w:lang w:val="es-CO"/>
        </w:rPr>
        <w:t xml:space="preserve"> 5</w:t>
      </w:r>
      <w:r w:rsidRPr="00B74E3A">
        <w:rPr>
          <w:rFonts w:ascii="Cambria" w:hAnsi="Cambria"/>
          <w:sz w:val="16"/>
          <w:szCs w:val="16"/>
          <w:lang w:val="es-CO"/>
        </w:rPr>
        <w:t xml:space="preserve">. Sentencia laboral del proceso número 42.01.00.1357-01. Anexo a la petición inicial. </w:t>
      </w:r>
    </w:p>
  </w:footnote>
  <w:footnote w:id="30">
    <w:p w:rsidR="00DA16A1" w:rsidRPr="00B74E3A" w:rsidRDefault="00DA16A1">
      <w:pPr>
        <w:jc w:val="both"/>
        <w:rPr>
          <w:rFonts w:ascii="Cambria" w:hAnsi="Cambria"/>
          <w:sz w:val="16"/>
          <w:szCs w:val="16"/>
          <w:lang w:val="es-CO"/>
        </w:rPr>
      </w:pPr>
      <w:r w:rsidRPr="00B74E3A">
        <w:rPr>
          <w:rStyle w:val="FootnoteReference"/>
          <w:rFonts w:ascii="Cambria" w:hAnsi="Cambria"/>
          <w:sz w:val="16"/>
          <w:szCs w:val="16"/>
        </w:rPr>
        <w:footnoteRef/>
      </w:r>
      <w:r w:rsidRPr="00B74E3A">
        <w:rPr>
          <w:rStyle w:val="FootnoteReference"/>
          <w:rFonts w:ascii="Cambria" w:hAnsi="Cambria"/>
          <w:sz w:val="16"/>
          <w:szCs w:val="16"/>
          <w:lang w:val="es-MX"/>
        </w:rPr>
        <w:t xml:space="preserve"> </w:t>
      </w:r>
      <w:r w:rsidRPr="00B74E3A">
        <w:rPr>
          <w:rFonts w:ascii="Cambria" w:hAnsi="Cambria"/>
          <w:sz w:val="16"/>
          <w:szCs w:val="16"/>
          <w:lang w:val="es-CO"/>
        </w:rPr>
        <w:t>Anexo</w:t>
      </w:r>
      <w:r>
        <w:rPr>
          <w:rFonts w:ascii="Cambria" w:hAnsi="Cambria"/>
          <w:sz w:val="16"/>
          <w:szCs w:val="16"/>
          <w:lang w:val="es-CO"/>
        </w:rPr>
        <w:t xml:space="preserve"> 17</w:t>
      </w:r>
      <w:r w:rsidRPr="00B74E3A">
        <w:rPr>
          <w:rFonts w:ascii="Cambria" w:hAnsi="Cambria"/>
          <w:sz w:val="16"/>
          <w:szCs w:val="16"/>
          <w:lang w:val="es-CO"/>
        </w:rPr>
        <w:t>. Escrito de la parte peticionaria de 15 de junio de 2007.</w:t>
      </w:r>
    </w:p>
  </w:footnote>
  <w:footnote w:id="31">
    <w:p w:rsidR="00DA16A1" w:rsidRPr="00B74E3A" w:rsidRDefault="00DA16A1">
      <w:pPr>
        <w:jc w:val="both"/>
        <w:rPr>
          <w:rStyle w:val="FootnoteReference"/>
          <w:rFonts w:ascii="Cambria" w:hAnsi="Cambria"/>
          <w:sz w:val="16"/>
          <w:szCs w:val="16"/>
          <w:lang w:val="es-MX"/>
        </w:rPr>
      </w:pPr>
      <w:r w:rsidRPr="00B74E3A">
        <w:rPr>
          <w:rStyle w:val="FootnoteReference"/>
          <w:rFonts w:ascii="Cambria" w:hAnsi="Cambria"/>
          <w:sz w:val="16"/>
          <w:szCs w:val="16"/>
        </w:rPr>
        <w:footnoteRef/>
      </w:r>
      <w:r w:rsidRPr="00B74E3A">
        <w:rPr>
          <w:rStyle w:val="FootnoteReference"/>
          <w:rFonts w:ascii="Cambria" w:hAnsi="Cambria"/>
          <w:sz w:val="16"/>
          <w:szCs w:val="16"/>
          <w:lang w:val="es-MX"/>
        </w:rPr>
        <w:t xml:space="preserve"> </w:t>
      </w:r>
      <w:r w:rsidRPr="00B74E3A">
        <w:rPr>
          <w:rFonts w:ascii="Cambria" w:hAnsi="Cambria"/>
          <w:sz w:val="16"/>
          <w:szCs w:val="16"/>
          <w:lang w:val="es-CO"/>
        </w:rPr>
        <w:t>Anexo</w:t>
      </w:r>
      <w:r>
        <w:rPr>
          <w:rFonts w:ascii="Cambria" w:hAnsi="Cambria"/>
          <w:sz w:val="16"/>
          <w:szCs w:val="16"/>
          <w:lang w:val="es-CO"/>
        </w:rPr>
        <w:t xml:space="preserve"> 18</w:t>
      </w:r>
      <w:r w:rsidRPr="00B74E3A">
        <w:rPr>
          <w:rFonts w:ascii="Cambria" w:hAnsi="Cambria"/>
          <w:sz w:val="16"/>
          <w:szCs w:val="16"/>
          <w:lang w:val="es-CO"/>
        </w:rPr>
        <w:t>. Reportaje de 2005 sobre el Proyecto Fênix. Anexo a comunicación del Estado de 31 de octubre de 2005</w:t>
      </w:r>
      <w:r>
        <w:rPr>
          <w:rFonts w:ascii="Cambria" w:hAnsi="Cambria"/>
          <w:sz w:val="16"/>
          <w:szCs w:val="16"/>
          <w:lang w:val="es-CO"/>
        </w:rPr>
        <w:t>.</w:t>
      </w:r>
    </w:p>
  </w:footnote>
  <w:footnote w:id="32">
    <w:p w:rsidR="00DA16A1" w:rsidRPr="001C3DD3" w:rsidRDefault="00DA16A1">
      <w:pPr>
        <w:jc w:val="both"/>
        <w:rPr>
          <w:rStyle w:val="FootnoteReference"/>
          <w:rFonts w:ascii="Cambria" w:hAnsi="Cambria"/>
          <w:sz w:val="16"/>
          <w:szCs w:val="16"/>
          <w:lang w:val="es-MX"/>
        </w:rPr>
      </w:pPr>
      <w:r w:rsidRPr="001C3DD3">
        <w:rPr>
          <w:rStyle w:val="FootnoteReference"/>
          <w:rFonts w:ascii="Cambria" w:hAnsi="Cambria"/>
          <w:sz w:val="16"/>
          <w:szCs w:val="16"/>
        </w:rPr>
        <w:footnoteRef/>
      </w:r>
      <w:r w:rsidRPr="001C3DD3">
        <w:rPr>
          <w:rStyle w:val="FootnoteReference"/>
          <w:rFonts w:ascii="Cambria" w:hAnsi="Cambria"/>
          <w:sz w:val="16"/>
          <w:szCs w:val="16"/>
          <w:lang w:val="es-MX"/>
        </w:rPr>
        <w:t xml:space="preserve"> </w:t>
      </w:r>
      <w:r w:rsidRPr="001C3DD3">
        <w:rPr>
          <w:rFonts w:ascii="Cambria" w:hAnsi="Cambria"/>
          <w:sz w:val="16"/>
          <w:szCs w:val="16"/>
          <w:lang w:val="es-CO"/>
        </w:rPr>
        <w:t xml:space="preserve">Anexo 18. Reportaje de 2005 sobre el Proyecto Fênix. Anexo a comunicación del Estado de 31 de octubre de 2005. </w:t>
      </w:r>
    </w:p>
  </w:footnote>
  <w:footnote w:id="33">
    <w:p w:rsidR="00DA16A1" w:rsidRPr="00B74E3A" w:rsidRDefault="00DA16A1">
      <w:pPr>
        <w:jc w:val="both"/>
        <w:rPr>
          <w:rStyle w:val="FootnoteReference"/>
          <w:rFonts w:ascii="Cambria" w:hAnsi="Cambria"/>
          <w:sz w:val="16"/>
          <w:szCs w:val="16"/>
          <w:lang w:val="es-MX"/>
        </w:rPr>
      </w:pPr>
      <w:r w:rsidRPr="001C3DD3">
        <w:rPr>
          <w:rStyle w:val="FootnoteReference"/>
          <w:rFonts w:ascii="Cambria" w:hAnsi="Cambria"/>
          <w:sz w:val="16"/>
          <w:szCs w:val="16"/>
        </w:rPr>
        <w:footnoteRef/>
      </w:r>
      <w:r w:rsidRPr="001C3DD3">
        <w:rPr>
          <w:rStyle w:val="FootnoteReference"/>
          <w:rFonts w:ascii="Cambria" w:hAnsi="Cambria"/>
          <w:sz w:val="16"/>
          <w:szCs w:val="16"/>
          <w:lang w:val="es-MX"/>
        </w:rPr>
        <w:t xml:space="preserve"> </w:t>
      </w:r>
      <w:r w:rsidRPr="001C3DD3">
        <w:rPr>
          <w:rFonts w:ascii="Cambria" w:hAnsi="Cambria"/>
          <w:sz w:val="16"/>
          <w:szCs w:val="16"/>
          <w:lang w:val="es-CO"/>
        </w:rPr>
        <w:t>Anexo 6. Documento Síntesis del Grupo de Trabajo. Anexo a comunicación del Estado de 4 de agosto de 2008.</w:t>
      </w:r>
    </w:p>
  </w:footnote>
  <w:footnote w:id="34">
    <w:p w:rsidR="00DA16A1" w:rsidRPr="00B74E3A" w:rsidRDefault="00DA16A1">
      <w:pPr>
        <w:jc w:val="both"/>
        <w:rPr>
          <w:rStyle w:val="FootnoteReference"/>
          <w:rFonts w:ascii="Cambria" w:hAnsi="Cambria"/>
          <w:sz w:val="16"/>
          <w:szCs w:val="16"/>
          <w:lang w:val="es-MX"/>
        </w:rPr>
      </w:pPr>
      <w:r w:rsidRPr="00B74E3A">
        <w:rPr>
          <w:rStyle w:val="FootnoteReference"/>
          <w:rFonts w:ascii="Cambria" w:hAnsi="Cambria"/>
          <w:sz w:val="16"/>
          <w:szCs w:val="16"/>
        </w:rPr>
        <w:footnoteRef/>
      </w:r>
      <w:r w:rsidRPr="00B74E3A">
        <w:rPr>
          <w:rStyle w:val="FootnoteReference"/>
          <w:rFonts w:ascii="Cambria" w:hAnsi="Cambria"/>
          <w:sz w:val="16"/>
          <w:szCs w:val="16"/>
          <w:lang w:val="es-MX"/>
        </w:rPr>
        <w:t xml:space="preserve"> </w:t>
      </w:r>
      <w:r w:rsidRPr="00B74E3A">
        <w:rPr>
          <w:rFonts w:ascii="Cambria" w:hAnsi="Cambria"/>
          <w:sz w:val="16"/>
          <w:szCs w:val="16"/>
          <w:lang w:val="es-CO"/>
        </w:rPr>
        <w:t>Anexo</w:t>
      </w:r>
      <w:r>
        <w:rPr>
          <w:rFonts w:ascii="Cambria" w:hAnsi="Cambria"/>
          <w:sz w:val="16"/>
          <w:szCs w:val="16"/>
          <w:lang w:val="es-CO"/>
        </w:rPr>
        <w:t xml:space="preserve"> 6</w:t>
      </w:r>
      <w:r w:rsidRPr="00B74E3A">
        <w:rPr>
          <w:rFonts w:ascii="Cambria" w:hAnsi="Cambria"/>
          <w:sz w:val="16"/>
          <w:szCs w:val="16"/>
          <w:lang w:val="es-CO"/>
        </w:rPr>
        <w:t>. Documento Síntesis</w:t>
      </w:r>
      <w:r>
        <w:rPr>
          <w:rFonts w:ascii="Cambria" w:hAnsi="Cambria"/>
          <w:sz w:val="16"/>
          <w:szCs w:val="16"/>
          <w:lang w:val="es-CO"/>
        </w:rPr>
        <w:t xml:space="preserve"> del Grupo de Trabajo</w:t>
      </w:r>
      <w:r w:rsidRPr="00B74E3A">
        <w:rPr>
          <w:rFonts w:ascii="Cambria" w:hAnsi="Cambria"/>
          <w:sz w:val="16"/>
          <w:szCs w:val="16"/>
          <w:lang w:val="es-CO"/>
        </w:rPr>
        <w:t>. Anexo a comunicación del Estado de</w:t>
      </w:r>
      <w:r>
        <w:rPr>
          <w:rFonts w:ascii="Cambria" w:hAnsi="Cambria"/>
          <w:sz w:val="16"/>
          <w:szCs w:val="16"/>
          <w:lang w:val="es-CO"/>
        </w:rPr>
        <w:t xml:space="preserve"> 4 de</w:t>
      </w:r>
      <w:r w:rsidRPr="00B74E3A">
        <w:rPr>
          <w:rFonts w:ascii="Cambria" w:hAnsi="Cambria"/>
          <w:sz w:val="16"/>
          <w:szCs w:val="16"/>
          <w:lang w:val="es-CO"/>
        </w:rPr>
        <w:t xml:space="preserve"> agosto de 2008.</w:t>
      </w:r>
    </w:p>
  </w:footnote>
  <w:footnote w:id="35">
    <w:p w:rsidR="00DA16A1" w:rsidRPr="00B74E3A" w:rsidRDefault="00DA16A1">
      <w:pPr>
        <w:jc w:val="both"/>
        <w:rPr>
          <w:rStyle w:val="FootnoteReference"/>
          <w:rFonts w:ascii="Cambria" w:hAnsi="Cambria"/>
          <w:sz w:val="16"/>
          <w:szCs w:val="16"/>
          <w:lang w:val="es-MX"/>
        </w:rPr>
      </w:pPr>
      <w:r w:rsidRPr="00B74E3A">
        <w:rPr>
          <w:rStyle w:val="FootnoteReference"/>
          <w:rFonts w:ascii="Cambria" w:hAnsi="Cambria"/>
          <w:sz w:val="16"/>
          <w:szCs w:val="16"/>
        </w:rPr>
        <w:footnoteRef/>
      </w:r>
      <w:r w:rsidRPr="00B74E3A">
        <w:rPr>
          <w:rStyle w:val="FootnoteReference"/>
          <w:rFonts w:ascii="Cambria" w:hAnsi="Cambria"/>
          <w:sz w:val="16"/>
          <w:szCs w:val="16"/>
          <w:lang w:val="es-MX"/>
        </w:rPr>
        <w:t xml:space="preserve"> </w:t>
      </w:r>
      <w:r w:rsidRPr="00B74E3A">
        <w:rPr>
          <w:rFonts w:ascii="Cambria" w:hAnsi="Cambria"/>
          <w:sz w:val="16"/>
          <w:szCs w:val="16"/>
          <w:lang w:val="es-CO"/>
        </w:rPr>
        <w:t>Anexo</w:t>
      </w:r>
      <w:r>
        <w:rPr>
          <w:rFonts w:ascii="Cambria" w:hAnsi="Cambria"/>
          <w:sz w:val="16"/>
          <w:szCs w:val="16"/>
          <w:lang w:val="es-CO"/>
        </w:rPr>
        <w:t xml:space="preserve"> 19</w:t>
      </w:r>
      <w:r w:rsidRPr="00B74E3A">
        <w:rPr>
          <w:rFonts w:ascii="Cambria" w:hAnsi="Cambria"/>
          <w:sz w:val="16"/>
          <w:szCs w:val="16"/>
          <w:lang w:val="es-CO"/>
        </w:rPr>
        <w:t>. Reportaje de 13 de junio de 2007. Anexo a comunicación de la parte peticionaria de 14 de junio de 2007.</w:t>
      </w:r>
      <w:r w:rsidRPr="00B74E3A">
        <w:rPr>
          <w:rStyle w:val="FootnoteReference"/>
          <w:rFonts w:ascii="Cambria" w:hAnsi="Cambria"/>
          <w:sz w:val="16"/>
          <w:szCs w:val="16"/>
          <w:lang w:val="es-MX"/>
        </w:rPr>
        <w:t xml:space="preserve"> </w:t>
      </w:r>
    </w:p>
  </w:footnote>
  <w:footnote w:id="36">
    <w:p w:rsidR="00DA16A1" w:rsidRPr="00B74E3A" w:rsidRDefault="00DA16A1">
      <w:pPr>
        <w:jc w:val="both"/>
        <w:rPr>
          <w:rStyle w:val="FootnoteReference"/>
          <w:rFonts w:ascii="Cambria" w:hAnsi="Cambria"/>
          <w:sz w:val="16"/>
          <w:szCs w:val="16"/>
          <w:lang w:val="es-MX"/>
        </w:rPr>
      </w:pPr>
      <w:r w:rsidRPr="00B74E3A">
        <w:rPr>
          <w:rStyle w:val="FootnoteReference"/>
          <w:rFonts w:ascii="Cambria" w:hAnsi="Cambria"/>
          <w:sz w:val="16"/>
          <w:szCs w:val="16"/>
        </w:rPr>
        <w:footnoteRef/>
      </w:r>
      <w:r w:rsidRPr="00B74E3A">
        <w:rPr>
          <w:rStyle w:val="FootnoteReference"/>
          <w:rFonts w:ascii="Cambria" w:hAnsi="Cambria"/>
          <w:sz w:val="16"/>
          <w:szCs w:val="16"/>
          <w:lang w:val="es-MX"/>
        </w:rPr>
        <w:t xml:space="preserve"> </w:t>
      </w:r>
      <w:r w:rsidRPr="00B74E3A">
        <w:rPr>
          <w:rFonts w:ascii="Cambria" w:hAnsi="Cambria"/>
          <w:sz w:val="16"/>
          <w:szCs w:val="16"/>
          <w:lang w:val="es-CO"/>
        </w:rPr>
        <w:t>Anexo</w:t>
      </w:r>
      <w:r>
        <w:rPr>
          <w:rFonts w:ascii="Cambria" w:hAnsi="Cambria"/>
          <w:sz w:val="16"/>
          <w:szCs w:val="16"/>
          <w:lang w:val="es-CO"/>
        </w:rPr>
        <w:t xml:space="preserve"> 20</w:t>
      </w:r>
      <w:r w:rsidRPr="00B74E3A">
        <w:rPr>
          <w:rFonts w:ascii="Cambria" w:hAnsi="Cambria"/>
          <w:sz w:val="16"/>
          <w:szCs w:val="16"/>
          <w:lang w:val="es-CO"/>
        </w:rPr>
        <w:t>. Reportaje de Record de 21 de marzo de 2007. Documento presentado por la parte peticionaria.</w:t>
      </w:r>
    </w:p>
  </w:footnote>
  <w:footnote w:id="37">
    <w:p w:rsidR="00DA16A1" w:rsidRPr="00B74E3A" w:rsidRDefault="00DA16A1">
      <w:pPr>
        <w:jc w:val="both"/>
        <w:rPr>
          <w:rFonts w:ascii="Cambria" w:hAnsi="Cambria"/>
          <w:sz w:val="16"/>
          <w:szCs w:val="16"/>
          <w:lang w:val="es-CO"/>
        </w:rPr>
      </w:pPr>
      <w:r w:rsidRPr="00B74E3A">
        <w:rPr>
          <w:rStyle w:val="FootnoteReference"/>
          <w:rFonts w:ascii="Cambria" w:hAnsi="Cambria"/>
          <w:sz w:val="16"/>
          <w:szCs w:val="16"/>
        </w:rPr>
        <w:footnoteRef/>
      </w:r>
      <w:r w:rsidRPr="00B74E3A">
        <w:rPr>
          <w:rFonts w:ascii="Cambria" w:hAnsi="Cambria"/>
          <w:sz w:val="16"/>
          <w:szCs w:val="16"/>
          <w:lang w:val="es-CO"/>
        </w:rPr>
        <w:t xml:space="preserve"> Anexo</w:t>
      </w:r>
      <w:r>
        <w:rPr>
          <w:rFonts w:ascii="Cambria" w:hAnsi="Cambria"/>
          <w:sz w:val="16"/>
          <w:szCs w:val="16"/>
          <w:lang w:val="es-CO"/>
        </w:rPr>
        <w:t xml:space="preserve"> 21</w:t>
      </w:r>
      <w:r w:rsidRPr="00B74E3A">
        <w:rPr>
          <w:rFonts w:ascii="Cambria" w:hAnsi="Cambria"/>
          <w:sz w:val="16"/>
          <w:szCs w:val="16"/>
          <w:lang w:val="es-CO"/>
        </w:rPr>
        <w:t xml:space="preserve">. Manual del Programa de Erradicación del Trabajo Infantil. Anexo a comunicación del Estado de 31 de octubre de 2005. </w:t>
      </w:r>
    </w:p>
  </w:footnote>
  <w:footnote w:id="38">
    <w:p w:rsidR="00DA16A1" w:rsidRPr="00186187" w:rsidRDefault="00DA16A1">
      <w:pPr>
        <w:jc w:val="both"/>
        <w:rPr>
          <w:rStyle w:val="FootnoteReference"/>
          <w:rFonts w:ascii="Cambria" w:hAnsi="Cambria"/>
          <w:sz w:val="16"/>
          <w:szCs w:val="16"/>
          <w:lang w:val="es-CO"/>
        </w:rPr>
      </w:pPr>
      <w:r w:rsidRPr="00B74E3A">
        <w:rPr>
          <w:rStyle w:val="FootnoteReference"/>
          <w:rFonts w:ascii="Cambria" w:hAnsi="Cambria"/>
          <w:sz w:val="16"/>
          <w:szCs w:val="16"/>
        </w:rPr>
        <w:footnoteRef/>
      </w:r>
      <w:r w:rsidRPr="00B74E3A">
        <w:rPr>
          <w:rFonts w:ascii="Cambria" w:hAnsi="Cambria"/>
          <w:sz w:val="16"/>
          <w:szCs w:val="16"/>
          <w:lang w:val="es-CO"/>
        </w:rPr>
        <w:t xml:space="preserve"> </w:t>
      </w:r>
      <w:hyperlink r:id="rId1" w:history="1">
        <w:r w:rsidRPr="00186187">
          <w:rPr>
            <w:rStyle w:val="Hyperlink"/>
            <w:rFonts w:ascii="Cambria" w:hAnsi="Cambria"/>
            <w:sz w:val="16"/>
            <w:szCs w:val="16"/>
            <w:lang w:val="es-CO"/>
          </w:rPr>
          <w:t>Constitución de la República Federativa de Brasil</w:t>
        </w:r>
        <w:r>
          <w:rPr>
            <w:rStyle w:val="Hyperlink"/>
            <w:rFonts w:ascii="Cambria" w:hAnsi="Cambria"/>
            <w:sz w:val="16"/>
            <w:szCs w:val="16"/>
            <w:lang w:val="es-CO"/>
          </w:rPr>
          <w:t xml:space="preserve"> de 1988</w:t>
        </w:r>
        <w:r w:rsidRPr="00186187">
          <w:rPr>
            <w:rStyle w:val="Hyperlink"/>
            <w:rFonts w:ascii="Cambria" w:hAnsi="Cambria"/>
            <w:sz w:val="16"/>
            <w:szCs w:val="16"/>
            <w:lang w:val="es-CO"/>
          </w:rPr>
          <w:t>.</w:t>
        </w:r>
      </w:hyperlink>
    </w:p>
  </w:footnote>
  <w:footnote w:id="39">
    <w:p w:rsidR="00DA16A1" w:rsidRPr="00186187" w:rsidRDefault="00DA16A1">
      <w:pPr>
        <w:jc w:val="both"/>
        <w:rPr>
          <w:rStyle w:val="FootnoteReference"/>
          <w:rFonts w:ascii="Cambria" w:hAnsi="Cambria"/>
          <w:sz w:val="16"/>
          <w:szCs w:val="16"/>
          <w:lang w:val="es-CO"/>
        </w:rPr>
      </w:pPr>
      <w:r w:rsidRPr="00B74E3A">
        <w:rPr>
          <w:rStyle w:val="FootnoteReference"/>
          <w:rFonts w:ascii="Cambria" w:hAnsi="Cambria"/>
          <w:sz w:val="16"/>
          <w:szCs w:val="16"/>
        </w:rPr>
        <w:footnoteRef/>
      </w:r>
      <w:r w:rsidRPr="00186187">
        <w:rPr>
          <w:rFonts w:ascii="Cambria" w:hAnsi="Cambria"/>
          <w:sz w:val="16"/>
          <w:szCs w:val="16"/>
          <w:lang w:val="es-CO"/>
        </w:rPr>
        <w:t xml:space="preserve"> </w:t>
      </w:r>
      <w:hyperlink r:id="rId2" w:history="1">
        <w:r w:rsidRPr="00186187">
          <w:rPr>
            <w:rStyle w:val="Hyperlink"/>
            <w:rFonts w:ascii="Cambria" w:hAnsi="Cambria"/>
            <w:sz w:val="16"/>
            <w:szCs w:val="16"/>
            <w:lang w:val="es-CO"/>
          </w:rPr>
          <w:t>Constitución de la República Federativa de Brasil</w:t>
        </w:r>
      </w:hyperlink>
      <w:r w:rsidRPr="0059283A">
        <w:rPr>
          <w:rStyle w:val="Hyperlink"/>
          <w:rFonts w:ascii="Cambria" w:hAnsi="Cambria"/>
          <w:sz w:val="16"/>
          <w:szCs w:val="16"/>
          <w:lang w:val="es-MX"/>
        </w:rPr>
        <w:t xml:space="preserve"> de 1988</w:t>
      </w:r>
      <w:r w:rsidRPr="00186187">
        <w:rPr>
          <w:rFonts w:ascii="Cambria" w:hAnsi="Cambria"/>
          <w:sz w:val="16"/>
          <w:szCs w:val="16"/>
          <w:lang w:val="es-CO"/>
        </w:rPr>
        <w:t>.</w:t>
      </w:r>
    </w:p>
  </w:footnote>
  <w:footnote w:id="40">
    <w:p w:rsidR="00DA16A1" w:rsidRPr="00186187" w:rsidRDefault="00DA16A1">
      <w:pPr>
        <w:jc w:val="both"/>
        <w:rPr>
          <w:rStyle w:val="FootnoteReference"/>
          <w:rFonts w:ascii="Cambria" w:hAnsi="Cambria"/>
          <w:sz w:val="16"/>
          <w:szCs w:val="16"/>
          <w:lang w:val="es-CO"/>
        </w:rPr>
      </w:pPr>
      <w:r w:rsidRPr="00B74E3A">
        <w:rPr>
          <w:rStyle w:val="FootnoteReference"/>
          <w:rFonts w:ascii="Cambria" w:hAnsi="Cambria"/>
          <w:sz w:val="16"/>
          <w:szCs w:val="16"/>
        </w:rPr>
        <w:footnoteRef/>
      </w:r>
      <w:r w:rsidRPr="00186187">
        <w:rPr>
          <w:rFonts w:ascii="Cambria" w:hAnsi="Cambria"/>
          <w:sz w:val="16"/>
          <w:szCs w:val="16"/>
          <w:lang w:val="es-CO"/>
        </w:rPr>
        <w:t xml:space="preserve"> </w:t>
      </w:r>
      <w:hyperlink r:id="rId3" w:history="1">
        <w:r w:rsidRPr="00186187">
          <w:rPr>
            <w:rStyle w:val="Hyperlink"/>
            <w:rFonts w:ascii="Cambria" w:hAnsi="Cambria"/>
            <w:sz w:val="16"/>
            <w:szCs w:val="16"/>
            <w:lang w:val="es-CO"/>
          </w:rPr>
          <w:t>Decreto número 55.649 del 28 de enero de 1965</w:t>
        </w:r>
      </w:hyperlink>
      <w:r w:rsidRPr="00186187">
        <w:rPr>
          <w:rFonts w:ascii="Cambria" w:hAnsi="Cambria"/>
          <w:sz w:val="16"/>
          <w:szCs w:val="16"/>
          <w:lang w:val="es-CO"/>
        </w:rPr>
        <w:t>.</w:t>
      </w:r>
    </w:p>
  </w:footnote>
  <w:footnote w:id="41">
    <w:p w:rsidR="00DA16A1" w:rsidRPr="00B74E3A" w:rsidRDefault="00DA16A1">
      <w:pPr>
        <w:jc w:val="both"/>
        <w:rPr>
          <w:rFonts w:ascii="Cambria" w:hAnsi="Cambria"/>
          <w:sz w:val="16"/>
          <w:szCs w:val="16"/>
          <w:lang w:val="es-MX"/>
        </w:rPr>
      </w:pPr>
      <w:r w:rsidRPr="00B74E3A">
        <w:rPr>
          <w:rStyle w:val="FootnoteReference"/>
          <w:rFonts w:ascii="Cambria" w:hAnsi="Cambria"/>
          <w:sz w:val="16"/>
          <w:szCs w:val="16"/>
        </w:rPr>
        <w:footnoteRef/>
      </w:r>
      <w:r w:rsidRPr="00B74E3A">
        <w:rPr>
          <w:rStyle w:val="FootnoteReference"/>
          <w:rFonts w:ascii="Cambria" w:hAnsi="Cambria"/>
          <w:sz w:val="16"/>
          <w:szCs w:val="16"/>
          <w:lang w:val="es-MX"/>
        </w:rPr>
        <w:t xml:space="preserve"> </w:t>
      </w:r>
      <w:r>
        <w:rPr>
          <w:rFonts w:ascii="Cambria" w:hAnsi="Cambria"/>
          <w:sz w:val="16"/>
          <w:szCs w:val="16"/>
          <w:lang w:val="es-MX"/>
        </w:rPr>
        <w:t xml:space="preserve"> </w:t>
      </w:r>
      <w:hyperlink r:id="rId4" w:history="1">
        <w:r w:rsidRPr="00B74E3A">
          <w:rPr>
            <w:rStyle w:val="Hyperlink"/>
            <w:rFonts w:ascii="Cambria" w:hAnsi="Cambria"/>
            <w:sz w:val="16"/>
            <w:szCs w:val="16"/>
            <w:lang w:val="es-CO"/>
          </w:rPr>
          <w:t>Decreto número 55.649 del 28 de enero de 1965</w:t>
        </w:r>
      </w:hyperlink>
    </w:p>
  </w:footnote>
  <w:footnote w:id="42">
    <w:p w:rsidR="00DA16A1" w:rsidRPr="00B74E3A" w:rsidRDefault="00DA16A1">
      <w:pPr>
        <w:pStyle w:val="FootnoteText"/>
        <w:jc w:val="both"/>
        <w:rPr>
          <w:rFonts w:ascii="Cambria" w:hAnsi="Cambria"/>
          <w:sz w:val="16"/>
          <w:szCs w:val="16"/>
          <w:lang w:val="es-MX"/>
        </w:rPr>
      </w:pPr>
      <w:r w:rsidRPr="00B74E3A">
        <w:rPr>
          <w:rStyle w:val="FootnoteReference"/>
          <w:rFonts w:ascii="Cambria" w:hAnsi="Cambria"/>
          <w:sz w:val="16"/>
          <w:szCs w:val="16"/>
        </w:rPr>
        <w:footnoteRef/>
      </w:r>
      <w:r w:rsidRPr="00B74E3A">
        <w:rPr>
          <w:rFonts w:ascii="Cambria" w:hAnsi="Cambria"/>
          <w:sz w:val="16"/>
          <w:szCs w:val="16"/>
          <w:lang w:val="es-MX"/>
        </w:rPr>
        <w:t xml:space="preserve"> </w:t>
      </w:r>
      <w:hyperlink r:id="rId5" w:history="1">
        <w:r w:rsidRPr="00B74E3A">
          <w:rPr>
            <w:rStyle w:val="Hyperlink"/>
            <w:rFonts w:ascii="Cambria" w:hAnsi="Cambria"/>
            <w:sz w:val="16"/>
            <w:szCs w:val="16"/>
            <w:lang w:val="es-MX"/>
          </w:rPr>
          <w:t>Consolidación de Leyes del Trabajo.</w:t>
        </w:r>
      </w:hyperlink>
    </w:p>
  </w:footnote>
  <w:footnote w:id="43">
    <w:p w:rsidR="00DA16A1" w:rsidRPr="00B74E3A" w:rsidRDefault="00DA16A1">
      <w:pPr>
        <w:jc w:val="both"/>
        <w:rPr>
          <w:rFonts w:ascii="Cambria" w:hAnsi="Cambria"/>
          <w:sz w:val="16"/>
          <w:szCs w:val="16"/>
          <w:lang w:val="es-CO"/>
        </w:rPr>
      </w:pPr>
      <w:r w:rsidRPr="00B74E3A">
        <w:rPr>
          <w:rStyle w:val="FootnoteReference"/>
          <w:rFonts w:ascii="Cambria" w:hAnsi="Cambria"/>
          <w:sz w:val="16"/>
          <w:szCs w:val="16"/>
        </w:rPr>
        <w:footnoteRef/>
      </w:r>
      <w:r w:rsidRPr="00B74E3A">
        <w:rPr>
          <w:rFonts w:ascii="Cambria" w:hAnsi="Cambria"/>
          <w:sz w:val="16"/>
          <w:szCs w:val="16"/>
          <w:lang w:val="es-MX"/>
        </w:rPr>
        <w:t xml:space="preserve"> </w:t>
      </w:r>
      <w:r w:rsidRPr="00B74E3A">
        <w:rPr>
          <w:rFonts w:ascii="Cambria" w:hAnsi="Cambria"/>
          <w:sz w:val="16"/>
          <w:szCs w:val="16"/>
          <w:lang w:val="es-CO"/>
        </w:rPr>
        <w:t xml:space="preserve"> </w:t>
      </w:r>
      <w:hyperlink r:id="rId6" w:history="1">
        <w:r w:rsidRPr="00B74E3A">
          <w:rPr>
            <w:rStyle w:val="Hyperlink"/>
            <w:rFonts w:ascii="Cambria" w:hAnsi="Cambria"/>
            <w:sz w:val="16"/>
            <w:szCs w:val="16"/>
            <w:lang w:val="es-CO"/>
          </w:rPr>
          <w:t>Decreto número 3.214 del 8 de junio de 1978</w:t>
        </w:r>
      </w:hyperlink>
      <w:r w:rsidRPr="00B74E3A">
        <w:rPr>
          <w:rFonts w:ascii="Cambria" w:hAnsi="Cambria"/>
          <w:sz w:val="16"/>
          <w:szCs w:val="16"/>
          <w:lang w:val="es-CO"/>
        </w:rPr>
        <w:t>.</w:t>
      </w:r>
    </w:p>
  </w:footnote>
  <w:footnote w:id="44">
    <w:p w:rsidR="00DA16A1" w:rsidRPr="00B74E3A" w:rsidRDefault="00DA16A1">
      <w:pPr>
        <w:jc w:val="both"/>
        <w:rPr>
          <w:rFonts w:ascii="Cambria" w:hAnsi="Cambria"/>
          <w:sz w:val="16"/>
          <w:szCs w:val="16"/>
          <w:lang w:val="es-CO"/>
        </w:rPr>
      </w:pPr>
      <w:r w:rsidRPr="00B74E3A">
        <w:rPr>
          <w:rStyle w:val="FootnoteReference"/>
          <w:rFonts w:ascii="Cambria" w:hAnsi="Cambria"/>
          <w:sz w:val="16"/>
          <w:szCs w:val="16"/>
        </w:rPr>
        <w:footnoteRef/>
      </w:r>
      <w:r w:rsidRPr="00B74E3A">
        <w:rPr>
          <w:rStyle w:val="FootnoteReference"/>
          <w:rFonts w:ascii="Cambria" w:hAnsi="Cambria"/>
          <w:sz w:val="16"/>
          <w:szCs w:val="16"/>
          <w:lang w:val="es-MX"/>
        </w:rPr>
        <w:t xml:space="preserve"> </w:t>
      </w:r>
      <w:r>
        <w:rPr>
          <w:rFonts w:ascii="Cambria" w:hAnsi="Cambria"/>
          <w:sz w:val="16"/>
          <w:szCs w:val="16"/>
          <w:lang w:val="es-MX"/>
        </w:rPr>
        <w:t xml:space="preserve"> </w:t>
      </w:r>
      <w:r w:rsidRPr="00B74E3A">
        <w:rPr>
          <w:rFonts w:ascii="Cambria" w:hAnsi="Cambria"/>
          <w:sz w:val="16"/>
          <w:szCs w:val="16"/>
          <w:lang w:val="es-CO"/>
        </w:rPr>
        <w:t>Anexo</w:t>
      </w:r>
      <w:r>
        <w:rPr>
          <w:rFonts w:ascii="Cambria" w:hAnsi="Cambria"/>
          <w:sz w:val="16"/>
          <w:szCs w:val="16"/>
          <w:lang w:val="es-CO"/>
        </w:rPr>
        <w:t xml:space="preserve"> 7</w:t>
      </w:r>
      <w:r w:rsidRPr="00B74E3A">
        <w:rPr>
          <w:rFonts w:ascii="Cambria" w:hAnsi="Cambria"/>
          <w:sz w:val="16"/>
          <w:szCs w:val="16"/>
          <w:lang w:val="es-CO"/>
        </w:rPr>
        <w:t>. Acusación formal del Ministerio Publico de 12 de abril de 1999,  expediente criminal 0000447-05.1999.8.05.0229, presentada por la parte peticionaria</w:t>
      </w:r>
    </w:p>
  </w:footnote>
  <w:footnote w:id="45">
    <w:p w:rsidR="00DA16A1" w:rsidRPr="00B74E3A" w:rsidRDefault="00DA16A1">
      <w:pPr>
        <w:jc w:val="both"/>
        <w:rPr>
          <w:rFonts w:ascii="Cambria" w:hAnsi="Cambria"/>
          <w:sz w:val="16"/>
          <w:szCs w:val="16"/>
          <w:lang w:val="es-CO" w:eastAsia="es-ES"/>
        </w:rPr>
      </w:pPr>
      <w:r w:rsidRPr="00B74E3A">
        <w:rPr>
          <w:rStyle w:val="FootnoteReference"/>
          <w:rFonts w:ascii="Cambria" w:hAnsi="Cambria"/>
          <w:sz w:val="16"/>
          <w:szCs w:val="16"/>
        </w:rPr>
        <w:footnoteRef/>
      </w:r>
      <w:r w:rsidRPr="00B74E3A">
        <w:rPr>
          <w:rStyle w:val="FootnoteReference"/>
          <w:rFonts w:ascii="Cambria" w:hAnsi="Cambria"/>
          <w:sz w:val="16"/>
          <w:szCs w:val="16"/>
          <w:lang w:val="es-MX"/>
        </w:rPr>
        <w:t xml:space="preserve"> </w:t>
      </w:r>
      <w:r w:rsidRPr="00B74E3A">
        <w:rPr>
          <w:rFonts w:ascii="Cambria" w:hAnsi="Cambria"/>
          <w:sz w:val="16"/>
          <w:szCs w:val="16"/>
          <w:lang w:val="es-CO" w:eastAsia="es-ES"/>
        </w:rPr>
        <w:t>Anexo</w:t>
      </w:r>
      <w:r>
        <w:rPr>
          <w:rFonts w:ascii="Cambria" w:hAnsi="Cambria"/>
          <w:sz w:val="16"/>
          <w:szCs w:val="16"/>
          <w:lang w:val="es-CO" w:eastAsia="es-ES"/>
        </w:rPr>
        <w:t xml:space="preserve"> 22</w:t>
      </w:r>
      <w:r w:rsidRPr="00B74E3A">
        <w:rPr>
          <w:rFonts w:ascii="Cambria" w:hAnsi="Cambria"/>
          <w:sz w:val="16"/>
          <w:szCs w:val="16"/>
          <w:lang w:val="es-CO" w:eastAsia="es-ES"/>
        </w:rPr>
        <w:t xml:space="preserve">. Sentencia del 9 de noviembre de 2004. </w:t>
      </w:r>
      <w:r w:rsidRPr="00B74E3A">
        <w:rPr>
          <w:rFonts w:ascii="Cambria" w:hAnsi="Cambria"/>
          <w:sz w:val="16"/>
          <w:szCs w:val="16"/>
          <w:lang w:val="es-CO"/>
        </w:rPr>
        <w:t>Anexo a comunicación de la parte peticionaria de 6 de septiembre de 2006.</w:t>
      </w:r>
    </w:p>
  </w:footnote>
  <w:footnote w:id="46">
    <w:p w:rsidR="00DA16A1" w:rsidRPr="00B74E3A" w:rsidRDefault="00DA16A1">
      <w:pPr>
        <w:jc w:val="both"/>
        <w:rPr>
          <w:rFonts w:ascii="Cambria" w:hAnsi="Cambria"/>
          <w:sz w:val="16"/>
          <w:szCs w:val="16"/>
          <w:lang w:val="es-CO" w:eastAsia="es-ES"/>
        </w:rPr>
      </w:pPr>
      <w:r w:rsidRPr="00B74E3A">
        <w:rPr>
          <w:rStyle w:val="FootnoteReference"/>
          <w:rFonts w:ascii="Cambria" w:hAnsi="Cambria"/>
          <w:sz w:val="16"/>
          <w:szCs w:val="16"/>
        </w:rPr>
        <w:footnoteRef/>
      </w:r>
      <w:r w:rsidRPr="00B74E3A">
        <w:rPr>
          <w:rFonts w:ascii="Cambria" w:hAnsi="Cambria"/>
          <w:sz w:val="16"/>
          <w:szCs w:val="16"/>
          <w:lang w:val="es-CO" w:eastAsia="es-ES"/>
        </w:rPr>
        <w:t xml:space="preserve"> Anexo</w:t>
      </w:r>
      <w:r>
        <w:rPr>
          <w:rFonts w:ascii="Cambria" w:hAnsi="Cambria"/>
          <w:sz w:val="16"/>
          <w:szCs w:val="16"/>
          <w:lang w:val="es-CO" w:eastAsia="es-ES"/>
        </w:rPr>
        <w:t xml:space="preserve"> 23</w:t>
      </w:r>
      <w:r w:rsidRPr="00B74E3A">
        <w:rPr>
          <w:rFonts w:ascii="Cambria" w:hAnsi="Cambria"/>
          <w:sz w:val="16"/>
          <w:szCs w:val="16"/>
          <w:lang w:val="es-CO" w:eastAsia="es-ES"/>
        </w:rPr>
        <w:t xml:space="preserve">. Recurso del 14 de enero de 2005. </w:t>
      </w:r>
      <w:r w:rsidRPr="00B74E3A">
        <w:rPr>
          <w:rFonts w:ascii="Cambria" w:hAnsi="Cambria"/>
          <w:sz w:val="16"/>
          <w:szCs w:val="16"/>
          <w:lang w:val="es-CO"/>
        </w:rPr>
        <w:t>Anexo a comunicación de la parte peticionaria de 6 de septiembre de 2006</w:t>
      </w:r>
      <w:r w:rsidRPr="00B74E3A">
        <w:rPr>
          <w:rFonts w:ascii="Cambria" w:hAnsi="Cambria"/>
          <w:sz w:val="16"/>
          <w:szCs w:val="16"/>
          <w:lang w:val="es-CO" w:eastAsia="es-ES"/>
        </w:rPr>
        <w:t>.</w:t>
      </w:r>
    </w:p>
  </w:footnote>
  <w:footnote w:id="47">
    <w:p w:rsidR="00DA16A1" w:rsidRPr="00B74E3A" w:rsidRDefault="00DA16A1">
      <w:pPr>
        <w:jc w:val="both"/>
        <w:rPr>
          <w:rFonts w:ascii="Cambria" w:hAnsi="Cambria"/>
          <w:sz w:val="16"/>
          <w:szCs w:val="16"/>
          <w:lang w:val="es-CO" w:eastAsia="es-ES"/>
        </w:rPr>
      </w:pPr>
      <w:r w:rsidRPr="00B74E3A">
        <w:rPr>
          <w:rStyle w:val="FootnoteReference"/>
          <w:rFonts w:ascii="Cambria" w:hAnsi="Cambria"/>
          <w:sz w:val="16"/>
          <w:szCs w:val="16"/>
        </w:rPr>
        <w:footnoteRef/>
      </w:r>
      <w:r w:rsidRPr="00B74E3A">
        <w:rPr>
          <w:rFonts w:ascii="Cambria" w:hAnsi="Cambria"/>
          <w:sz w:val="16"/>
          <w:szCs w:val="16"/>
          <w:lang w:val="es-CO" w:eastAsia="es-ES"/>
        </w:rPr>
        <w:t xml:space="preserve"> Anexo</w:t>
      </w:r>
      <w:r>
        <w:rPr>
          <w:rFonts w:ascii="Cambria" w:hAnsi="Cambria"/>
          <w:sz w:val="16"/>
          <w:szCs w:val="16"/>
          <w:lang w:val="es-CO" w:eastAsia="es-ES"/>
        </w:rPr>
        <w:t xml:space="preserve"> 24</w:t>
      </w:r>
      <w:r w:rsidRPr="00B74E3A">
        <w:rPr>
          <w:rFonts w:ascii="Cambria" w:hAnsi="Cambria"/>
          <w:sz w:val="16"/>
          <w:szCs w:val="16"/>
          <w:lang w:val="es-CO" w:eastAsia="es-ES"/>
        </w:rPr>
        <w:t>. Fallo del recurso, adoptado por la Segunda Cámara Criminal del Tribunal de Justicia del Estado de la Bahía, de 27 de octubre de 2005.</w:t>
      </w:r>
      <w:r w:rsidRPr="00B74E3A">
        <w:rPr>
          <w:rFonts w:ascii="Cambria" w:hAnsi="Cambria"/>
          <w:sz w:val="16"/>
          <w:szCs w:val="16"/>
          <w:lang w:val="es-CO"/>
        </w:rPr>
        <w:t xml:space="preserve"> Anexo a comunicación de la parte peticionaria de 6 de septiembre de 2006</w:t>
      </w:r>
      <w:r w:rsidRPr="00B74E3A">
        <w:rPr>
          <w:rFonts w:ascii="Cambria" w:hAnsi="Cambria"/>
          <w:sz w:val="16"/>
          <w:szCs w:val="16"/>
          <w:lang w:val="es-CO" w:eastAsia="es-ES"/>
        </w:rPr>
        <w:t>.</w:t>
      </w:r>
    </w:p>
  </w:footnote>
  <w:footnote w:id="48">
    <w:p w:rsidR="00DA16A1" w:rsidRPr="00B74E3A" w:rsidRDefault="00DA16A1">
      <w:pPr>
        <w:jc w:val="both"/>
        <w:rPr>
          <w:rFonts w:ascii="Cambria" w:hAnsi="Cambria"/>
          <w:sz w:val="16"/>
          <w:szCs w:val="16"/>
          <w:lang w:val="es-CO" w:eastAsia="es-ES"/>
        </w:rPr>
      </w:pPr>
      <w:r w:rsidRPr="00B74E3A">
        <w:rPr>
          <w:rStyle w:val="FootnoteReference"/>
          <w:rFonts w:ascii="Cambria" w:hAnsi="Cambria"/>
          <w:sz w:val="16"/>
          <w:szCs w:val="16"/>
        </w:rPr>
        <w:footnoteRef/>
      </w:r>
      <w:r w:rsidRPr="00B74E3A">
        <w:rPr>
          <w:rStyle w:val="FootnoteReference"/>
          <w:rFonts w:ascii="Cambria" w:hAnsi="Cambria"/>
          <w:sz w:val="16"/>
          <w:szCs w:val="16"/>
          <w:lang w:val="es-MX"/>
        </w:rPr>
        <w:t xml:space="preserve"> </w:t>
      </w:r>
      <w:r w:rsidRPr="00B74E3A">
        <w:rPr>
          <w:rFonts w:ascii="Cambria" w:hAnsi="Cambria"/>
          <w:sz w:val="16"/>
          <w:szCs w:val="16"/>
          <w:lang w:val="es-CO" w:eastAsia="es-ES"/>
        </w:rPr>
        <w:t>Anexo</w:t>
      </w:r>
      <w:r>
        <w:rPr>
          <w:rFonts w:ascii="Cambria" w:hAnsi="Cambria"/>
          <w:sz w:val="16"/>
          <w:szCs w:val="16"/>
          <w:lang w:val="es-CO" w:eastAsia="es-ES"/>
        </w:rPr>
        <w:t xml:space="preserve"> 25</w:t>
      </w:r>
      <w:r w:rsidRPr="00B74E3A">
        <w:rPr>
          <w:rFonts w:ascii="Cambria" w:hAnsi="Cambria"/>
          <w:sz w:val="16"/>
          <w:szCs w:val="16"/>
          <w:lang w:val="es-CO" w:eastAsia="es-ES"/>
        </w:rPr>
        <w:t>. Escrito del Estado de 19 de octubre de 2006.</w:t>
      </w:r>
    </w:p>
  </w:footnote>
  <w:footnote w:id="49">
    <w:p w:rsidR="00DA16A1" w:rsidRPr="00B74E3A" w:rsidRDefault="00DA16A1">
      <w:pPr>
        <w:jc w:val="both"/>
        <w:rPr>
          <w:rStyle w:val="FootnoteReference"/>
          <w:rFonts w:ascii="Cambria" w:hAnsi="Cambria"/>
          <w:sz w:val="16"/>
          <w:szCs w:val="16"/>
          <w:lang w:val="es-MX"/>
        </w:rPr>
      </w:pPr>
      <w:r w:rsidRPr="00B74E3A">
        <w:rPr>
          <w:rStyle w:val="FootnoteReference"/>
          <w:rFonts w:ascii="Cambria" w:hAnsi="Cambria"/>
          <w:sz w:val="16"/>
          <w:szCs w:val="16"/>
        </w:rPr>
        <w:footnoteRef/>
      </w:r>
      <w:r w:rsidRPr="00B74E3A">
        <w:rPr>
          <w:rStyle w:val="FootnoteReference"/>
          <w:rFonts w:ascii="Cambria" w:hAnsi="Cambria"/>
          <w:sz w:val="16"/>
          <w:szCs w:val="16"/>
          <w:lang w:val="es-MX"/>
        </w:rPr>
        <w:t xml:space="preserve"> </w:t>
      </w:r>
      <w:r w:rsidRPr="00B74E3A">
        <w:rPr>
          <w:rFonts w:ascii="Cambria" w:hAnsi="Cambria"/>
          <w:sz w:val="16"/>
          <w:szCs w:val="16"/>
          <w:lang w:val="es-CO" w:eastAsia="es-ES"/>
        </w:rPr>
        <w:t>Anexo</w:t>
      </w:r>
      <w:r>
        <w:rPr>
          <w:rFonts w:ascii="Cambria" w:hAnsi="Cambria"/>
          <w:sz w:val="16"/>
          <w:szCs w:val="16"/>
          <w:lang w:val="es-CO" w:eastAsia="es-ES"/>
        </w:rPr>
        <w:t xml:space="preserve"> 26</w:t>
      </w:r>
      <w:r w:rsidRPr="00B74E3A">
        <w:rPr>
          <w:rFonts w:ascii="Cambria" w:hAnsi="Cambria"/>
          <w:sz w:val="16"/>
          <w:szCs w:val="16"/>
          <w:lang w:val="es-CO" w:eastAsia="es-ES"/>
        </w:rPr>
        <w:t>. Resumen del progreso del proceso criminal número 0000447-05.1999.8.05.0229. (Retirado de internet)</w:t>
      </w:r>
    </w:p>
  </w:footnote>
  <w:footnote w:id="50">
    <w:p w:rsidR="00DA16A1" w:rsidRPr="00B74E3A" w:rsidRDefault="00DA16A1">
      <w:pPr>
        <w:jc w:val="both"/>
        <w:rPr>
          <w:rStyle w:val="FootnoteReference"/>
          <w:rFonts w:ascii="Cambria" w:hAnsi="Cambria"/>
          <w:sz w:val="16"/>
          <w:szCs w:val="16"/>
          <w:lang w:val="es-MX"/>
        </w:rPr>
      </w:pPr>
      <w:r w:rsidRPr="00B74E3A">
        <w:rPr>
          <w:rStyle w:val="FootnoteReference"/>
          <w:rFonts w:ascii="Cambria" w:hAnsi="Cambria"/>
          <w:sz w:val="16"/>
          <w:szCs w:val="16"/>
        </w:rPr>
        <w:footnoteRef/>
      </w:r>
      <w:r w:rsidRPr="00B74E3A">
        <w:rPr>
          <w:rStyle w:val="FootnoteReference"/>
          <w:rFonts w:ascii="Cambria" w:hAnsi="Cambria"/>
          <w:sz w:val="16"/>
          <w:szCs w:val="16"/>
          <w:lang w:val="es-MX"/>
        </w:rPr>
        <w:t xml:space="preserve"> </w:t>
      </w:r>
      <w:r w:rsidRPr="00B74E3A">
        <w:rPr>
          <w:rFonts w:ascii="Cambria" w:hAnsi="Cambria"/>
          <w:sz w:val="16"/>
          <w:szCs w:val="16"/>
          <w:lang w:val="es-CO" w:eastAsia="es-ES"/>
        </w:rPr>
        <w:t>Anexo</w:t>
      </w:r>
      <w:r>
        <w:rPr>
          <w:rFonts w:ascii="Cambria" w:hAnsi="Cambria"/>
          <w:sz w:val="16"/>
          <w:szCs w:val="16"/>
          <w:lang w:val="es-CO" w:eastAsia="es-ES"/>
        </w:rPr>
        <w:t xml:space="preserve"> 26</w:t>
      </w:r>
      <w:r w:rsidRPr="00B74E3A">
        <w:rPr>
          <w:rFonts w:ascii="Cambria" w:hAnsi="Cambria"/>
          <w:sz w:val="16"/>
          <w:szCs w:val="16"/>
          <w:lang w:val="es-CO" w:eastAsia="es-ES"/>
        </w:rPr>
        <w:t>. Resumen del progreso del proceso criminal número 0000447-05.1999.8.05.0229. (Retirado de internet)</w:t>
      </w:r>
    </w:p>
  </w:footnote>
  <w:footnote w:id="51">
    <w:p w:rsidR="00DA16A1" w:rsidRPr="00B74E3A" w:rsidRDefault="00DA16A1">
      <w:pPr>
        <w:jc w:val="both"/>
        <w:rPr>
          <w:rFonts w:ascii="Cambria" w:hAnsi="Cambria"/>
          <w:sz w:val="16"/>
          <w:szCs w:val="16"/>
          <w:lang w:val="es-CO" w:eastAsia="es-ES"/>
        </w:rPr>
      </w:pPr>
      <w:r w:rsidRPr="00B74E3A">
        <w:rPr>
          <w:rStyle w:val="FootnoteReference"/>
          <w:rFonts w:ascii="Cambria" w:hAnsi="Cambria"/>
          <w:sz w:val="16"/>
          <w:szCs w:val="16"/>
        </w:rPr>
        <w:footnoteRef/>
      </w:r>
      <w:r w:rsidRPr="00B74E3A">
        <w:rPr>
          <w:rFonts w:ascii="Cambria" w:hAnsi="Cambria"/>
          <w:sz w:val="16"/>
          <w:szCs w:val="16"/>
          <w:lang w:val="es-MX"/>
        </w:rPr>
        <w:t xml:space="preserve"> </w:t>
      </w:r>
      <w:r w:rsidRPr="00B74E3A">
        <w:rPr>
          <w:rFonts w:ascii="Cambria" w:hAnsi="Cambria"/>
          <w:sz w:val="16"/>
          <w:szCs w:val="16"/>
          <w:lang w:val="es-CO" w:eastAsia="es-ES"/>
        </w:rPr>
        <w:t>Anexo</w:t>
      </w:r>
      <w:r>
        <w:rPr>
          <w:rFonts w:ascii="Cambria" w:hAnsi="Cambria"/>
          <w:sz w:val="16"/>
          <w:szCs w:val="16"/>
          <w:lang w:val="es-CO" w:eastAsia="es-ES"/>
        </w:rPr>
        <w:t xml:space="preserve"> 27</w:t>
      </w:r>
      <w:r w:rsidRPr="00B74E3A">
        <w:rPr>
          <w:rFonts w:ascii="Cambria" w:hAnsi="Cambria"/>
          <w:sz w:val="16"/>
          <w:szCs w:val="16"/>
          <w:lang w:val="es-CO" w:eastAsia="es-ES"/>
        </w:rPr>
        <w:t xml:space="preserve">. Demanda inicial presentada ante la Justicia Federal en el Estado de Bahía, de fecha de 4 de marzo de 2002, expediente número 2002.33.00.005225-1. Documento presentado por la parte peticionaria. </w:t>
      </w:r>
    </w:p>
  </w:footnote>
  <w:footnote w:id="52">
    <w:p w:rsidR="00DA16A1" w:rsidRPr="00B74E3A" w:rsidRDefault="00DA16A1">
      <w:pPr>
        <w:jc w:val="both"/>
        <w:rPr>
          <w:rFonts w:ascii="Cambria" w:hAnsi="Cambria"/>
          <w:sz w:val="16"/>
          <w:szCs w:val="16"/>
          <w:lang w:val="es-CO" w:eastAsia="es-ES"/>
        </w:rPr>
      </w:pPr>
      <w:r w:rsidRPr="00B74E3A">
        <w:rPr>
          <w:rStyle w:val="FootnoteReference"/>
          <w:rFonts w:ascii="Cambria" w:hAnsi="Cambria"/>
          <w:sz w:val="16"/>
          <w:szCs w:val="16"/>
        </w:rPr>
        <w:footnoteRef/>
      </w:r>
      <w:r w:rsidRPr="00B74E3A">
        <w:rPr>
          <w:rStyle w:val="FootnoteReference"/>
          <w:rFonts w:ascii="Cambria" w:hAnsi="Cambria"/>
          <w:sz w:val="16"/>
          <w:szCs w:val="16"/>
          <w:lang w:val="es-CO"/>
        </w:rPr>
        <w:t xml:space="preserve"> </w:t>
      </w:r>
      <w:r w:rsidRPr="00B74E3A">
        <w:rPr>
          <w:rFonts w:ascii="Cambria" w:hAnsi="Cambria"/>
          <w:sz w:val="16"/>
          <w:szCs w:val="16"/>
          <w:lang w:val="es-CO" w:eastAsia="es-ES"/>
        </w:rPr>
        <w:t>Anexo</w:t>
      </w:r>
      <w:r>
        <w:rPr>
          <w:rFonts w:ascii="Cambria" w:hAnsi="Cambria"/>
          <w:sz w:val="16"/>
          <w:szCs w:val="16"/>
          <w:lang w:val="es-CO" w:eastAsia="es-ES"/>
        </w:rPr>
        <w:t xml:space="preserve"> 28</w:t>
      </w:r>
      <w:r w:rsidRPr="00B74E3A">
        <w:rPr>
          <w:rFonts w:ascii="Cambria" w:hAnsi="Cambria"/>
          <w:sz w:val="16"/>
          <w:szCs w:val="16"/>
          <w:lang w:val="es-CO" w:eastAsia="es-ES"/>
        </w:rPr>
        <w:t>. Decisión liminar de la tutela anticipada del 5 de marzo de 2002, expediente número 2002.33.00.005225-1. Documento presentado por la parte peticionaria.</w:t>
      </w:r>
    </w:p>
  </w:footnote>
  <w:footnote w:id="53">
    <w:p w:rsidR="00DA16A1" w:rsidRPr="00F075A9" w:rsidRDefault="00DA16A1">
      <w:pPr>
        <w:jc w:val="both"/>
        <w:rPr>
          <w:rFonts w:ascii="Cambria" w:hAnsi="Cambria"/>
          <w:sz w:val="16"/>
          <w:szCs w:val="16"/>
          <w:lang w:val="es-MX" w:eastAsia="es-ES"/>
        </w:rPr>
      </w:pPr>
      <w:r w:rsidRPr="00B74E3A">
        <w:rPr>
          <w:rStyle w:val="FootnoteReference"/>
          <w:rFonts w:ascii="Cambria" w:hAnsi="Cambria"/>
          <w:sz w:val="16"/>
          <w:szCs w:val="16"/>
        </w:rPr>
        <w:footnoteRef/>
      </w:r>
      <w:r w:rsidRPr="00B74E3A">
        <w:rPr>
          <w:rStyle w:val="FootnoteReference"/>
          <w:rFonts w:ascii="Cambria" w:hAnsi="Cambria"/>
          <w:sz w:val="16"/>
          <w:szCs w:val="16"/>
          <w:lang w:val="es-MX"/>
        </w:rPr>
        <w:t xml:space="preserve"> </w:t>
      </w:r>
      <w:r>
        <w:rPr>
          <w:rFonts w:ascii="Cambria" w:hAnsi="Cambria"/>
          <w:sz w:val="16"/>
          <w:szCs w:val="16"/>
          <w:lang w:val="es-CO" w:eastAsia="es-ES"/>
        </w:rPr>
        <w:t xml:space="preserve">Anexo 29. Comunicación de la </w:t>
      </w:r>
      <w:r w:rsidRPr="00B74E3A">
        <w:rPr>
          <w:rFonts w:ascii="Cambria" w:hAnsi="Cambria"/>
          <w:sz w:val="16"/>
          <w:szCs w:val="16"/>
          <w:lang w:val="es-CO" w:eastAsia="es-ES"/>
        </w:rPr>
        <w:t xml:space="preserve">parte peticionaria </w:t>
      </w:r>
      <w:r>
        <w:rPr>
          <w:rFonts w:ascii="Cambria" w:hAnsi="Cambria"/>
          <w:sz w:val="16"/>
          <w:szCs w:val="16"/>
          <w:lang w:val="es-CO" w:eastAsia="es-ES"/>
        </w:rPr>
        <w:t>d</w:t>
      </w:r>
      <w:r w:rsidRPr="00B74E3A">
        <w:rPr>
          <w:rFonts w:ascii="Cambria" w:hAnsi="Cambria"/>
          <w:sz w:val="16"/>
          <w:szCs w:val="16"/>
          <w:lang w:val="es-CO" w:eastAsia="es-ES"/>
        </w:rPr>
        <w:t xml:space="preserve">e 18 de octubre de 2010. </w:t>
      </w:r>
    </w:p>
  </w:footnote>
  <w:footnote w:id="54">
    <w:p w:rsidR="00DA16A1" w:rsidRPr="00B74E3A" w:rsidRDefault="00DA16A1">
      <w:pPr>
        <w:jc w:val="both"/>
        <w:rPr>
          <w:rFonts w:ascii="Cambria" w:hAnsi="Cambria"/>
          <w:sz w:val="16"/>
          <w:szCs w:val="16"/>
          <w:lang w:val="es-CO" w:eastAsia="es-ES"/>
        </w:rPr>
      </w:pPr>
      <w:r w:rsidRPr="00B74E3A">
        <w:rPr>
          <w:rStyle w:val="FootnoteReference"/>
          <w:rFonts w:ascii="Cambria" w:hAnsi="Cambria"/>
          <w:sz w:val="16"/>
          <w:szCs w:val="16"/>
        </w:rPr>
        <w:footnoteRef/>
      </w:r>
      <w:r w:rsidRPr="00B74E3A">
        <w:rPr>
          <w:rStyle w:val="FootnoteReference"/>
          <w:rFonts w:ascii="Cambria" w:hAnsi="Cambria"/>
          <w:sz w:val="16"/>
          <w:szCs w:val="16"/>
          <w:lang w:val="pt-BR"/>
        </w:rPr>
        <w:t xml:space="preserve"> </w:t>
      </w:r>
      <w:r w:rsidRPr="00B74E3A">
        <w:rPr>
          <w:rFonts w:ascii="Cambria" w:hAnsi="Cambria"/>
          <w:sz w:val="16"/>
          <w:szCs w:val="16"/>
          <w:lang w:val="pt-BR" w:eastAsia="es-ES"/>
        </w:rPr>
        <w:t xml:space="preserve">Maria Expedita dos Santos (representante de Reijan dos Santos Almeida), Roberto Carlos de Jesus (representante de Leandro Rocha dos Santos y Bárbara Laís Rocha dos Santos) y Valdelice Cunha Reis (representante de Anderson Santos dos Santos y Antônio Cláudio Nascimento dos Santos. </w:t>
      </w:r>
      <w:r w:rsidRPr="00B74E3A">
        <w:rPr>
          <w:rFonts w:ascii="Cambria" w:hAnsi="Cambria"/>
          <w:sz w:val="16"/>
          <w:szCs w:val="16"/>
          <w:lang w:val="es-CO" w:eastAsia="es-ES"/>
        </w:rPr>
        <w:t>Anexo. Comunicación del Estado del 19 de octubre de 2006</w:t>
      </w:r>
      <w:r>
        <w:rPr>
          <w:rFonts w:ascii="Cambria" w:hAnsi="Cambria"/>
          <w:sz w:val="16"/>
          <w:szCs w:val="16"/>
          <w:lang w:val="es-CO" w:eastAsia="es-ES"/>
        </w:rPr>
        <w:t>.</w:t>
      </w:r>
    </w:p>
  </w:footnote>
  <w:footnote w:id="55">
    <w:p w:rsidR="00DA16A1" w:rsidRPr="00B74E3A" w:rsidRDefault="00DA16A1">
      <w:pPr>
        <w:jc w:val="both"/>
        <w:rPr>
          <w:rFonts w:ascii="Cambria" w:hAnsi="Cambria"/>
          <w:sz w:val="16"/>
          <w:szCs w:val="16"/>
          <w:lang w:val="es-CO" w:eastAsia="es-ES"/>
        </w:rPr>
      </w:pPr>
      <w:r w:rsidRPr="00B74E3A">
        <w:rPr>
          <w:rStyle w:val="FootnoteReference"/>
          <w:rFonts w:ascii="Cambria" w:hAnsi="Cambria"/>
          <w:sz w:val="16"/>
          <w:szCs w:val="16"/>
        </w:rPr>
        <w:footnoteRef/>
      </w:r>
      <w:r w:rsidRPr="00B74E3A">
        <w:rPr>
          <w:rStyle w:val="FootnoteReference"/>
          <w:rFonts w:ascii="Cambria" w:hAnsi="Cambria"/>
          <w:sz w:val="16"/>
          <w:szCs w:val="16"/>
          <w:lang w:val="es-MX"/>
        </w:rPr>
        <w:t xml:space="preserve"> </w:t>
      </w:r>
      <w:r w:rsidRPr="00B74E3A">
        <w:rPr>
          <w:rFonts w:ascii="Cambria" w:hAnsi="Cambria"/>
          <w:sz w:val="16"/>
          <w:szCs w:val="16"/>
          <w:lang w:val="es-CO" w:eastAsia="es-ES"/>
        </w:rPr>
        <w:t>Anexo</w:t>
      </w:r>
      <w:r>
        <w:rPr>
          <w:rFonts w:ascii="Cambria" w:hAnsi="Cambria"/>
          <w:sz w:val="16"/>
          <w:szCs w:val="16"/>
          <w:lang w:val="es-CO" w:eastAsia="es-ES"/>
        </w:rPr>
        <w:t xml:space="preserve"> 25</w:t>
      </w:r>
      <w:r w:rsidRPr="00B74E3A">
        <w:rPr>
          <w:rFonts w:ascii="Cambria" w:hAnsi="Cambria"/>
          <w:sz w:val="16"/>
          <w:szCs w:val="16"/>
          <w:lang w:val="es-CO" w:eastAsia="es-ES"/>
        </w:rPr>
        <w:t>. Comunicación del Estado del 19 de octubre de 2006.</w:t>
      </w:r>
    </w:p>
  </w:footnote>
  <w:footnote w:id="56">
    <w:p w:rsidR="00DA16A1" w:rsidRPr="00B61C48" w:rsidRDefault="00DA16A1">
      <w:pPr>
        <w:jc w:val="both"/>
        <w:rPr>
          <w:rFonts w:ascii="Cambria" w:hAnsi="Cambria"/>
          <w:sz w:val="16"/>
          <w:szCs w:val="16"/>
          <w:lang w:val="es-MX" w:eastAsia="es-ES"/>
        </w:rPr>
      </w:pPr>
      <w:r w:rsidRPr="00B74E3A">
        <w:rPr>
          <w:rStyle w:val="FootnoteReference"/>
          <w:rFonts w:ascii="Cambria" w:hAnsi="Cambria"/>
          <w:sz w:val="16"/>
          <w:szCs w:val="16"/>
        </w:rPr>
        <w:footnoteRef/>
      </w:r>
      <w:r w:rsidRPr="00B74E3A">
        <w:rPr>
          <w:rStyle w:val="FootnoteReference"/>
          <w:rFonts w:ascii="Cambria" w:hAnsi="Cambria"/>
          <w:sz w:val="16"/>
          <w:szCs w:val="16"/>
          <w:lang w:val="es-MX"/>
        </w:rPr>
        <w:t xml:space="preserve"> </w:t>
      </w:r>
      <w:r w:rsidRPr="00B74E3A">
        <w:rPr>
          <w:rFonts w:ascii="Cambria" w:hAnsi="Cambria"/>
          <w:sz w:val="16"/>
          <w:szCs w:val="16"/>
          <w:lang w:val="es-CO" w:eastAsia="es-ES"/>
        </w:rPr>
        <w:t>Anexo</w:t>
      </w:r>
      <w:r>
        <w:rPr>
          <w:rFonts w:ascii="Cambria" w:hAnsi="Cambria"/>
          <w:sz w:val="16"/>
          <w:szCs w:val="16"/>
          <w:lang w:val="es-CO" w:eastAsia="es-ES"/>
        </w:rPr>
        <w:t xml:space="preserve"> 25</w:t>
      </w:r>
      <w:r w:rsidRPr="00B74E3A">
        <w:rPr>
          <w:rFonts w:ascii="Cambria" w:hAnsi="Cambria"/>
          <w:sz w:val="16"/>
          <w:szCs w:val="16"/>
          <w:lang w:val="es-CO" w:eastAsia="es-ES"/>
        </w:rPr>
        <w:t>. Comunicación del Estado del 19 de octubre de 2006.</w:t>
      </w:r>
    </w:p>
  </w:footnote>
  <w:footnote w:id="57">
    <w:p w:rsidR="00DA16A1" w:rsidRPr="00B74E3A" w:rsidRDefault="00DA16A1">
      <w:pPr>
        <w:pStyle w:val="FootnoteText"/>
        <w:jc w:val="both"/>
        <w:rPr>
          <w:rFonts w:ascii="Cambria" w:hAnsi="Cambria"/>
          <w:sz w:val="16"/>
          <w:szCs w:val="16"/>
          <w:lang w:val="pt-BR"/>
        </w:rPr>
      </w:pPr>
      <w:r w:rsidRPr="00B74E3A">
        <w:rPr>
          <w:rStyle w:val="FootnoteReference"/>
          <w:rFonts w:ascii="Cambria" w:hAnsi="Cambria"/>
          <w:sz w:val="16"/>
          <w:szCs w:val="16"/>
        </w:rPr>
        <w:footnoteRef/>
      </w:r>
      <w:r w:rsidRPr="00B74E3A">
        <w:rPr>
          <w:rFonts w:ascii="Cambria" w:hAnsi="Cambria"/>
          <w:sz w:val="16"/>
          <w:szCs w:val="16"/>
          <w:lang w:val="pt-BR"/>
        </w:rPr>
        <w:t xml:space="preserve"> </w:t>
      </w:r>
      <w:r w:rsidRPr="00B74E3A">
        <w:rPr>
          <w:rFonts w:ascii="Cambria" w:eastAsia="Batang" w:hAnsi="Cambria"/>
          <w:sz w:val="16"/>
          <w:szCs w:val="16"/>
          <w:bdr w:val="none" w:sz="0" w:space="0" w:color="auto"/>
          <w:lang w:val="pt-BR"/>
        </w:rPr>
        <w:t>Antonio de Souza Bittencourt, Maria de Lourdes Borges, Valdice Cunha Reis, Antonio Cosme da Hora, Geralda Maria de Jesus, Antonio Jose dos Santos, Dalva da Silva Santos, Terezinha do Nascimento Almeida, Maria Antonia de Jesus, Maria do Carmo de Jesus Santos, Aurelio Gonçalves de Jesus, Josete Silva dos Santos, Luzia de Jesus Silva, Maria Madalena Santos Rocha, Bernardo Bispo dos Santos, Maria Lucia Oliveira dos Santos, Helena de Souza Silva, Isvanda Maria dos Santos, Matilde de Jesus Santos, Berneval Ferreira de Jesus, Jose Santos Nascimento, Fernando Paulo Barbosa, Sergio Silva Pires, Silvano Passos dos Santos, Josue Jesus Santos, Francisco Miguel Silva Santos, Antonio Manoel Ferreira Souza, Jose Ribeiro dos Santos, Roberto Carlos de Jesus, Maria Expedita dos Santos, Marcolino Miguel dos Santos, Roque Ribeiro da Conceição, Balbino Borges dos Santos y Celidalva Maria de Jesus, contra Osvaldo Prazeres Bastos, Mário Fróes Prazeres Bastos y Maria Juelieta Fróes Bastos.</w:t>
      </w:r>
    </w:p>
  </w:footnote>
  <w:footnote w:id="58">
    <w:p w:rsidR="00DA16A1" w:rsidRPr="00B74E3A" w:rsidRDefault="00DA16A1">
      <w:pPr>
        <w:jc w:val="both"/>
        <w:rPr>
          <w:rFonts w:ascii="Cambria" w:hAnsi="Cambria"/>
          <w:sz w:val="16"/>
          <w:szCs w:val="16"/>
          <w:lang w:val="es-CO" w:eastAsia="es-ES"/>
        </w:rPr>
      </w:pPr>
      <w:r w:rsidRPr="00B74E3A">
        <w:rPr>
          <w:rStyle w:val="FootnoteReference"/>
          <w:rFonts w:ascii="Cambria" w:hAnsi="Cambria"/>
          <w:sz w:val="16"/>
          <w:szCs w:val="16"/>
        </w:rPr>
        <w:footnoteRef/>
      </w:r>
      <w:r w:rsidRPr="00B74E3A">
        <w:rPr>
          <w:rFonts w:ascii="Cambria" w:hAnsi="Cambria"/>
          <w:sz w:val="16"/>
          <w:szCs w:val="16"/>
          <w:lang w:val="es-MX"/>
        </w:rPr>
        <w:t xml:space="preserve"> </w:t>
      </w:r>
      <w:r w:rsidRPr="009B7554">
        <w:rPr>
          <w:rFonts w:ascii="Cambria" w:hAnsi="Cambria"/>
          <w:sz w:val="16"/>
          <w:szCs w:val="16"/>
          <w:lang w:val="es-MX" w:eastAsia="es-ES"/>
        </w:rPr>
        <w:t>Anexo 30. Información referida por la parte peticionaria</w:t>
      </w:r>
      <w:r w:rsidRPr="009B7554">
        <w:rPr>
          <w:rFonts w:ascii="Cambria" w:hAnsi="Cambria"/>
          <w:sz w:val="16"/>
          <w:szCs w:val="16"/>
          <w:lang w:val="es-CO" w:eastAsia="es-ES"/>
        </w:rPr>
        <w:t>.  (Información adicional encontrada en internet).</w:t>
      </w:r>
    </w:p>
  </w:footnote>
  <w:footnote w:id="59">
    <w:p w:rsidR="00DA16A1" w:rsidRPr="00B74E3A" w:rsidRDefault="00DA16A1">
      <w:pPr>
        <w:jc w:val="both"/>
        <w:rPr>
          <w:rFonts w:ascii="Cambria" w:hAnsi="Cambria"/>
          <w:sz w:val="16"/>
          <w:szCs w:val="16"/>
          <w:lang w:val="es-CO" w:eastAsia="es-ES"/>
        </w:rPr>
      </w:pPr>
      <w:r w:rsidRPr="00B74E3A">
        <w:rPr>
          <w:rStyle w:val="FootnoteReference"/>
          <w:rFonts w:ascii="Cambria" w:hAnsi="Cambria"/>
          <w:sz w:val="16"/>
          <w:szCs w:val="16"/>
        </w:rPr>
        <w:footnoteRef/>
      </w:r>
      <w:r w:rsidRPr="00B74E3A">
        <w:rPr>
          <w:rFonts w:ascii="Cambria" w:hAnsi="Cambria"/>
          <w:sz w:val="16"/>
          <w:szCs w:val="16"/>
          <w:lang w:val="es-CO" w:eastAsia="es-ES"/>
        </w:rPr>
        <w:t xml:space="preserve"> Anexo</w:t>
      </w:r>
      <w:r>
        <w:rPr>
          <w:rFonts w:ascii="Cambria" w:hAnsi="Cambria"/>
          <w:sz w:val="16"/>
          <w:szCs w:val="16"/>
          <w:lang w:val="es-CO" w:eastAsia="es-ES"/>
        </w:rPr>
        <w:t xml:space="preserve"> 31</w:t>
      </w:r>
      <w:r w:rsidRPr="00B74E3A">
        <w:rPr>
          <w:rFonts w:ascii="Cambria" w:hAnsi="Cambria"/>
          <w:sz w:val="16"/>
          <w:szCs w:val="16"/>
          <w:lang w:val="es-CO" w:eastAsia="es-ES"/>
        </w:rPr>
        <w:t>. Resumen del progreso del proceso civil número 0000186-40.1999.8.05.0229. (Retirado del internet)</w:t>
      </w:r>
      <w:r>
        <w:rPr>
          <w:rFonts w:ascii="Cambria" w:hAnsi="Cambria"/>
          <w:sz w:val="16"/>
          <w:szCs w:val="16"/>
          <w:lang w:val="es-CO" w:eastAsia="es-ES"/>
        </w:rPr>
        <w:t>.</w:t>
      </w:r>
    </w:p>
  </w:footnote>
  <w:footnote w:id="60">
    <w:p w:rsidR="00DA16A1" w:rsidRPr="00B74E3A" w:rsidRDefault="00DA16A1">
      <w:pPr>
        <w:jc w:val="both"/>
        <w:rPr>
          <w:rFonts w:ascii="Cambria" w:hAnsi="Cambria"/>
          <w:sz w:val="16"/>
          <w:szCs w:val="16"/>
          <w:lang w:val="es-CO" w:eastAsia="es-ES"/>
        </w:rPr>
      </w:pPr>
      <w:r w:rsidRPr="00B74E3A">
        <w:rPr>
          <w:rStyle w:val="FootnoteReference"/>
          <w:rFonts w:ascii="Cambria" w:hAnsi="Cambria"/>
          <w:sz w:val="16"/>
          <w:szCs w:val="16"/>
        </w:rPr>
        <w:footnoteRef/>
      </w:r>
      <w:r w:rsidRPr="00B74E3A">
        <w:rPr>
          <w:rFonts w:ascii="Cambria" w:hAnsi="Cambria"/>
          <w:sz w:val="16"/>
          <w:szCs w:val="16"/>
          <w:lang w:val="es-CO" w:eastAsia="es-ES"/>
        </w:rPr>
        <w:t xml:space="preserve"> Anexo</w:t>
      </w:r>
      <w:r>
        <w:rPr>
          <w:rFonts w:ascii="Cambria" w:hAnsi="Cambria"/>
          <w:sz w:val="16"/>
          <w:szCs w:val="16"/>
          <w:lang w:val="es-CO" w:eastAsia="es-ES"/>
        </w:rPr>
        <w:t xml:space="preserve"> 31</w:t>
      </w:r>
      <w:r w:rsidRPr="00B74E3A">
        <w:rPr>
          <w:rFonts w:ascii="Cambria" w:hAnsi="Cambria"/>
          <w:sz w:val="16"/>
          <w:szCs w:val="16"/>
          <w:lang w:val="es-CO" w:eastAsia="es-ES"/>
        </w:rPr>
        <w:t>. Resumen del progreso del proceso civil número 0000186-40.1999.8.05.0229. (Retirado del internet)</w:t>
      </w:r>
      <w:r>
        <w:rPr>
          <w:rFonts w:ascii="Cambria" w:hAnsi="Cambria"/>
          <w:sz w:val="16"/>
          <w:szCs w:val="16"/>
          <w:lang w:val="es-CO" w:eastAsia="es-ES"/>
        </w:rPr>
        <w:t>.</w:t>
      </w:r>
    </w:p>
  </w:footnote>
  <w:footnote w:id="61">
    <w:p w:rsidR="00DA16A1" w:rsidRPr="00093038" w:rsidRDefault="00DA16A1">
      <w:pPr>
        <w:jc w:val="both"/>
        <w:rPr>
          <w:rFonts w:ascii="Cambria" w:hAnsi="Cambria"/>
          <w:sz w:val="16"/>
          <w:szCs w:val="16"/>
          <w:lang w:val="es-CO" w:eastAsia="es-ES"/>
        </w:rPr>
      </w:pPr>
      <w:r w:rsidRPr="00B74E3A">
        <w:rPr>
          <w:rStyle w:val="FootnoteReference"/>
          <w:rFonts w:ascii="Cambria" w:hAnsi="Cambria"/>
          <w:sz w:val="16"/>
          <w:szCs w:val="16"/>
        </w:rPr>
        <w:footnoteRef/>
      </w:r>
      <w:r w:rsidRPr="00B74E3A">
        <w:rPr>
          <w:rFonts w:ascii="Cambria" w:hAnsi="Cambria"/>
          <w:sz w:val="16"/>
          <w:szCs w:val="16"/>
          <w:lang w:val="es-ES"/>
        </w:rPr>
        <w:t xml:space="preserve"> </w:t>
      </w:r>
      <w:r w:rsidRPr="00B74E3A">
        <w:rPr>
          <w:rFonts w:ascii="Cambria" w:hAnsi="Cambria"/>
          <w:sz w:val="16"/>
          <w:szCs w:val="16"/>
          <w:lang w:val="es-CO"/>
        </w:rPr>
        <w:t>Anexo</w:t>
      </w:r>
      <w:r>
        <w:rPr>
          <w:rFonts w:ascii="Cambria" w:hAnsi="Cambria"/>
          <w:sz w:val="16"/>
          <w:szCs w:val="16"/>
          <w:lang w:val="es-CO"/>
        </w:rPr>
        <w:t xml:space="preserve"> 32</w:t>
      </w:r>
      <w:r w:rsidRPr="00B74E3A">
        <w:rPr>
          <w:rFonts w:ascii="Cambria" w:hAnsi="Cambria"/>
          <w:sz w:val="16"/>
          <w:szCs w:val="16"/>
          <w:lang w:val="es-CO"/>
        </w:rPr>
        <w:t xml:space="preserve">. </w:t>
      </w:r>
      <w:r w:rsidRPr="00093038">
        <w:rPr>
          <w:rFonts w:ascii="Cambria" w:hAnsi="Cambria"/>
          <w:sz w:val="16"/>
          <w:szCs w:val="16"/>
          <w:lang w:val="es-CO"/>
        </w:rPr>
        <w:t>Fallo laboral del proceso número 42.01.00.1357-01, firmado por los jueces Raymundo Antonio Carneiro Pinto y Graça Laranjeira, de fecha de 12 de junio de 2001. Anexo a comuni</w:t>
      </w:r>
      <w:r>
        <w:rPr>
          <w:rFonts w:ascii="Cambria" w:hAnsi="Cambria"/>
          <w:sz w:val="16"/>
          <w:szCs w:val="16"/>
          <w:lang w:val="es-CO"/>
        </w:rPr>
        <w:t>cación de la parte peticionaria</w:t>
      </w:r>
      <w:r w:rsidRPr="00093038">
        <w:rPr>
          <w:rFonts w:ascii="Cambria" w:hAnsi="Cambria"/>
          <w:sz w:val="16"/>
          <w:szCs w:val="16"/>
          <w:lang w:val="es-CO"/>
        </w:rPr>
        <w:t xml:space="preserve">. </w:t>
      </w:r>
    </w:p>
  </w:footnote>
  <w:footnote w:id="62">
    <w:p w:rsidR="00DA16A1" w:rsidRPr="00B74E3A" w:rsidRDefault="00DA16A1">
      <w:pPr>
        <w:jc w:val="both"/>
        <w:rPr>
          <w:rFonts w:ascii="Cambria" w:hAnsi="Cambria"/>
          <w:sz w:val="16"/>
          <w:szCs w:val="16"/>
          <w:lang w:val="es-CO" w:eastAsia="es-ES"/>
        </w:rPr>
      </w:pPr>
      <w:r w:rsidRPr="00093038">
        <w:rPr>
          <w:rStyle w:val="FootnoteReference"/>
          <w:rFonts w:ascii="Cambria" w:hAnsi="Cambria"/>
          <w:sz w:val="16"/>
          <w:szCs w:val="16"/>
        </w:rPr>
        <w:footnoteRef/>
      </w:r>
      <w:r w:rsidRPr="00093038">
        <w:rPr>
          <w:rStyle w:val="FootnoteReference"/>
          <w:rFonts w:ascii="Cambria" w:hAnsi="Cambria"/>
          <w:sz w:val="16"/>
          <w:szCs w:val="16"/>
          <w:lang w:val="es-MX"/>
        </w:rPr>
        <w:t xml:space="preserve"> </w:t>
      </w:r>
      <w:r w:rsidRPr="00093038">
        <w:rPr>
          <w:rFonts w:ascii="Cambria" w:hAnsi="Cambria"/>
          <w:sz w:val="16"/>
          <w:szCs w:val="16"/>
          <w:lang w:val="es-CO" w:eastAsia="es-ES"/>
        </w:rPr>
        <w:t xml:space="preserve">Anexo 32. </w:t>
      </w:r>
      <w:r w:rsidRPr="00093038">
        <w:rPr>
          <w:rFonts w:ascii="Cambria" w:hAnsi="Cambria"/>
          <w:sz w:val="16"/>
          <w:szCs w:val="16"/>
          <w:lang w:val="es-CO"/>
        </w:rPr>
        <w:t>Fallo laboral del proceso número 42.01.00.1357-01, firmado por los jueces Raymundo Antonio Carneiro Pinto y Graça Laranjeira, de fecha de 12 de junio de 2001. Anexo a comunicación de la parte peticionaria.</w:t>
      </w:r>
    </w:p>
  </w:footnote>
  <w:footnote w:id="63">
    <w:p w:rsidR="00DA16A1" w:rsidRPr="00B74E3A" w:rsidRDefault="00DA16A1">
      <w:pPr>
        <w:jc w:val="both"/>
        <w:rPr>
          <w:rFonts w:ascii="Cambria" w:hAnsi="Cambria"/>
          <w:sz w:val="16"/>
          <w:szCs w:val="16"/>
          <w:lang w:val="es-CO" w:eastAsia="es-ES"/>
        </w:rPr>
      </w:pPr>
      <w:r w:rsidRPr="00B74E3A">
        <w:rPr>
          <w:rStyle w:val="FootnoteReference"/>
          <w:rFonts w:ascii="Cambria" w:hAnsi="Cambria"/>
          <w:sz w:val="16"/>
          <w:szCs w:val="16"/>
          <w:lang w:eastAsia="es-ES"/>
        </w:rPr>
        <w:footnoteRef/>
      </w:r>
      <w:r w:rsidRPr="00B74E3A">
        <w:rPr>
          <w:rStyle w:val="FootnoteReference"/>
          <w:rFonts w:ascii="Cambria" w:hAnsi="Cambria"/>
          <w:sz w:val="16"/>
          <w:szCs w:val="16"/>
          <w:lang w:val="es-CO" w:eastAsia="es-ES"/>
        </w:rPr>
        <w:t xml:space="preserve"> </w:t>
      </w:r>
      <w:r w:rsidRPr="00B74E3A">
        <w:rPr>
          <w:rFonts w:ascii="Cambria" w:hAnsi="Cambria"/>
          <w:sz w:val="16"/>
          <w:szCs w:val="16"/>
          <w:lang w:val="es-CO" w:eastAsia="es-ES"/>
        </w:rPr>
        <w:t>Anexo</w:t>
      </w:r>
      <w:r>
        <w:rPr>
          <w:rFonts w:ascii="Cambria" w:hAnsi="Cambria"/>
          <w:sz w:val="16"/>
          <w:szCs w:val="16"/>
          <w:lang w:val="es-CO" w:eastAsia="es-ES"/>
        </w:rPr>
        <w:t xml:space="preserve"> 33</w:t>
      </w:r>
      <w:r w:rsidRPr="00B74E3A">
        <w:rPr>
          <w:rFonts w:ascii="Cambria" w:hAnsi="Cambria"/>
          <w:sz w:val="16"/>
          <w:szCs w:val="16"/>
          <w:lang w:val="es-CO" w:eastAsia="es-ES"/>
        </w:rPr>
        <w:t>. Certificado firmado por Otávio José Ferreira Sande, Director Adjunto de Secretaria, del Tribunal del Trabajo en Santo Antônio de Jesus, de fecha 5 de octubre de 2005</w:t>
      </w:r>
      <w:r>
        <w:rPr>
          <w:rFonts w:ascii="Cambria" w:hAnsi="Cambria"/>
          <w:sz w:val="16"/>
          <w:szCs w:val="16"/>
          <w:lang w:val="es-CO" w:eastAsia="es-ES"/>
        </w:rPr>
        <w:t>. Anexo a comunicación del Estado de 19 de octubre de 2006.</w:t>
      </w:r>
      <w:r w:rsidRPr="00B74E3A">
        <w:rPr>
          <w:rFonts w:ascii="Cambria" w:hAnsi="Cambria"/>
          <w:sz w:val="16"/>
          <w:szCs w:val="16"/>
          <w:lang w:val="es-CO" w:eastAsia="es-ES"/>
        </w:rPr>
        <w:t xml:space="preserve"> </w:t>
      </w:r>
    </w:p>
  </w:footnote>
  <w:footnote w:id="64">
    <w:p w:rsidR="00DA16A1" w:rsidRPr="00B74E3A" w:rsidRDefault="00DA16A1">
      <w:pPr>
        <w:jc w:val="both"/>
        <w:rPr>
          <w:rFonts w:ascii="Cambria" w:hAnsi="Cambria"/>
          <w:sz w:val="16"/>
          <w:szCs w:val="16"/>
          <w:lang w:val="es-CO" w:eastAsia="es-ES"/>
        </w:rPr>
      </w:pPr>
      <w:r w:rsidRPr="00B74E3A">
        <w:rPr>
          <w:rStyle w:val="FootnoteReference"/>
          <w:rFonts w:ascii="Cambria" w:hAnsi="Cambria"/>
          <w:sz w:val="16"/>
          <w:szCs w:val="16"/>
        </w:rPr>
        <w:footnoteRef/>
      </w:r>
      <w:r w:rsidRPr="00B74E3A">
        <w:rPr>
          <w:rStyle w:val="FootnoteReference"/>
          <w:rFonts w:ascii="Cambria" w:hAnsi="Cambria"/>
          <w:sz w:val="16"/>
          <w:szCs w:val="16"/>
          <w:lang w:val="es-CO"/>
        </w:rPr>
        <w:t xml:space="preserve"> </w:t>
      </w:r>
      <w:r w:rsidRPr="00B74E3A">
        <w:rPr>
          <w:rFonts w:ascii="Cambria" w:hAnsi="Cambria"/>
          <w:sz w:val="16"/>
          <w:szCs w:val="16"/>
          <w:lang w:val="es-CO" w:eastAsia="es-ES"/>
        </w:rPr>
        <w:t>Anexo</w:t>
      </w:r>
      <w:r>
        <w:rPr>
          <w:rFonts w:ascii="Cambria" w:hAnsi="Cambria"/>
          <w:sz w:val="16"/>
          <w:szCs w:val="16"/>
          <w:lang w:val="es-CO" w:eastAsia="es-ES"/>
        </w:rPr>
        <w:t xml:space="preserve"> 33</w:t>
      </w:r>
      <w:r w:rsidRPr="00B74E3A">
        <w:rPr>
          <w:rFonts w:ascii="Cambria" w:hAnsi="Cambria"/>
          <w:sz w:val="16"/>
          <w:szCs w:val="16"/>
          <w:lang w:val="es-CO" w:eastAsia="es-ES"/>
        </w:rPr>
        <w:t xml:space="preserve">. Certificado </w:t>
      </w:r>
      <w:bookmarkStart w:id="20" w:name="_GoBack"/>
      <w:bookmarkEnd w:id="20"/>
      <w:r w:rsidRPr="00B74E3A">
        <w:rPr>
          <w:rFonts w:ascii="Cambria" w:hAnsi="Cambria"/>
          <w:sz w:val="16"/>
          <w:szCs w:val="16"/>
          <w:lang w:val="es-CO" w:eastAsia="es-ES"/>
        </w:rPr>
        <w:t>firmado por Otávio José Ferreira Sande, Director Adjunto de Secretaria, del Tribunal del Trabajo en Santo Antônio de Jesus, de fecha 5 de octubre de 2005</w:t>
      </w:r>
      <w:r>
        <w:rPr>
          <w:rFonts w:ascii="Cambria" w:hAnsi="Cambria"/>
          <w:sz w:val="16"/>
          <w:szCs w:val="16"/>
          <w:lang w:val="es-CO" w:eastAsia="es-ES"/>
        </w:rPr>
        <w:t>. Anexo a comunicación del Estado de 19 de octubre de 2006.</w:t>
      </w:r>
    </w:p>
  </w:footnote>
  <w:footnote w:id="65">
    <w:p w:rsidR="00DA16A1" w:rsidRPr="00B74E3A" w:rsidRDefault="00DA16A1">
      <w:pPr>
        <w:jc w:val="both"/>
        <w:rPr>
          <w:rFonts w:ascii="Cambria" w:hAnsi="Cambria"/>
          <w:sz w:val="16"/>
          <w:szCs w:val="16"/>
          <w:lang w:val="es-CO" w:eastAsia="es-ES"/>
        </w:rPr>
      </w:pPr>
      <w:r w:rsidRPr="00B74E3A">
        <w:rPr>
          <w:rStyle w:val="FootnoteReference"/>
          <w:rFonts w:ascii="Cambria" w:hAnsi="Cambria"/>
          <w:sz w:val="16"/>
          <w:szCs w:val="16"/>
        </w:rPr>
        <w:footnoteRef/>
      </w:r>
      <w:r w:rsidRPr="00B74E3A">
        <w:rPr>
          <w:rStyle w:val="FootnoteReference"/>
          <w:rFonts w:ascii="Cambria" w:hAnsi="Cambria"/>
          <w:sz w:val="16"/>
          <w:szCs w:val="16"/>
          <w:lang w:val="es-CO"/>
        </w:rPr>
        <w:t xml:space="preserve"> </w:t>
      </w:r>
      <w:r w:rsidRPr="00B74E3A">
        <w:rPr>
          <w:rFonts w:ascii="Cambria" w:hAnsi="Cambria"/>
          <w:sz w:val="16"/>
          <w:szCs w:val="16"/>
          <w:lang w:val="es-CO" w:eastAsia="es-ES"/>
        </w:rPr>
        <w:t>Anexo</w:t>
      </w:r>
      <w:r>
        <w:rPr>
          <w:rFonts w:ascii="Cambria" w:hAnsi="Cambria"/>
          <w:sz w:val="16"/>
          <w:szCs w:val="16"/>
          <w:lang w:val="es-CO" w:eastAsia="es-ES"/>
        </w:rPr>
        <w:t xml:space="preserve"> 11</w:t>
      </w:r>
      <w:r w:rsidRPr="00B74E3A">
        <w:rPr>
          <w:rFonts w:ascii="Cambria" w:hAnsi="Cambria"/>
          <w:sz w:val="16"/>
          <w:szCs w:val="16"/>
          <w:lang w:val="es-CO" w:eastAsia="es-ES"/>
        </w:rPr>
        <w:t>. Constancia de confiscación  de</w:t>
      </w:r>
      <w:r>
        <w:rPr>
          <w:rFonts w:ascii="Cambria" w:hAnsi="Cambria"/>
          <w:sz w:val="16"/>
          <w:szCs w:val="16"/>
          <w:lang w:val="es-CO" w:eastAsia="es-ES"/>
        </w:rPr>
        <w:t xml:space="preserve">l </w:t>
      </w:r>
      <w:r w:rsidRPr="00B74E3A">
        <w:rPr>
          <w:rFonts w:ascii="Cambria" w:hAnsi="Cambria"/>
          <w:sz w:val="16"/>
          <w:szCs w:val="16"/>
          <w:lang w:val="es-CO" w:eastAsia="es-ES"/>
        </w:rPr>
        <w:t xml:space="preserve">13 de diciembre de 1998. </w:t>
      </w:r>
      <w:r w:rsidRPr="00D233C8">
        <w:rPr>
          <w:rFonts w:ascii="Cambria" w:hAnsi="Cambria"/>
          <w:sz w:val="16"/>
          <w:szCs w:val="16"/>
          <w:lang w:val="es-MX" w:eastAsia="es-ES"/>
        </w:rPr>
        <w:t>Anexo a petición inicial.</w:t>
      </w:r>
    </w:p>
  </w:footnote>
  <w:footnote w:id="66">
    <w:p w:rsidR="00DA16A1" w:rsidRPr="00B74E3A" w:rsidRDefault="00DA16A1">
      <w:pPr>
        <w:jc w:val="both"/>
        <w:rPr>
          <w:rFonts w:ascii="Cambria" w:hAnsi="Cambria"/>
          <w:sz w:val="16"/>
          <w:szCs w:val="16"/>
          <w:lang w:val="es-CO" w:eastAsia="es-ES"/>
        </w:rPr>
      </w:pPr>
      <w:r w:rsidRPr="00B74E3A">
        <w:rPr>
          <w:rStyle w:val="FootnoteReference"/>
          <w:rFonts w:ascii="Cambria" w:hAnsi="Cambria"/>
          <w:sz w:val="16"/>
          <w:szCs w:val="16"/>
        </w:rPr>
        <w:footnoteRef/>
      </w:r>
      <w:r w:rsidRPr="00B74E3A">
        <w:rPr>
          <w:rStyle w:val="FootnoteReference"/>
          <w:rFonts w:ascii="Cambria" w:hAnsi="Cambria"/>
          <w:sz w:val="16"/>
          <w:szCs w:val="16"/>
          <w:lang w:val="es-MX"/>
        </w:rPr>
        <w:t xml:space="preserve"> </w:t>
      </w:r>
      <w:r w:rsidRPr="00327F73">
        <w:rPr>
          <w:rFonts w:ascii="Cambria" w:hAnsi="Cambria"/>
          <w:sz w:val="16"/>
          <w:szCs w:val="16"/>
          <w:lang w:val="es-MX" w:eastAsia="es-ES"/>
        </w:rPr>
        <w:t xml:space="preserve">Anexo10. Oficios números 592-SFPC/6 y 612-SFPC/6 y </w:t>
      </w:r>
      <w:r>
        <w:rPr>
          <w:rFonts w:ascii="Cambria" w:hAnsi="Cambria"/>
          <w:sz w:val="16"/>
          <w:szCs w:val="16"/>
          <w:lang w:val="es-MX" w:eastAsia="es-ES"/>
        </w:rPr>
        <w:t xml:space="preserve">Resolución </w:t>
      </w:r>
      <w:r w:rsidRPr="00327F73">
        <w:rPr>
          <w:rFonts w:ascii="Cambria" w:hAnsi="Cambria"/>
          <w:sz w:val="16"/>
          <w:szCs w:val="16"/>
          <w:lang w:val="es-MX" w:eastAsia="es-ES"/>
        </w:rPr>
        <w:t>número 13/DMB de 1999. Anexo a petición inicial.</w:t>
      </w:r>
    </w:p>
  </w:footnote>
  <w:footnote w:id="67">
    <w:p w:rsidR="00DA16A1" w:rsidRPr="00D233C8" w:rsidRDefault="00DA16A1" w:rsidP="00D233C8">
      <w:pPr>
        <w:jc w:val="both"/>
        <w:rPr>
          <w:rFonts w:ascii="Cambria" w:hAnsi="Cambria"/>
          <w:sz w:val="16"/>
          <w:szCs w:val="16"/>
          <w:lang w:val="es-MX"/>
        </w:rPr>
      </w:pPr>
      <w:r w:rsidRPr="00B74E3A">
        <w:rPr>
          <w:rStyle w:val="FootnoteReference"/>
          <w:rFonts w:ascii="Cambria" w:hAnsi="Cambria"/>
          <w:sz w:val="16"/>
          <w:szCs w:val="16"/>
        </w:rPr>
        <w:footnoteRef/>
      </w:r>
      <w:r w:rsidRPr="00B74E3A">
        <w:rPr>
          <w:rStyle w:val="FootnoteReference"/>
          <w:rFonts w:ascii="Cambria" w:hAnsi="Cambria"/>
          <w:sz w:val="16"/>
          <w:szCs w:val="16"/>
          <w:lang w:val="es-MX"/>
        </w:rPr>
        <w:t xml:space="preserve"> </w:t>
      </w:r>
      <w:r w:rsidRPr="00D233C8">
        <w:rPr>
          <w:rFonts w:ascii="Cambria" w:hAnsi="Cambria"/>
          <w:sz w:val="16"/>
          <w:szCs w:val="16"/>
          <w:lang w:val="es-CO"/>
        </w:rPr>
        <w:t xml:space="preserve">Anexo 13. Oficio 592-592-SFPC/6, resumen de supervisión del 13 de octubre de 1999. Anexo a petición inicial. </w:t>
      </w:r>
      <w:r w:rsidRPr="00D233C8">
        <w:rPr>
          <w:rFonts w:ascii="Cambria" w:hAnsi="Cambria"/>
          <w:sz w:val="16"/>
          <w:szCs w:val="16"/>
          <w:vertAlign w:val="superscript"/>
          <w:lang w:val="es-MX"/>
        </w:rPr>
        <w:t xml:space="preserve"> </w:t>
      </w:r>
    </w:p>
    <w:p w:rsidR="00DA16A1" w:rsidRPr="00B74E3A" w:rsidRDefault="00DA16A1">
      <w:pPr>
        <w:jc w:val="both"/>
        <w:rPr>
          <w:rStyle w:val="FootnoteReference"/>
          <w:rFonts w:ascii="Cambria" w:hAnsi="Cambria"/>
          <w:sz w:val="16"/>
          <w:szCs w:val="16"/>
          <w:lang w:val="es-MX"/>
        </w:rPr>
      </w:pPr>
    </w:p>
  </w:footnote>
  <w:footnote w:id="68">
    <w:p w:rsidR="00DA16A1" w:rsidRPr="00B74E3A" w:rsidRDefault="00DA16A1">
      <w:pPr>
        <w:pStyle w:val="FootnoteText"/>
        <w:jc w:val="both"/>
        <w:rPr>
          <w:rFonts w:ascii="Cambria" w:hAnsi="Cambria"/>
          <w:sz w:val="16"/>
          <w:szCs w:val="16"/>
          <w:lang w:val="es-MX"/>
        </w:rPr>
      </w:pPr>
      <w:r w:rsidRPr="00B74E3A">
        <w:rPr>
          <w:rStyle w:val="FootnoteReference"/>
          <w:rFonts w:ascii="Cambria" w:hAnsi="Cambria"/>
          <w:sz w:val="16"/>
          <w:szCs w:val="16"/>
        </w:rPr>
        <w:footnoteRef/>
      </w:r>
      <w:r w:rsidRPr="00B74E3A">
        <w:rPr>
          <w:rFonts w:ascii="Cambria" w:hAnsi="Cambria"/>
          <w:sz w:val="16"/>
          <w:szCs w:val="16"/>
          <w:lang w:val="es-MX"/>
        </w:rPr>
        <w:t xml:space="preserve"> Artículo 4.1. Toda persona tiene derecho a que se respete su vida […].</w:t>
      </w:r>
    </w:p>
    <w:p w:rsidR="00DA16A1" w:rsidRPr="00B74E3A" w:rsidRDefault="00DA16A1">
      <w:pPr>
        <w:pStyle w:val="FootnoteText"/>
        <w:jc w:val="both"/>
        <w:rPr>
          <w:rFonts w:ascii="Cambria" w:hAnsi="Cambria"/>
          <w:sz w:val="16"/>
          <w:szCs w:val="16"/>
          <w:lang w:val="es-MX"/>
        </w:rPr>
      </w:pPr>
      <w:r w:rsidRPr="00B74E3A">
        <w:rPr>
          <w:rFonts w:ascii="Cambria" w:hAnsi="Cambria"/>
          <w:sz w:val="16"/>
          <w:szCs w:val="16"/>
          <w:lang w:val="es-MX"/>
        </w:rPr>
        <w:t>Artículo 5.1. Toda persona tiene derecho a que se respete su integridad física, psíquica y moral.</w:t>
      </w:r>
    </w:p>
    <w:p w:rsidR="00DA16A1" w:rsidRPr="00B74E3A" w:rsidRDefault="00DA16A1">
      <w:pPr>
        <w:pStyle w:val="FootnoteText"/>
        <w:jc w:val="both"/>
        <w:rPr>
          <w:rFonts w:ascii="Cambria" w:hAnsi="Cambria"/>
          <w:sz w:val="16"/>
          <w:szCs w:val="16"/>
          <w:lang w:val="es-MX"/>
        </w:rPr>
      </w:pPr>
      <w:r w:rsidRPr="00B74E3A">
        <w:rPr>
          <w:rFonts w:ascii="Cambria" w:hAnsi="Cambria"/>
          <w:sz w:val="16"/>
          <w:szCs w:val="16"/>
          <w:lang w:val="es-MX"/>
        </w:rPr>
        <w:t>Artículo 19. Todo niño tiene derecho a las medidas de protección que su condición de menor requieren</w:t>
      </w:r>
      <w:r>
        <w:rPr>
          <w:rFonts w:ascii="Cambria" w:hAnsi="Cambria"/>
          <w:sz w:val="16"/>
          <w:szCs w:val="16"/>
          <w:lang w:val="es-MX"/>
        </w:rPr>
        <w:t xml:space="preserve"> </w:t>
      </w:r>
      <w:r w:rsidRPr="00B74E3A">
        <w:rPr>
          <w:rFonts w:ascii="Cambria" w:hAnsi="Cambria"/>
          <w:sz w:val="16"/>
          <w:szCs w:val="16"/>
          <w:lang w:val="es-MX"/>
        </w:rPr>
        <w:t xml:space="preserve">por parte de su  familia, de la sociedad y del Estado. </w:t>
      </w:r>
    </w:p>
    <w:p w:rsidR="00DA16A1" w:rsidRPr="00B74E3A" w:rsidRDefault="00DA16A1">
      <w:pPr>
        <w:pStyle w:val="FootnoteText"/>
        <w:jc w:val="both"/>
        <w:rPr>
          <w:rFonts w:ascii="Cambria" w:hAnsi="Cambria"/>
          <w:sz w:val="16"/>
          <w:szCs w:val="16"/>
          <w:lang w:val="es-MX"/>
        </w:rPr>
      </w:pPr>
      <w:r w:rsidRPr="00B74E3A">
        <w:rPr>
          <w:rFonts w:ascii="Cambria" w:hAnsi="Cambria"/>
          <w:sz w:val="16"/>
          <w:szCs w:val="16"/>
          <w:lang w:val="es-MX"/>
        </w:rPr>
        <w:t>Artículo 1.1.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69">
    <w:p w:rsidR="00DA16A1" w:rsidRPr="00165EC6" w:rsidRDefault="00DA16A1">
      <w:pPr>
        <w:pStyle w:val="FootnoteText"/>
        <w:tabs>
          <w:tab w:val="left" w:pos="720"/>
          <w:tab w:val="left" w:pos="900"/>
          <w:tab w:val="left" w:pos="1080"/>
        </w:tabs>
        <w:jc w:val="both"/>
        <w:rPr>
          <w:rFonts w:ascii="Cambria" w:hAnsi="Cambria"/>
          <w:sz w:val="16"/>
          <w:szCs w:val="16"/>
          <w:lang w:val="es-ES"/>
        </w:rPr>
      </w:pPr>
      <w:r w:rsidRPr="00165EC6">
        <w:rPr>
          <w:rStyle w:val="FootnoteReference"/>
          <w:rFonts w:ascii="Cambria" w:hAnsi="Cambria"/>
          <w:sz w:val="16"/>
          <w:szCs w:val="16"/>
          <w:lang w:val="es-ES"/>
        </w:rPr>
        <w:footnoteRef/>
      </w:r>
      <w:r w:rsidRPr="00165EC6">
        <w:rPr>
          <w:rFonts w:ascii="Cambria" w:hAnsi="Cambria"/>
          <w:sz w:val="16"/>
          <w:szCs w:val="16"/>
          <w:lang w:val="es-ES"/>
        </w:rPr>
        <w:t xml:space="preserve"> CIDH, Caso 12.270, Informe No. 2/15, Fondo, Johan Alexis Ortiz Hernández, Venezuela, 29 de enero de 2015, párr. 185.</w:t>
      </w:r>
    </w:p>
  </w:footnote>
  <w:footnote w:id="70">
    <w:p w:rsidR="00DA16A1" w:rsidRPr="00165EC6" w:rsidRDefault="00DA16A1">
      <w:pPr>
        <w:pStyle w:val="FootnoteText"/>
        <w:tabs>
          <w:tab w:val="left" w:pos="720"/>
          <w:tab w:val="left" w:pos="900"/>
          <w:tab w:val="left" w:pos="1080"/>
        </w:tabs>
        <w:jc w:val="both"/>
        <w:rPr>
          <w:rFonts w:ascii="Cambria" w:hAnsi="Cambria"/>
          <w:sz w:val="16"/>
          <w:szCs w:val="16"/>
          <w:lang w:val="es-CO"/>
        </w:rPr>
      </w:pPr>
      <w:r w:rsidRPr="00165EC6">
        <w:rPr>
          <w:rStyle w:val="FootnoteReference"/>
          <w:rFonts w:ascii="Cambria" w:hAnsi="Cambria"/>
          <w:sz w:val="16"/>
          <w:szCs w:val="16"/>
        </w:rPr>
        <w:footnoteRef/>
      </w:r>
      <w:r w:rsidRPr="00165EC6">
        <w:rPr>
          <w:rFonts w:ascii="Cambria" w:hAnsi="Cambria"/>
          <w:sz w:val="16"/>
          <w:szCs w:val="16"/>
          <w:lang w:val="es-ES_tradnl"/>
        </w:rPr>
        <w:t xml:space="preserve"> </w:t>
      </w:r>
      <w:r w:rsidRPr="00165EC6">
        <w:rPr>
          <w:rFonts w:ascii="Cambria" w:hAnsi="Cambria"/>
          <w:sz w:val="16"/>
          <w:szCs w:val="16"/>
          <w:lang w:val="es-ES"/>
        </w:rPr>
        <w:t xml:space="preserve">CIDH, Caso 12.270, Informe No. 2/15, Fondo, Johan Alexis Ortiz Hernández, Venezuela, 29 de enero de 2015, párr. </w:t>
      </w:r>
      <w:r w:rsidRPr="00165EC6">
        <w:rPr>
          <w:rFonts w:ascii="Cambria" w:hAnsi="Cambria"/>
          <w:sz w:val="16"/>
          <w:szCs w:val="16"/>
          <w:lang w:val="es-CO"/>
        </w:rPr>
        <w:t xml:space="preserve">186. Asimismo: </w:t>
      </w:r>
      <w:r w:rsidRPr="00165EC6">
        <w:rPr>
          <w:rFonts w:ascii="Cambria" w:hAnsi="Cambria"/>
          <w:sz w:val="16"/>
          <w:szCs w:val="16"/>
          <w:lang w:val="es-ES_tradnl"/>
        </w:rPr>
        <w:t xml:space="preserve">Corte IDH. </w:t>
      </w:r>
      <w:r w:rsidRPr="00165EC6">
        <w:rPr>
          <w:rFonts w:ascii="Cambria" w:hAnsi="Cambria"/>
          <w:bCs/>
          <w:sz w:val="16"/>
          <w:szCs w:val="16"/>
          <w:lang w:val="es-ES_tradnl"/>
        </w:rPr>
        <w:t xml:space="preserve">Caso Zambrano Vélez y otros vs. Ecuador. </w:t>
      </w:r>
      <w:r w:rsidRPr="00165EC6">
        <w:rPr>
          <w:rFonts w:ascii="Cambria" w:hAnsi="Cambria"/>
          <w:sz w:val="16"/>
          <w:szCs w:val="16"/>
          <w:lang w:val="es-ES_tradnl"/>
        </w:rPr>
        <w:t xml:space="preserve">Fondo, Reparaciones y Costas. Sentencia de 4 de julio de 2007. Serie C No. 166, párr. 80. </w:t>
      </w:r>
    </w:p>
  </w:footnote>
  <w:footnote w:id="71">
    <w:p w:rsidR="00DA16A1" w:rsidRPr="00165EC6" w:rsidRDefault="00DA16A1" w:rsidP="00333714">
      <w:pPr>
        <w:spacing w:after="120"/>
        <w:ind w:right="11"/>
        <w:jc w:val="both"/>
        <w:rPr>
          <w:rFonts w:asciiTheme="majorHAnsi" w:hAnsiTheme="majorHAnsi"/>
          <w:sz w:val="16"/>
          <w:szCs w:val="16"/>
          <w:lang w:val="es-US"/>
        </w:rPr>
      </w:pPr>
      <w:r w:rsidRPr="00165EC6">
        <w:rPr>
          <w:rStyle w:val="FootnoteReference"/>
          <w:rFonts w:asciiTheme="majorHAnsi" w:hAnsiTheme="majorHAnsi"/>
          <w:sz w:val="16"/>
          <w:szCs w:val="16"/>
        </w:rPr>
        <w:footnoteRef/>
      </w:r>
      <w:r w:rsidRPr="00165EC6">
        <w:rPr>
          <w:rFonts w:asciiTheme="majorHAnsi" w:hAnsiTheme="majorHAnsi"/>
          <w:sz w:val="16"/>
          <w:szCs w:val="16"/>
          <w:lang w:val="es-US"/>
        </w:rPr>
        <w:t xml:space="preserve"> </w:t>
      </w:r>
      <w:r w:rsidRPr="00165EC6">
        <w:rPr>
          <w:rFonts w:asciiTheme="majorHAnsi" w:hAnsiTheme="majorHAnsi"/>
          <w:sz w:val="16"/>
          <w:szCs w:val="16"/>
          <w:lang w:val="es-ES_tradnl"/>
        </w:rPr>
        <w:t xml:space="preserve">Corte IDH. Caso Velásquez Rodríguez Vs. Honduras. </w:t>
      </w:r>
      <w:hyperlink r:id="rId7" w:history="1">
        <w:r w:rsidRPr="00165EC6">
          <w:rPr>
            <w:rStyle w:val="Hyperlink"/>
            <w:rFonts w:asciiTheme="majorHAnsi" w:hAnsiTheme="majorHAnsi" w:cs="Arial"/>
            <w:sz w:val="16"/>
            <w:szCs w:val="16"/>
            <w:u w:val="none"/>
            <w:shd w:val="clear" w:color="auto" w:fill="FFFFFF"/>
            <w:lang w:val="es-ES_tradnl"/>
          </w:rPr>
          <w:t xml:space="preserve">Fondo. Sentencia de 29 de julio de 1988. </w:t>
        </w:r>
        <w:r w:rsidRPr="00165EC6">
          <w:rPr>
            <w:rStyle w:val="Hyperlink"/>
            <w:rFonts w:asciiTheme="majorHAnsi" w:hAnsiTheme="majorHAnsi" w:cs="Arial"/>
            <w:sz w:val="16"/>
            <w:szCs w:val="16"/>
            <w:u w:val="none"/>
            <w:shd w:val="clear" w:color="auto" w:fill="FFFFFF"/>
            <w:lang w:val="es-US"/>
          </w:rPr>
          <w:t>Serie C No. 4</w:t>
        </w:r>
      </w:hyperlink>
      <w:r w:rsidRPr="00165EC6">
        <w:rPr>
          <w:rStyle w:val="Hyperlink"/>
          <w:rFonts w:asciiTheme="majorHAnsi" w:hAnsiTheme="majorHAnsi" w:cs="Arial"/>
          <w:sz w:val="16"/>
          <w:szCs w:val="16"/>
          <w:u w:val="none"/>
          <w:shd w:val="clear" w:color="auto" w:fill="FFFFFF"/>
          <w:lang w:val="es-US"/>
        </w:rPr>
        <w:t xml:space="preserve">. Párr. 164. </w:t>
      </w:r>
    </w:p>
  </w:footnote>
  <w:footnote w:id="72">
    <w:p w:rsidR="00DA16A1" w:rsidRPr="00165EC6" w:rsidRDefault="00DA16A1" w:rsidP="00333714">
      <w:pPr>
        <w:spacing w:after="120"/>
        <w:jc w:val="both"/>
        <w:rPr>
          <w:rFonts w:asciiTheme="majorHAnsi" w:hAnsiTheme="majorHAnsi"/>
          <w:sz w:val="16"/>
          <w:szCs w:val="16"/>
          <w:lang w:val="es-ES_tradnl"/>
        </w:rPr>
      </w:pPr>
      <w:r w:rsidRPr="00165EC6">
        <w:rPr>
          <w:rFonts w:asciiTheme="majorHAnsi" w:hAnsiTheme="majorHAnsi" w:cs="Arial"/>
          <w:sz w:val="16"/>
          <w:szCs w:val="16"/>
          <w:vertAlign w:val="superscript"/>
          <w:lang w:val="es-ES_tradnl"/>
        </w:rPr>
        <w:footnoteRef/>
      </w:r>
      <w:r w:rsidRPr="00165EC6">
        <w:rPr>
          <w:rFonts w:asciiTheme="majorHAnsi" w:hAnsiTheme="majorHAnsi" w:cs="Arial"/>
          <w:sz w:val="16"/>
          <w:szCs w:val="16"/>
          <w:lang w:val="es-ES_tradnl"/>
        </w:rPr>
        <w:t xml:space="preserve"> </w:t>
      </w:r>
      <w:hyperlink r:id="rId8" w:history="1">
        <w:r w:rsidRPr="00165EC6">
          <w:rPr>
            <w:rFonts w:asciiTheme="majorHAnsi" w:hAnsiTheme="majorHAnsi"/>
            <w:sz w:val="16"/>
            <w:szCs w:val="16"/>
            <w:lang w:val="es-ES_tradnl"/>
          </w:rPr>
          <w:t>Corte IDH. Caso González Medina y familiares Vs. República Dominicana. Excepciones Preliminares, Fondo, Reparaciones y Costas. Sentencia de 27 de febrero de 2012 Serie C No. 240</w:t>
        </w:r>
      </w:hyperlink>
      <w:r w:rsidRPr="00165EC6">
        <w:rPr>
          <w:rFonts w:asciiTheme="majorHAnsi" w:hAnsiTheme="majorHAnsi"/>
          <w:sz w:val="16"/>
          <w:szCs w:val="16"/>
          <w:lang w:val="es-ES_tradnl"/>
        </w:rPr>
        <w:t xml:space="preserve">, párr.133; </w:t>
      </w:r>
      <w:r w:rsidRPr="00165EC6">
        <w:rPr>
          <w:rFonts w:asciiTheme="majorHAnsi" w:hAnsiTheme="majorHAnsi" w:cs="Arial"/>
          <w:sz w:val="16"/>
          <w:szCs w:val="16"/>
          <w:lang w:val="es-ES_tradnl"/>
        </w:rPr>
        <w:t>Corte IDH, Caso de la Masacre de Pueblo Bello vs. Colombia, Sentencia de 31 de enero de 2006, Serie C No. 140, párrafo 112.</w:t>
      </w:r>
    </w:p>
  </w:footnote>
  <w:footnote w:id="73">
    <w:p w:rsidR="00DA16A1" w:rsidRPr="00FA6ACF" w:rsidRDefault="00DA16A1" w:rsidP="00333714">
      <w:pPr>
        <w:spacing w:after="120"/>
        <w:ind w:right="11"/>
        <w:jc w:val="both"/>
        <w:rPr>
          <w:rFonts w:asciiTheme="majorHAnsi" w:hAnsiTheme="majorHAnsi"/>
          <w:sz w:val="16"/>
          <w:szCs w:val="16"/>
          <w:lang w:val="es-US"/>
        </w:rPr>
      </w:pPr>
      <w:r w:rsidRPr="00165EC6">
        <w:rPr>
          <w:rStyle w:val="FootnoteReference"/>
          <w:rFonts w:asciiTheme="majorHAnsi" w:hAnsiTheme="majorHAnsi"/>
          <w:sz w:val="16"/>
          <w:szCs w:val="16"/>
        </w:rPr>
        <w:footnoteRef/>
      </w:r>
      <w:r w:rsidRPr="00165EC6">
        <w:rPr>
          <w:rFonts w:asciiTheme="majorHAnsi" w:hAnsiTheme="majorHAnsi"/>
          <w:sz w:val="16"/>
          <w:szCs w:val="16"/>
          <w:lang w:val="es-US"/>
        </w:rPr>
        <w:t xml:space="preserve"> </w:t>
      </w:r>
      <w:r w:rsidRPr="00165EC6">
        <w:rPr>
          <w:rStyle w:val="Hyperlink"/>
          <w:rFonts w:asciiTheme="majorHAnsi" w:hAnsiTheme="majorHAnsi" w:cs="Arial"/>
          <w:sz w:val="16"/>
          <w:szCs w:val="16"/>
          <w:u w:val="none"/>
          <w:shd w:val="clear" w:color="auto" w:fill="FFFFFF"/>
          <w:lang w:val="es-US"/>
        </w:rPr>
        <w:t xml:space="preserve">CIDH, Informe No. 11/10, Caso 12.488, Fondo, Miembros de la Familia Barrios, Venezuela, 16 de marzo de 2010, párr.91. Asimismo: </w:t>
      </w:r>
      <w:r w:rsidRPr="00165EC6">
        <w:rPr>
          <w:rFonts w:asciiTheme="majorHAnsi" w:hAnsiTheme="majorHAnsi"/>
          <w:sz w:val="16"/>
          <w:szCs w:val="16"/>
          <w:lang w:val="es-ES_tradnl"/>
        </w:rPr>
        <w:t>Corte IDH. Caso Velásquez Rodríguez</w:t>
      </w:r>
      <w:r w:rsidRPr="00FA6ACF">
        <w:rPr>
          <w:rFonts w:asciiTheme="majorHAnsi" w:hAnsiTheme="majorHAnsi"/>
          <w:sz w:val="16"/>
          <w:szCs w:val="16"/>
          <w:lang w:val="es-ES_tradnl"/>
        </w:rPr>
        <w:t xml:space="preserve"> Vs. Honduras. </w:t>
      </w:r>
      <w:hyperlink r:id="rId9" w:history="1">
        <w:r w:rsidRPr="00FA6ACF">
          <w:rPr>
            <w:rStyle w:val="Hyperlink"/>
            <w:rFonts w:asciiTheme="majorHAnsi" w:hAnsiTheme="majorHAnsi" w:cs="Arial"/>
            <w:sz w:val="16"/>
            <w:szCs w:val="16"/>
            <w:u w:val="none"/>
            <w:shd w:val="clear" w:color="auto" w:fill="FFFFFF"/>
            <w:lang w:val="es-ES_tradnl"/>
          </w:rPr>
          <w:t xml:space="preserve">Fondo. Sentencia de 29 de julio de 1988. </w:t>
        </w:r>
        <w:r w:rsidRPr="00FA6ACF">
          <w:rPr>
            <w:rStyle w:val="Hyperlink"/>
            <w:rFonts w:asciiTheme="majorHAnsi" w:hAnsiTheme="majorHAnsi" w:cs="Arial"/>
            <w:sz w:val="16"/>
            <w:szCs w:val="16"/>
            <w:u w:val="none"/>
            <w:shd w:val="clear" w:color="auto" w:fill="FFFFFF"/>
            <w:lang w:val="es-US"/>
          </w:rPr>
          <w:t>Serie C No. 4</w:t>
        </w:r>
      </w:hyperlink>
      <w:r w:rsidRPr="00FA6ACF">
        <w:rPr>
          <w:rStyle w:val="Hyperlink"/>
          <w:rFonts w:asciiTheme="majorHAnsi" w:hAnsiTheme="majorHAnsi" w:cs="Arial"/>
          <w:sz w:val="16"/>
          <w:szCs w:val="16"/>
          <w:u w:val="none"/>
          <w:shd w:val="clear" w:color="auto" w:fill="FFFFFF"/>
          <w:lang w:val="es-US"/>
        </w:rPr>
        <w:t xml:space="preserve">. Párr. 169.  </w:t>
      </w:r>
    </w:p>
  </w:footnote>
  <w:footnote w:id="74">
    <w:p w:rsidR="00DA16A1" w:rsidRPr="00FA6ACF" w:rsidRDefault="00DA16A1" w:rsidP="00333714">
      <w:pPr>
        <w:pStyle w:val="FootnoteText"/>
        <w:rPr>
          <w:rFonts w:asciiTheme="majorHAnsi" w:hAnsiTheme="majorHAnsi"/>
          <w:sz w:val="16"/>
          <w:szCs w:val="16"/>
          <w:lang w:val="es-US"/>
        </w:rPr>
      </w:pPr>
      <w:r w:rsidRPr="00FA6ACF">
        <w:rPr>
          <w:rStyle w:val="FootnoteReference"/>
          <w:rFonts w:asciiTheme="majorHAnsi" w:hAnsiTheme="majorHAnsi"/>
          <w:sz w:val="16"/>
          <w:szCs w:val="16"/>
        </w:rPr>
        <w:footnoteRef/>
      </w:r>
      <w:r w:rsidRPr="00FA6ACF">
        <w:rPr>
          <w:rFonts w:asciiTheme="majorHAnsi" w:hAnsiTheme="majorHAnsi"/>
          <w:sz w:val="16"/>
          <w:szCs w:val="16"/>
          <w:lang w:val="es-US"/>
        </w:rPr>
        <w:t xml:space="preserve"> CIDH, Informe No 65/01. Caso 11.073. Fondo. Juan Humberto Sánchez. Honduras. 6 de marzo de 2001, parr.88.   </w:t>
      </w:r>
    </w:p>
  </w:footnote>
  <w:footnote w:id="75">
    <w:p w:rsidR="00DA16A1" w:rsidRPr="00093038" w:rsidRDefault="00DA16A1" w:rsidP="00333714">
      <w:pPr>
        <w:spacing w:after="120"/>
        <w:ind w:right="11"/>
        <w:jc w:val="both"/>
        <w:rPr>
          <w:rFonts w:asciiTheme="majorHAnsi" w:hAnsiTheme="majorHAnsi"/>
          <w:sz w:val="16"/>
          <w:szCs w:val="16"/>
          <w:lang w:val="es-US"/>
        </w:rPr>
      </w:pPr>
      <w:r w:rsidRPr="00FA6ACF">
        <w:rPr>
          <w:rStyle w:val="FootnoteReference"/>
          <w:rFonts w:asciiTheme="majorHAnsi" w:hAnsiTheme="majorHAnsi"/>
          <w:sz w:val="16"/>
          <w:szCs w:val="16"/>
        </w:rPr>
        <w:footnoteRef/>
      </w:r>
      <w:r w:rsidRPr="00FA6ACF">
        <w:rPr>
          <w:rFonts w:asciiTheme="majorHAnsi" w:hAnsiTheme="majorHAnsi"/>
          <w:sz w:val="16"/>
          <w:szCs w:val="16"/>
          <w:lang w:val="es-US"/>
        </w:rPr>
        <w:t xml:space="preserve"> </w:t>
      </w:r>
      <w:r w:rsidRPr="00FA6ACF">
        <w:rPr>
          <w:rFonts w:asciiTheme="majorHAnsi" w:hAnsiTheme="majorHAnsi"/>
          <w:sz w:val="16"/>
          <w:szCs w:val="16"/>
          <w:lang w:val="es-ES_tradnl"/>
        </w:rPr>
        <w:t xml:space="preserve">Corte IDH. Caso </w:t>
      </w:r>
      <w:r w:rsidRPr="00093038">
        <w:rPr>
          <w:rFonts w:asciiTheme="majorHAnsi" w:hAnsiTheme="majorHAnsi"/>
          <w:sz w:val="16"/>
          <w:szCs w:val="16"/>
          <w:lang w:val="es-ES_tradnl"/>
        </w:rPr>
        <w:t xml:space="preserve">Velásquez Rodríguez Vs. Honduras. </w:t>
      </w:r>
      <w:hyperlink r:id="rId10" w:history="1">
        <w:r w:rsidRPr="00093038">
          <w:rPr>
            <w:rStyle w:val="Hyperlink"/>
            <w:rFonts w:asciiTheme="majorHAnsi" w:hAnsiTheme="majorHAnsi" w:cs="Arial"/>
            <w:sz w:val="16"/>
            <w:szCs w:val="16"/>
            <w:u w:val="none"/>
            <w:shd w:val="clear" w:color="auto" w:fill="FFFFFF"/>
            <w:lang w:val="es-ES_tradnl"/>
          </w:rPr>
          <w:t xml:space="preserve">Fondo. Sentencia de 29 de julio de 1988. </w:t>
        </w:r>
        <w:r w:rsidRPr="00093038">
          <w:rPr>
            <w:rStyle w:val="Hyperlink"/>
            <w:rFonts w:asciiTheme="majorHAnsi" w:hAnsiTheme="majorHAnsi" w:cs="Arial"/>
            <w:sz w:val="16"/>
            <w:szCs w:val="16"/>
            <w:u w:val="none"/>
            <w:shd w:val="clear" w:color="auto" w:fill="FFFFFF"/>
            <w:lang w:val="es-US"/>
          </w:rPr>
          <w:t>Serie C No. 4</w:t>
        </w:r>
      </w:hyperlink>
      <w:r w:rsidRPr="00093038">
        <w:rPr>
          <w:rStyle w:val="Hyperlink"/>
          <w:rFonts w:asciiTheme="majorHAnsi" w:hAnsiTheme="majorHAnsi" w:cs="Arial"/>
          <w:sz w:val="16"/>
          <w:szCs w:val="16"/>
          <w:u w:val="none"/>
          <w:shd w:val="clear" w:color="auto" w:fill="FFFFFF"/>
          <w:lang w:val="es-US"/>
        </w:rPr>
        <w:t xml:space="preserve">. Párr. 166. </w:t>
      </w:r>
    </w:p>
  </w:footnote>
  <w:footnote w:id="76">
    <w:p w:rsidR="00DA16A1" w:rsidRPr="00093038" w:rsidRDefault="00DA16A1" w:rsidP="00333714">
      <w:pPr>
        <w:pStyle w:val="FootnoteText"/>
        <w:tabs>
          <w:tab w:val="left" w:pos="720"/>
        </w:tabs>
        <w:spacing w:after="120"/>
        <w:jc w:val="both"/>
        <w:rPr>
          <w:rFonts w:asciiTheme="majorHAnsi" w:hAnsiTheme="majorHAnsi"/>
          <w:sz w:val="16"/>
          <w:szCs w:val="16"/>
          <w:lang w:val="es-MX"/>
        </w:rPr>
      </w:pPr>
      <w:r w:rsidRPr="00093038">
        <w:rPr>
          <w:rStyle w:val="FootnoteReference"/>
          <w:rFonts w:asciiTheme="majorHAnsi" w:hAnsiTheme="majorHAnsi"/>
          <w:sz w:val="16"/>
          <w:szCs w:val="16"/>
        </w:rPr>
        <w:footnoteRef/>
      </w:r>
      <w:r w:rsidRPr="00093038">
        <w:rPr>
          <w:rFonts w:asciiTheme="majorHAnsi" w:hAnsiTheme="majorHAnsi"/>
          <w:sz w:val="16"/>
          <w:szCs w:val="16"/>
          <w:lang w:val="es-ES"/>
        </w:rPr>
        <w:t xml:space="preserve"> </w:t>
      </w:r>
      <w:r w:rsidRPr="00093038">
        <w:rPr>
          <w:rFonts w:asciiTheme="majorHAnsi" w:hAnsiTheme="majorHAnsi"/>
          <w:sz w:val="16"/>
          <w:szCs w:val="16"/>
          <w:lang w:val="es-ES_tradnl"/>
        </w:rPr>
        <w:t xml:space="preserve">Corte IDH, </w:t>
      </w:r>
      <w:r w:rsidRPr="00093038">
        <w:rPr>
          <w:rFonts w:asciiTheme="majorHAnsi" w:hAnsiTheme="majorHAnsi"/>
          <w:iCs/>
          <w:sz w:val="16"/>
          <w:szCs w:val="16"/>
          <w:lang w:val="es-ES_tradnl"/>
        </w:rPr>
        <w:t>Caso</w:t>
      </w:r>
      <w:r w:rsidRPr="00093038">
        <w:rPr>
          <w:rFonts w:asciiTheme="majorHAnsi" w:hAnsiTheme="majorHAnsi"/>
          <w:sz w:val="16"/>
          <w:szCs w:val="16"/>
          <w:lang w:val="es-ES_tradnl"/>
        </w:rPr>
        <w:t xml:space="preserve"> </w:t>
      </w:r>
      <w:r w:rsidRPr="00093038">
        <w:rPr>
          <w:rFonts w:asciiTheme="majorHAnsi" w:hAnsiTheme="majorHAnsi"/>
          <w:iCs/>
          <w:sz w:val="16"/>
          <w:szCs w:val="16"/>
          <w:lang w:val="es-ES_tradnl"/>
        </w:rPr>
        <w:t xml:space="preserve">de la Masacre de Pueblo Bello vs. Colombia. </w:t>
      </w:r>
      <w:r w:rsidRPr="00093038">
        <w:rPr>
          <w:rFonts w:asciiTheme="majorHAnsi" w:hAnsiTheme="majorHAnsi" w:cs="Arial"/>
          <w:sz w:val="16"/>
          <w:szCs w:val="16"/>
          <w:lang w:val="es-ES_tradnl"/>
        </w:rPr>
        <w:t xml:space="preserve">Sentencia de 31 de enero de 2006, Serie C No. 140, </w:t>
      </w:r>
      <w:r w:rsidRPr="00093038">
        <w:rPr>
          <w:rFonts w:asciiTheme="majorHAnsi" w:hAnsiTheme="majorHAnsi"/>
          <w:iCs/>
          <w:sz w:val="16"/>
          <w:szCs w:val="16"/>
          <w:lang w:val="es-ES_tradnl"/>
        </w:rPr>
        <w:t xml:space="preserve">párrs. 111, 113, </w:t>
      </w:r>
      <w:r w:rsidRPr="00093038">
        <w:rPr>
          <w:rFonts w:asciiTheme="majorHAnsi" w:hAnsiTheme="majorHAnsi"/>
          <w:sz w:val="16"/>
          <w:szCs w:val="16"/>
          <w:lang w:val="es-MX"/>
        </w:rPr>
        <w:t>117.</w:t>
      </w:r>
    </w:p>
  </w:footnote>
  <w:footnote w:id="77">
    <w:p w:rsidR="00DA16A1" w:rsidRPr="00FA6ACF" w:rsidRDefault="00DA16A1" w:rsidP="00966EAC">
      <w:pPr>
        <w:pStyle w:val="FootnoteText"/>
        <w:tabs>
          <w:tab w:val="left" w:pos="720"/>
        </w:tabs>
        <w:spacing w:after="120"/>
        <w:jc w:val="both"/>
        <w:rPr>
          <w:rFonts w:asciiTheme="majorHAnsi" w:hAnsiTheme="majorHAnsi"/>
          <w:sz w:val="16"/>
          <w:szCs w:val="16"/>
          <w:lang w:val="es-US"/>
        </w:rPr>
      </w:pPr>
      <w:r w:rsidRPr="00093038">
        <w:rPr>
          <w:rStyle w:val="FootnoteReference"/>
          <w:rFonts w:asciiTheme="majorHAnsi" w:hAnsiTheme="majorHAnsi"/>
          <w:sz w:val="16"/>
          <w:szCs w:val="16"/>
        </w:rPr>
        <w:footnoteRef/>
      </w:r>
      <w:r w:rsidRPr="00093038">
        <w:rPr>
          <w:rFonts w:asciiTheme="majorHAnsi" w:hAnsiTheme="majorHAnsi"/>
          <w:sz w:val="16"/>
          <w:szCs w:val="16"/>
          <w:lang w:val="es-MX"/>
        </w:rPr>
        <w:t xml:space="preserve"> Corte IDH. </w:t>
      </w:r>
      <w:r w:rsidRPr="00093038">
        <w:rPr>
          <w:rFonts w:asciiTheme="majorHAnsi" w:hAnsiTheme="majorHAnsi"/>
          <w:iCs/>
          <w:sz w:val="16"/>
          <w:szCs w:val="16"/>
          <w:lang w:val="es-ES_tradnl"/>
        </w:rPr>
        <w:t>Caso</w:t>
      </w:r>
      <w:r w:rsidRPr="00093038">
        <w:rPr>
          <w:rFonts w:asciiTheme="majorHAnsi" w:hAnsiTheme="majorHAnsi"/>
          <w:sz w:val="16"/>
          <w:szCs w:val="16"/>
          <w:lang w:val="es-ES_tradnl"/>
        </w:rPr>
        <w:t xml:space="preserve"> </w:t>
      </w:r>
      <w:r w:rsidRPr="00093038">
        <w:rPr>
          <w:rFonts w:asciiTheme="majorHAnsi" w:hAnsiTheme="majorHAnsi"/>
          <w:iCs/>
          <w:sz w:val="16"/>
          <w:szCs w:val="16"/>
          <w:lang w:val="es-ES_tradnl"/>
        </w:rPr>
        <w:t xml:space="preserve">de la Masacre de Pueblo Bello vs. Colombia. </w:t>
      </w:r>
      <w:r w:rsidRPr="00093038">
        <w:rPr>
          <w:rFonts w:asciiTheme="majorHAnsi" w:hAnsiTheme="majorHAnsi" w:cs="Arial"/>
          <w:sz w:val="16"/>
          <w:szCs w:val="16"/>
          <w:lang w:val="es-ES_tradnl"/>
        </w:rPr>
        <w:t>Sentencia de 31 de enero de 2006, Serie C No. 140,</w:t>
      </w:r>
      <w:r w:rsidRPr="00093038">
        <w:rPr>
          <w:rFonts w:asciiTheme="majorHAnsi" w:hAnsiTheme="majorHAnsi"/>
          <w:sz w:val="16"/>
          <w:szCs w:val="16"/>
          <w:lang w:val="es-ES_tradnl"/>
        </w:rPr>
        <w:t xml:space="preserve"> p</w:t>
      </w:r>
      <w:r w:rsidRPr="00093038">
        <w:rPr>
          <w:rFonts w:asciiTheme="majorHAnsi" w:hAnsiTheme="majorHAnsi"/>
          <w:sz w:val="16"/>
          <w:szCs w:val="16"/>
          <w:lang w:val="es-US"/>
        </w:rPr>
        <w:t>árr. 117.</w:t>
      </w:r>
    </w:p>
  </w:footnote>
  <w:footnote w:id="78">
    <w:p w:rsidR="00DA16A1" w:rsidRPr="00FA6ACF" w:rsidRDefault="00DA16A1" w:rsidP="00333714">
      <w:pPr>
        <w:spacing w:after="120"/>
        <w:jc w:val="both"/>
        <w:rPr>
          <w:rFonts w:asciiTheme="majorHAnsi" w:eastAsia="Times New Roman" w:hAnsiTheme="majorHAnsi"/>
          <w:sz w:val="16"/>
          <w:szCs w:val="16"/>
          <w:lang w:val="es-US"/>
        </w:rPr>
      </w:pPr>
      <w:r w:rsidRPr="00FA6ACF">
        <w:rPr>
          <w:rStyle w:val="FootnoteReference"/>
          <w:rFonts w:asciiTheme="majorHAnsi" w:hAnsiTheme="majorHAnsi"/>
          <w:sz w:val="16"/>
          <w:szCs w:val="16"/>
        </w:rPr>
        <w:footnoteRef/>
      </w:r>
      <w:r w:rsidRPr="00FA6ACF">
        <w:rPr>
          <w:rFonts w:asciiTheme="majorHAnsi" w:hAnsiTheme="majorHAnsi" w:cs="Arial"/>
          <w:sz w:val="16"/>
          <w:szCs w:val="16"/>
          <w:lang w:val="es-CR"/>
        </w:rPr>
        <w:t xml:space="preserve">La jurisprudencia de la Corte Europea respecto de los elementos señalando en el deber de prevención ha sido retomada por la Corte Interamericana en varias de sus sentencias. En este sentido ver: </w:t>
      </w:r>
      <w:r w:rsidRPr="00FA6ACF">
        <w:rPr>
          <w:rFonts w:asciiTheme="majorHAnsi" w:eastAsia="Times New Roman" w:hAnsiTheme="majorHAnsi"/>
          <w:bCs/>
          <w:color w:val="000000"/>
          <w:sz w:val="16"/>
          <w:szCs w:val="16"/>
          <w:shd w:val="clear" w:color="auto" w:fill="FFFFFF"/>
          <w:lang w:val="es-US"/>
        </w:rPr>
        <w:t>Corte IDH. Caso de la Masacre de Pueblo Bello Vs. Colombia. Sentencia de 31 de enero de 2006. Serie C No. 140, párr. 124; Corte IDH. Caso González y otras (“Campo Algodonero”) Vs. México. Excepción Preliminar, Fondo, Reparaciones y Costas. Sentencia de 16 de noviembre de 2009. Serie C No.205, párr. 284; Corte IDH. Caso Luna López Vs. Honduras. Fondo, Reparaciones y Costas. Sentencia de 10 de octubre de 2013. Serie C No. 269, párr. 124.</w:t>
      </w:r>
    </w:p>
  </w:footnote>
  <w:footnote w:id="79">
    <w:p w:rsidR="00DA16A1" w:rsidRPr="00FA6ACF" w:rsidRDefault="00DA16A1" w:rsidP="00333714">
      <w:pPr>
        <w:spacing w:after="120"/>
        <w:ind w:right="11"/>
        <w:jc w:val="both"/>
        <w:rPr>
          <w:rFonts w:asciiTheme="majorHAnsi" w:hAnsiTheme="majorHAnsi"/>
          <w:sz w:val="16"/>
          <w:szCs w:val="16"/>
          <w:lang w:val="es-US"/>
        </w:rPr>
      </w:pPr>
      <w:r w:rsidRPr="00FA6ACF">
        <w:rPr>
          <w:rStyle w:val="FootnoteReference"/>
          <w:rFonts w:asciiTheme="majorHAnsi" w:hAnsiTheme="majorHAnsi"/>
          <w:sz w:val="16"/>
          <w:szCs w:val="16"/>
        </w:rPr>
        <w:footnoteRef/>
      </w:r>
      <w:r w:rsidRPr="00FA6ACF">
        <w:rPr>
          <w:rFonts w:asciiTheme="majorHAnsi" w:hAnsiTheme="majorHAnsi"/>
          <w:sz w:val="16"/>
          <w:szCs w:val="16"/>
          <w:lang w:val="es-US"/>
        </w:rPr>
        <w:t xml:space="preserve"> </w:t>
      </w:r>
      <w:r w:rsidRPr="00FA6ACF">
        <w:rPr>
          <w:rFonts w:asciiTheme="majorHAnsi" w:hAnsiTheme="majorHAnsi"/>
          <w:sz w:val="16"/>
          <w:szCs w:val="16"/>
          <w:lang w:val="es-ES_tradnl"/>
        </w:rPr>
        <w:t xml:space="preserve">Corte IDH. Caso Velásquez Rodríguez Vs. Honduras. </w:t>
      </w:r>
      <w:hyperlink r:id="rId11" w:history="1">
        <w:r w:rsidRPr="00FA6ACF">
          <w:rPr>
            <w:rStyle w:val="Hyperlink"/>
            <w:rFonts w:asciiTheme="majorHAnsi" w:hAnsiTheme="majorHAnsi" w:cs="Arial"/>
            <w:sz w:val="16"/>
            <w:szCs w:val="16"/>
            <w:u w:val="none"/>
            <w:shd w:val="clear" w:color="auto" w:fill="FFFFFF"/>
            <w:lang w:val="es-ES_tradnl"/>
          </w:rPr>
          <w:t xml:space="preserve">Fondo. Sentencia de 29 de julio de 1988. </w:t>
        </w:r>
        <w:r w:rsidRPr="00FA6ACF">
          <w:rPr>
            <w:rStyle w:val="Hyperlink"/>
            <w:rFonts w:asciiTheme="majorHAnsi" w:hAnsiTheme="majorHAnsi" w:cs="Arial"/>
            <w:sz w:val="16"/>
            <w:szCs w:val="16"/>
            <w:u w:val="none"/>
            <w:shd w:val="clear" w:color="auto" w:fill="FFFFFF"/>
            <w:lang w:val="es-US"/>
          </w:rPr>
          <w:t>Serie C No. 4</w:t>
        </w:r>
      </w:hyperlink>
      <w:r w:rsidRPr="00FA6ACF">
        <w:rPr>
          <w:rStyle w:val="Hyperlink"/>
          <w:rFonts w:asciiTheme="majorHAnsi" w:hAnsiTheme="majorHAnsi" w:cs="Arial"/>
          <w:sz w:val="16"/>
          <w:szCs w:val="16"/>
          <w:u w:val="none"/>
          <w:shd w:val="clear" w:color="auto" w:fill="FFFFFF"/>
          <w:lang w:val="es-US"/>
        </w:rPr>
        <w:t xml:space="preserve">. Párr. 173. </w:t>
      </w:r>
    </w:p>
  </w:footnote>
  <w:footnote w:id="80">
    <w:p w:rsidR="00DA16A1" w:rsidRPr="007C04E1" w:rsidRDefault="00DA16A1" w:rsidP="00B348B9">
      <w:pPr>
        <w:pStyle w:val="NormalWeb"/>
        <w:shd w:val="clear" w:color="auto" w:fill="FFFFFF"/>
        <w:spacing w:before="0" w:beforeAutospacing="0" w:after="0" w:afterAutospacing="0"/>
        <w:jc w:val="both"/>
        <w:rPr>
          <w:rFonts w:ascii="Cambria" w:hAnsi="Cambria"/>
          <w:sz w:val="16"/>
          <w:szCs w:val="16"/>
          <w:lang w:val="es-PE"/>
        </w:rPr>
      </w:pPr>
      <w:r w:rsidRPr="00B74E3A">
        <w:rPr>
          <w:rStyle w:val="FootnoteReference"/>
          <w:rFonts w:ascii="Cambria" w:hAnsi="Cambria"/>
          <w:sz w:val="16"/>
          <w:szCs w:val="16"/>
        </w:rPr>
        <w:footnoteRef/>
      </w:r>
      <w:r w:rsidRPr="00C62DFA">
        <w:rPr>
          <w:rFonts w:ascii="Cambria" w:hAnsi="Cambria"/>
          <w:sz w:val="16"/>
          <w:szCs w:val="16"/>
          <w:lang w:val="es-PE"/>
        </w:rPr>
        <w:t xml:space="preserve"> Ver. </w:t>
      </w:r>
      <w:r w:rsidRPr="00C62DFA">
        <w:rPr>
          <w:rFonts w:ascii="Cambria" w:hAnsi="Cambria"/>
          <w:sz w:val="16"/>
          <w:szCs w:val="16"/>
          <w:lang w:val="es-ES"/>
        </w:rPr>
        <w:t xml:space="preserve">CIDH. </w:t>
      </w:r>
      <w:r w:rsidRPr="00C62DFA">
        <w:rPr>
          <w:rFonts w:ascii="Cambria" w:hAnsi="Cambria"/>
          <w:sz w:val="16"/>
          <w:szCs w:val="16"/>
          <w:lang w:val="es-MX"/>
        </w:rPr>
        <w:t xml:space="preserve">Informe No. 102/13. </w:t>
      </w:r>
      <w:r w:rsidRPr="00B74E3A">
        <w:rPr>
          <w:rFonts w:ascii="Cambria" w:hAnsi="Cambria"/>
          <w:sz w:val="16"/>
          <w:szCs w:val="16"/>
          <w:lang w:val="es-MX"/>
        </w:rPr>
        <w:t xml:space="preserve">Caso 12.723. Fondo. TGGL. Ecuador, párrs. 141, 142 y 143. </w:t>
      </w:r>
      <w:r w:rsidRPr="007C04E1">
        <w:rPr>
          <w:rFonts w:ascii="Cambria" w:hAnsi="Cambria"/>
          <w:sz w:val="16"/>
          <w:szCs w:val="16"/>
          <w:lang w:val="es-MX"/>
        </w:rPr>
        <w:t xml:space="preserve">Citando. Corte IDH. </w:t>
      </w:r>
      <w:r w:rsidRPr="007C04E1">
        <w:rPr>
          <w:rFonts w:ascii="Cambria" w:hAnsi="Cambria"/>
          <w:i/>
          <w:sz w:val="16"/>
          <w:szCs w:val="16"/>
          <w:lang w:val="es-MX"/>
        </w:rPr>
        <w:t xml:space="preserve">Caso Ximenes Lopes Vs. </w:t>
      </w:r>
      <w:r w:rsidRPr="00B74E3A">
        <w:rPr>
          <w:rFonts w:ascii="Cambria" w:hAnsi="Cambria"/>
          <w:i/>
          <w:sz w:val="16"/>
          <w:szCs w:val="16"/>
          <w:lang w:val="es-ES_tradnl"/>
        </w:rPr>
        <w:t>Brasil</w:t>
      </w:r>
      <w:r w:rsidRPr="00B74E3A">
        <w:rPr>
          <w:rFonts w:ascii="Cambria" w:hAnsi="Cambria"/>
          <w:sz w:val="16"/>
          <w:szCs w:val="16"/>
          <w:lang w:val="es-ES_tradnl"/>
        </w:rPr>
        <w:t xml:space="preserve">. </w:t>
      </w:r>
      <w:r w:rsidRPr="007C04E1">
        <w:rPr>
          <w:rFonts w:ascii="Cambria" w:hAnsi="Cambria"/>
          <w:i/>
          <w:sz w:val="16"/>
          <w:szCs w:val="16"/>
          <w:lang w:val="es-MX"/>
        </w:rPr>
        <w:t>Excepción Preliminar</w:t>
      </w:r>
      <w:r w:rsidRPr="007C04E1">
        <w:rPr>
          <w:rFonts w:ascii="Cambria" w:hAnsi="Cambria"/>
          <w:sz w:val="16"/>
          <w:szCs w:val="16"/>
          <w:lang w:val="es-MX"/>
        </w:rPr>
        <w:t xml:space="preserve">. Sentencia de 30 de noviembre de 2005. Serie C No. 139, párr. </w:t>
      </w:r>
      <w:r w:rsidRPr="00B74E3A">
        <w:rPr>
          <w:rFonts w:ascii="Cambria" w:hAnsi="Cambria"/>
          <w:sz w:val="16"/>
          <w:szCs w:val="16"/>
          <w:lang w:val="es-ES"/>
        </w:rPr>
        <w:t>99</w:t>
      </w:r>
      <w:r w:rsidRPr="00B74E3A">
        <w:rPr>
          <w:rFonts w:ascii="Cambria" w:hAnsi="Cambria"/>
          <w:iCs/>
          <w:sz w:val="16"/>
          <w:szCs w:val="16"/>
          <w:lang w:val="es-ES_tradnl"/>
        </w:rPr>
        <w:t xml:space="preserve">; y </w:t>
      </w:r>
      <w:r w:rsidRPr="007C04E1">
        <w:rPr>
          <w:rFonts w:ascii="Cambria" w:hAnsi="Cambria"/>
          <w:sz w:val="16"/>
          <w:szCs w:val="16"/>
          <w:lang w:val="es-MX"/>
        </w:rPr>
        <w:t xml:space="preserve">CrEDH. </w:t>
      </w:r>
      <w:r w:rsidRPr="002740EE">
        <w:rPr>
          <w:rFonts w:ascii="Cambria" w:hAnsi="Cambria"/>
          <w:i/>
          <w:sz w:val="16"/>
          <w:szCs w:val="16"/>
          <w:lang w:val="es-CO"/>
        </w:rPr>
        <w:t xml:space="preserve">Caso Storck Vs. </w:t>
      </w:r>
      <w:r w:rsidRPr="00B74E3A">
        <w:rPr>
          <w:rFonts w:ascii="Cambria" w:hAnsi="Cambria"/>
          <w:i/>
          <w:sz w:val="16"/>
          <w:szCs w:val="16"/>
          <w:lang w:val="es-CR"/>
        </w:rPr>
        <w:t>Alemania</w:t>
      </w:r>
      <w:r w:rsidRPr="00B74E3A">
        <w:rPr>
          <w:rFonts w:ascii="Cambria" w:hAnsi="Cambria"/>
          <w:sz w:val="16"/>
          <w:szCs w:val="16"/>
          <w:lang w:val="es-CR"/>
        </w:rPr>
        <w:t>, No.</w:t>
      </w:r>
      <w:r w:rsidRPr="00B74E3A">
        <w:rPr>
          <w:rFonts w:ascii="Cambria" w:hAnsi="Cambria"/>
          <w:i/>
          <w:sz w:val="16"/>
          <w:szCs w:val="16"/>
          <w:lang w:val="es-CR"/>
        </w:rPr>
        <w:t xml:space="preserve"> </w:t>
      </w:r>
      <w:r w:rsidRPr="00B74E3A">
        <w:rPr>
          <w:rFonts w:ascii="Cambria" w:hAnsi="Cambria"/>
          <w:sz w:val="16"/>
          <w:szCs w:val="16"/>
          <w:lang w:val="es-CR"/>
        </w:rPr>
        <w:t>61603/00. Sección Tercera. Sentencia de 16 de junio de 2005, párr. 103</w:t>
      </w:r>
      <w:r w:rsidRPr="00B74E3A">
        <w:rPr>
          <w:rFonts w:ascii="Cambria" w:hAnsi="Cambria"/>
          <w:i/>
          <w:sz w:val="16"/>
          <w:szCs w:val="16"/>
          <w:lang w:val="es-CR"/>
        </w:rPr>
        <w:t>.</w:t>
      </w:r>
      <w:r w:rsidRPr="00B74E3A">
        <w:rPr>
          <w:rFonts w:ascii="Cambria" w:hAnsi="Cambria"/>
          <w:i/>
          <w:iCs/>
          <w:sz w:val="16"/>
          <w:szCs w:val="16"/>
          <w:lang w:val="es-CR"/>
        </w:rPr>
        <w:t xml:space="preserve"> </w:t>
      </w:r>
      <w:r w:rsidRPr="00B74E3A">
        <w:rPr>
          <w:rFonts w:ascii="Cambria" w:hAnsi="Cambria"/>
          <w:iCs/>
          <w:sz w:val="16"/>
          <w:szCs w:val="16"/>
          <w:lang w:val="es-CR"/>
        </w:rPr>
        <w:t xml:space="preserve">En dicho caso, el Tribunal Europeo estableció que: </w:t>
      </w:r>
      <w:r w:rsidRPr="00B74E3A">
        <w:rPr>
          <w:rFonts w:ascii="Cambria" w:hAnsi="Cambria"/>
          <w:sz w:val="16"/>
          <w:szCs w:val="16"/>
          <w:lang w:val="es-ES"/>
        </w:rPr>
        <w:t>“</w:t>
      </w:r>
      <w:r w:rsidRPr="00B74E3A">
        <w:rPr>
          <w:rFonts w:ascii="Cambria" w:hAnsi="Cambria" w:cs="Verdana"/>
          <w:sz w:val="16"/>
          <w:szCs w:val="16"/>
          <w:lang w:val="es-ES"/>
        </w:rPr>
        <w:t>El Estado tiene la obligación de asegurar a sus ciudadanos su derecho a la integridad física, bajo el artículo 8 de la Convención [Europea de Derechos Humanos]. Con esa finalidad, existen hospitales administrados por el Estado, que coexisten con hospitales privados. El Estado no puede absolverse completamente de su responsabilidad al delegar sus obligaciones en esa esfera a individuos u organismos privados. […][E]l Estado mant[iene] el deber de ejercer la supervisión y el control sobre instituciones […]  privadas. Tales instituciones, […] necesitan no sólo una licencia, sino también una supervisión competente y frecuente, para averiguar si el confinamiento y el tratamiento médico están justificados”.</w:t>
      </w:r>
      <w:r w:rsidRPr="00B348B9">
        <w:rPr>
          <w:rFonts w:ascii="Cambria" w:hAnsi="Cambria"/>
          <w:sz w:val="16"/>
          <w:szCs w:val="16"/>
          <w:lang w:val="es-ES"/>
        </w:rPr>
        <w:t xml:space="preserve"> </w:t>
      </w:r>
      <w:r>
        <w:rPr>
          <w:rFonts w:ascii="Cambria" w:hAnsi="Cambria"/>
          <w:sz w:val="16"/>
          <w:szCs w:val="16"/>
          <w:lang w:val="es-ES"/>
        </w:rPr>
        <w:t xml:space="preserve">Ver también </w:t>
      </w:r>
      <w:r w:rsidRPr="00B74E3A">
        <w:rPr>
          <w:rFonts w:ascii="Cambria" w:hAnsi="Cambria"/>
          <w:sz w:val="16"/>
          <w:szCs w:val="16"/>
          <w:lang w:val="es-ES"/>
        </w:rPr>
        <w:t xml:space="preserve">Corte IDH. </w:t>
      </w:r>
      <w:r w:rsidRPr="00B74E3A">
        <w:rPr>
          <w:rFonts w:ascii="Cambria" w:hAnsi="Cambria"/>
          <w:i/>
          <w:sz w:val="16"/>
          <w:szCs w:val="16"/>
          <w:lang w:val="es-ES"/>
        </w:rPr>
        <w:t>Caso Trabajadores de la Hacienda Brasil Verde Vs Brasil. Excepciones preliminares, Fondo, Reparaciones y Costas</w:t>
      </w:r>
      <w:r w:rsidRPr="00B74E3A">
        <w:rPr>
          <w:rFonts w:ascii="Cambria" w:hAnsi="Cambria"/>
          <w:sz w:val="16"/>
          <w:szCs w:val="16"/>
          <w:lang w:val="es-ES"/>
        </w:rPr>
        <w:t>. Sentencia de 20 de octubre de 2016. Serie C No. 318, párr. 319.</w:t>
      </w:r>
      <w:r w:rsidRPr="00B348B9">
        <w:rPr>
          <w:rStyle w:val="FootnoteReference"/>
          <w:rFonts w:ascii="Cambria" w:hAnsi="Cambria"/>
          <w:sz w:val="16"/>
          <w:szCs w:val="16"/>
          <w:lang w:val="es-CO"/>
        </w:rPr>
        <w:t xml:space="preserve"> </w:t>
      </w:r>
      <w:r w:rsidRPr="00B74E3A">
        <w:rPr>
          <w:rStyle w:val="FootnoteReference"/>
          <w:rFonts w:ascii="Cambria" w:hAnsi="Cambria"/>
          <w:sz w:val="16"/>
          <w:szCs w:val="16"/>
        </w:rPr>
        <w:footnoteRef/>
      </w:r>
      <w:r w:rsidRPr="007C04E1">
        <w:rPr>
          <w:rFonts w:ascii="Cambria" w:hAnsi="Cambria"/>
          <w:sz w:val="16"/>
          <w:szCs w:val="16"/>
          <w:lang w:val="es-PE"/>
        </w:rPr>
        <w:t xml:space="preserve"> Ver. Principios Rectores sobre las empresas y los derechos humanos. Elaborados por el Representante Especial del Secretario General para la cuestión de los derechos humanos y las empresas transnacionales y otras empresas. Aprobados por el Consejo de Derechos Humanos mediante resolución 17/4, de 16 de junio de 2011. Principio </w:t>
      </w:r>
      <w:r w:rsidRPr="007C04E1">
        <w:rPr>
          <w:rFonts w:ascii="Cambria" w:hAnsi="Cambria"/>
          <w:bCs/>
          <w:sz w:val="16"/>
          <w:szCs w:val="16"/>
          <w:lang w:val="es-PE"/>
        </w:rPr>
        <w:t>1. Los Estados deben proteger contra las violaciones de los derechos humanos cometidas en su territorio y/o su jurisdicción por terceros, incluidas las empresas. A tal efecto deben adoptar las medidas apropiadas para prevenir, investigar, castigar y reparar esos abusos mediante políticas adecuadas, actividades de reglamentación y sometimiento a la justicia.</w:t>
      </w:r>
    </w:p>
    <w:p w:rsidR="00DA16A1" w:rsidRPr="00B348B9" w:rsidRDefault="00DA16A1" w:rsidP="00237CE7">
      <w:pPr>
        <w:pStyle w:val="FootnoteText"/>
        <w:jc w:val="both"/>
        <w:rPr>
          <w:rFonts w:ascii="Cambria" w:hAnsi="Cambria"/>
          <w:sz w:val="16"/>
          <w:szCs w:val="16"/>
          <w:lang w:val="es-PE"/>
        </w:rPr>
      </w:pPr>
    </w:p>
  </w:footnote>
  <w:footnote w:id="81">
    <w:p w:rsidR="00DA16A1" w:rsidRPr="00B74E3A" w:rsidRDefault="00DA16A1" w:rsidP="00237CE7">
      <w:pPr>
        <w:pStyle w:val="FootnoteText"/>
        <w:jc w:val="both"/>
        <w:rPr>
          <w:rFonts w:ascii="Cambria" w:hAnsi="Cambria"/>
          <w:sz w:val="16"/>
          <w:szCs w:val="16"/>
          <w:lang w:val="es-ES"/>
        </w:rPr>
      </w:pPr>
      <w:r w:rsidRPr="00B74E3A">
        <w:rPr>
          <w:rStyle w:val="FootnoteReference"/>
          <w:rFonts w:ascii="Cambria" w:hAnsi="Cambria"/>
          <w:sz w:val="16"/>
          <w:szCs w:val="16"/>
        </w:rPr>
        <w:footnoteRef/>
      </w:r>
      <w:r w:rsidRPr="007C04E1">
        <w:rPr>
          <w:rFonts w:ascii="Cambria" w:hAnsi="Cambria"/>
          <w:sz w:val="16"/>
          <w:szCs w:val="16"/>
          <w:lang w:val="es-PE"/>
        </w:rPr>
        <w:t xml:space="preserve"> </w:t>
      </w:r>
      <w:r w:rsidRPr="00B74E3A">
        <w:rPr>
          <w:rFonts w:ascii="Cambria" w:hAnsi="Cambria"/>
          <w:sz w:val="16"/>
          <w:szCs w:val="16"/>
          <w:lang w:val="es-MX"/>
        </w:rPr>
        <w:t>Organización Internacional del Trabajo. Convenio N°155 - Convenio sobre seguridad y salud de los trabajadores, 1981. Ratificado por Bra</w:t>
      </w:r>
      <w:r>
        <w:rPr>
          <w:rFonts w:ascii="Cambria" w:hAnsi="Cambria"/>
          <w:sz w:val="16"/>
          <w:szCs w:val="16"/>
          <w:lang w:val="es-MX"/>
        </w:rPr>
        <w:t>s</w:t>
      </w:r>
      <w:r w:rsidRPr="00B74E3A">
        <w:rPr>
          <w:rFonts w:ascii="Cambria" w:hAnsi="Cambria"/>
          <w:sz w:val="16"/>
          <w:szCs w:val="16"/>
          <w:lang w:val="es-MX"/>
        </w:rPr>
        <w:t>il el 18 de mayo de 1992.</w:t>
      </w:r>
    </w:p>
  </w:footnote>
  <w:footnote w:id="82">
    <w:p w:rsidR="00DA16A1" w:rsidRPr="00B74E3A" w:rsidRDefault="00DA16A1" w:rsidP="00237CE7">
      <w:pPr>
        <w:pStyle w:val="FootnoteText"/>
        <w:jc w:val="both"/>
        <w:rPr>
          <w:rFonts w:ascii="Cambria" w:hAnsi="Cambria"/>
          <w:sz w:val="16"/>
          <w:szCs w:val="16"/>
          <w:lang w:val="es-ES"/>
        </w:rPr>
      </w:pPr>
      <w:r w:rsidRPr="00B74E3A">
        <w:rPr>
          <w:rStyle w:val="FootnoteReference"/>
          <w:rFonts w:ascii="Cambria" w:hAnsi="Cambria"/>
          <w:sz w:val="16"/>
          <w:szCs w:val="16"/>
        </w:rPr>
        <w:footnoteRef/>
      </w:r>
      <w:r w:rsidRPr="007C04E1">
        <w:rPr>
          <w:rFonts w:ascii="Cambria" w:hAnsi="Cambria"/>
          <w:sz w:val="16"/>
          <w:szCs w:val="16"/>
          <w:lang w:val="es-PE"/>
        </w:rPr>
        <w:t xml:space="preserve"> </w:t>
      </w:r>
      <w:r w:rsidRPr="00B74E3A">
        <w:rPr>
          <w:rFonts w:ascii="Cambria" w:hAnsi="Cambria"/>
          <w:sz w:val="16"/>
          <w:szCs w:val="16"/>
          <w:lang w:val="es-MX"/>
        </w:rPr>
        <w:t>Organización Internacional del Trabajo. Convenio N°155 - Convenio sobre seguridad y salud de los trabajadores, 1981. Ratificado por Bra</w:t>
      </w:r>
      <w:r>
        <w:rPr>
          <w:rFonts w:ascii="Cambria" w:hAnsi="Cambria"/>
          <w:sz w:val="16"/>
          <w:szCs w:val="16"/>
          <w:lang w:val="es-MX"/>
        </w:rPr>
        <w:t>s</w:t>
      </w:r>
      <w:r w:rsidRPr="00B74E3A">
        <w:rPr>
          <w:rFonts w:ascii="Cambria" w:hAnsi="Cambria"/>
          <w:sz w:val="16"/>
          <w:szCs w:val="16"/>
          <w:lang w:val="es-MX"/>
        </w:rPr>
        <w:t>il el 18 de mayo de 1992.</w:t>
      </w:r>
    </w:p>
  </w:footnote>
  <w:footnote w:id="83">
    <w:p w:rsidR="00DA16A1" w:rsidRPr="00B74E3A" w:rsidRDefault="00DA16A1" w:rsidP="00237CE7">
      <w:pPr>
        <w:pStyle w:val="FootnoteText"/>
        <w:jc w:val="both"/>
        <w:rPr>
          <w:rFonts w:ascii="Cambria" w:hAnsi="Cambria"/>
          <w:sz w:val="16"/>
          <w:szCs w:val="16"/>
          <w:lang w:val="es-ES"/>
        </w:rPr>
      </w:pPr>
      <w:r w:rsidRPr="00B74E3A">
        <w:rPr>
          <w:rStyle w:val="FootnoteReference"/>
          <w:rFonts w:ascii="Cambria" w:hAnsi="Cambria"/>
          <w:sz w:val="16"/>
          <w:szCs w:val="16"/>
        </w:rPr>
        <w:footnoteRef/>
      </w:r>
      <w:r w:rsidRPr="007C04E1">
        <w:rPr>
          <w:rFonts w:ascii="Cambria" w:hAnsi="Cambria"/>
          <w:sz w:val="16"/>
          <w:szCs w:val="16"/>
          <w:lang w:val="es-PE"/>
        </w:rPr>
        <w:t xml:space="preserve"> </w:t>
      </w:r>
      <w:r w:rsidRPr="00B74E3A">
        <w:rPr>
          <w:rFonts w:ascii="Cambria" w:hAnsi="Cambria"/>
          <w:sz w:val="16"/>
          <w:szCs w:val="16"/>
          <w:lang w:val="es-MX"/>
        </w:rPr>
        <w:t>Organización Internacional del Trabajo. Convenio N°174 - Convenio sobre la prevención de accidentes industriales mayores. Ratificado por Brasil el 2 de agosto de 2001.</w:t>
      </w:r>
    </w:p>
  </w:footnote>
  <w:footnote w:id="84">
    <w:p w:rsidR="00DA16A1" w:rsidRPr="00B74E3A" w:rsidRDefault="00DA16A1" w:rsidP="00237CE7">
      <w:pPr>
        <w:pStyle w:val="FootnoteText"/>
        <w:jc w:val="both"/>
        <w:rPr>
          <w:lang w:val="es-ES"/>
        </w:rPr>
      </w:pPr>
      <w:r w:rsidRPr="00143C8B">
        <w:rPr>
          <w:rStyle w:val="FootnoteReference"/>
          <w:sz w:val="16"/>
          <w:szCs w:val="16"/>
        </w:rPr>
        <w:footnoteRef/>
      </w:r>
      <w:r w:rsidRPr="00143C8B">
        <w:rPr>
          <w:sz w:val="16"/>
          <w:szCs w:val="16"/>
          <w:lang w:val="es-PE"/>
        </w:rPr>
        <w:t xml:space="preserve"> </w:t>
      </w:r>
      <w:r w:rsidRPr="007C04E1">
        <w:rPr>
          <w:rFonts w:ascii="Cambria" w:eastAsia="Times New Roman" w:hAnsi="Cambria" w:cs="Times New Roman"/>
          <w:sz w:val="16"/>
          <w:szCs w:val="16"/>
          <w:lang w:val="es-PE"/>
        </w:rPr>
        <w:t xml:space="preserve">Comité de Derechos Económicos, Sociales y Culturales. Observación General 14. El derecho al disfrute del más alto nivel posible de salud. 11 de agosto de 2000. Párr. 36. </w:t>
      </w:r>
    </w:p>
  </w:footnote>
  <w:footnote w:id="85">
    <w:p w:rsidR="00DA16A1" w:rsidRDefault="00DA16A1" w:rsidP="002605B6">
      <w:pPr>
        <w:pStyle w:val="FootnoteText"/>
        <w:jc w:val="both"/>
        <w:rPr>
          <w:rFonts w:ascii="Cambria" w:hAnsi="Cambria"/>
          <w:sz w:val="16"/>
          <w:szCs w:val="16"/>
          <w:bdr w:val="none" w:sz="0" w:space="0" w:color="auto"/>
          <w:lang w:val="es-CO"/>
        </w:rPr>
      </w:pPr>
      <w:r>
        <w:rPr>
          <w:rStyle w:val="FootnoteReference"/>
          <w:rFonts w:ascii="Cambria" w:hAnsi="Cambria"/>
          <w:sz w:val="16"/>
          <w:szCs w:val="16"/>
        </w:rPr>
        <w:footnoteRef/>
      </w:r>
      <w:r>
        <w:rPr>
          <w:rFonts w:ascii="Cambria" w:hAnsi="Cambria"/>
          <w:sz w:val="16"/>
          <w:szCs w:val="16"/>
          <w:lang w:val="es-CO"/>
        </w:rPr>
        <w:t xml:space="preserve"> Corte Europea de Derechos Humanos</w:t>
      </w:r>
      <w:r w:rsidRPr="00143C8B">
        <w:rPr>
          <w:rFonts w:ascii="Cambria" w:hAnsi="Cambria"/>
          <w:sz w:val="16"/>
          <w:szCs w:val="16"/>
          <w:lang w:val="es-CO"/>
        </w:rPr>
        <w:t xml:space="preserve">, </w:t>
      </w:r>
      <w:r w:rsidRPr="00143C8B">
        <w:rPr>
          <w:rFonts w:ascii="Cambria" w:hAnsi="Cambria"/>
          <w:sz w:val="16"/>
          <w:szCs w:val="16"/>
          <w:lang w:val="es-CO" w:eastAsia="x-none"/>
        </w:rPr>
        <w:t>Caso Öneryildiz vs. Turquía</w:t>
      </w:r>
      <w:r>
        <w:rPr>
          <w:rFonts w:ascii="Cambria" w:hAnsi="Cambria"/>
          <w:sz w:val="16"/>
          <w:szCs w:val="16"/>
          <w:lang w:val="es-CO" w:eastAsia="x-none"/>
        </w:rPr>
        <w:t>. Sentencia del 30 de noviembre de 2004, párr. 90</w:t>
      </w:r>
      <w:r>
        <w:rPr>
          <w:rFonts w:ascii="Cambria" w:hAnsi="Cambria"/>
          <w:i/>
          <w:sz w:val="16"/>
          <w:szCs w:val="16"/>
          <w:lang w:val="es-CO"/>
        </w:rPr>
        <w:t>.</w:t>
      </w:r>
    </w:p>
  </w:footnote>
  <w:footnote w:id="86">
    <w:p w:rsidR="00DA16A1" w:rsidRPr="00B74E3A" w:rsidRDefault="00DA16A1" w:rsidP="000B36BF">
      <w:pPr>
        <w:pStyle w:val="FootnoteText"/>
        <w:jc w:val="both"/>
        <w:rPr>
          <w:rFonts w:ascii="Cambria" w:hAnsi="Cambria"/>
          <w:sz w:val="16"/>
          <w:szCs w:val="16"/>
          <w:lang w:val="es-MX"/>
        </w:rPr>
      </w:pPr>
      <w:r w:rsidRPr="00B74E3A">
        <w:rPr>
          <w:rStyle w:val="FootnoteReference"/>
          <w:rFonts w:ascii="Cambria" w:hAnsi="Cambria"/>
          <w:sz w:val="16"/>
          <w:szCs w:val="16"/>
        </w:rPr>
        <w:footnoteRef/>
      </w:r>
      <w:r w:rsidRPr="00B74E3A">
        <w:rPr>
          <w:rFonts w:ascii="Cambria" w:hAnsi="Cambria"/>
          <w:sz w:val="16"/>
          <w:szCs w:val="16"/>
          <w:lang w:val="es-MX"/>
        </w:rPr>
        <w:t xml:space="preserve"> CIDH. Informe No. 102/13. Caso 12.723. Fondo. TGGL. Ecuador, para.149. Cfr </w:t>
      </w:r>
      <w:hyperlink r:id="rId12" w:history="1">
        <w:r w:rsidRPr="00B74E3A">
          <w:rPr>
            <w:rFonts w:ascii="Cambria" w:hAnsi="Cambria"/>
            <w:sz w:val="16"/>
            <w:szCs w:val="16"/>
            <w:lang w:val="es-MX"/>
          </w:rPr>
          <w:t xml:space="preserve">Corte IDH. </w:t>
        </w:r>
        <w:r w:rsidRPr="00B74E3A">
          <w:rPr>
            <w:rFonts w:ascii="Cambria" w:hAnsi="Cambria"/>
            <w:i/>
            <w:sz w:val="16"/>
            <w:szCs w:val="16"/>
            <w:lang w:val="es-MX"/>
          </w:rPr>
          <w:t>Caso Forneron e hija Vs. Argentina.</w:t>
        </w:r>
        <w:r w:rsidRPr="00B74E3A">
          <w:rPr>
            <w:rFonts w:ascii="Cambria" w:hAnsi="Cambria"/>
            <w:sz w:val="16"/>
            <w:szCs w:val="16"/>
            <w:lang w:val="es-MX"/>
          </w:rPr>
          <w:t xml:space="preserve"> Fondo, Reparaciones y Costas. Sentencia de 27 de abril de 2012. Serie C No. 242</w:t>
        </w:r>
      </w:hyperlink>
      <w:r w:rsidRPr="00B74E3A">
        <w:rPr>
          <w:rFonts w:ascii="Cambria" w:hAnsi="Cambria"/>
          <w:sz w:val="16"/>
          <w:szCs w:val="16"/>
          <w:lang w:val="es-MX"/>
        </w:rPr>
        <w:t xml:space="preserve">, párr. 44; </w:t>
      </w:r>
      <w:hyperlink r:id="rId13" w:history="1">
        <w:r w:rsidRPr="00B74E3A">
          <w:rPr>
            <w:rFonts w:ascii="Cambria" w:hAnsi="Cambria"/>
            <w:sz w:val="16"/>
            <w:szCs w:val="16"/>
            <w:lang w:val="es-MX"/>
          </w:rPr>
          <w:t xml:space="preserve">Corte IDH. </w:t>
        </w:r>
        <w:r w:rsidRPr="00B74E3A">
          <w:rPr>
            <w:rFonts w:ascii="Cambria" w:hAnsi="Cambria"/>
            <w:i/>
            <w:sz w:val="16"/>
            <w:szCs w:val="16"/>
            <w:lang w:val="es-MX"/>
          </w:rPr>
          <w:t>Caso Furlan y Familiares Vs. Argentina.</w:t>
        </w:r>
        <w:r w:rsidRPr="00B74E3A">
          <w:rPr>
            <w:rFonts w:ascii="Cambria" w:hAnsi="Cambria"/>
            <w:sz w:val="16"/>
            <w:szCs w:val="16"/>
            <w:lang w:val="es-MX"/>
          </w:rPr>
          <w:t xml:space="preserve"> Excepciones Preliminares, Fondo, Reparaciones y Costas. Sentencia de 31 de agosto de 2012. Serie C No. 246</w:t>
        </w:r>
      </w:hyperlink>
      <w:r w:rsidRPr="00B74E3A">
        <w:rPr>
          <w:rFonts w:ascii="Cambria" w:hAnsi="Cambria"/>
          <w:sz w:val="16"/>
          <w:szCs w:val="16"/>
          <w:lang w:val="es-MX"/>
        </w:rPr>
        <w:t xml:space="preserve">, párr. 125.  </w:t>
      </w:r>
    </w:p>
  </w:footnote>
  <w:footnote w:id="87">
    <w:p w:rsidR="00DA16A1" w:rsidRPr="00B74E3A" w:rsidRDefault="00DA16A1" w:rsidP="00BE5027">
      <w:pPr>
        <w:pStyle w:val="FootnoteText"/>
        <w:jc w:val="both"/>
        <w:rPr>
          <w:rFonts w:ascii="Cambria" w:hAnsi="Cambria"/>
          <w:sz w:val="16"/>
          <w:szCs w:val="16"/>
          <w:lang w:val="es-MX"/>
        </w:rPr>
      </w:pPr>
      <w:r w:rsidRPr="00B74E3A">
        <w:rPr>
          <w:rStyle w:val="FootnoteReference"/>
          <w:rFonts w:ascii="Cambria" w:hAnsi="Cambria"/>
          <w:sz w:val="16"/>
          <w:szCs w:val="16"/>
        </w:rPr>
        <w:footnoteRef/>
      </w:r>
      <w:r w:rsidRPr="00B74E3A">
        <w:rPr>
          <w:rFonts w:ascii="Cambria" w:hAnsi="Cambria"/>
          <w:sz w:val="16"/>
          <w:szCs w:val="16"/>
          <w:lang w:val="es-MX"/>
        </w:rPr>
        <w:t xml:space="preserve"> CIDH. Informe No. 102/13. Caso 12.723. Fondo. TGGL. Ecuador, para.149.</w:t>
      </w:r>
    </w:p>
  </w:footnote>
  <w:footnote w:id="88">
    <w:p w:rsidR="00DA16A1" w:rsidRPr="00B74E3A" w:rsidRDefault="00DA16A1" w:rsidP="006C6A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sz w:val="16"/>
          <w:szCs w:val="16"/>
          <w:lang w:val="es-MX"/>
        </w:rPr>
      </w:pPr>
      <w:r w:rsidRPr="00B74E3A">
        <w:rPr>
          <w:rStyle w:val="FootnoteReference"/>
          <w:rFonts w:ascii="Cambria" w:hAnsi="Cambria"/>
          <w:sz w:val="16"/>
          <w:szCs w:val="16"/>
        </w:rPr>
        <w:footnoteRef/>
      </w:r>
      <w:r w:rsidRPr="00B74E3A">
        <w:rPr>
          <w:rFonts w:ascii="Cambria" w:hAnsi="Cambria"/>
          <w:sz w:val="16"/>
          <w:szCs w:val="16"/>
          <w:lang w:val="es-MX"/>
        </w:rPr>
        <w:t xml:space="preserve"> CIDH. Informe No. 102/13. Caso 12.723. Fondo. TGGL. Ecuador, para. 150. Cfr </w:t>
      </w:r>
      <w:hyperlink r:id="rId14" w:history="1">
        <w:r w:rsidRPr="00B74E3A">
          <w:rPr>
            <w:rFonts w:ascii="Cambria" w:hAnsi="Cambria"/>
            <w:sz w:val="16"/>
            <w:szCs w:val="16"/>
            <w:lang w:val="es-MX"/>
          </w:rPr>
          <w:t xml:space="preserve">Corte IDH. </w:t>
        </w:r>
        <w:r w:rsidRPr="00B74E3A">
          <w:rPr>
            <w:rFonts w:ascii="Cambria" w:hAnsi="Cambria"/>
            <w:i/>
            <w:sz w:val="16"/>
            <w:szCs w:val="16"/>
            <w:lang w:val="es-MX"/>
          </w:rPr>
          <w:t>Caso Forneron e hija Vs. Argentina.</w:t>
        </w:r>
        <w:r w:rsidRPr="00B74E3A">
          <w:rPr>
            <w:rFonts w:ascii="Cambria" w:hAnsi="Cambria"/>
            <w:sz w:val="16"/>
            <w:szCs w:val="16"/>
            <w:lang w:val="es-MX"/>
          </w:rPr>
          <w:t xml:space="preserve"> Fondo, Reparaciones y Costas. Sentencia de 27 de abril de 2012 Serie C No. 242</w:t>
        </w:r>
      </w:hyperlink>
      <w:r w:rsidRPr="00B74E3A">
        <w:rPr>
          <w:rFonts w:ascii="Cambria" w:hAnsi="Cambria"/>
          <w:sz w:val="16"/>
          <w:szCs w:val="16"/>
          <w:lang w:val="es-MX"/>
        </w:rPr>
        <w:t>, párr</w:t>
      </w:r>
      <w:r w:rsidRPr="00B74E3A">
        <w:rPr>
          <w:rFonts w:ascii="Cambria" w:hAnsi="Cambria" w:cs="Verdana"/>
          <w:i/>
          <w:iCs/>
          <w:color w:val="000000"/>
          <w:sz w:val="16"/>
          <w:szCs w:val="16"/>
          <w:lang w:val="es-ES"/>
        </w:rPr>
        <w:t xml:space="preserve">. </w:t>
      </w:r>
      <w:r w:rsidRPr="00B74E3A">
        <w:rPr>
          <w:rFonts w:ascii="Cambria" w:hAnsi="Cambria" w:cs="Verdana"/>
          <w:iCs/>
          <w:color w:val="000000"/>
          <w:sz w:val="16"/>
          <w:szCs w:val="16"/>
          <w:lang w:val="es-ES"/>
        </w:rPr>
        <w:t xml:space="preserve">44; Corte IDH. </w:t>
      </w:r>
      <w:r w:rsidRPr="00B74E3A">
        <w:rPr>
          <w:rFonts w:ascii="Cambria" w:hAnsi="Cambria" w:cs="Verdana"/>
          <w:i/>
          <w:iCs/>
          <w:sz w:val="16"/>
          <w:szCs w:val="16"/>
          <w:lang w:val="es-MX"/>
        </w:rPr>
        <w:t xml:space="preserve">Caso Gelman Vs. </w:t>
      </w:r>
      <w:r w:rsidRPr="00B74E3A">
        <w:rPr>
          <w:rFonts w:ascii="Cambria" w:hAnsi="Cambria" w:cs="Verdana"/>
          <w:i/>
          <w:iCs/>
          <w:sz w:val="16"/>
          <w:szCs w:val="16"/>
          <w:lang w:val="es-ES"/>
        </w:rPr>
        <w:t>Uruguay</w:t>
      </w:r>
      <w:r w:rsidRPr="00B74E3A">
        <w:rPr>
          <w:rFonts w:ascii="Cambria" w:hAnsi="Cambria" w:cs="Verdana"/>
          <w:iCs/>
          <w:sz w:val="16"/>
          <w:szCs w:val="16"/>
          <w:lang w:val="es-ES"/>
        </w:rPr>
        <w:t xml:space="preserve">. Fondo y Reparaciones. </w:t>
      </w:r>
      <w:r w:rsidRPr="00B74E3A">
        <w:rPr>
          <w:rFonts w:ascii="Cambria" w:hAnsi="Cambria" w:cs="Verdana"/>
          <w:sz w:val="16"/>
          <w:szCs w:val="16"/>
          <w:lang w:val="es-ES"/>
        </w:rPr>
        <w:t xml:space="preserve">Sentencia de 24 de febrero de 2011 Serie C No. </w:t>
      </w:r>
      <w:r w:rsidRPr="00B74E3A">
        <w:rPr>
          <w:rFonts w:ascii="Cambria" w:hAnsi="Cambria" w:cs="Verdana"/>
          <w:sz w:val="16"/>
          <w:szCs w:val="16"/>
          <w:lang w:val="es-MX"/>
        </w:rPr>
        <w:t>221, párr. 121.</w:t>
      </w:r>
    </w:p>
  </w:footnote>
  <w:footnote w:id="89">
    <w:p w:rsidR="00DA16A1" w:rsidRPr="00093038" w:rsidRDefault="00DA16A1">
      <w:pPr>
        <w:pStyle w:val="FootnoteText"/>
        <w:jc w:val="both"/>
        <w:rPr>
          <w:rFonts w:ascii="Cambria" w:hAnsi="Cambria"/>
          <w:sz w:val="16"/>
          <w:szCs w:val="16"/>
          <w:lang w:val="es-MX"/>
        </w:rPr>
      </w:pPr>
      <w:r w:rsidRPr="00B74E3A">
        <w:rPr>
          <w:rStyle w:val="FootnoteReference"/>
          <w:rFonts w:ascii="Cambria" w:hAnsi="Cambria"/>
          <w:sz w:val="16"/>
          <w:szCs w:val="16"/>
        </w:rPr>
        <w:footnoteRef/>
      </w:r>
      <w:r w:rsidRPr="00B74E3A">
        <w:rPr>
          <w:rFonts w:ascii="Cambria" w:hAnsi="Cambria"/>
          <w:sz w:val="16"/>
          <w:szCs w:val="16"/>
          <w:lang w:val="es-MX"/>
        </w:rPr>
        <w:t xml:space="preserve"> Corte IDH, </w:t>
      </w:r>
      <w:r w:rsidRPr="00B74E3A">
        <w:rPr>
          <w:rFonts w:ascii="Cambria" w:hAnsi="Cambria"/>
          <w:i/>
          <w:sz w:val="16"/>
          <w:szCs w:val="16"/>
          <w:lang w:val="es-MX"/>
        </w:rPr>
        <w:t>Caso Rosendo Cantú y Otra vs. México</w:t>
      </w:r>
      <w:r w:rsidRPr="00B74E3A">
        <w:rPr>
          <w:rFonts w:ascii="Cambria" w:hAnsi="Cambria"/>
          <w:sz w:val="16"/>
          <w:szCs w:val="16"/>
          <w:lang w:val="es-MX"/>
        </w:rPr>
        <w:t xml:space="preserve">. Excepción Preliminar, Fondo, Reparaciones y Costas. Sentencia de 31 de agosto de </w:t>
      </w:r>
      <w:r w:rsidRPr="00093038">
        <w:rPr>
          <w:rFonts w:ascii="Cambria" w:hAnsi="Cambria"/>
          <w:sz w:val="16"/>
          <w:szCs w:val="16"/>
          <w:lang w:val="es-MX"/>
        </w:rPr>
        <w:t>2010. Serie C No. 216, párr. 201.</w:t>
      </w:r>
    </w:p>
  </w:footnote>
  <w:footnote w:id="90">
    <w:p w:rsidR="00DA16A1" w:rsidRPr="00FC5728" w:rsidRDefault="00DA16A1" w:rsidP="009D1BBD">
      <w:pPr>
        <w:pStyle w:val="FootnoteText"/>
        <w:jc w:val="both"/>
        <w:rPr>
          <w:lang w:val="es-CO"/>
        </w:rPr>
      </w:pPr>
      <w:r w:rsidRPr="00093038">
        <w:rPr>
          <w:rStyle w:val="FootnoteReference"/>
          <w:sz w:val="16"/>
          <w:szCs w:val="16"/>
        </w:rPr>
        <w:footnoteRef/>
      </w:r>
      <w:r w:rsidRPr="00093038">
        <w:rPr>
          <w:sz w:val="16"/>
          <w:szCs w:val="16"/>
          <w:lang w:val="es-CO"/>
        </w:rPr>
        <w:t xml:space="preserve"> </w:t>
      </w:r>
      <w:r w:rsidRPr="00093038">
        <w:rPr>
          <w:rFonts w:ascii="Cambria" w:hAnsi="Cambria"/>
          <w:sz w:val="16"/>
          <w:szCs w:val="16"/>
          <w:lang w:val="es-MX"/>
        </w:rPr>
        <w:t>Convención sobre los Derechos del Niño. Aprobada por la Asamblea General de las Naciones Unidas el 20 de noviembre de 1989, ratificada por Brasil el 24 de septiembre de 1990.</w:t>
      </w:r>
      <w:r>
        <w:rPr>
          <w:rFonts w:ascii="Cambria" w:hAnsi="Cambria"/>
          <w:sz w:val="16"/>
          <w:szCs w:val="16"/>
          <w:lang w:val="es-MX"/>
        </w:rPr>
        <w:t xml:space="preserve"> </w:t>
      </w:r>
    </w:p>
  </w:footnote>
  <w:footnote w:id="91">
    <w:p w:rsidR="00DA16A1" w:rsidRPr="00B74E3A" w:rsidRDefault="00DA16A1">
      <w:pPr>
        <w:pStyle w:val="FootnoteText"/>
        <w:jc w:val="both"/>
        <w:rPr>
          <w:rFonts w:ascii="Cambria" w:hAnsi="Cambria"/>
          <w:sz w:val="16"/>
          <w:szCs w:val="16"/>
          <w:lang w:val="es-MX"/>
        </w:rPr>
      </w:pPr>
      <w:r w:rsidRPr="00B74E3A">
        <w:rPr>
          <w:rStyle w:val="FootnoteReference"/>
          <w:rFonts w:ascii="Cambria" w:hAnsi="Cambria"/>
          <w:sz w:val="16"/>
          <w:szCs w:val="16"/>
        </w:rPr>
        <w:footnoteRef/>
      </w:r>
      <w:r w:rsidRPr="00B74E3A">
        <w:rPr>
          <w:rFonts w:ascii="Cambria" w:hAnsi="Cambria"/>
          <w:sz w:val="16"/>
          <w:szCs w:val="16"/>
          <w:lang w:val="es-MX"/>
        </w:rPr>
        <w:t xml:space="preserve"> Convención sobre los Derechos del Niño. Aprobada por la Asamblea General de las Naciones Unidas el 20 de noviembre de 1989, artículo 32.</w:t>
      </w:r>
    </w:p>
    <w:p w:rsidR="00DA16A1" w:rsidRPr="00B74E3A" w:rsidRDefault="00DA16A1">
      <w:pPr>
        <w:pStyle w:val="FootnoteText"/>
        <w:jc w:val="both"/>
        <w:rPr>
          <w:rFonts w:ascii="Cambria" w:hAnsi="Cambria"/>
          <w:sz w:val="16"/>
          <w:szCs w:val="16"/>
          <w:lang w:val="es-MX"/>
        </w:rPr>
      </w:pPr>
    </w:p>
  </w:footnote>
  <w:footnote w:id="92">
    <w:p w:rsidR="00DA16A1" w:rsidRPr="00060534" w:rsidRDefault="00DA16A1">
      <w:pPr>
        <w:pStyle w:val="FootnoteText"/>
        <w:rPr>
          <w:rFonts w:asciiTheme="majorHAnsi" w:hAnsiTheme="majorHAnsi"/>
          <w:sz w:val="16"/>
          <w:szCs w:val="16"/>
          <w:lang w:val="es-MX"/>
        </w:rPr>
      </w:pPr>
      <w:r w:rsidRPr="00060534">
        <w:rPr>
          <w:rStyle w:val="FootnoteReference"/>
          <w:rFonts w:asciiTheme="majorHAnsi" w:hAnsiTheme="majorHAnsi"/>
          <w:sz w:val="16"/>
          <w:szCs w:val="16"/>
        </w:rPr>
        <w:footnoteRef/>
      </w:r>
      <w:r w:rsidRPr="00060534">
        <w:rPr>
          <w:rFonts w:asciiTheme="majorHAnsi" w:hAnsiTheme="majorHAnsi"/>
          <w:sz w:val="16"/>
          <w:szCs w:val="16"/>
          <w:lang w:val="es-MX"/>
        </w:rPr>
        <w:t xml:space="preserve"> CIDH. Quinto Informe sobre la situación de los</w:t>
      </w:r>
      <w:r>
        <w:rPr>
          <w:rFonts w:asciiTheme="majorHAnsi" w:hAnsiTheme="majorHAnsi"/>
          <w:sz w:val="16"/>
          <w:szCs w:val="16"/>
          <w:lang w:val="es-MX"/>
        </w:rPr>
        <w:t xml:space="preserve"> Derechos Humanos en Guatemala, 6 de abril de 2001, Capítulo XII, párrs. 11 y 24. </w:t>
      </w:r>
    </w:p>
  </w:footnote>
  <w:footnote w:id="93">
    <w:p w:rsidR="00DA16A1" w:rsidRPr="00B74E3A" w:rsidRDefault="00DA16A1" w:rsidP="00B74E3A">
      <w:pPr>
        <w:pStyle w:val="FootnoteText"/>
        <w:jc w:val="both"/>
        <w:rPr>
          <w:rFonts w:ascii="Cambria" w:hAnsi="Cambria"/>
          <w:sz w:val="16"/>
          <w:szCs w:val="16"/>
          <w:lang w:val="es-ES"/>
        </w:rPr>
      </w:pPr>
      <w:r w:rsidRPr="00B74E3A">
        <w:rPr>
          <w:rStyle w:val="FootnoteReference"/>
          <w:rFonts w:ascii="Cambria" w:hAnsi="Cambria"/>
          <w:sz w:val="16"/>
          <w:szCs w:val="16"/>
        </w:rPr>
        <w:footnoteRef/>
      </w:r>
      <w:r w:rsidRPr="00B74E3A">
        <w:rPr>
          <w:rFonts w:ascii="Cambria" w:hAnsi="Cambria"/>
          <w:sz w:val="16"/>
          <w:szCs w:val="16"/>
          <w:lang w:val="es-MX"/>
        </w:rPr>
        <w:t>Organización Internacional del Trabajo. Convenio N°182 - Convenio sobre las peores formas de trabajo infantil, 1999</w:t>
      </w:r>
      <w:r>
        <w:rPr>
          <w:rFonts w:ascii="Cambria" w:hAnsi="Cambria"/>
          <w:sz w:val="16"/>
          <w:szCs w:val="16"/>
          <w:lang w:val="es-MX"/>
        </w:rPr>
        <w:t>.</w:t>
      </w:r>
      <w:r w:rsidRPr="00B74E3A">
        <w:rPr>
          <w:rFonts w:ascii="Cambria" w:hAnsi="Cambria"/>
          <w:sz w:val="16"/>
          <w:szCs w:val="16"/>
          <w:lang w:val="es-MX"/>
        </w:rPr>
        <w:t xml:space="preserve"> Ratificado por Brasil el 2 de febrero de 2002.</w:t>
      </w:r>
    </w:p>
  </w:footnote>
  <w:footnote w:id="94">
    <w:p w:rsidR="00DA16A1" w:rsidRPr="00B74E3A" w:rsidRDefault="00DA16A1" w:rsidP="00237CE7">
      <w:pPr>
        <w:pStyle w:val="FootnoteText"/>
        <w:jc w:val="both"/>
        <w:rPr>
          <w:lang w:val="es-ES"/>
        </w:rPr>
      </w:pPr>
      <w:r w:rsidRPr="00B74E3A">
        <w:rPr>
          <w:rStyle w:val="FootnoteReference"/>
        </w:rPr>
        <w:footnoteRef/>
      </w:r>
      <w:r w:rsidRPr="007C04E1">
        <w:rPr>
          <w:lang w:val="es-PE"/>
        </w:rPr>
        <w:t xml:space="preserve"> </w:t>
      </w:r>
      <w:r w:rsidRPr="00B74E3A">
        <w:rPr>
          <w:rFonts w:ascii="Cambria" w:hAnsi="Cambria"/>
          <w:sz w:val="16"/>
          <w:szCs w:val="16"/>
          <w:lang w:val="es-ES"/>
        </w:rPr>
        <w:t xml:space="preserve">Corte IDH. </w:t>
      </w:r>
      <w:r w:rsidRPr="00B74E3A">
        <w:rPr>
          <w:rFonts w:ascii="Cambria" w:hAnsi="Cambria"/>
          <w:i/>
          <w:sz w:val="16"/>
          <w:szCs w:val="16"/>
          <w:lang w:val="es-ES"/>
        </w:rPr>
        <w:t>Caso Trabajadores de la Hacienda Brasil Verde Vs Brasil. Excepciones preliminares, Fondo, Reparaciones y Costas</w:t>
      </w:r>
      <w:r w:rsidRPr="00B74E3A">
        <w:rPr>
          <w:rFonts w:ascii="Cambria" w:hAnsi="Cambria"/>
          <w:sz w:val="16"/>
          <w:szCs w:val="16"/>
          <w:lang w:val="es-ES"/>
        </w:rPr>
        <w:t>. Sentencia de 20 de octubre de 2016. Serie C No. 318, párr. 376.</w:t>
      </w:r>
    </w:p>
  </w:footnote>
  <w:footnote w:id="95">
    <w:p w:rsidR="00DA16A1" w:rsidRPr="00B9170E" w:rsidRDefault="00DA16A1" w:rsidP="00B9170E">
      <w:pPr>
        <w:pStyle w:val="FootnoteText"/>
        <w:jc w:val="both"/>
        <w:rPr>
          <w:lang w:val="es-PE"/>
        </w:rPr>
      </w:pPr>
      <w:r>
        <w:rPr>
          <w:rStyle w:val="FootnoteReference"/>
        </w:rPr>
        <w:footnoteRef/>
      </w:r>
      <w:r w:rsidRPr="00B9170E">
        <w:rPr>
          <w:lang w:val="es-PE"/>
        </w:rPr>
        <w:t xml:space="preserve"> </w:t>
      </w:r>
      <w:r w:rsidRPr="0085258B">
        <w:rPr>
          <w:rFonts w:asciiTheme="majorHAnsi" w:hAnsiTheme="majorHAnsi"/>
          <w:sz w:val="16"/>
          <w:szCs w:val="16"/>
          <w:lang w:val="es-PE"/>
        </w:rPr>
        <w:t>Comité de los Derechos del Niño. Observación General 16 . Sobre las obligaciones del Estado en relación con el impacto del sector empresarial en los derechos del niño (17 de abril de 2013) párr</w:t>
      </w:r>
      <w:r>
        <w:rPr>
          <w:rFonts w:asciiTheme="majorHAnsi" w:hAnsiTheme="majorHAnsi"/>
          <w:sz w:val="16"/>
          <w:szCs w:val="16"/>
          <w:lang w:val="es-PE"/>
        </w:rPr>
        <w:t>s</w:t>
      </w:r>
      <w:r w:rsidRPr="0085258B">
        <w:rPr>
          <w:rFonts w:asciiTheme="majorHAnsi" w:hAnsiTheme="majorHAnsi"/>
          <w:sz w:val="16"/>
          <w:szCs w:val="16"/>
          <w:lang w:val="es-PE"/>
        </w:rPr>
        <w:t xml:space="preserve">. </w:t>
      </w:r>
      <w:r>
        <w:rPr>
          <w:rFonts w:asciiTheme="majorHAnsi" w:hAnsiTheme="majorHAnsi"/>
          <w:sz w:val="16"/>
          <w:szCs w:val="16"/>
          <w:lang w:val="es-PE"/>
        </w:rPr>
        <w:t>13-23.</w:t>
      </w:r>
    </w:p>
  </w:footnote>
  <w:footnote w:id="96">
    <w:p w:rsidR="00DA16A1" w:rsidRPr="00B9170E" w:rsidRDefault="00DA16A1" w:rsidP="00B9170E">
      <w:pPr>
        <w:pStyle w:val="FootnoteText"/>
        <w:jc w:val="both"/>
        <w:rPr>
          <w:rFonts w:asciiTheme="majorHAnsi" w:hAnsiTheme="majorHAnsi"/>
          <w:sz w:val="16"/>
          <w:szCs w:val="16"/>
          <w:lang w:val="es-PE"/>
        </w:rPr>
      </w:pPr>
      <w:r w:rsidRPr="00B9170E">
        <w:rPr>
          <w:rStyle w:val="FootnoteReference"/>
          <w:rFonts w:asciiTheme="majorHAnsi" w:hAnsiTheme="majorHAnsi"/>
          <w:sz w:val="16"/>
          <w:szCs w:val="16"/>
        </w:rPr>
        <w:footnoteRef/>
      </w:r>
      <w:r w:rsidRPr="00B9170E">
        <w:rPr>
          <w:rFonts w:asciiTheme="majorHAnsi" w:hAnsiTheme="majorHAnsi"/>
          <w:sz w:val="16"/>
          <w:szCs w:val="16"/>
          <w:lang w:val="es-PE"/>
        </w:rPr>
        <w:t xml:space="preserve"> Comité de los Derechos del Niño. Observación General 16 . Sobre las obligaciones del Estado en relación con el impacto del sector empresarial en los derechos del niño (17 de abril de 2013) párr. 36</w:t>
      </w:r>
    </w:p>
  </w:footnote>
  <w:footnote w:id="97">
    <w:p w:rsidR="00DA16A1" w:rsidRPr="00B74E3A" w:rsidRDefault="00DA16A1" w:rsidP="00237CE7">
      <w:pPr>
        <w:pStyle w:val="FootnoteText"/>
        <w:jc w:val="both"/>
        <w:rPr>
          <w:lang w:val="es-ES"/>
        </w:rPr>
      </w:pPr>
      <w:r w:rsidRPr="00B74E3A">
        <w:rPr>
          <w:rStyle w:val="FootnoteReference"/>
        </w:rPr>
        <w:footnoteRef/>
      </w:r>
      <w:r w:rsidRPr="007C04E1">
        <w:rPr>
          <w:lang w:val="es-PE"/>
        </w:rPr>
        <w:t xml:space="preserve"> </w:t>
      </w:r>
      <w:r w:rsidRPr="007C04E1">
        <w:rPr>
          <w:rFonts w:ascii="Cambria" w:eastAsia="Times New Roman" w:hAnsi="Cambria" w:cs="Times New Roman"/>
          <w:sz w:val="16"/>
          <w:szCs w:val="16"/>
          <w:lang w:val="es-PE"/>
        </w:rPr>
        <w:t xml:space="preserve">Comité de Derechos Económicos, Sociales y Culturales. Observación General 18. El derecho al trabajo. 24 de noviembre de 2005. Párr. 15. </w:t>
      </w:r>
    </w:p>
  </w:footnote>
  <w:footnote w:id="98">
    <w:p w:rsidR="00DA16A1" w:rsidRPr="00B74E3A" w:rsidRDefault="00DA16A1" w:rsidP="00237CE7">
      <w:pPr>
        <w:pStyle w:val="FootnoteText"/>
        <w:jc w:val="both"/>
        <w:rPr>
          <w:lang w:val="es-ES"/>
        </w:rPr>
      </w:pPr>
      <w:r w:rsidRPr="00B74E3A">
        <w:rPr>
          <w:rStyle w:val="FootnoteReference"/>
        </w:rPr>
        <w:footnoteRef/>
      </w:r>
      <w:r w:rsidRPr="007C04E1">
        <w:rPr>
          <w:lang w:val="es-PE"/>
        </w:rPr>
        <w:t xml:space="preserve"> </w:t>
      </w:r>
      <w:r w:rsidRPr="007C04E1">
        <w:rPr>
          <w:rFonts w:ascii="Cambria" w:eastAsia="Times New Roman" w:hAnsi="Cambria" w:cs="Times New Roman"/>
          <w:sz w:val="16"/>
          <w:szCs w:val="16"/>
          <w:lang w:val="es-PE"/>
        </w:rPr>
        <w:t xml:space="preserve">Comité de Derechos Económicos, Sociales y Culturales. Observación General 18. El derecho al trabajo. 24 de noviembre de 2005. Párr. 24. </w:t>
      </w:r>
    </w:p>
  </w:footnote>
  <w:footnote w:id="99">
    <w:p w:rsidR="00DA16A1" w:rsidRPr="0059106B" w:rsidRDefault="00DA16A1" w:rsidP="00B74E3A">
      <w:pPr>
        <w:pStyle w:val="FootnoteText"/>
        <w:jc w:val="both"/>
        <w:rPr>
          <w:rFonts w:ascii="Cambria" w:hAnsi="Cambria"/>
          <w:sz w:val="16"/>
          <w:szCs w:val="16"/>
          <w:lang w:val="es-MX"/>
        </w:rPr>
      </w:pPr>
      <w:r w:rsidRPr="0059106B">
        <w:rPr>
          <w:rStyle w:val="FootnoteReference"/>
          <w:rFonts w:ascii="Cambria" w:hAnsi="Cambria"/>
          <w:sz w:val="16"/>
          <w:szCs w:val="16"/>
        </w:rPr>
        <w:footnoteRef/>
      </w:r>
      <w:r w:rsidRPr="007C04E1">
        <w:rPr>
          <w:rFonts w:ascii="Cambria" w:hAnsi="Cambria"/>
          <w:sz w:val="16"/>
          <w:szCs w:val="16"/>
          <w:lang w:val="es-PE"/>
        </w:rPr>
        <w:t xml:space="preserve"> </w:t>
      </w:r>
      <w:r w:rsidRPr="0059106B">
        <w:rPr>
          <w:rFonts w:ascii="Cambria" w:hAnsi="Cambria"/>
          <w:sz w:val="16"/>
          <w:szCs w:val="16"/>
          <w:lang w:val="es-MX"/>
        </w:rPr>
        <w:t xml:space="preserve">Artículo 26: Los Estados partes se comprometen a adoptar providencias, tanto a nivel interno como mediante la cooperación internacional, especialmente económica y técnica, para lograr progresivamente la plena efectividad de los derechos que derivan  de las normas económicas, sociales y sobre educación, ciencia y cultura, contenidas en la Carta de la Organización de Estados Americanos, reformada, reformada por el Protocolo de Buenos Aires, en la medida de los recursos disponibles, por vía legislativa u otros medios apropiados. </w:t>
      </w:r>
    </w:p>
    <w:p w:rsidR="00DA16A1" w:rsidRPr="0059106B" w:rsidRDefault="00DA16A1" w:rsidP="00B74E3A">
      <w:pPr>
        <w:jc w:val="both"/>
        <w:rPr>
          <w:rFonts w:ascii="Cambria" w:hAnsi="Cambria"/>
          <w:spacing w:val="-3"/>
          <w:sz w:val="16"/>
          <w:szCs w:val="16"/>
          <w:lang w:val="es-ES"/>
        </w:rPr>
      </w:pPr>
      <w:r w:rsidRPr="0059106B">
        <w:rPr>
          <w:rFonts w:ascii="Cambria" w:hAnsi="Cambria"/>
          <w:sz w:val="16"/>
          <w:szCs w:val="16"/>
          <w:lang w:val="es-ES"/>
        </w:rPr>
        <w:t xml:space="preserve">Artículo 24: </w:t>
      </w:r>
      <w:r w:rsidRPr="0059106B">
        <w:rPr>
          <w:rFonts w:ascii="Cambria" w:hAnsi="Cambria"/>
          <w:spacing w:val="-3"/>
          <w:sz w:val="16"/>
          <w:szCs w:val="16"/>
          <w:lang w:val="es-ES"/>
        </w:rPr>
        <w:t xml:space="preserve">Todas las personas son iguales ante la ley.  En consecuencia, tienen derecho, sin discriminación, a igual protección de la ley. </w:t>
      </w:r>
    </w:p>
    <w:p w:rsidR="00DA16A1" w:rsidRDefault="00DA16A1" w:rsidP="00B74E3A">
      <w:pPr>
        <w:pStyle w:val="FootnoteText"/>
        <w:jc w:val="both"/>
        <w:rPr>
          <w:rFonts w:ascii="Cambria" w:hAnsi="Cambria" w:cs="Times New Roman"/>
          <w:spacing w:val="-3"/>
          <w:sz w:val="16"/>
          <w:szCs w:val="16"/>
          <w:lang w:val="es-ES"/>
        </w:rPr>
      </w:pPr>
      <w:r w:rsidRPr="0059106B">
        <w:rPr>
          <w:rFonts w:ascii="Cambria" w:hAnsi="Cambria"/>
          <w:spacing w:val="-3"/>
          <w:sz w:val="16"/>
          <w:szCs w:val="16"/>
          <w:lang w:val="es-ES"/>
        </w:rPr>
        <w:t>A</w:t>
      </w:r>
      <w:r w:rsidRPr="0059106B">
        <w:rPr>
          <w:rFonts w:ascii="Cambria" w:hAnsi="Cambria" w:cs="Times New Roman"/>
          <w:sz w:val="16"/>
          <w:szCs w:val="16"/>
          <w:lang w:val="es-ES"/>
        </w:rPr>
        <w:t>rtículo 1.1</w:t>
      </w:r>
      <w:r w:rsidRPr="0059106B">
        <w:rPr>
          <w:rFonts w:ascii="Cambria" w:hAnsi="Cambria"/>
          <w:sz w:val="16"/>
          <w:szCs w:val="16"/>
          <w:lang w:val="es-ES"/>
        </w:rPr>
        <w:t xml:space="preserve">: </w:t>
      </w:r>
      <w:r w:rsidRPr="0059106B">
        <w:rPr>
          <w:rFonts w:ascii="Cambria" w:hAnsi="Cambria" w:cs="Times New Roman"/>
          <w:spacing w:val="-3"/>
          <w:sz w:val="16"/>
          <w:szCs w:val="16"/>
          <w:lang w:val="es-ES"/>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rsidR="00DA16A1" w:rsidRPr="0059106B" w:rsidRDefault="00DA16A1" w:rsidP="00B74E3A">
      <w:pPr>
        <w:pStyle w:val="FootnoteText"/>
        <w:jc w:val="both"/>
        <w:rPr>
          <w:rFonts w:ascii="Cambria" w:hAnsi="Cambria"/>
          <w:sz w:val="16"/>
          <w:szCs w:val="16"/>
          <w:lang w:val="es-ES"/>
        </w:rPr>
      </w:pPr>
      <w:r>
        <w:rPr>
          <w:rFonts w:ascii="Cambria" w:hAnsi="Cambria" w:cs="Times New Roman"/>
          <w:spacing w:val="-3"/>
          <w:sz w:val="16"/>
          <w:szCs w:val="16"/>
          <w:lang w:val="es-ES"/>
        </w:rPr>
        <w:t xml:space="preserve">Artículo 2.  Si el ejercicio de los derechos y libertades mencionados en el artículo 1 no estuviere ya garantizado por las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 </w:t>
      </w:r>
    </w:p>
  </w:footnote>
  <w:footnote w:id="100">
    <w:p w:rsidR="00DA16A1" w:rsidRPr="0059106B" w:rsidRDefault="00DA16A1" w:rsidP="00B74E3A">
      <w:pPr>
        <w:pStyle w:val="FootnoteText"/>
        <w:jc w:val="both"/>
        <w:rPr>
          <w:rFonts w:ascii="Cambria" w:hAnsi="Cambria"/>
          <w:sz w:val="16"/>
          <w:szCs w:val="16"/>
          <w:lang w:val="es-CO"/>
        </w:rPr>
      </w:pPr>
      <w:r w:rsidRPr="0059106B">
        <w:rPr>
          <w:rStyle w:val="FootnoteReference"/>
          <w:rFonts w:ascii="Cambria" w:hAnsi="Cambria"/>
          <w:sz w:val="16"/>
          <w:szCs w:val="16"/>
        </w:rPr>
        <w:footnoteRef/>
      </w:r>
      <w:r w:rsidRPr="0059106B">
        <w:rPr>
          <w:rFonts w:ascii="Cambria" w:hAnsi="Cambria"/>
          <w:sz w:val="16"/>
          <w:szCs w:val="16"/>
          <w:lang w:val="es-CO"/>
        </w:rPr>
        <w:t xml:space="preserve"> Ver por ejemplo algunos informes de admisibilidad en los cuales se ha admitido la posible violación del artículo 26 de la Convención: </w:t>
      </w:r>
      <w:r w:rsidRPr="0059106B">
        <w:rPr>
          <w:rFonts w:ascii="Cambria" w:hAnsi="Cambria" w:cs="Helvetica"/>
          <w:color w:val="141413"/>
          <w:sz w:val="16"/>
          <w:szCs w:val="16"/>
          <w:lang w:val="es-CO" w:bidi="en-US"/>
        </w:rPr>
        <w:t>Informe 29/01. Caso 12.249. Jorge Odir Miranda Cortez y otros. El Salvador, 7 de marzo de 2001; e Informe 70/04. Petición 667/01. Admisibilidad. Jesús Manuel Naranjo Cárdenas y otros (Jubilados de la Empresa Venezolana de Aviación viasa). Venezuela, 13 de octubre de 2004. Asimismo ver el pronunciamiento de fondo sobre el artículo 26 en Informe 38/09. Caso 12.670. Asociación Nacional de Ex Servidores del Instituto de Seguridad Social y otros vs. Perú. 27 de marzo de 2009. En similar sentido, la Corte reafirmó dicha competencia en Caso Acevedo Buendía y otros (“Cesantes y Jubilados de la Contraloría”) vs. Perú (Excepción Preliminar, Fondo, Reparaciones y Costas), Sentencia del 1 de julio de 2009.</w:t>
      </w:r>
    </w:p>
  </w:footnote>
  <w:footnote w:id="101">
    <w:p w:rsidR="00DA16A1" w:rsidRPr="0059106B" w:rsidRDefault="00DA16A1" w:rsidP="00B74E3A">
      <w:pPr>
        <w:pStyle w:val="FootnoteText"/>
        <w:jc w:val="both"/>
        <w:rPr>
          <w:rFonts w:ascii="Cambria" w:hAnsi="Cambria"/>
          <w:sz w:val="16"/>
          <w:szCs w:val="16"/>
          <w:lang w:val="es-CO"/>
        </w:rPr>
      </w:pPr>
      <w:r w:rsidRPr="0059106B">
        <w:rPr>
          <w:rStyle w:val="FootnoteReference"/>
          <w:rFonts w:ascii="Cambria" w:hAnsi="Cambria"/>
          <w:sz w:val="16"/>
          <w:szCs w:val="16"/>
        </w:rPr>
        <w:footnoteRef/>
      </w:r>
      <w:r w:rsidRPr="0059106B">
        <w:rPr>
          <w:rFonts w:ascii="Cambria" w:hAnsi="Cambria"/>
          <w:sz w:val="16"/>
          <w:szCs w:val="16"/>
          <w:lang w:val="es-CO"/>
        </w:rPr>
        <w:t xml:space="preserve"> </w:t>
      </w:r>
      <w:r w:rsidRPr="00F73C5A">
        <w:rPr>
          <w:rStyle w:val="Strong"/>
          <w:rFonts w:ascii="Cambria" w:eastAsia="Times New Roman" w:hAnsi="Cambria"/>
          <w:b w:val="0"/>
          <w:sz w:val="16"/>
          <w:szCs w:val="16"/>
          <w:lang w:val="es-PE"/>
        </w:rPr>
        <w:t>Ver, por ejemplo. Corte IDH. Caso Lagos del Campo Vs. Perú. Excepciones Preliminares, Fondo, Reparaciones y Costas. Sentencia de 31 de agosto de 2017. Serie C No. 340. Párr. 141</w:t>
      </w:r>
      <w:r w:rsidRPr="007C04E1">
        <w:rPr>
          <w:rStyle w:val="Strong"/>
          <w:rFonts w:ascii="Cambria" w:eastAsia="Times New Roman" w:hAnsi="Cambria"/>
          <w:sz w:val="16"/>
          <w:szCs w:val="16"/>
          <w:lang w:val="es-PE"/>
        </w:rPr>
        <w:t xml:space="preserve">; y </w:t>
      </w:r>
      <w:r w:rsidRPr="0059106B">
        <w:rPr>
          <w:rFonts w:ascii="Cambria" w:hAnsi="Cambria" w:cs="Helvetica"/>
          <w:color w:val="141413"/>
          <w:sz w:val="16"/>
          <w:szCs w:val="16"/>
          <w:lang w:val="es-CO" w:bidi="en-US"/>
        </w:rPr>
        <w:t>Caso Acevedo Buendía y otros (“Cesantes y Jubilados de la Contraloría”) vs. Perú (Excepción Preliminar, Fondo, Reparaciones y Costas), Sentencia del 1 de julio de 2009. Párr. 101.</w:t>
      </w:r>
    </w:p>
  </w:footnote>
  <w:footnote w:id="102">
    <w:p w:rsidR="00DA16A1" w:rsidRPr="00B9170E" w:rsidRDefault="00DA16A1" w:rsidP="00B9170E">
      <w:pPr>
        <w:pStyle w:val="FootnoteText"/>
        <w:jc w:val="both"/>
        <w:rPr>
          <w:rFonts w:asciiTheme="majorHAnsi" w:hAnsiTheme="majorHAnsi"/>
          <w:sz w:val="16"/>
          <w:szCs w:val="16"/>
          <w:lang w:val="es-PE"/>
        </w:rPr>
      </w:pPr>
      <w:r w:rsidRPr="00B9170E">
        <w:rPr>
          <w:rStyle w:val="FootnoteReference"/>
          <w:rFonts w:asciiTheme="majorHAnsi" w:hAnsiTheme="majorHAnsi"/>
          <w:sz w:val="16"/>
          <w:szCs w:val="16"/>
        </w:rPr>
        <w:footnoteRef/>
      </w:r>
      <w:r w:rsidRPr="00B9170E">
        <w:rPr>
          <w:rFonts w:asciiTheme="majorHAnsi" w:hAnsiTheme="majorHAnsi"/>
          <w:sz w:val="16"/>
          <w:szCs w:val="16"/>
          <w:lang w:val="es-PE"/>
        </w:rPr>
        <w:t xml:space="preserve"> El Estado brasileño se adhirió a dicho Protocolo el </w:t>
      </w:r>
      <w:r>
        <w:rPr>
          <w:rFonts w:asciiTheme="majorHAnsi" w:hAnsiTheme="majorHAnsi"/>
          <w:sz w:val="16"/>
          <w:szCs w:val="16"/>
          <w:lang w:val="es-PE"/>
        </w:rPr>
        <w:t>21</w:t>
      </w:r>
      <w:r w:rsidRPr="00B9170E">
        <w:rPr>
          <w:rFonts w:asciiTheme="majorHAnsi" w:hAnsiTheme="majorHAnsi"/>
          <w:sz w:val="16"/>
          <w:szCs w:val="16"/>
          <w:lang w:val="es-PE"/>
        </w:rPr>
        <w:t xml:space="preserve"> de agosto de 1996.</w:t>
      </w:r>
    </w:p>
  </w:footnote>
  <w:footnote w:id="103">
    <w:p w:rsidR="00DA16A1" w:rsidRPr="00B9170E" w:rsidRDefault="00DA16A1" w:rsidP="008A70E8">
      <w:pPr>
        <w:jc w:val="both"/>
        <w:rPr>
          <w:rFonts w:asciiTheme="majorHAnsi" w:hAnsiTheme="majorHAnsi"/>
          <w:color w:val="000000"/>
          <w:sz w:val="16"/>
          <w:szCs w:val="16"/>
          <w:lang w:val="es-AR"/>
        </w:rPr>
      </w:pPr>
      <w:r w:rsidRPr="00B9170E">
        <w:rPr>
          <w:rStyle w:val="FootnoteReference"/>
          <w:rFonts w:asciiTheme="majorHAnsi" w:hAnsiTheme="majorHAnsi"/>
          <w:sz w:val="16"/>
          <w:szCs w:val="16"/>
        </w:rPr>
        <w:footnoteRef/>
      </w:r>
      <w:r w:rsidRPr="00B9170E">
        <w:rPr>
          <w:rFonts w:asciiTheme="majorHAnsi" w:hAnsiTheme="majorHAnsi"/>
          <w:sz w:val="16"/>
          <w:szCs w:val="16"/>
          <w:lang w:val="es-PE"/>
        </w:rPr>
        <w:t xml:space="preserve"> </w:t>
      </w:r>
      <w:r w:rsidRPr="00B9170E">
        <w:rPr>
          <w:rFonts w:asciiTheme="majorHAnsi" w:hAnsiTheme="majorHAnsi"/>
          <w:color w:val="000000"/>
          <w:sz w:val="16"/>
          <w:szCs w:val="16"/>
          <w:lang w:val="es-AR"/>
        </w:rPr>
        <w:t>CIDH. Informe No. 38/09. Caso 12.670. Admisibilidad y fondo. Asociación Nacional de Ex Servidores del Instituto Peruano de Seguridad Social y otras. Perú. 27 de marzo de 2009. Párr. 134.</w:t>
      </w:r>
    </w:p>
  </w:footnote>
  <w:footnote w:id="104">
    <w:p w:rsidR="00DA16A1" w:rsidRPr="00B9170E" w:rsidRDefault="00DA16A1" w:rsidP="00B9170E">
      <w:pPr>
        <w:pStyle w:val="FootnoteText"/>
        <w:jc w:val="both"/>
        <w:rPr>
          <w:lang w:val="es-PE"/>
        </w:rPr>
      </w:pPr>
      <w:r w:rsidRPr="00B9170E">
        <w:rPr>
          <w:rStyle w:val="FootnoteReference"/>
          <w:rFonts w:asciiTheme="majorHAnsi" w:hAnsiTheme="majorHAnsi"/>
          <w:sz w:val="16"/>
          <w:szCs w:val="16"/>
        </w:rPr>
        <w:footnoteRef/>
      </w:r>
      <w:r w:rsidRPr="00B9170E">
        <w:rPr>
          <w:rFonts w:asciiTheme="majorHAnsi" w:hAnsiTheme="majorHAnsi"/>
          <w:sz w:val="16"/>
          <w:szCs w:val="16"/>
          <w:lang w:val="es-PE"/>
        </w:rPr>
        <w:t xml:space="preserve"> El Estado brasileño se adhirió a dicho tratado el 24 de enero de 1992.</w:t>
      </w:r>
      <w:r w:rsidRPr="00B9170E">
        <w:rPr>
          <w:lang w:val="es-PE"/>
        </w:rPr>
        <w:t xml:space="preserve"> </w:t>
      </w:r>
    </w:p>
  </w:footnote>
  <w:footnote w:id="105">
    <w:p w:rsidR="00DA16A1" w:rsidRPr="00B9170E" w:rsidRDefault="00DA16A1" w:rsidP="00B9170E">
      <w:pPr>
        <w:pStyle w:val="FootnoteText"/>
        <w:jc w:val="both"/>
        <w:rPr>
          <w:rFonts w:asciiTheme="majorHAnsi" w:hAnsiTheme="majorHAnsi"/>
          <w:sz w:val="16"/>
          <w:szCs w:val="16"/>
          <w:lang w:val="es-PE"/>
        </w:rPr>
      </w:pPr>
      <w:r w:rsidRPr="00B9170E">
        <w:rPr>
          <w:rStyle w:val="FootnoteReference"/>
          <w:rFonts w:asciiTheme="majorHAnsi" w:hAnsiTheme="majorHAnsi"/>
          <w:sz w:val="16"/>
          <w:szCs w:val="16"/>
        </w:rPr>
        <w:footnoteRef/>
      </w:r>
      <w:r w:rsidRPr="00B9170E">
        <w:rPr>
          <w:rFonts w:asciiTheme="majorHAnsi" w:hAnsiTheme="majorHAnsi"/>
          <w:sz w:val="16"/>
          <w:szCs w:val="16"/>
          <w:lang w:val="es-PE"/>
        </w:rPr>
        <w:t xml:space="preserve"> Según </w:t>
      </w:r>
      <w:r w:rsidRPr="00802569">
        <w:rPr>
          <w:rFonts w:asciiTheme="majorHAnsi" w:hAnsiTheme="majorHAnsi"/>
          <w:sz w:val="16"/>
          <w:szCs w:val="16"/>
          <w:lang w:val="es-PE"/>
        </w:rPr>
        <w:t>e</w:t>
      </w:r>
      <w:r w:rsidRPr="00B9170E">
        <w:rPr>
          <w:rFonts w:asciiTheme="majorHAnsi" w:hAnsiTheme="majorHAnsi"/>
          <w:sz w:val="16"/>
          <w:szCs w:val="16"/>
          <w:lang w:val="es-PE"/>
        </w:rPr>
        <w:t>sta disposición “</w:t>
      </w:r>
      <w:r w:rsidRPr="00B9170E">
        <w:rPr>
          <w:rFonts w:asciiTheme="majorHAnsi" w:hAnsiTheme="majorHAnsi"/>
          <w:sz w:val="16"/>
          <w:szCs w:val="16"/>
          <w:shd w:val="clear" w:color="auto" w:fill="FFFFFF"/>
          <w:lang w:val="es-PE"/>
        </w:rPr>
        <w:t>Cada uno de los Estados Partes en el presente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w:t>
      </w:r>
      <w:r w:rsidRPr="00B9170E">
        <w:rPr>
          <w:rFonts w:asciiTheme="majorHAnsi" w:hAnsiTheme="majorHAnsi"/>
          <w:sz w:val="16"/>
          <w:szCs w:val="16"/>
          <w:lang w:val="es-PE"/>
        </w:rPr>
        <w:t>”</w:t>
      </w:r>
    </w:p>
  </w:footnote>
  <w:footnote w:id="106">
    <w:p w:rsidR="00DA16A1" w:rsidRPr="0059106B" w:rsidRDefault="00DA16A1" w:rsidP="00B74E3A">
      <w:pPr>
        <w:jc w:val="both"/>
        <w:rPr>
          <w:rFonts w:ascii="Cambria" w:hAnsi="Cambria"/>
          <w:color w:val="000000"/>
          <w:sz w:val="16"/>
          <w:szCs w:val="16"/>
          <w:lang w:val="es-AR"/>
        </w:rPr>
      </w:pPr>
      <w:r w:rsidRPr="0059106B">
        <w:rPr>
          <w:rStyle w:val="FootnoteReference"/>
          <w:rFonts w:ascii="Cambria" w:hAnsi="Cambria"/>
          <w:sz w:val="16"/>
          <w:szCs w:val="16"/>
        </w:rPr>
        <w:footnoteRef/>
      </w:r>
      <w:r w:rsidRPr="007C04E1">
        <w:rPr>
          <w:rFonts w:ascii="Cambria" w:hAnsi="Cambria"/>
          <w:sz w:val="16"/>
          <w:szCs w:val="16"/>
          <w:lang w:val="es-PE"/>
        </w:rPr>
        <w:t xml:space="preserve"> </w:t>
      </w:r>
      <w:r w:rsidRPr="0059106B">
        <w:rPr>
          <w:rFonts w:ascii="Cambria" w:hAnsi="Cambria"/>
          <w:color w:val="000000"/>
          <w:sz w:val="16"/>
          <w:szCs w:val="16"/>
          <w:lang w:val="es-AR"/>
        </w:rPr>
        <w:t xml:space="preserve">CIDH. Informe No. 38/09. Caso 12.670. Admisibilidad y fondo. Asociación Nacional de Ex Servidores del Instituto Peruano de Seguridad Social y otras. Perú. 27 de marzo de 2009. Párr. 136. </w:t>
      </w:r>
    </w:p>
  </w:footnote>
  <w:footnote w:id="107">
    <w:p w:rsidR="00DA16A1" w:rsidRPr="007C04E1" w:rsidRDefault="00DA16A1" w:rsidP="00B74E3A">
      <w:pPr>
        <w:jc w:val="both"/>
        <w:rPr>
          <w:rFonts w:ascii="Cambria" w:eastAsia="Times New Roman" w:hAnsi="Cambria"/>
          <w:sz w:val="16"/>
          <w:szCs w:val="16"/>
          <w:lang w:val="es-PE"/>
        </w:rPr>
      </w:pPr>
      <w:r w:rsidRPr="0059106B">
        <w:rPr>
          <w:rStyle w:val="FootnoteReference"/>
          <w:rFonts w:ascii="Cambria" w:hAnsi="Cambria"/>
          <w:sz w:val="16"/>
          <w:szCs w:val="16"/>
        </w:rPr>
        <w:footnoteRef/>
      </w:r>
      <w:r w:rsidRPr="007C04E1">
        <w:rPr>
          <w:rFonts w:ascii="Cambria" w:hAnsi="Cambria"/>
          <w:sz w:val="16"/>
          <w:szCs w:val="16"/>
          <w:lang w:val="es-PE"/>
        </w:rPr>
        <w:t xml:space="preserve"> </w:t>
      </w:r>
      <w:r w:rsidRPr="00E534EF">
        <w:rPr>
          <w:rFonts w:ascii="Cambria" w:eastAsia="Times New Roman" w:hAnsi="Cambria"/>
          <w:color w:val="000000"/>
          <w:sz w:val="16"/>
          <w:szCs w:val="16"/>
          <w:lang w:val="es-PE"/>
        </w:rPr>
        <w:t>Comité de Derechos Económicos, Sociales y Culturales de Naciones Unidas,</w:t>
      </w:r>
      <w:r w:rsidRPr="00E534EF">
        <w:rPr>
          <w:rStyle w:val="apple-converted-space"/>
          <w:rFonts w:ascii="Cambria" w:eastAsia="Times New Roman" w:hAnsi="Cambria"/>
          <w:color w:val="000000"/>
          <w:sz w:val="16"/>
          <w:szCs w:val="16"/>
          <w:lang w:val="es-PE"/>
        </w:rPr>
        <w:t> </w:t>
      </w:r>
      <w:r w:rsidRPr="00E534EF">
        <w:rPr>
          <w:rFonts w:ascii="Cambria" w:eastAsia="Times New Roman" w:hAnsi="Cambria"/>
          <w:i/>
          <w:iCs/>
          <w:color w:val="000000"/>
          <w:sz w:val="16"/>
          <w:szCs w:val="16"/>
          <w:lang w:val="es-PE"/>
        </w:rPr>
        <w:t>Observación general 3: La índole de las obligaciones de los Estados Partes (párrafo 1 del artículo 2 del Pacto)</w:t>
      </w:r>
      <w:r w:rsidRPr="00E534EF">
        <w:rPr>
          <w:rFonts w:ascii="Cambria" w:eastAsia="Times New Roman" w:hAnsi="Cambria"/>
          <w:color w:val="000000"/>
          <w:sz w:val="16"/>
          <w:szCs w:val="16"/>
          <w:lang w:val="es-PE"/>
        </w:rPr>
        <w:t>, adoptada en el Quinto Período de Sesiones, 1990, E/1991/23.</w:t>
      </w:r>
    </w:p>
    <w:p w:rsidR="00DA16A1" w:rsidRPr="0059106B" w:rsidRDefault="00DA16A1" w:rsidP="00B74E3A">
      <w:pPr>
        <w:pStyle w:val="FootnoteText"/>
        <w:jc w:val="both"/>
        <w:rPr>
          <w:rFonts w:ascii="Cambria" w:hAnsi="Cambria"/>
          <w:sz w:val="16"/>
          <w:szCs w:val="16"/>
          <w:lang w:val="es-ES"/>
        </w:rPr>
      </w:pPr>
    </w:p>
  </w:footnote>
  <w:footnote w:id="108">
    <w:p w:rsidR="00DA16A1" w:rsidRPr="00B9170E" w:rsidRDefault="00DA16A1" w:rsidP="00B9170E">
      <w:pPr>
        <w:jc w:val="both"/>
        <w:rPr>
          <w:rFonts w:asciiTheme="majorHAnsi" w:eastAsia="Times New Roman" w:hAnsiTheme="majorHAnsi"/>
          <w:sz w:val="16"/>
          <w:szCs w:val="16"/>
          <w:lang w:val="es-PE"/>
        </w:rPr>
      </w:pPr>
      <w:r w:rsidRPr="00B9170E">
        <w:rPr>
          <w:rStyle w:val="FootnoteReference"/>
          <w:rFonts w:asciiTheme="majorHAnsi" w:hAnsiTheme="majorHAnsi"/>
          <w:sz w:val="16"/>
          <w:szCs w:val="16"/>
        </w:rPr>
        <w:footnoteRef/>
      </w:r>
      <w:r w:rsidRPr="00B9170E">
        <w:rPr>
          <w:rFonts w:asciiTheme="majorHAnsi" w:hAnsiTheme="majorHAnsi"/>
          <w:sz w:val="16"/>
          <w:szCs w:val="16"/>
          <w:lang w:val="es-PE"/>
        </w:rPr>
        <w:t xml:space="preserve"> </w:t>
      </w:r>
      <w:r w:rsidRPr="00B9170E">
        <w:rPr>
          <w:rFonts w:asciiTheme="majorHAnsi" w:eastAsia="Times New Roman" w:hAnsiTheme="majorHAnsi"/>
          <w:color w:val="000000"/>
          <w:sz w:val="16"/>
          <w:szCs w:val="16"/>
          <w:lang w:val="es-PE"/>
        </w:rPr>
        <w:t>Comité de Derechos Económicos, Sociales y Culturales de Naciones Unidas,</w:t>
      </w:r>
      <w:r w:rsidRPr="00B9170E">
        <w:rPr>
          <w:rStyle w:val="apple-converted-space"/>
          <w:rFonts w:asciiTheme="majorHAnsi" w:eastAsia="Times New Roman" w:hAnsiTheme="majorHAnsi"/>
          <w:color w:val="000000"/>
          <w:sz w:val="16"/>
          <w:szCs w:val="16"/>
          <w:lang w:val="es-PE"/>
        </w:rPr>
        <w:t> </w:t>
      </w:r>
      <w:r w:rsidRPr="00B9170E">
        <w:rPr>
          <w:rFonts w:asciiTheme="majorHAnsi" w:eastAsia="Times New Roman" w:hAnsiTheme="majorHAnsi"/>
          <w:i/>
          <w:iCs/>
          <w:color w:val="000000"/>
          <w:sz w:val="16"/>
          <w:szCs w:val="16"/>
          <w:lang w:val="es-PE"/>
        </w:rPr>
        <w:t>Observación general 3: La índole de las obligaciones de los Estados Partes (párrafo 1 del artículo 2 del Pacto)</w:t>
      </w:r>
      <w:r w:rsidRPr="00B9170E">
        <w:rPr>
          <w:rFonts w:asciiTheme="majorHAnsi" w:eastAsia="Times New Roman" w:hAnsiTheme="majorHAnsi"/>
          <w:color w:val="000000"/>
          <w:sz w:val="16"/>
          <w:szCs w:val="16"/>
          <w:lang w:val="es-PE"/>
        </w:rPr>
        <w:t xml:space="preserve">,  1990. En ese sentido ver: </w:t>
      </w:r>
      <w:r w:rsidRPr="00B9170E">
        <w:rPr>
          <w:rFonts w:asciiTheme="majorHAnsi" w:hAnsiTheme="majorHAnsi"/>
          <w:sz w:val="16"/>
          <w:szCs w:val="16"/>
          <w:lang w:val="es-PE"/>
        </w:rPr>
        <w:t>CIDH. Informe sobre pobreza y derechos humanos en las Américas OEA/Ser.L/V/II.164 Doc. 147 (7 de septiembre de 2017) párrs. 236 y 237.</w:t>
      </w:r>
    </w:p>
  </w:footnote>
  <w:footnote w:id="109">
    <w:p w:rsidR="00DA16A1" w:rsidRPr="00F521A4" w:rsidRDefault="00DA16A1">
      <w:pPr>
        <w:pStyle w:val="FootnoteText"/>
        <w:rPr>
          <w:rFonts w:asciiTheme="majorHAnsi" w:hAnsiTheme="majorHAnsi"/>
          <w:sz w:val="16"/>
          <w:szCs w:val="16"/>
          <w:lang w:val="es-MX"/>
        </w:rPr>
      </w:pPr>
      <w:hyperlink r:id="rId15" w:history="1">
        <w:r w:rsidRPr="00F521A4">
          <w:rPr>
            <w:rStyle w:val="Hyperlink"/>
            <w:rFonts w:asciiTheme="majorHAnsi" w:hAnsiTheme="majorHAnsi"/>
            <w:sz w:val="16"/>
            <w:szCs w:val="16"/>
            <w:vertAlign w:val="superscript"/>
          </w:rPr>
          <w:footnoteRef/>
        </w:r>
        <w:r w:rsidRPr="00F521A4">
          <w:rPr>
            <w:rStyle w:val="Hyperlink"/>
            <w:rFonts w:asciiTheme="majorHAnsi" w:hAnsiTheme="majorHAnsi"/>
            <w:sz w:val="16"/>
            <w:szCs w:val="16"/>
            <w:lang w:val="es-MX"/>
          </w:rPr>
          <w:t xml:space="preserve"> Carta de la Organización de Estados Americanos.</w:t>
        </w:r>
      </w:hyperlink>
    </w:p>
  </w:footnote>
  <w:footnote w:id="110">
    <w:p w:rsidR="00DA16A1" w:rsidRPr="00F521A4" w:rsidRDefault="00DA16A1">
      <w:pPr>
        <w:pStyle w:val="FootnoteText"/>
        <w:rPr>
          <w:lang w:val="es-MX"/>
        </w:rPr>
      </w:pPr>
      <w:hyperlink r:id="rId16" w:history="1">
        <w:r w:rsidRPr="00F521A4">
          <w:rPr>
            <w:rStyle w:val="Hyperlink"/>
            <w:rFonts w:asciiTheme="majorHAnsi" w:hAnsiTheme="majorHAnsi"/>
            <w:sz w:val="16"/>
            <w:szCs w:val="16"/>
            <w:vertAlign w:val="superscript"/>
          </w:rPr>
          <w:footnoteRef/>
        </w:r>
        <w:r w:rsidRPr="00F521A4">
          <w:rPr>
            <w:rStyle w:val="Hyperlink"/>
            <w:rFonts w:asciiTheme="majorHAnsi" w:hAnsiTheme="majorHAnsi"/>
            <w:sz w:val="16"/>
            <w:szCs w:val="16"/>
            <w:lang w:val="es-MX"/>
          </w:rPr>
          <w:t xml:space="preserve"> Carta de la Organización de Estados Americanos.</w:t>
        </w:r>
      </w:hyperlink>
      <w:r>
        <w:rPr>
          <w:lang w:val="es-MX"/>
        </w:rPr>
        <w:t xml:space="preserve"> </w:t>
      </w:r>
    </w:p>
  </w:footnote>
  <w:footnote w:id="111">
    <w:p w:rsidR="00DA16A1" w:rsidRPr="00B9170E" w:rsidRDefault="00DA16A1" w:rsidP="00B9170E">
      <w:pPr>
        <w:pStyle w:val="FootnoteText"/>
        <w:jc w:val="both"/>
        <w:rPr>
          <w:sz w:val="16"/>
          <w:szCs w:val="16"/>
          <w:lang w:val="es-PE"/>
        </w:rPr>
      </w:pPr>
      <w:r w:rsidRPr="00B9170E">
        <w:rPr>
          <w:rStyle w:val="FootnoteReference"/>
          <w:sz w:val="16"/>
          <w:szCs w:val="16"/>
        </w:rPr>
        <w:footnoteRef/>
      </w:r>
      <w:r w:rsidRPr="00B9170E">
        <w:rPr>
          <w:sz w:val="16"/>
          <w:szCs w:val="16"/>
          <w:lang w:val="es-PE"/>
        </w:rPr>
        <w:t xml:space="preserve"> </w:t>
      </w:r>
      <w:r w:rsidRPr="00B9170E">
        <w:rPr>
          <w:rFonts w:ascii="Cambria" w:hAnsi="Cambria"/>
          <w:sz w:val="16"/>
          <w:szCs w:val="16"/>
          <w:lang w:val="es-ES"/>
        </w:rPr>
        <w:t>Son particularmente importantes el Pacto Internacional de Derechos Económicos, Sociales y Culturales, el Protocolo Adicional a la Convención Americana sobre Derechos Humanos en Materia de Derechos Económicos, Sociales y Culturales (Protocolo de San Salvador) y aún otros tratados como la Convención sobre los Derechos del Niño, la Convención para la Eliminación de Toda Forma de Discriminación contra la Mujer y los Convenios de la Organización Internacional del Trabajo</w:t>
      </w:r>
      <w:r>
        <w:rPr>
          <w:rFonts w:ascii="Cambria" w:hAnsi="Cambria"/>
          <w:sz w:val="16"/>
          <w:szCs w:val="16"/>
          <w:lang w:val="es-ES"/>
        </w:rPr>
        <w:t>.</w:t>
      </w:r>
    </w:p>
  </w:footnote>
  <w:footnote w:id="112">
    <w:p w:rsidR="00DA16A1" w:rsidRPr="0059106B" w:rsidRDefault="00DA16A1" w:rsidP="00B74E3A">
      <w:pPr>
        <w:pStyle w:val="FootnoteText"/>
        <w:jc w:val="both"/>
        <w:rPr>
          <w:rFonts w:ascii="Cambria" w:hAnsi="Cambria"/>
          <w:sz w:val="16"/>
          <w:szCs w:val="16"/>
          <w:lang w:val="es-ES"/>
        </w:rPr>
      </w:pPr>
      <w:r w:rsidRPr="0059106B">
        <w:rPr>
          <w:rStyle w:val="FootnoteReference"/>
          <w:rFonts w:ascii="Cambria" w:hAnsi="Cambria"/>
          <w:sz w:val="16"/>
          <w:szCs w:val="16"/>
        </w:rPr>
        <w:footnoteRef/>
      </w:r>
      <w:r w:rsidRPr="007C04E1">
        <w:rPr>
          <w:rFonts w:ascii="Cambria" w:hAnsi="Cambria"/>
          <w:sz w:val="16"/>
          <w:szCs w:val="16"/>
          <w:lang w:val="es-PE"/>
        </w:rPr>
        <w:t xml:space="preserve"> </w:t>
      </w:r>
      <w:r w:rsidRPr="007C04E1">
        <w:rPr>
          <w:rFonts w:ascii="Cambria" w:eastAsia="Times New Roman" w:hAnsi="Cambria" w:cs="Times New Roman"/>
          <w:sz w:val="16"/>
          <w:szCs w:val="16"/>
          <w:lang w:val="es-PE"/>
        </w:rPr>
        <w:t xml:space="preserve">Comité de Derechos Económicos, Sociales y Culturales. Observación General 18. El derecho al trabajo. 24 de noviembre de 2005. Párr. 7. </w:t>
      </w:r>
    </w:p>
  </w:footnote>
  <w:footnote w:id="113">
    <w:p w:rsidR="00DA16A1" w:rsidRPr="0059106B" w:rsidRDefault="00DA16A1" w:rsidP="00B74E3A">
      <w:pPr>
        <w:pStyle w:val="FootnoteText"/>
        <w:jc w:val="both"/>
        <w:rPr>
          <w:rFonts w:ascii="Cambria" w:hAnsi="Cambria"/>
          <w:sz w:val="16"/>
          <w:szCs w:val="16"/>
          <w:lang w:val="es-ES"/>
        </w:rPr>
      </w:pPr>
      <w:r w:rsidRPr="0059106B">
        <w:rPr>
          <w:rStyle w:val="FootnoteReference"/>
          <w:rFonts w:ascii="Cambria" w:hAnsi="Cambria"/>
          <w:sz w:val="16"/>
          <w:szCs w:val="16"/>
        </w:rPr>
        <w:footnoteRef/>
      </w:r>
      <w:r w:rsidRPr="007C04E1">
        <w:rPr>
          <w:rFonts w:ascii="Cambria" w:hAnsi="Cambria"/>
          <w:sz w:val="16"/>
          <w:szCs w:val="16"/>
          <w:lang w:val="es-PE"/>
        </w:rPr>
        <w:t xml:space="preserve"> </w:t>
      </w:r>
      <w:r w:rsidRPr="007C04E1">
        <w:rPr>
          <w:rFonts w:ascii="Cambria" w:eastAsia="Times New Roman" w:hAnsi="Cambria" w:cs="Times New Roman"/>
          <w:sz w:val="16"/>
          <w:szCs w:val="16"/>
          <w:lang w:val="es-PE"/>
        </w:rPr>
        <w:t xml:space="preserve">Comité de Derechos Económicos, Sociales y Culturales. Observación General 18. El derecho al trabajo. 24 de noviembre de 2005. </w:t>
      </w:r>
    </w:p>
  </w:footnote>
  <w:footnote w:id="114">
    <w:p w:rsidR="00DA16A1" w:rsidRPr="001105A1" w:rsidRDefault="00DA16A1" w:rsidP="00B74E3A">
      <w:pPr>
        <w:pStyle w:val="FootnoteText"/>
        <w:jc w:val="both"/>
        <w:rPr>
          <w:rFonts w:ascii="Cambria" w:hAnsi="Cambria"/>
          <w:sz w:val="16"/>
          <w:szCs w:val="16"/>
          <w:lang w:val="es-ES"/>
        </w:rPr>
      </w:pPr>
      <w:r w:rsidRPr="001105A1">
        <w:rPr>
          <w:rStyle w:val="FootnoteReference"/>
          <w:rFonts w:ascii="Cambria" w:hAnsi="Cambria"/>
          <w:sz w:val="16"/>
          <w:szCs w:val="16"/>
        </w:rPr>
        <w:footnoteRef/>
      </w:r>
      <w:r w:rsidRPr="007C04E1">
        <w:rPr>
          <w:rFonts w:ascii="Cambria" w:hAnsi="Cambria"/>
          <w:sz w:val="16"/>
          <w:szCs w:val="16"/>
          <w:lang w:val="es-PE"/>
        </w:rPr>
        <w:t xml:space="preserve"> </w:t>
      </w:r>
      <w:r w:rsidRPr="007C04E1">
        <w:rPr>
          <w:rFonts w:ascii="Cambria" w:eastAsia="Times New Roman" w:hAnsi="Cambria" w:cs="Times New Roman"/>
          <w:sz w:val="16"/>
          <w:szCs w:val="16"/>
          <w:lang w:val="es-PE"/>
        </w:rPr>
        <w:t xml:space="preserve">Comité de Derechos Económicos, Sociales y Culturales. Observación General 18. El derecho al trabajo. 24 de noviembre de 2005. Párr. 12. </w:t>
      </w:r>
    </w:p>
  </w:footnote>
  <w:footnote w:id="115">
    <w:p w:rsidR="00DA16A1" w:rsidRPr="0083318B" w:rsidRDefault="00DA16A1" w:rsidP="00B74E3A">
      <w:pPr>
        <w:pStyle w:val="FootnoteText"/>
        <w:jc w:val="both"/>
        <w:rPr>
          <w:rFonts w:asciiTheme="majorHAnsi" w:hAnsiTheme="majorHAnsi"/>
          <w:sz w:val="16"/>
          <w:szCs w:val="16"/>
          <w:lang w:val="es-ES"/>
        </w:rPr>
      </w:pPr>
      <w:r w:rsidRPr="0083318B">
        <w:rPr>
          <w:rStyle w:val="FootnoteReference"/>
          <w:rFonts w:asciiTheme="majorHAnsi" w:hAnsiTheme="majorHAnsi"/>
          <w:sz w:val="16"/>
          <w:szCs w:val="16"/>
        </w:rPr>
        <w:footnoteRef/>
      </w:r>
      <w:r w:rsidRPr="0083318B">
        <w:rPr>
          <w:rFonts w:asciiTheme="majorHAnsi" w:hAnsiTheme="majorHAnsi"/>
          <w:sz w:val="16"/>
          <w:szCs w:val="16"/>
          <w:lang w:val="es-PE"/>
        </w:rPr>
        <w:t xml:space="preserve"> </w:t>
      </w:r>
      <w:r w:rsidRPr="0083318B">
        <w:rPr>
          <w:rFonts w:asciiTheme="majorHAnsi" w:eastAsia="Times New Roman" w:hAnsiTheme="majorHAnsi" w:cs="Times New Roman"/>
          <w:sz w:val="16"/>
          <w:szCs w:val="16"/>
          <w:lang w:val="es-PE"/>
        </w:rPr>
        <w:t xml:space="preserve">Comité de Derechos Económicos, Sociales y Culturales. Observación General 18. El derecho al trabajo. 24 de noviembre de 2005. Párr. 35. </w:t>
      </w:r>
    </w:p>
  </w:footnote>
  <w:footnote w:id="116">
    <w:p w:rsidR="00DA16A1" w:rsidRPr="0083318B" w:rsidRDefault="00DA16A1" w:rsidP="00B74E3A">
      <w:pPr>
        <w:pStyle w:val="FootnoteText"/>
        <w:jc w:val="both"/>
        <w:rPr>
          <w:rFonts w:asciiTheme="majorHAnsi" w:hAnsiTheme="majorHAnsi"/>
          <w:sz w:val="16"/>
          <w:szCs w:val="16"/>
          <w:lang w:val="es-CO"/>
        </w:rPr>
      </w:pPr>
      <w:r w:rsidRPr="0083318B">
        <w:rPr>
          <w:rStyle w:val="FootnoteReference"/>
          <w:rFonts w:asciiTheme="majorHAnsi" w:hAnsiTheme="majorHAnsi"/>
          <w:sz w:val="16"/>
          <w:szCs w:val="16"/>
        </w:rPr>
        <w:footnoteRef/>
      </w:r>
      <w:r w:rsidRPr="0083318B">
        <w:rPr>
          <w:rFonts w:asciiTheme="majorHAnsi" w:hAnsiTheme="majorHAnsi"/>
          <w:sz w:val="16"/>
          <w:szCs w:val="16"/>
          <w:lang w:val="es-MX"/>
        </w:rPr>
        <w:t xml:space="preserve"> Corte IDH, Opinión Consultiva 18/03. De 17 de Septiembre de 2003, Solicitada por los Estados Unidos Mexicanos, párr. </w:t>
      </w:r>
      <w:r w:rsidRPr="0083318B">
        <w:rPr>
          <w:rFonts w:asciiTheme="majorHAnsi" w:hAnsiTheme="majorHAnsi"/>
          <w:sz w:val="16"/>
          <w:szCs w:val="16"/>
          <w:lang w:val="es-CO"/>
        </w:rPr>
        <w:t>152.</w:t>
      </w:r>
    </w:p>
  </w:footnote>
  <w:footnote w:id="117">
    <w:p w:rsidR="00DA16A1" w:rsidRPr="0083318B" w:rsidRDefault="00DA16A1" w:rsidP="00B9170E">
      <w:pPr>
        <w:jc w:val="both"/>
        <w:rPr>
          <w:rFonts w:asciiTheme="majorHAnsi" w:hAnsiTheme="majorHAnsi" w:cstheme="minorHAnsi"/>
          <w:sz w:val="16"/>
          <w:szCs w:val="16"/>
          <w:lang w:val="es-PE"/>
        </w:rPr>
      </w:pPr>
      <w:r w:rsidRPr="0083318B">
        <w:rPr>
          <w:rStyle w:val="FootnoteReference"/>
          <w:rFonts w:asciiTheme="majorHAnsi" w:hAnsiTheme="majorHAnsi" w:cstheme="minorHAnsi"/>
          <w:sz w:val="16"/>
          <w:szCs w:val="16"/>
        </w:rPr>
        <w:footnoteRef/>
      </w:r>
      <w:r w:rsidRPr="0083318B">
        <w:rPr>
          <w:rFonts w:asciiTheme="majorHAnsi" w:hAnsiTheme="majorHAnsi" w:cstheme="minorHAnsi"/>
          <w:sz w:val="16"/>
          <w:szCs w:val="16"/>
          <w:lang w:val="es-PE"/>
        </w:rPr>
        <w:t xml:space="preserve"> </w:t>
      </w:r>
      <w:r w:rsidRPr="0083318B">
        <w:rPr>
          <w:rFonts w:asciiTheme="majorHAnsi" w:eastAsia="Times New Roman" w:hAnsiTheme="majorHAnsi" w:cstheme="minorHAnsi"/>
          <w:sz w:val="16"/>
          <w:szCs w:val="16"/>
          <w:lang w:val="es-PE"/>
        </w:rPr>
        <w:t>Comité de Derechos Económicos, Sociales y Culturales. Observaci</w:t>
      </w:r>
      <w:r>
        <w:rPr>
          <w:rFonts w:asciiTheme="majorHAnsi" w:eastAsia="Times New Roman" w:hAnsiTheme="majorHAnsi" w:cstheme="minorHAnsi"/>
          <w:sz w:val="16"/>
          <w:szCs w:val="16"/>
          <w:lang w:val="es-PE"/>
        </w:rPr>
        <w:t xml:space="preserve">ón </w:t>
      </w:r>
      <w:r w:rsidRPr="0083318B">
        <w:rPr>
          <w:rFonts w:asciiTheme="majorHAnsi" w:eastAsia="Times New Roman" w:hAnsiTheme="majorHAnsi" w:cstheme="minorHAnsi"/>
          <w:sz w:val="16"/>
          <w:szCs w:val="16"/>
          <w:lang w:val="es-PE"/>
        </w:rPr>
        <w:t xml:space="preserve">General </w:t>
      </w:r>
      <w:r>
        <w:rPr>
          <w:rFonts w:asciiTheme="majorHAnsi" w:eastAsia="Times New Roman" w:hAnsiTheme="majorHAnsi" w:cstheme="minorHAnsi"/>
          <w:sz w:val="16"/>
          <w:szCs w:val="16"/>
          <w:lang w:val="es-PE"/>
        </w:rPr>
        <w:t xml:space="preserve"> </w:t>
      </w:r>
      <w:r w:rsidRPr="0083318B">
        <w:rPr>
          <w:rFonts w:asciiTheme="majorHAnsi" w:eastAsia="Times New Roman" w:hAnsiTheme="majorHAnsi" w:cstheme="minorHAnsi"/>
          <w:sz w:val="16"/>
          <w:szCs w:val="16"/>
          <w:lang w:val="es-PE"/>
        </w:rPr>
        <w:t xml:space="preserve">24. </w:t>
      </w:r>
      <w:r w:rsidRPr="00093038">
        <w:rPr>
          <w:rFonts w:asciiTheme="majorHAnsi" w:eastAsia="Times New Roman" w:hAnsiTheme="majorHAnsi" w:cstheme="minorHAnsi"/>
          <w:sz w:val="16"/>
          <w:szCs w:val="16"/>
          <w:lang w:val="es-PE"/>
        </w:rPr>
        <w:t>Sobre las obligaciones de los Estados en el contexto de las actividades empresariales. 10 de agosto de 2017. párrs. 14 y ss</w:t>
      </w:r>
      <w:r>
        <w:rPr>
          <w:rFonts w:asciiTheme="majorHAnsi" w:eastAsia="Times New Roman" w:hAnsiTheme="majorHAnsi" w:cstheme="minorHAnsi"/>
          <w:sz w:val="16"/>
          <w:szCs w:val="16"/>
          <w:lang w:val="es-PE"/>
        </w:rPr>
        <w:t>.</w:t>
      </w:r>
    </w:p>
  </w:footnote>
  <w:footnote w:id="118">
    <w:p w:rsidR="00DA16A1" w:rsidRPr="0083318B" w:rsidRDefault="00DA16A1" w:rsidP="00B9170E">
      <w:pPr>
        <w:jc w:val="both"/>
        <w:rPr>
          <w:rFonts w:asciiTheme="majorHAnsi" w:hAnsiTheme="majorHAnsi"/>
          <w:lang w:val="es-PE"/>
        </w:rPr>
      </w:pPr>
      <w:r w:rsidRPr="0083318B">
        <w:rPr>
          <w:rStyle w:val="FootnoteReference"/>
          <w:rFonts w:asciiTheme="majorHAnsi" w:hAnsiTheme="majorHAnsi" w:cstheme="minorHAnsi"/>
          <w:sz w:val="16"/>
          <w:szCs w:val="16"/>
        </w:rPr>
        <w:footnoteRef/>
      </w:r>
      <w:r w:rsidRPr="0083318B">
        <w:rPr>
          <w:rFonts w:asciiTheme="majorHAnsi" w:hAnsiTheme="majorHAnsi" w:cstheme="minorHAnsi"/>
          <w:sz w:val="16"/>
          <w:szCs w:val="16"/>
          <w:lang w:val="es-PE"/>
        </w:rPr>
        <w:t xml:space="preserve"> </w:t>
      </w:r>
      <w:r w:rsidRPr="0083318B">
        <w:rPr>
          <w:rFonts w:asciiTheme="majorHAnsi" w:eastAsia="Times New Roman" w:hAnsiTheme="majorHAnsi" w:cstheme="minorHAnsi"/>
          <w:sz w:val="16"/>
          <w:szCs w:val="16"/>
          <w:lang w:val="es-PE"/>
        </w:rPr>
        <w:t>Comité de Derechos Económicos, Sociales y Culturales. Observación General 18. El derecho al trabajo. 24 de noviembre de 2005. párr. 31.</w:t>
      </w:r>
    </w:p>
  </w:footnote>
  <w:footnote w:id="119">
    <w:p w:rsidR="00DA16A1" w:rsidRPr="0083318B" w:rsidRDefault="00DA16A1" w:rsidP="00B74E3A">
      <w:pPr>
        <w:pStyle w:val="FootnoteText"/>
        <w:jc w:val="both"/>
        <w:rPr>
          <w:rFonts w:asciiTheme="majorHAnsi" w:hAnsiTheme="majorHAnsi"/>
          <w:sz w:val="16"/>
          <w:szCs w:val="16"/>
          <w:lang w:val="es-MX"/>
        </w:rPr>
      </w:pPr>
      <w:r w:rsidRPr="0083318B">
        <w:rPr>
          <w:rStyle w:val="FootnoteReference"/>
          <w:rFonts w:asciiTheme="majorHAnsi" w:hAnsiTheme="majorHAnsi"/>
          <w:sz w:val="16"/>
          <w:szCs w:val="16"/>
        </w:rPr>
        <w:footnoteRef/>
      </w:r>
      <w:r w:rsidRPr="0083318B">
        <w:rPr>
          <w:rFonts w:asciiTheme="majorHAnsi" w:hAnsiTheme="majorHAnsi"/>
          <w:sz w:val="16"/>
          <w:szCs w:val="16"/>
          <w:lang w:val="es-MX"/>
        </w:rPr>
        <w:t xml:space="preserve"> </w:t>
      </w:r>
      <w:r w:rsidRPr="0083318B">
        <w:rPr>
          <w:rFonts w:asciiTheme="majorHAnsi" w:hAnsiTheme="majorHAnsi"/>
          <w:sz w:val="16"/>
          <w:szCs w:val="16"/>
          <w:lang w:val="es-MX" w:eastAsia="en-US"/>
        </w:rPr>
        <w:t>Protocolo Adicional a la Convención Americana Sobre Derechos Humanos en materia de Derechos Económicos, Sociales y Culturales "Protocolo De San Salvador”, artículos 6 y 7.</w:t>
      </w:r>
    </w:p>
  </w:footnote>
  <w:footnote w:id="120">
    <w:p w:rsidR="00DA16A1" w:rsidRPr="0083318B" w:rsidRDefault="00DA16A1" w:rsidP="00B74E3A">
      <w:pPr>
        <w:pStyle w:val="FootnoteText"/>
        <w:jc w:val="both"/>
        <w:rPr>
          <w:rFonts w:asciiTheme="majorHAnsi" w:hAnsiTheme="majorHAnsi"/>
          <w:sz w:val="16"/>
          <w:szCs w:val="16"/>
          <w:lang w:val="es-MX"/>
        </w:rPr>
      </w:pPr>
      <w:r w:rsidRPr="0083318B">
        <w:rPr>
          <w:rStyle w:val="FootnoteReference"/>
          <w:rFonts w:asciiTheme="majorHAnsi" w:hAnsiTheme="majorHAnsi"/>
          <w:sz w:val="16"/>
          <w:szCs w:val="16"/>
          <w:lang w:val="es-AR" w:eastAsia="x-none"/>
        </w:rPr>
        <w:footnoteRef/>
      </w:r>
      <w:r w:rsidRPr="0083318B">
        <w:rPr>
          <w:rFonts w:asciiTheme="majorHAnsi" w:hAnsiTheme="majorHAnsi"/>
          <w:sz w:val="16"/>
          <w:szCs w:val="16"/>
          <w:lang w:val="es-MX" w:eastAsia="x-none"/>
        </w:rPr>
        <w:t xml:space="preserve"> Corte IDH. </w:t>
      </w:r>
      <w:r w:rsidRPr="0083318B">
        <w:rPr>
          <w:rFonts w:asciiTheme="majorHAnsi" w:hAnsiTheme="majorHAnsi"/>
          <w:i/>
          <w:sz w:val="16"/>
          <w:szCs w:val="16"/>
          <w:lang w:val="es-AR" w:eastAsia="x-none"/>
        </w:rPr>
        <w:t>Caso de los “Niños de la Calle” (Villagrán Morales y otros) Vs. Guatemala</w:t>
      </w:r>
      <w:r w:rsidRPr="0083318B">
        <w:rPr>
          <w:rFonts w:asciiTheme="majorHAnsi" w:hAnsiTheme="majorHAnsi"/>
          <w:sz w:val="16"/>
          <w:szCs w:val="16"/>
          <w:lang w:val="es-AR" w:eastAsia="x-none"/>
        </w:rPr>
        <w:t xml:space="preserve">. Fondo. Sentencia de 19 de noviembre de 1999. Serie C No. 63, Párr. 139; </w:t>
      </w:r>
      <w:r w:rsidRPr="0083318B">
        <w:rPr>
          <w:rFonts w:asciiTheme="majorHAnsi" w:hAnsiTheme="majorHAnsi"/>
          <w:i/>
          <w:sz w:val="16"/>
          <w:szCs w:val="16"/>
          <w:lang w:val="es-AR" w:eastAsia="x-none"/>
        </w:rPr>
        <w:t>Caso de la Masacre de Pueblo Bello Vs. Colombia</w:t>
      </w:r>
      <w:r w:rsidRPr="0083318B">
        <w:rPr>
          <w:rFonts w:asciiTheme="majorHAnsi" w:hAnsiTheme="majorHAnsi"/>
          <w:sz w:val="16"/>
          <w:szCs w:val="16"/>
          <w:lang w:val="es-AR" w:eastAsia="x-none"/>
        </w:rPr>
        <w:t xml:space="preserve">. Sentencia de 31 de enero de 2006. Serie C No. 140. Párr. 120; Caso Comunidad Indígena Xákmok Kásek Vs. Paraguay. Fondo, Reparaciones y Costas. Sentencia de 24 de agosto de 2010 Serie C No. 214, párr. 187; </w:t>
      </w:r>
      <w:r w:rsidRPr="0083318B">
        <w:rPr>
          <w:rFonts w:asciiTheme="majorHAnsi" w:hAnsiTheme="majorHAnsi"/>
          <w:bCs/>
          <w:i/>
          <w:sz w:val="16"/>
          <w:szCs w:val="16"/>
          <w:lang w:val="es-AR" w:eastAsia="x-none"/>
        </w:rPr>
        <w:t>Caso Familia Barrios Vs. Venezuela.</w:t>
      </w:r>
      <w:r w:rsidRPr="0083318B">
        <w:rPr>
          <w:rFonts w:asciiTheme="majorHAnsi" w:hAnsiTheme="majorHAnsi"/>
          <w:bCs/>
          <w:sz w:val="16"/>
          <w:szCs w:val="16"/>
          <w:lang w:val="es-AR" w:eastAsia="x-none"/>
        </w:rPr>
        <w:t xml:space="preserve"> </w:t>
      </w:r>
      <w:r w:rsidRPr="0083318B">
        <w:rPr>
          <w:rFonts w:asciiTheme="majorHAnsi" w:hAnsiTheme="majorHAnsi"/>
          <w:sz w:val="16"/>
          <w:szCs w:val="16"/>
          <w:lang w:val="es-AR" w:eastAsia="x-none"/>
        </w:rPr>
        <w:t xml:space="preserve">Fondo, Reparaciones y Costas. Sentencia de 24 de noviembre de 2011. </w:t>
      </w:r>
      <w:r w:rsidRPr="0083318B">
        <w:rPr>
          <w:rFonts w:asciiTheme="majorHAnsi" w:hAnsiTheme="majorHAnsi"/>
          <w:sz w:val="16"/>
          <w:szCs w:val="16"/>
          <w:lang w:val="es-MX" w:eastAsia="x-none"/>
        </w:rPr>
        <w:t>Serie C No. 237. Párr. 48.</w:t>
      </w:r>
    </w:p>
  </w:footnote>
  <w:footnote w:id="121">
    <w:p w:rsidR="00DA16A1" w:rsidRPr="0083318B" w:rsidRDefault="00DA16A1">
      <w:pPr>
        <w:pStyle w:val="FootnoteText"/>
        <w:rPr>
          <w:rFonts w:asciiTheme="majorHAnsi" w:hAnsiTheme="majorHAnsi"/>
          <w:sz w:val="16"/>
          <w:szCs w:val="16"/>
          <w:lang w:val="es-PE"/>
        </w:rPr>
      </w:pPr>
      <w:r w:rsidRPr="0083318B">
        <w:rPr>
          <w:rStyle w:val="FootnoteReference"/>
          <w:rFonts w:asciiTheme="majorHAnsi" w:hAnsiTheme="majorHAnsi"/>
          <w:sz w:val="16"/>
          <w:szCs w:val="16"/>
        </w:rPr>
        <w:footnoteRef/>
      </w:r>
      <w:r w:rsidRPr="0083318B">
        <w:rPr>
          <w:rFonts w:asciiTheme="majorHAnsi" w:hAnsiTheme="majorHAnsi"/>
          <w:sz w:val="16"/>
          <w:szCs w:val="16"/>
          <w:lang w:val="es-PE"/>
        </w:rPr>
        <w:t xml:space="preserve"> CIDH. Informe sobre pobreza y derechos humanos en las Américas OEA/Ser.L/V/II.164 Doc. 147 (7 de septiembre de 2017) párrs. 352 y 353 </w:t>
      </w:r>
    </w:p>
  </w:footnote>
  <w:footnote w:id="122">
    <w:p w:rsidR="00DA16A1" w:rsidRPr="0083318B" w:rsidRDefault="00DA16A1" w:rsidP="00B74E3A">
      <w:pPr>
        <w:pStyle w:val="FootnoteText"/>
        <w:tabs>
          <w:tab w:val="left" w:pos="709"/>
        </w:tabs>
        <w:jc w:val="both"/>
        <w:rPr>
          <w:rFonts w:asciiTheme="majorHAnsi" w:hAnsiTheme="majorHAnsi" w:cs="Verdana"/>
          <w:bCs/>
          <w:sz w:val="16"/>
          <w:szCs w:val="16"/>
          <w:lang w:val="es-ES_tradnl"/>
        </w:rPr>
      </w:pPr>
      <w:r w:rsidRPr="0083318B">
        <w:rPr>
          <w:rStyle w:val="FootnoteReference"/>
          <w:rFonts w:asciiTheme="majorHAnsi" w:hAnsiTheme="majorHAnsi"/>
          <w:sz w:val="16"/>
          <w:szCs w:val="16"/>
        </w:rPr>
        <w:footnoteRef/>
      </w:r>
      <w:r w:rsidRPr="0083318B">
        <w:rPr>
          <w:rFonts w:asciiTheme="majorHAnsi" w:hAnsiTheme="majorHAnsi"/>
          <w:sz w:val="16"/>
          <w:szCs w:val="16"/>
          <w:lang w:val="es-ES_tradnl"/>
        </w:rPr>
        <w:t xml:space="preserve"> Corte IDH. </w:t>
      </w:r>
      <w:r w:rsidRPr="0083318B">
        <w:rPr>
          <w:rFonts w:asciiTheme="majorHAnsi" w:hAnsiTheme="majorHAnsi"/>
          <w:i/>
          <w:sz w:val="16"/>
          <w:szCs w:val="16"/>
          <w:lang w:val="es-ES_tradnl"/>
        </w:rPr>
        <w:t xml:space="preserve">Caso Trabajadores de la Hacienda Brasil Verde Vs. Brasil. </w:t>
      </w:r>
      <w:r w:rsidRPr="0083318B">
        <w:rPr>
          <w:rFonts w:asciiTheme="majorHAnsi" w:hAnsiTheme="majorHAnsi" w:cs="Verdana"/>
          <w:bCs/>
          <w:i/>
          <w:sz w:val="16"/>
          <w:szCs w:val="16"/>
          <w:lang w:val="es-ES_tradnl"/>
        </w:rPr>
        <w:t xml:space="preserve">Excepciones Preliminares, Fondo, Reparaciones y Costas. </w:t>
      </w:r>
      <w:r w:rsidRPr="0083318B">
        <w:rPr>
          <w:rFonts w:asciiTheme="majorHAnsi" w:hAnsiTheme="majorHAnsi" w:cs="Verdana"/>
          <w:bCs/>
          <w:sz w:val="16"/>
          <w:szCs w:val="16"/>
          <w:lang w:val="es-ES_tradnl"/>
        </w:rPr>
        <w:t xml:space="preserve">Sentencia de 20 de octubre de 2016. Serie C No. 318, párr. 337; </w:t>
      </w:r>
      <w:r w:rsidRPr="0083318B">
        <w:rPr>
          <w:rFonts w:asciiTheme="majorHAnsi" w:hAnsiTheme="majorHAnsi"/>
          <w:sz w:val="16"/>
          <w:szCs w:val="16"/>
          <w:lang w:val="es-ES_tradnl"/>
        </w:rPr>
        <w:t xml:space="preserve">Corte IDH. </w:t>
      </w:r>
      <w:r w:rsidRPr="0083318B">
        <w:rPr>
          <w:rFonts w:asciiTheme="majorHAnsi" w:hAnsiTheme="majorHAnsi" w:cs="Verdana"/>
          <w:bCs/>
          <w:i/>
          <w:sz w:val="16"/>
          <w:szCs w:val="16"/>
          <w:lang w:val="es-ES_tradnl"/>
        </w:rPr>
        <w:t>Caso Artavia Murillo y otros ("Fecundación in vitro") Vs. Costa Rica. Excepciones Preliminares, Fondo, Reparaciones y Costas</w:t>
      </w:r>
      <w:r w:rsidRPr="0083318B">
        <w:rPr>
          <w:rFonts w:asciiTheme="majorHAnsi" w:hAnsiTheme="majorHAnsi" w:cs="Verdana"/>
          <w:bCs/>
          <w:sz w:val="16"/>
          <w:szCs w:val="16"/>
          <w:lang w:val="es-ES_tradnl"/>
        </w:rPr>
        <w:t>. Sentencia de 28 noviembre de 2012. Serie C No. 257, párrs.</w:t>
      </w:r>
      <w:r w:rsidRPr="0083318B">
        <w:rPr>
          <w:rFonts w:asciiTheme="majorHAnsi" w:hAnsiTheme="majorHAnsi"/>
          <w:sz w:val="16"/>
          <w:szCs w:val="16"/>
          <w:lang w:val="es-ES_tradnl"/>
        </w:rPr>
        <w:t xml:space="preserve"> 292 y 285; Corte CIDH. </w:t>
      </w:r>
      <w:r w:rsidRPr="0083318B">
        <w:rPr>
          <w:rFonts w:asciiTheme="majorHAnsi" w:hAnsiTheme="majorHAnsi" w:cs="Verdana"/>
          <w:bCs/>
          <w:i/>
          <w:sz w:val="16"/>
          <w:szCs w:val="16"/>
          <w:lang w:val="es-ES_tradnl"/>
        </w:rPr>
        <w:t>Caso Furlan y familiares Vs. Argentina. Excepciones Preliminares, Fondo, Reparaciones y Costas</w:t>
      </w:r>
      <w:r w:rsidRPr="0083318B">
        <w:rPr>
          <w:rFonts w:asciiTheme="majorHAnsi" w:hAnsiTheme="majorHAnsi" w:cs="Verdana"/>
          <w:bCs/>
          <w:sz w:val="16"/>
          <w:szCs w:val="16"/>
          <w:lang w:val="es-ES_tradnl"/>
        </w:rPr>
        <w:t>. Sentencia de 31 de agosto de 2012. Serie C No. 246, párr. 134</w:t>
      </w:r>
      <w:r w:rsidRPr="0083318B">
        <w:rPr>
          <w:rFonts w:asciiTheme="majorHAnsi" w:hAnsiTheme="majorHAnsi"/>
          <w:sz w:val="16"/>
          <w:szCs w:val="16"/>
          <w:lang w:val="es-ES_tradnl"/>
        </w:rPr>
        <w:t xml:space="preserve">; Corte IDH </w:t>
      </w:r>
      <w:r w:rsidRPr="0083318B">
        <w:rPr>
          <w:rFonts w:asciiTheme="majorHAnsi" w:hAnsiTheme="majorHAnsi" w:cs="Verdana"/>
          <w:bCs/>
          <w:i/>
          <w:sz w:val="16"/>
          <w:szCs w:val="16"/>
          <w:lang w:val="es-ES_tradnl"/>
        </w:rPr>
        <w:t>Caso Pueblo Indígena Kichwa de Sarayaku Vs. Ecuador. Fondo y reparaciones.</w:t>
      </w:r>
      <w:r w:rsidRPr="0083318B">
        <w:rPr>
          <w:rFonts w:asciiTheme="majorHAnsi" w:hAnsiTheme="majorHAnsi" w:cs="Verdana"/>
          <w:bCs/>
          <w:sz w:val="16"/>
          <w:szCs w:val="16"/>
          <w:lang w:val="es-ES_tradnl"/>
        </w:rPr>
        <w:t xml:space="preserve"> Sentencia de 27 de junio de 2012. Serie C No. 245, párr. </w:t>
      </w:r>
      <w:r w:rsidRPr="0083318B">
        <w:rPr>
          <w:rFonts w:asciiTheme="majorHAnsi" w:hAnsiTheme="majorHAnsi" w:cs="Verdana"/>
          <w:bCs/>
          <w:sz w:val="16"/>
          <w:szCs w:val="16"/>
          <w:lang w:val="pt-BR"/>
        </w:rPr>
        <w:t>244</w:t>
      </w:r>
      <w:r w:rsidRPr="0083318B">
        <w:rPr>
          <w:rFonts w:asciiTheme="majorHAnsi" w:hAnsiTheme="majorHAnsi"/>
          <w:sz w:val="16"/>
          <w:szCs w:val="16"/>
          <w:lang w:val="pt-BR"/>
        </w:rPr>
        <w:t>; Corte CIDH</w:t>
      </w:r>
      <w:r w:rsidRPr="0083318B">
        <w:rPr>
          <w:rFonts w:asciiTheme="majorHAnsi" w:hAnsiTheme="majorHAnsi" w:cs="Verdana"/>
          <w:bCs/>
          <w:sz w:val="16"/>
          <w:szCs w:val="16"/>
          <w:lang w:val="pt-BR"/>
        </w:rPr>
        <w:t xml:space="preserve"> </w:t>
      </w:r>
      <w:r w:rsidRPr="0083318B">
        <w:rPr>
          <w:rFonts w:asciiTheme="majorHAnsi" w:hAnsiTheme="majorHAnsi" w:cs="Verdana"/>
          <w:bCs/>
          <w:i/>
          <w:sz w:val="16"/>
          <w:szCs w:val="16"/>
          <w:lang w:val="pt-BR"/>
        </w:rPr>
        <w:t>Caso Ximenes Lopes Vs. Brasil.</w:t>
      </w:r>
      <w:r w:rsidRPr="0083318B">
        <w:rPr>
          <w:rFonts w:asciiTheme="majorHAnsi" w:hAnsiTheme="majorHAnsi" w:cs="Verdana"/>
          <w:bCs/>
          <w:sz w:val="16"/>
          <w:szCs w:val="16"/>
          <w:lang w:val="pt-BR"/>
        </w:rPr>
        <w:t xml:space="preserve"> Sentencia de 4 de julio de 2006. </w:t>
      </w:r>
      <w:r w:rsidRPr="0083318B">
        <w:rPr>
          <w:rFonts w:asciiTheme="majorHAnsi" w:hAnsiTheme="majorHAnsi" w:cs="Verdana"/>
          <w:bCs/>
          <w:sz w:val="16"/>
          <w:szCs w:val="16"/>
          <w:lang w:val="es-ES_tradnl"/>
        </w:rPr>
        <w:t>Serie C No. 149, párr. 103, y</w:t>
      </w:r>
      <w:r w:rsidRPr="0083318B">
        <w:rPr>
          <w:rFonts w:asciiTheme="majorHAnsi" w:hAnsiTheme="majorHAnsi"/>
          <w:sz w:val="16"/>
          <w:szCs w:val="16"/>
          <w:lang w:val="es-ES_tradnl"/>
        </w:rPr>
        <w:t xml:space="preserve"> Corte CIDH. </w:t>
      </w:r>
      <w:r w:rsidRPr="0083318B">
        <w:rPr>
          <w:rFonts w:asciiTheme="majorHAnsi" w:hAnsiTheme="majorHAnsi" w:cs="Verdana"/>
          <w:bCs/>
          <w:i/>
          <w:sz w:val="16"/>
          <w:szCs w:val="16"/>
          <w:lang w:val="es-ES_tradnl"/>
        </w:rPr>
        <w:t>Caso de la "Masacre de Mapiripán" Vs. Colombia</w:t>
      </w:r>
      <w:r w:rsidRPr="0083318B">
        <w:rPr>
          <w:rFonts w:asciiTheme="majorHAnsi" w:hAnsiTheme="majorHAnsi" w:cs="Verdana"/>
          <w:bCs/>
          <w:sz w:val="16"/>
          <w:szCs w:val="16"/>
          <w:lang w:val="es-ES_tradnl"/>
        </w:rPr>
        <w:t xml:space="preserve">. Sentencia de 15 de septiembre de 2005. Serie C No. 134, párrs. 111 y 113. </w:t>
      </w:r>
    </w:p>
  </w:footnote>
  <w:footnote w:id="123">
    <w:p w:rsidR="00DA16A1" w:rsidRPr="0059106B" w:rsidRDefault="00DA16A1" w:rsidP="00B74E3A">
      <w:pPr>
        <w:widowControl w:val="0"/>
        <w:tabs>
          <w:tab w:val="left" w:pos="709"/>
        </w:tabs>
        <w:autoSpaceDE w:val="0"/>
        <w:autoSpaceDN w:val="0"/>
        <w:adjustRightInd w:val="0"/>
        <w:jc w:val="both"/>
        <w:rPr>
          <w:rFonts w:ascii="Cambria" w:hAnsi="Cambria"/>
          <w:sz w:val="16"/>
          <w:szCs w:val="16"/>
          <w:lang w:val="es-MX"/>
        </w:rPr>
      </w:pPr>
      <w:r w:rsidRPr="0059106B">
        <w:rPr>
          <w:rStyle w:val="FootnoteReference"/>
          <w:rFonts w:ascii="Cambria" w:hAnsi="Cambria"/>
          <w:sz w:val="16"/>
          <w:szCs w:val="16"/>
        </w:rPr>
        <w:footnoteRef/>
      </w:r>
      <w:r w:rsidRPr="0059106B">
        <w:rPr>
          <w:rFonts w:ascii="Cambria" w:hAnsi="Cambria"/>
          <w:sz w:val="16"/>
          <w:szCs w:val="16"/>
          <w:lang w:val="es-CO"/>
        </w:rPr>
        <w:t xml:space="preserve"> </w:t>
      </w:r>
      <w:r w:rsidRPr="0059106B">
        <w:rPr>
          <w:rFonts w:ascii="Cambria" w:hAnsi="Cambria"/>
          <w:sz w:val="16"/>
          <w:szCs w:val="16"/>
          <w:lang w:val="es-ES_tradnl"/>
        </w:rPr>
        <w:t xml:space="preserve">Corte IDH. </w:t>
      </w:r>
      <w:r w:rsidRPr="0059106B">
        <w:rPr>
          <w:rFonts w:ascii="Cambria" w:hAnsi="Cambria"/>
          <w:i/>
          <w:sz w:val="16"/>
          <w:szCs w:val="16"/>
          <w:lang w:val="es-ES_tradnl"/>
        </w:rPr>
        <w:t>Caso Trabajadores de la Hacienda Brasil Verde Vs. Brasil</w:t>
      </w:r>
      <w:r w:rsidRPr="0059106B">
        <w:rPr>
          <w:rFonts w:ascii="Cambria" w:hAnsi="Cambria"/>
          <w:sz w:val="16"/>
          <w:szCs w:val="16"/>
          <w:lang w:val="es-ES_tradnl"/>
        </w:rPr>
        <w:t xml:space="preserve">. </w:t>
      </w:r>
      <w:r w:rsidRPr="0059106B">
        <w:rPr>
          <w:rFonts w:ascii="Cambria" w:hAnsi="Cambria" w:cs="Verdana"/>
          <w:bCs/>
          <w:i/>
          <w:sz w:val="16"/>
          <w:szCs w:val="16"/>
          <w:lang w:val="es-ES_tradnl"/>
        </w:rPr>
        <w:t xml:space="preserve">Excepciones Preliminares, Fondo, Reparaciones y Costas. </w:t>
      </w:r>
      <w:r w:rsidRPr="0059106B">
        <w:rPr>
          <w:rFonts w:ascii="Cambria" w:hAnsi="Cambria" w:cs="Verdana"/>
          <w:bCs/>
          <w:sz w:val="16"/>
          <w:szCs w:val="16"/>
          <w:lang w:val="es-ES_tradnl"/>
        </w:rPr>
        <w:t>Sentencia de 20 de octubre de 2016. Serie C No. 318, párr. 337</w:t>
      </w:r>
      <w:r w:rsidRPr="0059106B">
        <w:rPr>
          <w:rFonts w:ascii="Cambria" w:hAnsi="Cambria"/>
          <w:sz w:val="16"/>
          <w:szCs w:val="16"/>
          <w:lang w:val="es-CO"/>
        </w:rPr>
        <w:t xml:space="preserve">Corte IDH. </w:t>
      </w:r>
      <w:r w:rsidRPr="0059106B">
        <w:rPr>
          <w:rFonts w:ascii="Cambria" w:hAnsi="Cambria" w:cs="Verdana"/>
          <w:bCs/>
          <w:i/>
          <w:sz w:val="16"/>
          <w:szCs w:val="16"/>
          <w:lang w:val="es-CO"/>
        </w:rPr>
        <w:t>Caso Comunidad Indígena Sawhoyamaxa Vs. Paraguay. Fondo, Reparaciones y Costas</w:t>
      </w:r>
      <w:r w:rsidRPr="0059106B">
        <w:rPr>
          <w:rFonts w:ascii="Cambria" w:hAnsi="Cambria" w:cs="Verdana"/>
          <w:bCs/>
          <w:sz w:val="16"/>
          <w:szCs w:val="16"/>
          <w:lang w:val="es-CO"/>
        </w:rPr>
        <w:t xml:space="preserve">. Sentencia de 29 de marzo de 2006. Serie C No. 146, párr. 154; Corte CIDH. </w:t>
      </w:r>
      <w:r w:rsidRPr="0059106B">
        <w:rPr>
          <w:rFonts w:ascii="Cambria" w:hAnsi="Cambria" w:cs="Verdana"/>
          <w:bCs/>
          <w:i/>
          <w:sz w:val="16"/>
          <w:szCs w:val="16"/>
          <w:lang w:val="es-CO"/>
        </w:rPr>
        <w:t>Caso Ximenes Lopes Vs. Brasil</w:t>
      </w:r>
      <w:r w:rsidRPr="0059106B">
        <w:rPr>
          <w:rFonts w:ascii="Cambria" w:hAnsi="Cambria" w:cs="Verdana"/>
          <w:bCs/>
          <w:sz w:val="16"/>
          <w:szCs w:val="16"/>
          <w:lang w:val="es-CO"/>
        </w:rPr>
        <w:t>. Sentencia de 4 de julio de 2006. Serie C No. 149, párr. 104</w:t>
      </w:r>
      <w:r w:rsidRPr="0059106B">
        <w:rPr>
          <w:rFonts w:ascii="Cambria" w:hAnsi="Cambria"/>
          <w:sz w:val="16"/>
          <w:szCs w:val="16"/>
          <w:lang w:val="es-CO"/>
        </w:rPr>
        <w:t xml:space="preserve">; Corte CIDH. </w:t>
      </w:r>
      <w:r w:rsidRPr="0059106B">
        <w:rPr>
          <w:rFonts w:ascii="Cambria" w:hAnsi="Cambria" w:cs="Verdana"/>
          <w:bCs/>
          <w:i/>
          <w:sz w:val="16"/>
          <w:szCs w:val="16"/>
          <w:lang w:val="es-CO"/>
        </w:rPr>
        <w:t>Caso Comunidad Indígena Xákmok Kásek Vs. Paraguay. Fondo, Reparaciones y Costas</w:t>
      </w:r>
      <w:r w:rsidRPr="0059106B">
        <w:rPr>
          <w:rFonts w:ascii="Cambria" w:hAnsi="Cambria" w:cs="Verdana"/>
          <w:bCs/>
          <w:sz w:val="16"/>
          <w:szCs w:val="16"/>
          <w:lang w:val="es-CO"/>
        </w:rPr>
        <w:t xml:space="preserve">. </w:t>
      </w:r>
      <w:r w:rsidRPr="0059106B">
        <w:rPr>
          <w:rFonts w:ascii="Cambria" w:hAnsi="Cambria" w:cs="Verdana"/>
          <w:bCs/>
          <w:sz w:val="16"/>
          <w:szCs w:val="16"/>
          <w:lang w:val="es-MX"/>
        </w:rPr>
        <w:t>Sentencia de 24 de agosto de 2010. Serie C No. 214, párr.</w:t>
      </w:r>
      <w:r w:rsidRPr="0059106B">
        <w:rPr>
          <w:rFonts w:ascii="Cambria" w:hAnsi="Cambria"/>
          <w:sz w:val="16"/>
          <w:szCs w:val="16"/>
          <w:lang w:val="es-MX"/>
        </w:rPr>
        <w:t xml:space="preserve"> 233.</w:t>
      </w:r>
    </w:p>
  </w:footnote>
  <w:footnote w:id="124">
    <w:p w:rsidR="00DA16A1" w:rsidRPr="00332B40" w:rsidRDefault="00DA16A1" w:rsidP="00332B40">
      <w:pPr>
        <w:pStyle w:val="FootnoteText"/>
        <w:jc w:val="both"/>
        <w:rPr>
          <w:rFonts w:asciiTheme="majorHAnsi" w:hAnsiTheme="majorHAnsi"/>
          <w:sz w:val="16"/>
          <w:szCs w:val="16"/>
          <w:lang w:val="es-MX"/>
        </w:rPr>
      </w:pPr>
      <w:r>
        <w:rPr>
          <w:rStyle w:val="FootnoteReference"/>
        </w:rPr>
        <w:footnoteRef/>
      </w:r>
      <w:r w:rsidRPr="00332B40">
        <w:rPr>
          <w:lang w:val="es-MX"/>
        </w:rPr>
        <w:t xml:space="preserve"> </w:t>
      </w:r>
      <w:r w:rsidRPr="00332B40">
        <w:rPr>
          <w:rFonts w:asciiTheme="majorHAnsi" w:hAnsiTheme="majorHAnsi"/>
          <w:sz w:val="16"/>
          <w:szCs w:val="16"/>
          <w:lang w:val="es-MX"/>
        </w:rPr>
        <w:t>Artículo 8.1.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rsidR="00DA16A1" w:rsidRPr="00332B40" w:rsidRDefault="00DA16A1">
      <w:pPr>
        <w:pStyle w:val="FootnoteText"/>
        <w:rPr>
          <w:rFonts w:asciiTheme="majorHAnsi" w:hAnsiTheme="majorHAnsi"/>
          <w:sz w:val="16"/>
          <w:szCs w:val="16"/>
          <w:lang w:val="es-MX"/>
        </w:rPr>
      </w:pPr>
    </w:p>
  </w:footnote>
  <w:footnote w:id="125">
    <w:p w:rsidR="00DA16A1" w:rsidRPr="00332B40" w:rsidRDefault="00DA16A1">
      <w:pPr>
        <w:pStyle w:val="FootnoteText"/>
        <w:rPr>
          <w:rFonts w:asciiTheme="majorHAnsi" w:hAnsiTheme="majorHAnsi"/>
          <w:sz w:val="16"/>
          <w:szCs w:val="16"/>
          <w:lang w:val="es-MX"/>
        </w:rPr>
      </w:pPr>
      <w:r w:rsidRPr="00332B40">
        <w:rPr>
          <w:rStyle w:val="FootnoteReference"/>
          <w:rFonts w:asciiTheme="majorHAnsi" w:hAnsiTheme="majorHAnsi"/>
          <w:sz w:val="16"/>
          <w:szCs w:val="16"/>
        </w:rPr>
        <w:footnoteRef/>
      </w:r>
      <w:r w:rsidRPr="00332B40">
        <w:rPr>
          <w:rFonts w:asciiTheme="majorHAnsi" w:hAnsiTheme="majorHAnsi"/>
          <w:sz w:val="16"/>
          <w:szCs w:val="16"/>
          <w:lang w:val="es-MX"/>
        </w:rPr>
        <w:t xml:space="preserve"> Artículo 25. Toda persona tiene derecho a un recurso sencillo y rápido o cualquier otro recurso efectivo ante los jueces o tribunales competentes, que la ampare contra actos que violen sus derechos fundamentales reconocidos por la Constitución, la ley o la presente Convención, aun cuando tal violación sea cometida por personas que actúan en ejercicio de sus funciones oficiales.</w:t>
      </w:r>
    </w:p>
  </w:footnote>
  <w:footnote w:id="126">
    <w:p w:rsidR="00DA16A1" w:rsidRPr="00B74E3A" w:rsidRDefault="00DA16A1">
      <w:pPr>
        <w:jc w:val="both"/>
        <w:rPr>
          <w:rFonts w:ascii="Cambria" w:hAnsi="Cambria"/>
          <w:sz w:val="16"/>
          <w:szCs w:val="16"/>
          <w:lang w:val="es-ES"/>
        </w:rPr>
      </w:pPr>
      <w:r w:rsidRPr="00332B40">
        <w:rPr>
          <w:rStyle w:val="FootnoteReference"/>
          <w:rFonts w:asciiTheme="majorHAnsi" w:hAnsiTheme="majorHAnsi"/>
          <w:sz w:val="16"/>
          <w:szCs w:val="16"/>
          <w:lang w:val="es-ES"/>
        </w:rPr>
        <w:footnoteRef/>
      </w:r>
      <w:r w:rsidRPr="00332B40">
        <w:rPr>
          <w:rFonts w:asciiTheme="majorHAnsi" w:hAnsiTheme="majorHAnsi"/>
          <w:sz w:val="16"/>
          <w:szCs w:val="16"/>
          <w:lang w:val="es-ES"/>
        </w:rPr>
        <w:t xml:space="preserve"> CIDH,</w:t>
      </w:r>
      <w:r w:rsidRPr="00B74E3A">
        <w:rPr>
          <w:rFonts w:ascii="Cambria" w:hAnsi="Cambria"/>
          <w:sz w:val="16"/>
          <w:szCs w:val="16"/>
          <w:lang w:val="es-ES"/>
        </w:rPr>
        <w:t xml:space="preserve"> </w:t>
      </w:r>
      <w:r w:rsidRPr="00B74E3A">
        <w:rPr>
          <w:rFonts w:ascii="Cambria" w:hAnsi="Cambria"/>
          <w:i/>
          <w:sz w:val="16"/>
          <w:szCs w:val="16"/>
          <w:lang w:val="es-ES"/>
        </w:rPr>
        <w:t>Acceso a la Justicia para las Mujeres Víctimas de Violencia en las Américas</w:t>
      </w:r>
      <w:r w:rsidRPr="00B74E3A">
        <w:rPr>
          <w:rFonts w:ascii="Cambria" w:hAnsi="Cambria"/>
          <w:sz w:val="16"/>
          <w:szCs w:val="16"/>
          <w:lang w:val="es-ES"/>
        </w:rPr>
        <w:t>, OEA/Ser. L/V/II. doc.68, 20 de enero de 2007.</w:t>
      </w:r>
    </w:p>
  </w:footnote>
  <w:footnote w:id="127">
    <w:p w:rsidR="00DA16A1" w:rsidRPr="00D9096D" w:rsidRDefault="00DA16A1" w:rsidP="00D9096D">
      <w:pPr>
        <w:pStyle w:val="FootnoteText"/>
        <w:jc w:val="both"/>
        <w:rPr>
          <w:rFonts w:asciiTheme="majorHAnsi" w:hAnsiTheme="majorHAnsi"/>
          <w:sz w:val="16"/>
          <w:szCs w:val="16"/>
          <w:lang w:val="es-MX"/>
        </w:rPr>
      </w:pPr>
      <w:r w:rsidRPr="00B74E3A">
        <w:rPr>
          <w:rStyle w:val="FootnoteReference"/>
          <w:rFonts w:ascii="Cambria" w:hAnsi="Cambria"/>
          <w:sz w:val="16"/>
          <w:szCs w:val="16"/>
        </w:rPr>
        <w:footnoteRef/>
      </w:r>
      <w:r w:rsidRPr="00B74E3A">
        <w:rPr>
          <w:rFonts w:ascii="Cambria" w:hAnsi="Cambria"/>
          <w:sz w:val="16"/>
          <w:szCs w:val="16"/>
          <w:lang w:val="es-ES"/>
        </w:rPr>
        <w:t xml:space="preserve"> </w:t>
      </w:r>
      <w:r w:rsidRPr="00D9096D">
        <w:rPr>
          <w:rFonts w:asciiTheme="majorHAnsi" w:hAnsiTheme="majorHAnsi"/>
          <w:sz w:val="16"/>
          <w:szCs w:val="16"/>
          <w:lang w:val="es-MX"/>
        </w:rPr>
        <w:t>CIDH. Informe No. 26/09. Caso 12.440. Wallace de Almeida. Brasil. 20 de marzo de 2009, párr. 119.</w:t>
      </w:r>
    </w:p>
  </w:footnote>
  <w:footnote w:id="128">
    <w:p w:rsidR="00DA16A1" w:rsidRPr="00D9096D" w:rsidRDefault="00DA16A1" w:rsidP="00D9096D">
      <w:pPr>
        <w:pStyle w:val="FootnoteText"/>
        <w:jc w:val="both"/>
        <w:rPr>
          <w:rFonts w:asciiTheme="majorHAnsi" w:hAnsiTheme="majorHAnsi"/>
          <w:sz w:val="16"/>
          <w:szCs w:val="16"/>
          <w:lang w:val="es-MX"/>
        </w:rPr>
      </w:pPr>
      <w:r w:rsidRPr="00D9096D">
        <w:rPr>
          <w:rStyle w:val="FootnoteReference"/>
          <w:rFonts w:asciiTheme="majorHAnsi" w:hAnsiTheme="majorHAnsi"/>
          <w:sz w:val="16"/>
          <w:szCs w:val="16"/>
        </w:rPr>
        <w:footnoteRef/>
      </w:r>
      <w:r w:rsidRPr="00D9096D">
        <w:rPr>
          <w:rFonts w:asciiTheme="majorHAnsi" w:hAnsiTheme="majorHAnsi"/>
          <w:sz w:val="16"/>
          <w:szCs w:val="16"/>
          <w:lang w:val="es-ES"/>
        </w:rPr>
        <w:t xml:space="preserve"> </w:t>
      </w:r>
      <w:r w:rsidRPr="00D9096D">
        <w:rPr>
          <w:rFonts w:asciiTheme="majorHAnsi" w:hAnsiTheme="majorHAnsi"/>
          <w:sz w:val="16"/>
          <w:szCs w:val="16"/>
          <w:lang w:val="es-CO"/>
        </w:rPr>
        <w:t xml:space="preserve">CIDH, Informe No. 52/16. Fondo. </w:t>
      </w:r>
      <w:r w:rsidRPr="00D9096D">
        <w:rPr>
          <w:rFonts w:asciiTheme="majorHAnsi" w:hAnsiTheme="majorHAnsi"/>
          <w:sz w:val="16"/>
          <w:szCs w:val="16"/>
          <w:lang w:val="es-ES"/>
        </w:rPr>
        <w:t xml:space="preserve">María Laura Órdenes Guerra y otros. Chile. 30 de noviembre de 2016, párr. 105; </w:t>
      </w:r>
      <w:r w:rsidRPr="00D9096D">
        <w:rPr>
          <w:rFonts w:asciiTheme="majorHAnsi" w:hAnsiTheme="majorHAnsi"/>
          <w:sz w:val="16"/>
          <w:szCs w:val="16"/>
          <w:lang w:val="es-CO"/>
        </w:rPr>
        <w:t>CIDH. Informe No 62/01, caso 11.564, Masacre de Riofrío, Colombia, 6 de abril de 2001, párr. 44.</w:t>
      </w:r>
    </w:p>
  </w:footnote>
  <w:footnote w:id="129">
    <w:p w:rsidR="00DA16A1" w:rsidRPr="00D9096D" w:rsidRDefault="00DA16A1" w:rsidP="00D9096D">
      <w:pPr>
        <w:jc w:val="both"/>
        <w:rPr>
          <w:rFonts w:asciiTheme="majorHAnsi" w:hAnsiTheme="majorHAnsi"/>
          <w:sz w:val="16"/>
          <w:szCs w:val="16"/>
          <w:lang w:val="es-ES"/>
        </w:rPr>
      </w:pPr>
      <w:r w:rsidRPr="00D9096D">
        <w:rPr>
          <w:rStyle w:val="FootnoteReference"/>
          <w:rFonts w:asciiTheme="majorHAnsi" w:hAnsiTheme="majorHAnsi"/>
          <w:sz w:val="16"/>
          <w:szCs w:val="16"/>
          <w:lang w:val="es-ES"/>
        </w:rPr>
        <w:footnoteRef/>
      </w:r>
      <w:r w:rsidRPr="00D9096D">
        <w:rPr>
          <w:rFonts w:asciiTheme="majorHAnsi" w:hAnsiTheme="majorHAnsi"/>
          <w:sz w:val="16"/>
          <w:szCs w:val="16"/>
          <w:lang w:val="es-ES"/>
        </w:rPr>
        <w:t xml:space="preserve"> Véase Corte IDH. </w:t>
      </w:r>
      <w:r w:rsidRPr="00D9096D">
        <w:rPr>
          <w:rFonts w:asciiTheme="majorHAnsi" w:hAnsiTheme="majorHAnsi"/>
          <w:bCs/>
          <w:i/>
          <w:color w:val="000000"/>
          <w:sz w:val="16"/>
          <w:szCs w:val="16"/>
          <w:lang w:val="es-ES"/>
        </w:rPr>
        <w:t>Caso del Penal Miguel Castro Castro Vs. Perú</w:t>
      </w:r>
      <w:r w:rsidRPr="00D9096D">
        <w:rPr>
          <w:rFonts w:asciiTheme="majorHAnsi" w:hAnsiTheme="majorHAnsi"/>
          <w:b/>
          <w:bCs/>
          <w:color w:val="000000"/>
          <w:sz w:val="16"/>
          <w:szCs w:val="16"/>
          <w:lang w:val="es-ES"/>
        </w:rPr>
        <w:t xml:space="preserve">. </w:t>
      </w:r>
      <w:r w:rsidRPr="00D9096D">
        <w:rPr>
          <w:rFonts w:asciiTheme="majorHAnsi" w:hAnsiTheme="majorHAnsi"/>
          <w:color w:val="000000"/>
          <w:sz w:val="16"/>
          <w:szCs w:val="16"/>
          <w:lang w:val="es-ES"/>
        </w:rPr>
        <w:t>Sentencia de 25 de noviembre de 2006. Serie C No. 160</w:t>
      </w:r>
      <w:r w:rsidRPr="00D9096D">
        <w:rPr>
          <w:rFonts w:asciiTheme="majorHAnsi" w:hAnsiTheme="majorHAnsi"/>
          <w:sz w:val="16"/>
          <w:szCs w:val="16"/>
          <w:lang w:val="es-ES"/>
        </w:rPr>
        <w:t xml:space="preserve">, párr. 382, citando </w:t>
      </w:r>
      <w:r w:rsidRPr="00D9096D">
        <w:rPr>
          <w:rFonts w:asciiTheme="majorHAnsi" w:hAnsiTheme="majorHAnsi"/>
          <w:i/>
          <w:sz w:val="16"/>
          <w:szCs w:val="16"/>
          <w:lang w:val="es-ES"/>
        </w:rPr>
        <w:t>Caso Vargas Areco</w:t>
      </w:r>
      <w:r w:rsidRPr="00D9096D">
        <w:rPr>
          <w:rFonts w:asciiTheme="majorHAnsi" w:hAnsiTheme="majorHAnsi"/>
          <w:sz w:val="16"/>
          <w:szCs w:val="16"/>
          <w:lang w:val="es-ES"/>
        </w:rPr>
        <w:t xml:space="preserve">; </w:t>
      </w:r>
      <w:r w:rsidRPr="00D9096D">
        <w:rPr>
          <w:rFonts w:asciiTheme="majorHAnsi" w:eastAsia="Times New Roman" w:hAnsiTheme="majorHAnsi"/>
          <w:sz w:val="16"/>
          <w:szCs w:val="16"/>
          <w:lang w:val="es-ES"/>
        </w:rPr>
        <w:t xml:space="preserve">Corte IDH. </w:t>
      </w:r>
      <w:r w:rsidRPr="00D9096D">
        <w:rPr>
          <w:rFonts w:asciiTheme="majorHAnsi" w:eastAsia="Times New Roman" w:hAnsiTheme="majorHAnsi"/>
          <w:i/>
          <w:sz w:val="16"/>
          <w:szCs w:val="16"/>
          <w:lang w:val="es-ES"/>
        </w:rPr>
        <w:t xml:space="preserve">Caso </w:t>
      </w:r>
      <w:r w:rsidRPr="00D9096D">
        <w:rPr>
          <w:rFonts w:asciiTheme="majorHAnsi" w:eastAsia="Times New Roman" w:hAnsiTheme="majorHAnsi"/>
          <w:i/>
          <w:iCs/>
          <w:sz w:val="16"/>
          <w:szCs w:val="16"/>
          <w:lang w:val="es-ES"/>
        </w:rPr>
        <w:t>de las Masacres de Ituango Vs. Colombia</w:t>
      </w:r>
      <w:r w:rsidRPr="00D9096D">
        <w:rPr>
          <w:rFonts w:asciiTheme="majorHAnsi" w:eastAsia="Times New Roman" w:hAnsiTheme="majorHAnsi"/>
          <w:sz w:val="16"/>
          <w:szCs w:val="16"/>
          <w:lang w:val="es-ES"/>
        </w:rPr>
        <w:t xml:space="preserve">. Sentencia de 1 de julio de 2006. Serie C No. 148, </w:t>
      </w:r>
      <w:r w:rsidRPr="00D9096D">
        <w:rPr>
          <w:rFonts w:asciiTheme="majorHAnsi" w:hAnsiTheme="majorHAnsi"/>
          <w:sz w:val="16"/>
          <w:szCs w:val="16"/>
          <w:lang w:val="es-ES"/>
        </w:rPr>
        <w:t xml:space="preserve">párr. 289; y Corte IDH. </w:t>
      </w:r>
      <w:r w:rsidRPr="00D9096D">
        <w:rPr>
          <w:rFonts w:asciiTheme="majorHAnsi" w:hAnsiTheme="majorHAnsi"/>
          <w:i/>
          <w:sz w:val="16"/>
          <w:szCs w:val="16"/>
          <w:lang w:val="es-ES"/>
        </w:rPr>
        <w:t>Caso</w:t>
      </w:r>
      <w:r w:rsidRPr="00D9096D">
        <w:rPr>
          <w:rFonts w:asciiTheme="majorHAnsi" w:hAnsiTheme="majorHAnsi"/>
          <w:sz w:val="16"/>
          <w:szCs w:val="16"/>
          <w:lang w:val="es-ES"/>
        </w:rPr>
        <w:t xml:space="preserve"> </w:t>
      </w:r>
      <w:r w:rsidRPr="00D9096D">
        <w:rPr>
          <w:rFonts w:asciiTheme="majorHAnsi" w:hAnsiTheme="majorHAnsi"/>
          <w:i/>
          <w:sz w:val="16"/>
          <w:szCs w:val="16"/>
          <w:lang w:val="es-ES"/>
        </w:rPr>
        <w:t>de la Masacre de Pueblo Bello Vs. Colombia</w:t>
      </w:r>
      <w:r w:rsidRPr="00D9096D">
        <w:rPr>
          <w:rFonts w:asciiTheme="majorHAnsi" w:hAnsiTheme="majorHAnsi"/>
          <w:sz w:val="16"/>
          <w:szCs w:val="16"/>
          <w:lang w:val="es-ES"/>
        </w:rPr>
        <w:t xml:space="preserve">. Sentencia de 31 de enero de 2006. </w:t>
      </w:r>
      <w:r w:rsidRPr="00D9096D">
        <w:rPr>
          <w:rFonts w:asciiTheme="majorHAnsi" w:hAnsiTheme="majorHAnsi"/>
          <w:sz w:val="16"/>
          <w:szCs w:val="16"/>
          <w:lang w:val="it-IT"/>
        </w:rPr>
        <w:t>Serie C No. 140</w:t>
      </w:r>
      <w:r w:rsidRPr="00D9096D">
        <w:rPr>
          <w:rFonts w:asciiTheme="majorHAnsi" w:eastAsia="Times New Roman" w:hAnsiTheme="majorHAnsi"/>
          <w:sz w:val="16"/>
          <w:szCs w:val="16"/>
          <w:lang w:val="es-ES"/>
        </w:rPr>
        <w:t xml:space="preserve">, </w:t>
      </w:r>
      <w:r w:rsidRPr="00D9096D">
        <w:rPr>
          <w:rFonts w:asciiTheme="majorHAnsi" w:hAnsiTheme="majorHAnsi"/>
          <w:sz w:val="16"/>
          <w:szCs w:val="16"/>
          <w:lang w:val="es-ES"/>
        </w:rPr>
        <w:t>párr. 171.</w:t>
      </w:r>
    </w:p>
  </w:footnote>
  <w:footnote w:id="130">
    <w:p w:rsidR="00DA16A1" w:rsidRPr="00D9096D" w:rsidRDefault="00DA16A1" w:rsidP="00D9096D">
      <w:pPr>
        <w:jc w:val="both"/>
        <w:rPr>
          <w:rFonts w:asciiTheme="majorHAnsi" w:eastAsia="MS Mincho" w:hAnsiTheme="majorHAnsi"/>
          <w:sz w:val="16"/>
          <w:szCs w:val="16"/>
          <w:lang w:val="es-ES"/>
        </w:rPr>
      </w:pPr>
      <w:r w:rsidRPr="00D9096D">
        <w:rPr>
          <w:rStyle w:val="FootnoteReference"/>
          <w:rFonts w:asciiTheme="majorHAnsi" w:hAnsiTheme="majorHAnsi"/>
          <w:sz w:val="16"/>
          <w:szCs w:val="16"/>
          <w:lang w:val="es-ES"/>
        </w:rPr>
        <w:footnoteRef/>
      </w:r>
      <w:r w:rsidRPr="00D9096D">
        <w:rPr>
          <w:rFonts w:asciiTheme="majorHAnsi" w:hAnsiTheme="majorHAnsi"/>
          <w:i/>
          <w:sz w:val="16"/>
          <w:szCs w:val="16"/>
          <w:lang w:val="es-ES"/>
        </w:rPr>
        <w:t xml:space="preserve"> </w:t>
      </w:r>
      <w:r w:rsidRPr="00D9096D">
        <w:rPr>
          <w:rFonts w:asciiTheme="majorHAnsi" w:hAnsiTheme="majorHAnsi"/>
          <w:sz w:val="16"/>
          <w:szCs w:val="16"/>
          <w:lang w:val="es-ES"/>
        </w:rPr>
        <w:t xml:space="preserve">Corte IDH. </w:t>
      </w:r>
      <w:r w:rsidRPr="00D9096D">
        <w:rPr>
          <w:rFonts w:asciiTheme="majorHAnsi" w:hAnsiTheme="majorHAnsi"/>
          <w:i/>
          <w:sz w:val="16"/>
          <w:szCs w:val="16"/>
          <w:lang w:val="es-ES"/>
        </w:rPr>
        <w:t>Caso Godínez Cruz Vs. Honduras</w:t>
      </w:r>
      <w:r w:rsidRPr="00D9096D">
        <w:rPr>
          <w:rFonts w:asciiTheme="majorHAnsi" w:hAnsiTheme="majorHAnsi"/>
          <w:sz w:val="16"/>
          <w:szCs w:val="16"/>
          <w:lang w:val="es-ES"/>
        </w:rPr>
        <w:t>. Sentencia de 20 de enero de 1989. Serie C No. 5</w:t>
      </w:r>
      <w:r w:rsidRPr="00D9096D">
        <w:rPr>
          <w:rFonts w:asciiTheme="majorHAnsi" w:eastAsia="Times New Roman" w:hAnsiTheme="majorHAnsi"/>
          <w:sz w:val="16"/>
          <w:szCs w:val="16"/>
          <w:lang w:val="es-ES"/>
        </w:rPr>
        <w:t>,</w:t>
      </w:r>
      <w:r w:rsidRPr="00D9096D">
        <w:rPr>
          <w:rFonts w:asciiTheme="majorHAnsi" w:hAnsiTheme="majorHAnsi"/>
          <w:sz w:val="16"/>
          <w:szCs w:val="16"/>
          <w:lang w:val="es-ES"/>
        </w:rPr>
        <w:t xml:space="preserve"> párr. 188; Corte I.D.H.,</w:t>
      </w:r>
      <w:r w:rsidRPr="00D9096D">
        <w:rPr>
          <w:rFonts w:asciiTheme="majorHAnsi" w:hAnsiTheme="majorHAnsi"/>
          <w:i/>
          <w:sz w:val="16"/>
          <w:szCs w:val="16"/>
          <w:lang w:val="es-ES"/>
        </w:rPr>
        <w:t xml:space="preserve"> Caso Velásquez Rodríguez</w:t>
      </w:r>
      <w:r w:rsidRPr="00D9096D">
        <w:rPr>
          <w:rFonts w:asciiTheme="majorHAnsi" w:hAnsiTheme="majorHAnsi"/>
          <w:sz w:val="16"/>
          <w:szCs w:val="16"/>
          <w:lang w:val="es-ES"/>
        </w:rPr>
        <w:t>. Sentencia de 29 de julio de 1988</w:t>
      </w:r>
      <w:r w:rsidRPr="00D9096D">
        <w:rPr>
          <w:rFonts w:asciiTheme="majorHAnsi" w:hAnsiTheme="majorHAnsi"/>
          <w:i/>
          <w:sz w:val="16"/>
          <w:szCs w:val="16"/>
          <w:lang w:val="es-ES"/>
        </w:rPr>
        <w:t>.</w:t>
      </w:r>
      <w:r w:rsidRPr="00D9096D">
        <w:rPr>
          <w:rFonts w:asciiTheme="majorHAnsi" w:hAnsiTheme="majorHAnsi"/>
          <w:sz w:val="16"/>
          <w:szCs w:val="16"/>
          <w:lang w:val="es-ES"/>
        </w:rPr>
        <w:t xml:space="preserve"> Serie C No. 4, párr. 177; Corte I.D.H., </w:t>
      </w:r>
      <w:r w:rsidRPr="00D9096D">
        <w:rPr>
          <w:rFonts w:asciiTheme="majorHAnsi" w:hAnsiTheme="majorHAnsi"/>
          <w:i/>
          <w:iCs/>
          <w:sz w:val="16"/>
          <w:szCs w:val="16"/>
          <w:lang w:val="es-ES"/>
        </w:rPr>
        <w:t>Caso de los “Niños de la Calle” (Villagrán Morales y otros).</w:t>
      </w:r>
      <w:r w:rsidRPr="00D9096D">
        <w:rPr>
          <w:rFonts w:asciiTheme="majorHAnsi" w:hAnsiTheme="majorHAnsi"/>
          <w:sz w:val="16"/>
          <w:szCs w:val="16"/>
          <w:lang w:val="es-ES"/>
        </w:rPr>
        <w:t xml:space="preserve"> Sentencia de 19 de noviembre de 1999. Serie C No. 63,</w:t>
      </w:r>
      <w:r w:rsidRPr="00D9096D">
        <w:rPr>
          <w:rFonts w:asciiTheme="majorHAnsi" w:eastAsia="Times New Roman" w:hAnsiTheme="majorHAnsi"/>
          <w:sz w:val="16"/>
          <w:szCs w:val="16"/>
          <w:lang w:val="es-ES"/>
        </w:rPr>
        <w:t xml:space="preserve"> </w:t>
      </w:r>
      <w:r w:rsidRPr="00D9096D">
        <w:rPr>
          <w:rFonts w:asciiTheme="majorHAnsi" w:hAnsiTheme="majorHAnsi"/>
          <w:sz w:val="16"/>
          <w:szCs w:val="16"/>
          <w:lang w:val="es-ES"/>
        </w:rPr>
        <w:t>párr. 226.</w:t>
      </w:r>
    </w:p>
  </w:footnote>
  <w:footnote w:id="131">
    <w:p w:rsidR="00DA16A1" w:rsidRPr="00D9096D" w:rsidRDefault="00DA16A1" w:rsidP="00D9096D">
      <w:pPr>
        <w:pStyle w:val="FootnoteText"/>
        <w:jc w:val="both"/>
        <w:rPr>
          <w:rFonts w:asciiTheme="majorHAnsi" w:hAnsiTheme="majorHAnsi"/>
          <w:sz w:val="16"/>
          <w:szCs w:val="16"/>
          <w:lang w:val="es-PE"/>
        </w:rPr>
      </w:pPr>
      <w:r w:rsidRPr="00D9096D">
        <w:rPr>
          <w:rStyle w:val="FootnoteReference"/>
          <w:rFonts w:asciiTheme="majorHAnsi" w:hAnsiTheme="majorHAnsi"/>
          <w:sz w:val="16"/>
          <w:szCs w:val="16"/>
        </w:rPr>
        <w:footnoteRef/>
      </w:r>
      <w:r w:rsidRPr="00D9096D">
        <w:rPr>
          <w:rFonts w:asciiTheme="majorHAnsi" w:hAnsiTheme="majorHAnsi"/>
          <w:sz w:val="16"/>
          <w:szCs w:val="16"/>
          <w:lang w:val="es-PE"/>
        </w:rPr>
        <w:t xml:space="preserve"> </w:t>
      </w:r>
      <w:r w:rsidRPr="00D9096D">
        <w:rPr>
          <w:rFonts w:asciiTheme="majorHAnsi" w:eastAsia="Times New Roman" w:hAnsiTheme="majorHAnsi" w:cstheme="minorHAnsi"/>
          <w:sz w:val="16"/>
          <w:szCs w:val="16"/>
          <w:lang w:val="es-PE"/>
        </w:rPr>
        <w:t>Comité de Derechos Económicos, Sociales y Culturales. Observación General 24. Sobre l</w:t>
      </w:r>
      <w:r w:rsidRPr="00D9096D">
        <w:rPr>
          <w:rFonts w:asciiTheme="majorHAnsi" w:hAnsiTheme="majorHAnsi" w:cstheme="minorHAnsi"/>
          <w:sz w:val="16"/>
          <w:szCs w:val="16"/>
          <w:lang w:val="es-PE"/>
        </w:rPr>
        <w:t>as obligaciones de los Estados en el contexto de las actividades empresariales</w:t>
      </w:r>
      <w:r w:rsidRPr="00D9096D">
        <w:rPr>
          <w:rFonts w:asciiTheme="majorHAnsi" w:eastAsia="Times New Roman" w:hAnsiTheme="majorHAnsi" w:cstheme="minorHAnsi"/>
          <w:sz w:val="16"/>
          <w:szCs w:val="16"/>
          <w:lang w:val="es-PE"/>
        </w:rPr>
        <w:t xml:space="preserve">. 10 de agosto de 2017. párr. 39. Asimismo ver Principios Rectores sobre las Empresas y los Derechos Humanos de las Naciones Unidas. Accesos a mecanismos de reparación (principio 25) (2011) Disponible en: </w:t>
      </w:r>
      <w:r>
        <w:fldChar w:fldCharType="begin"/>
      </w:r>
      <w:r w:rsidRPr="00C550EC">
        <w:rPr>
          <w:lang w:val="es-MX"/>
          <w:rPrChange w:id="39" w:author="PC" w:date="2018-06-15T15:20:00Z">
            <w:rPr/>
          </w:rPrChange>
        </w:rPr>
        <w:instrText xml:space="preserve"> HYPERLINK "http://www.ohchr.org/Documents/Publications/GuidingPrinciplesBusinessHR_SP.pdf" </w:instrText>
      </w:r>
      <w:r>
        <w:fldChar w:fldCharType="separate"/>
      </w:r>
      <w:r w:rsidRPr="00D9096D">
        <w:rPr>
          <w:rStyle w:val="Hyperlink"/>
          <w:rFonts w:asciiTheme="majorHAnsi" w:eastAsia="Times New Roman" w:hAnsiTheme="majorHAnsi" w:cstheme="minorHAnsi"/>
          <w:sz w:val="16"/>
          <w:szCs w:val="16"/>
          <w:lang w:val="es-PE"/>
        </w:rPr>
        <w:t>http://www.ohchr.org/Documents/Publications/GuidingPrinciplesBusinessHR_SP.pdf</w:t>
      </w:r>
      <w:r>
        <w:rPr>
          <w:rStyle w:val="Hyperlink"/>
          <w:rFonts w:asciiTheme="majorHAnsi" w:eastAsia="Times New Roman" w:hAnsiTheme="majorHAnsi" w:cstheme="minorHAnsi"/>
          <w:sz w:val="16"/>
          <w:szCs w:val="16"/>
          <w:lang w:val="es-PE"/>
        </w:rPr>
        <w:fldChar w:fldCharType="end"/>
      </w:r>
      <w:r w:rsidRPr="00D9096D">
        <w:rPr>
          <w:rFonts w:asciiTheme="majorHAnsi" w:eastAsia="Times New Roman" w:hAnsiTheme="majorHAnsi" w:cstheme="minorHAnsi"/>
          <w:sz w:val="16"/>
          <w:szCs w:val="16"/>
          <w:lang w:val="es-PE"/>
        </w:rPr>
        <w:t xml:space="preserve"> </w:t>
      </w:r>
    </w:p>
  </w:footnote>
  <w:footnote w:id="132">
    <w:p w:rsidR="00DA16A1" w:rsidRPr="00D9096D" w:rsidRDefault="00DA16A1" w:rsidP="00D9096D">
      <w:pPr>
        <w:pStyle w:val="FootnoteText"/>
        <w:jc w:val="both"/>
        <w:rPr>
          <w:rFonts w:asciiTheme="majorHAnsi" w:hAnsiTheme="majorHAnsi"/>
          <w:sz w:val="16"/>
          <w:szCs w:val="16"/>
          <w:lang w:val="es-PE"/>
        </w:rPr>
      </w:pPr>
      <w:r w:rsidRPr="00D9096D">
        <w:rPr>
          <w:rStyle w:val="FootnoteReference"/>
          <w:rFonts w:asciiTheme="majorHAnsi" w:hAnsiTheme="majorHAnsi"/>
          <w:sz w:val="16"/>
          <w:szCs w:val="16"/>
        </w:rPr>
        <w:footnoteRef/>
      </w:r>
      <w:r w:rsidRPr="00D9096D">
        <w:rPr>
          <w:rFonts w:asciiTheme="majorHAnsi" w:hAnsiTheme="majorHAnsi"/>
          <w:sz w:val="16"/>
          <w:szCs w:val="16"/>
          <w:lang w:val="es-PE"/>
        </w:rPr>
        <w:t xml:space="preserve"> </w:t>
      </w:r>
      <w:r w:rsidRPr="00D9096D">
        <w:rPr>
          <w:rFonts w:asciiTheme="majorHAnsi" w:eastAsia="Times New Roman" w:hAnsiTheme="majorHAnsi" w:cstheme="minorHAnsi"/>
          <w:sz w:val="16"/>
          <w:szCs w:val="16"/>
          <w:lang w:val="es-PE"/>
        </w:rPr>
        <w:t>Comité de Derechos Económicos, Sociales y Culturales. Observación General 24. Sobre l</w:t>
      </w:r>
      <w:r w:rsidRPr="00D9096D">
        <w:rPr>
          <w:rFonts w:asciiTheme="majorHAnsi" w:hAnsiTheme="majorHAnsi" w:cstheme="minorHAnsi"/>
          <w:sz w:val="16"/>
          <w:szCs w:val="16"/>
          <w:lang w:val="es-PE"/>
        </w:rPr>
        <w:t>as obligaciones de los Estados en el contexto de las actividades empresariales</w:t>
      </w:r>
      <w:r w:rsidRPr="00D9096D">
        <w:rPr>
          <w:rFonts w:asciiTheme="majorHAnsi" w:eastAsia="Times New Roman" w:hAnsiTheme="majorHAnsi" w:cstheme="minorHAnsi"/>
          <w:sz w:val="16"/>
          <w:szCs w:val="16"/>
          <w:lang w:val="es-PE"/>
        </w:rPr>
        <w:t>. 10 de agosto de 2017. párrs. 41 y 45.</w:t>
      </w:r>
    </w:p>
  </w:footnote>
  <w:footnote w:id="133">
    <w:p w:rsidR="00DA16A1" w:rsidRPr="00D9096D" w:rsidRDefault="00DA16A1" w:rsidP="00D9096D">
      <w:pPr>
        <w:jc w:val="both"/>
        <w:rPr>
          <w:rFonts w:asciiTheme="majorHAnsi" w:hAnsiTheme="majorHAnsi"/>
          <w:sz w:val="16"/>
          <w:szCs w:val="16"/>
          <w:lang w:val="es-ES"/>
        </w:rPr>
      </w:pPr>
      <w:r w:rsidRPr="00D9096D">
        <w:rPr>
          <w:rStyle w:val="FootnoteReference"/>
          <w:rFonts w:asciiTheme="majorHAnsi" w:hAnsiTheme="majorHAnsi"/>
          <w:sz w:val="16"/>
          <w:szCs w:val="16"/>
          <w:lang w:val="es-ES"/>
        </w:rPr>
        <w:footnoteRef/>
      </w:r>
      <w:r w:rsidRPr="00F075A9">
        <w:rPr>
          <w:rFonts w:asciiTheme="majorHAnsi" w:hAnsiTheme="majorHAnsi"/>
          <w:sz w:val="16"/>
          <w:szCs w:val="16"/>
          <w:lang w:val="es-PE"/>
        </w:rPr>
        <w:t xml:space="preserve"> Corte IDH., Caso Ivcher Bronstein. </w:t>
      </w:r>
      <w:r w:rsidRPr="00D9096D">
        <w:rPr>
          <w:rFonts w:asciiTheme="majorHAnsi" w:hAnsiTheme="majorHAnsi"/>
          <w:sz w:val="16"/>
          <w:szCs w:val="16"/>
          <w:lang w:val="es-MX"/>
        </w:rPr>
        <w:t xml:space="preserve">Sentencia de 6 de febrero de 2001. Serie C No. 74, párr. 186; Corte IDH., Caso del Tribunal Constitucional. Sentencia de 31 de enero de 2001. Serie C No. 71, párr. </w:t>
      </w:r>
      <w:r w:rsidRPr="00D9096D">
        <w:rPr>
          <w:rFonts w:asciiTheme="majorHAnsi" w:hAnsiTheme="majorHAnsi"/>
          <w:sz w:val="16"/>
          <w:szCs w:val="16"/>
          <w:lang w:val="es-ES"/>
        </w:rPr>
        <w:t>123; Corte IDH, Caso Bámaca Velásquez. Sentencia de 25 de noviembre de 2000. Serie C No. 70, párr. 211.</w:t>
      </w:r>
    </w:p>
  </w:footnote>
  <w:footnote w:id="134">
    <w:p w:rsidR="00DA16A1" w:rsidRPr="00D9096D" w:rsidRDefault="00DA16A1" w:rsidP="00D9096D">
      <w:pPr>
        <w:pStyle w:val="FootnoteText"/>
        <w:jc w:val="both"/>
        <w:rPr>
          <w:rFonts w:asciiTheme="majorHAnsi" w:hAnsiTheme="majorHAnsi"/>
          <w:sz w:val="16"/>
          <w:szCs w:val="16"/>
          <w:lang w:val="es-MX"/>
        </w:rPr>
      </w:pPr>
      <w:r w:rsidRPr="00D9096D">
        <w:rPr>
          <w:rStyle w:val="FootnoteReference"/>
          <w:rFonts w:asciiTheme="majorHAnsi" w:hAnsiTheme="majorHAnsi"/>
          <w:sz w:val="16"/>
          <w:szCs w:val="16"/>
        </w:rPr>
        <w:footnoteRef/>
      </w:r>
      <w:r w:rsidRPr="00D9096D">
        <w:rPr>
          <w:rFonts w:asciiTheme="majorHAnsi" w:hAnsiTheme="majorHAnsi"/>
          <w:sz w:val="16"/>
          <w:szCs w:val="16"/>
          <w:lang w:val="es-ES"/>
        </w:rPr>
        <w:t xml:space="preserve"> CIDH. Informe No. 110/10, Caso 12.539, Fondo, Sebastián Furlan y familia, Argentina, 21 de octubre de 2010, párr.100.  </w:t>
      </w:r>
    </w:p>
  </w:footnote>
  <w:footnote w:id="135">
    <w:p w:rsidR="00DA16A1" w:rsidRPr="00D9096D" w:rsidRDefault="00DA16A1" w:rsidP="00D9096D">
      <w:pPr>
        <w:pStyle w:val="FootnoteText"/>
        <w:jc w:val="both"/>
        <w:rPr>
          <w:rFonts w:asciiTheme="majorHAnsi" w:hAnsiTheme="majorHAnsi"/>
          <w:sz w:val="16"/>
          <w:szCs w:val="16"/>
          <w:lang w:val="es-MX"/>
        </w:rPr>
      </w:pPr>
      <w:r w:rsidRPr="00D9096D">
        <w:rPr>
          <w:rStyle w:val="FootnoteReference"/>
          <w:rFonts w:asciiTheme="majorHAnsi" w:hAnsiTheme="majorHAnsi"/>
          <w:sz w:val="16"/>
          <w:szCs w:val="16"/>
        </w:rPr>
        <w:footnoteRef/>
      </w:r>
      <w:r w:rsidRPr="00D9096D">
        <w:rPr>
          <w:rFonts w:asciiTheme="majorHAnsi" w:hAnsiTheme="majorHAnsi"/>
          <w:sz w:val="16"/>
          <w:szCs w:val="16"/>
          <w:lang w:val="es-MX"/>
        </w:rPr>
        <w:t xml:space="preserve"> CIDH. Informe No 34/14. Caso 12.492. Fondo. Carlos Escaleras Mejía y familia, párr. 172.</w:t>
      </w:r>
    </w:p>
  </w:footnote>
  <w:footnote w:id="136">
    <w:p w:rsidR="00DA16A1" w:rsidRPr="00B74E3A" w:rsidRDefault="00DA16A1">
      <w:pPr>
        <w:pStyle w:val="FootnoteText"/>
        <w:tabs>
          <w:tab w:val="right" w:pos="0"/>
        </w:tabs>
        <w:jc w:val="both"/>
        <w:rPr>
          <w:rFonts w:ascii="Cambria" w:hAnsi="Cambria"/>
          <w:sz w:val="16"/>
          <w:szCs w:val="16"/>
          <w:lang w:val="es-ES"/>
        </w:rPr>
      </w:pPr>
      <w:r w:rsidRPr="00B74E3A">
        <w:rPr>
          <w:rStyle w:val="FootnoteReference"/>
          <w:rFonts w:ascii="Cambria" w:hAnsi="Cambria"/>
          <w:sz w:val="16"/>
          <w:szCs w:val="16"/>
        </w:rPr>
        <w:footnoteRef/>
      </w:r>
      <w:r w:rsidRPr="00B74E3A">
        <w:rPr>
          <w:rFonts w:ascii="Cambria" w:hAnsi="Cambria"/>
          <w:sz w:val="16"/>
          <w:szCs w:val="16"/>
          <w:lang w:val="es-ES"/>
        </w:rPr>
        <w:t xml:space="preserve"> Corte IDH. </w:t>
      </w:r>
      <w:r w:rsidRPr="00B74E3A">
        <w:rPr>
          <w:rFonts w:ascii="Cambria" w:hAnsi="Cambria"/>
          <w:i/>
          <w:sz w:val="16"/>
          <w:szCs w:val="16"/>
          <w:lang w:val="es-ES"/>
        </w:rPr>
        <w:t>Caso Trabajadores de la Hacienda Brasil Verde Vs Brasil. Excepciones preliminares, Fondo, Reparaciones y Costas</w:t>
      </w:r>
      <w:r w:rsidRPr="00B74E3A">
        <w:rPr>
          <w:rFonts w:ascii="Cambria" w:hAnsi="Cambria"/>
          <w:sz w:val="16"/>
          <w:szCs w:val="16"/>
          <w:lang w:val="es-ES"/>
        </w:rPr>
        <w:t xml:space="preserve">. Sentencia de 20 de octubre de 2016. Serie C No. 318, párr. 376. </w:t>
      </w:r>
      <w:r w:rsidRPr="00B74E3A">
        <w:rPr>
          <w:rFonts w:ascii="Cambria" w:hAnsi="Cambria"/>
          <w:i/>
          <w:sz w:val="16"/>
          <w:szCs w:val="16"/>
          <w:lang w:val="es-ES"/>
        </w:rPr>
        <w:t xml:space="preserve">Cfr. Caso de los “Niños de la Calle” (Villagrán Morales y otros) Vs. Guatemala. Fondo, </w:t>
      </w:r>
      <w:r w:rsidRPr="00B74E3A">
        <w:rPr>
          <w:rFonts w:ascii="Cambria" w:hAnsi="Cambria"/>
          <w:sz w:val="16"/>
          <w:szCs w:val="16"/>
          <w:lang w:val="es-ES"/>
        </w:rPr>
        <w:t>párr. 246.</w:t>
      </w:r>
    </w:p>
  </w:footnote>
  <w:footnote w:id="137">
    <w:p w:rsidR="00DA16A1" w:rsidRPr="00B74E3A" w:rsidRDefault="00DA16A1">
      <w:pPr>
        <w:pStyle w:val="FootnoteText"/>
        <w:tabs>
          <w:tab w:val="right" w:pos="0"/>
        </w:tabs>
        <w:jc w:val="both"/>
        <w:rPr>
          <w:rFonts w:ascii="Cambria" w:hAnsi="Cambria"/>
          <w:sz w:val="16"/>
          <w:szCs w:val="16"/>
          <w:lang w:val="es-ES"/>
        </w:rPr>
      </w:pPr>
      <w:r w:rsidRPr="00B74E3A">
        <w:rPr>
          <w:rStyle w:val="FootnoteReference"/>
          <w:rFonts w:ascii="Cambria" w:hAnsi="Cambria"/>
          <w:sz w:val="16"/>
          <w:szCs w:val="16"/>
        </w:rPr>
        <w:footnoteRef/>
      </w:r>
      <w:r w:rsidRPr="00B74E3A">
        <w:rPr>
          <w:rFonts w:ascii="Cambria" w:hAnsi="Cambria"/>
          <w:sz w:val="16"/>
          <w:szCs w:val="16"/>
          <w:lang w:val="es-ES"/>
        </w:rPr>
        <w:t xml:space="preserve"> </w:t>
      </w:r>
      <w:r w:rsidRPr="00B74E3A">
        <w:rPr>
          <w:rFonts w:ascii="Cambria" w:hAnsi="Cambria"/>
          <w:sz w:val="16"/>
          <w:szCs w:val="16"/>
          <w:lang w:val="es-MX"/>
        </w:rPr>
        <w:t>Corte IDH</w:t>
      </w:r>
      <w:r w:rsidRPr="00B74E3A">
        <w:rPr>
          <w:rFonts w:ascii="Cambria" w:hAnsi="Cambria"/>
          <w:sz w:val="16"/>
          <w:szCs w:val="16"/>
          <w:lang w:val="es-ES"/>
        </w:rPr>
        <w:t xml:space="preserve">. </w:t>
      </w:r>
      <w:r w:rsidRPr="00B74E3A">
        <w:rPr>
          <w:rFonts w:ascii="Cambria" w:hAnsi="Cambria"/>
          <w:i/>
          <w:sz w:val="16"/>
          <w:szCs w:val="16"/>
          <w:lang w:val="es-ES"/>
        </w:rPr>
        <w:t>Caso Trabajadores de la Hacienda Brasil Verde Vs Brasil. Excepciones preliminares, Fondo, Reparaciones y Costas</w:t>
      </w:r>
      <w:r w:rsidRPr="00B74E3A">
        <w:rPr>
          <w:rFonts w:ascii="Cambria" w:hAnsi="Cambria"/>
          <w:sz w:val="16"/>
          <w:szCs w:val="16"/>
          <w:lang w:val="es-ES"/>
        </w:rPr>
        <w:t xml:space="preserve">. Sentencia de 20 de octubre de 2016. Serie C No. 318, párr. 376. </w:t>
      </w:r>
      <w:r w:rsidRPr="00B74E3A">
        <w:rPr>
          <w:rFonts w:ascii="Cambria" w:hAnsi="Cambria" w:cs="Verdana"/>
          <w:i/>
          <w:iCs/>
          <w:sz w:val="16"/>
          <w:szCs w:val="16"/>
          <w:lang w:val="es-ES"/>
        </w:rPr>
        <w:t>Cfr. Caso Velásquez Rodríguez Vs. Honduras</w:t>
      </w:r>
      <w:r w:rsidRPr="00B74E3A">
        <w:rPr>
          <w:rFonts w:ascii="Cambria" w:hAnsi="Cambria" w:cs="Verdana"/>
          <w:i/>
          <w:sz w:val="16"/>
          <w:szCs w:val="16"/>
          <w:lang w:val="es-ES"/>
        </w:rPr>
        <w:t xml:space="preserve">. </w:t>
      </w:r>
      <w:r w:rsidRPr="00B74E3A">
        <w:rPr>
          <w:rFonts w:ascii="Cambria" w:hAnsi="Cambria" w:cs="Verdana"/>
          <w:i/>
          <w:iCs/>
          <w:sz w:val="16"/>
          <w:szCs w:val="16"/>
          <w:lang w:val="es-ES"/>
        </w:rPr>
        <w:t xml:space="preserve">Fondo, </w:t>
      </w:r>
      <w:r w:rsidRPr="00B74E3A">
        <w:rPr>
          <w:rFonts w:ascii="Cambria" w:hAnsi="Cambria" w:cs="Verdana"/>
          <w:sz w:val="16"/>
          <w:szCs w:val="16"/>
          <w:lang w:val="es-ES"/>
        </w:rPr>
        <w:t xml:space="preserve">párr. 177, y </w:t>
      </w:r>
      <w:r w:rsidRPr="00B74E3A">
        <w:rPr>
          <w:rFonts w:ascii="Cambria" w:hAnsi="Cambria"/>
          <w:bCs/>
          <w:i/>
          <w:sz w:val="16"/>
          <w:szCs w:val="16"/>
          <w:lang w:val="es-ES"/>
        </w:rPr>
        <w:t>Caso Masacres de</w:t>
      </w:r>
      <w:r w:rsidRPr="00B74E3A">
        <w:rPr>
          <w:rFonts w:ascii="Cambria" w:hAnsi="Cambria"/>
          <w:sz w:val="16"/>
          <w:szCs w:val="16"/>
          <w:lang w:val="es-ES"/>
        </w:rPr>
        <w:t xml:space="preserve"> </w:t>
      </w:r>
      <w:r w:rsidRPr="00B74E3A">
        <w:rPr>
          <w:rFonts w:ascii="Cambria" w:hAnsi="Cambria"/>
          <w:i/>
          <w:sz w:val="16"/>
          <w:szCs w:val="16"/>
          <w:lang w:val="es-ES"/>
        </w:rPr>
        <w:t>Río Negro</w:t>
      </w:r>
      <w:r w:rsidRPr="00B74E3A">
        <w:rPr>
          <w:rFonts w:ascii="Cambria" w:hAnsi="Cambria"/>
          <w:sz w:val="16"/>
          <w:szCs w:val="16"/>
          <w:lang w:val="es-ES"/>
        </w:rPr>
        <w:t>, párr. 193.</w:t>
      </w:r>
    </w:p>
  </w:footnote>
  <w:footnote w:id="138">
    <w:p w:rsidR="00DA16A1" w:rsidRPr="00B74E3A" w:rsidRDefault="00DA16A1">
      <w:pPr>
        <w:tabs>
          <w:tab w:val="left" w:pos="900"/>
          <w:tab w:val="left" w:pos="1080"/>
        </w:tabs>
        <w:spacing w:after="120"/>
        <w:jc w:val="both"/>
        <w:rPr>
          <w:rFonts w:ascii="Cambria" w:hAnsi="Cambria"/>
          <w:sz w:val="16"/>
          <w:szCs w:val="16"/>
          <w:lang w:val="es-ES_tradnl"/>
        </w:rPr>
      </w:pPr>
      <w:r w:rsidRPr="00B74E3A">
        <w:rPr>
          <w:rStyle w:val="FootnoteReference"/>
          <w:rFonts w:ascii="Cambria" w:hAnsi="Cambria" w:cs="Arial"/>
          <w:sz w:val="16"/>
          <w:szCs w:val="16"/>
          <w:lang w:val="es-SV"/>
        </w:rPr>
        <w:footnoteRef/>
      </w:r>
      <w:r w:rsidRPr="00B74E3A">
        <w:rPr>
          <w:rFonts w:ascii="Cambria" w:hAnsi="Cambria" w:cs="Arial"/>
          <w:sz w:val="16"/>
          <w:szCs w:val="16"/>
          <w:lang w:val="es-CL"/>
        </w:rPr>
        <w:t xml:space="preserve"> </w:t>
      </w:r>
      <w:r w:rsidRPr="00B74E3A">
        <w:rPr>
          <w:rFonts w:ascii="Cambria" w:hAnsi="Cambria" w:cs="Arial"/>
          <w:sz w:val="16"/>
          <w:szCs w:val="16"/>
          <w:lang w:val="es-ES_tradnl"/>
        </w:rPr>
        <w:t xml:space="preserve">Corte IDH. </w:t>
      </w:r>
      <w:r w:rsidRPr="00B74E3A">
        <w:rPr>
          <w:rFonts w:ascii="Cambria" w:hAnsi="Cambria" w:cs="Arial"/>
          <w:bCs/>
          <w:i/>
          <w:sz w:val="16"/>
          <w:szCs w:val="16"/>
          <w:lang w:val="es-ES_tradnl"/>
        </w:rPr>
        <w:t>Caso Cantoral Huamaní y García Santa Cruz Vs. Perú</w:t>
      </w:r>
      <w:r w:rsidRPr="00B74E3A">
        <w:rPr>
          <w:rFonts w:ascii="Cambria" w:hAnsi="Cambria" w:cs="Arial"/>
          <w:bCs/>
          <w:sz w:val="16"/>
          <w:szCs w:val="16"/>
          <w:lang w:val="es-ES_tradnl"/>
        </w:rPr>
        <w:t xml:space="preserve">. </w:t>
      </w:r>
      <w:r w:rsidRPr="00B74E3A">
        <w:rPr>
          <w:rFonts w:ascii="Cambria" w:hAnsi="Cambria" w:cs="Arial"/>
          <w:sz w:val="16"/>
          <w:szCs w:val="16"/>
          <w:lang w:val="es-ES_tradnl"/>
        </w:rPr>
        <w:t xml:space="preserve">Excepción Preliminar, Fondo, Reparaciones y Costas. Sentencia de 10 de julio de 2007. Serie C No. 167. </w:t>
      </w:r>
      <w:r w:rsidRPr="00B74E3A">
        <w:rPr>
          <w:rFonts w:ascii="Cambria" w:hAnsi="Cambria" w:cs="Arial"/>
          <w:sz w:val="16"/>
          <w:szCs w:val="16"/>
          <w:lang w:val="es-CL"/>
        </w:rPr>
        <w:t xml:space="preserve">párr. 112; </w:t>
      </w:r>
      <w:r w:rsidRPr="00B74E3A">
        <w:rPr>
          <w:rFonts w:ascii="Cambria" w:hAnsi="Cambria" w:cs="Arial"/>
          <w:sz w:val="16"/>
          <w:szCs w:val="16"/>
          <w:lang w:val="es-ES_tradnl"/>
        </w:rPr>
        <w:t xml:space="preserve">y </w:t>
      </w:r>
      <w:r w:rsidRPr="00B74E3A">
        <w:rPr>
          <w:rFonts w:ascii="Cambria" w:hAnsi="Cambria" w:cs="Arial"/>
          <w:i/>
          <w:sz w:val="16"/>
          <w:szCs w:val="16"/>
          <w:lang w:val="es-ES_tradnl"/>
        </w:rPr>
        <w:t>Caso Bueno Alves Vs. Argentina</w:t>
      </w:r>
      <w:r w:rsidRPr="00B74E3A">
        <w:rPr>
          <w:rFonts w:ascii="Cambria" w:hAnsi="Cambria" w:cs="Arial"/>
          <w:sz w:val="16"/>
          <w:szCs w:val="16"/>
          <w:lang w:val="es-ES_tradnl"/>
        </w:rPr>
        <w:t xml:space="preserve">. Fondo, Reparaciones y Costas. </w:t>
      </w:r>
      <w:r w:rsidRPr="00B74E3A">
        <w:rPr>
          <w:rFonts w:ascii="Cambria" w:hAnsi="Cambria" w:cs="Arial"/>
          <w:sz w:val="16"/>
          <w:szCs w:val="16"/>
          <w:lang w:val="es-ES"/>
        </w:rPr>
        <w:t xml:space="preserve">Sentencia de 11 de mayo de 2007. Serie C. No. 164. </w:t>
      </w:r>
      <w:r w:rsidRPr="00B74E3A">
        <w:rPr>
          <w:rFonts w:ascii="Cambria" w:hAnsi="Cambria" w:cs="Arial"/>
          <w:sz w:val="16"/>
          <w:szCs w:val="16"/>
          <w:lang w:val="es-ES_tradnl"/>
        </w:rPr>
        <w:t>párr. 102.</w:t>
      </w:r>
      <w:r w:rsidRPr="00B74E3A">
        <w:rPr>
          <w:rFonts w:ascii="Cambria" w:hAnsi="Cambria" w:cs="Arial"/>
          <w:sz w:val="16"/>
          <w:szCs w:val="16"/>
          <w:lang w:val="es-CL"/>
        </w:rPr>
        <w:t xml:space="preserve"> Ver también: </w:t>
      </w:r>
      <w:r w:rsidRPr="00B74E3A">
        <w:rPr>
          <w:rFonts w:ascii="Cambria" w:hAnsi="Cambria"/>
          <w:sz w:val="16"/>
          <w:szCs w:val="16"/>
          <w:lang w:val="es-US"/>
        </w:rPr>
        <w:t xml:space="preserve">CIDH. Informe No. 58/12. Caso 12.606. Fondo. Hermanos Landaeta Mejías. Venezuela. 21 de marzo de 2012, párr. </w:t>
      </w:r>
      <w:r w:rsidRPr="00B74E3A">
        <w:rPr>
          <w:rFonts w:ascii="Cambria" w:hAnsi="Cambria" w:cs="Arial"/>
          <w:sz w:val="16"/>
          <w:szCs w:val="16"/>
          <w:lang w:val="es-CL"/>
        </w:rPr>
        <w:t xml:space="preserve">256. </w:t>
      </w:r>
    </w:p>
  </w:footnote>
  <w:footnote w:id="139">
    <w:p w:rsidR="00DA16A1" w:rsidRPr="00950E00" w:rsidRDefault="00DA16A1">
      <w:pPr>
        <w:tabs>
          <w:tab w:val="left" w:pos="900"/>
          <w:tab w:val="left" w:pos="1080"/>
        </w:tabs>
        <w:spacing w:after="120"/>
        <w:jc w:val="both"/>
        <w:rPr>
          <w:rFonts w:ascii="Cambria" w:hAnsi="Cambria"/>
          <w:sz w:val="16"/>
          <w:szCs w:val="16"/>
          <w:lang w:val="es-ES_tradnl"/>
        </w:rPr>
      </w:pPr>
      <w:r w:rsidRPr="00B74E3A">
        <w:rPr>
          <w:rStyle w:val="FootnoteReference"/>
          <w:rFonts w:ascii="Cambria" w:hAnsi="Cambria" w:cs="Arial"/>
          <w:sz w:val="16"/>
          <w:szCs w:val="16"/>
          <w:lang w:val="es-SV"/>
        </w:rPr>
        <w:footnoteRef/>
      </w:r>
      <w:r w:rsidRPr="00B74E3A">
        <w:rPr>
          <w:rFonts w:ascii="Cambria" w:hAnsi="Cambria" w:cs="Arial"/>
          <w:sz w:val="16"/>
          <w:szCs w:val="16"/>
          <w:lang w:val="es-ES"/>
        </w:rPr>
        <w:t xml:space="preserve"> </w:t>
      </w:r>
      <w:r w:rsidRPr="00B74E3A">
        <w:rPr>
          <w:rFonts w:ascii="Cambria" w:hAnsi="Cambria" w:cs="Arial"/>
          <w:sz w:val="16"/>
          <w:szCs w:val="16"/>
          <w:lang w:val="es-ES_tradnl"/>
        </w:rPr>
        <w:t xml:space="preserve">Corte IDH. </w:t>
      </w:r>
      <w:r w:rsidRPr="00B74E3A">
        <w:rPr>
          <w:rFonts w:ascii="Cambria" w:hAnsi="Cambria" w:cs="Arial"/>
          <w:bCs/>
          <w:i/>
          <w:sz w:val="16"/>
          <w:szCs w:val="16"/>
          <w:lang w:val="es-ES_tradnl"/>
        </w:rPr>
        <w:t>Caso Cantoral Huamaní y García Santa Cruz Vs. Perú</w:t>
      </w:r>
      <w:r w:rsidRPr="00B74E3A">
        <w:rPr>
          <w:rFonts w:ascii="Cambria" w:hAnsi="Cambria" w:cs="Arial"/>
          <w:bCs/>
          <w:sz w:val="16"/>
          <w:szCs w:val="16"/>
          <w:lang w:val="es-ES_tradnl"/>
        </w:rPr>
        <w:t xml:space="preserve">. </w:t>
      </w:r>
      <w:r w:rsidRPr="00B74E3A">
        <w:rPr>
          <w:rFonts w:ascii="Cambria" w:hAnsi="Cambria" w:cs="Arial"/>
          <w:sz w:val="16"/>
          <w:szCs w:val="16"/>
          <w:lang w:val="es-ES_tradnl"/>
        </w:rPr>
        <w:t xml:space="preserve">Excepción Preliminar, Fondo, Reparaciones y Costas. Sentencia de 10 de julio de 2007. Serie C No. 167. </w:t>
      </w:r>
      <w:r w:rsidRPr="00B74E3A">
        <w:rPr>
          <w:rFonts w:ascii="Cambria" w:hAnsi="Cambria" w:cs="Arial"/>
          <w:sz w:val="16"/>
          <w:szCs w:val="16"/>
          <w:lang w:val="es-CL"/>
        </w:rPr>
        <w:t>párr.</w:t>
      </w:r>
      <w:r w:rsidRPr="00B74E3A">
        <w:rPr>
          <w:rFonts w:ascii="Cambria" w:hAnsi="Cambria" w:cs="Arial"/>
          <w:sz w:val="16"/>
          <w:szCs w:val="16"/>
          <w:lang w:val="es-ES"/>
        </w:rPr>
        <w:t xml:space="preserve"> 112; </w:t>
      </w:r>
      <w:r w:rsidRPr="00B74E3A">
        <w:rPr>
          <w:rFonts w:ascii="Cambria" w:hAnsi="Cambria" w:cs="Arial"/>
          <w:sz w:val="16"/>
          <w:szCs w:val="16"/>
          <w:lang w:val="es-ES_tradnl"/>
        </w:rPr>
        <w:t xml:space="preserve">y </w:t>
      </w:r>
      <w:r w:rsidRPr="00B74E3A">
        <w:rPr>
          <w:rFonts w:ascii="Cambria" w:hAnsi="Cambria" w:cs="Arial"/>
          <w:i/>
          <w:sz w:val="16"/>
          <w:szCs w:val="16"/>
          <w:lang w:val="es-ES_tradnl"/>
        </w:rPr>
        <w:t>Caso Vargas Areco Vs. Paraguay</w:t>
      </w:r>
      <w:r w:rsidRPr="00B74E3A">
        <w:rPr>
          <w:rFonts w:ascii="Cambria" w:hAnsi="Cambria" w:cs="Arial"/>
          <w:sz w:val="16"/>
          <w:szCs w:val="16"/>
          <w:lang w:val="es-ES_tradnl"/>
        </w:rPr>
        <w:t xml:space="preserve">. Sentencia de 26 de septiembre de 2006. Serie C No. 155. párr. </w:t>
      </w:r>
      <w:r w:rsidRPr="00B74E3A">
        <w:rPr>
          <w:rFonts w:ascii="Cambria" w:hAnsi="Cambria" w:cs="Arial"/>
          <w:sz w:val="16"/>
          <w:szCs w:val="16"/>
          <w:lang w:val="es-ES"/>
        </w:rPr>
        <w:t>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A1" w:rsidRDefault="00DA16A1" w:rsidP="0027741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DA16A1" w:rsidRDefault="00DA16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A1" w:rsidRDefault="00DA16A1" w:rsidP="00A50FCF">
    <w:pPr>
      <w:pStyle w:val="Header"/>
      <w:tabs>
        <w:tab w:val="clear" w:pos="4320"/>
        <w:tab w:val="clear" w:pos="8640"/>
      </w:tabs>
      <w:jc w:val="center"/>
      <w:rPr>
        <w:sz w:val="22"/>
        <w:szCs w:val="22"/>
      </w:rPr>
    </w:pPr>
    <w:r>
      <w:rPr>
        <w:noProof/>
        <w:sz w:val="22"/>
        <w:szCs w:val="22"/>
      </w:rPr>
      <w:drawing>
        <wp:inline distT="0" distB="0" distL="0" distR="0" wp14:anchorId="33D6B388" wp14:editId="4EB22C5E">
          <wp:extent cx="1972237" cy="104775"/>
          <wp:effectExtent l="0" t="0" r="9525" b="0"/>
          <wp:docPr id="13" name="Picture 1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DA16A1" w:rsidRPr="00EC7D62" w:rsidRDefault="00DA16A1" w:rsidP="00A50FCF">
    <w:pPr>
      <w:pStyle w:val="Header"/>
      <w:tabs>
        <w:tab w:val="clear" w:pos="4320"/>
        <w:tab w:val="clear" w:pos="8640"/>
      </w:tabs>
      <w:jc w:val="center"/>
      <w:rPr>
        <w:sz w:val="22"/>
        <w:szCs w:val="22"/>
      </w:rPr>
    </w:pPr>
    <w:r>
      <w:rPr>
        <w:sz w:val="22"/>
        <w:szCs w:val="22"/>
      </w:rPr>
      <w:pict w14:anchorId="245CE253">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DEF7F05"/>
    <w:multiLevelType w:val="hybridMultilevel"/>
    <w:tmpl w:val="9372E3AC"/>
    <w:lvl w:ilvl="0" w:tplc="FC46CBC4">
      <w:start w:val="1"/>
      <w:numFmt w:val="decimal"/>
      <w:lvlText w:val="%1."/>
      <w:lvlJc w:val="left"/>
      <w:pPr>
        <w:tabs>
          <w:tab w:val="num" w:pos="540"/>
        </w:tabs>
        <w:ind w:left="180" w:firstLine="720"/>
      </w:pPr>
      <w:rPr>
        <w:rFonts w:ascii="Cambria" w:hAnsi="Cambria" w:hint="default"/>
        <w:b w:val="0"/>
        <w:i w:val="0"/>
        <w:color w:val="auto"/>
        <w:sz w:val="20"/>
        <w:szCs w:val="20"/>
        <w:lang w:val="es-CO"/>
      </w:rPr>
    </w:lvl>
    <w:lvl w:ilvl="1" w:tplc="227C349A">
      <w:start w:val="223"/>
      <w:numFmt w:val="decimal"/>
      <w:lvlText w:val="%2."/>
      <w:lvlJc w:val="left"/>
      <w:pPr>
        <w:tabs>
          <w:tab w:val="num" w:pos="1560"/>
        </w:tabs>
        <w:ind w:left="1560" w:hanging="480"/>
      </w:pPr>
    </w:lvl>
    <w:lvl w:ilvl="2" w:tplc="562E7998">
      <w:start w:val="1"/>
      <w:numFmt w:val="decimal"/>
      <w:lvlText w:val="%3."/>
      <w:lvlJc w:val="left"/>
      <w:pPr>
        <w:tabs>
          <w:tab w:val="num" w:pos="2160"/>
        </w:tabs>
        <w:ind w:left="2160" w:hanging="360"/>
      </w:pPr>
      <w:rPr>
        <w:rFonts w:ascii="Cambria" w:eastAsia="Batang" w:hAnsi="Cambria"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0714FBF"/>
    <w:multiLevelType w:val="hybridMultilevel"/>
    <w:tmpl w:val="2F80CE2C"/>
    <w:lvl w:ilvl="0" w:tplc="0D4C857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7D335F"/>
    <w:multiLevelType w:val="hybridMultilevel"/>
    <w:tmpl w:val="68C025B8"/>
    <w:lvl w:ilvl="0" w:tplc="53F8C918">
      <w:start w:val="1"/>
      <w:numFmt w:val="decimal"/>
      <w:lvlText w:val="%1."/>
      <w:lvlJc w:val="left"/>
      <w:pPr>
        <w:tabs>
          <w:tab w:val="num" w:pos="540"/>
        </w:tabs>
        <w:ind w:left="180" w:firstLine="720"/>
      </w:pPr>
      <w:rPr>
        <w:rFonts w:ascii="Cambria" w:hAnsi="Cambria" w:hint="default"/>
        <w:b/>
        <w:i w:val="0"/>
        <w:color w:val="auto"/>
        <w:sz w:val="20"/>
        <w:szCs w:val="20"/>
        <w:lang w:val="es-CO"/>
      </w:rPr>
    </w:lvl>
    <w:lvl w:ilvl="1" w:tplc="227C349A">
      <w:start w:val="223"/>
      <w:numFmt w:val="decimal"/>
      <w:lvlText w:val="%2."/>
      <w:lvlJc w:val="left"/>
      <w:pPr>
        <w:tabs>
          <w:tab w:val="num" w:pos="1560"/>
        </w:tabs>
        <w:ind w:left="1560" w:hanging="480"/>
      </w:pPr>
    </w:lvl>
    <w:lvl w:ilvl="2" w:tplc="562E7998">
      <w:start w:val="1"/>
      <w:numFmt w:val="decimal"/>
      <w:lvlText w:val="%3."/>
      <w:lvlJc w:val="left"/>
      <w:pPr>
        <w:tabs>
          <w:tab w:val="num" w:pos="2160"/>
        </w:tabs>
        <w:ind w:left="2160" w:hanging="360"/>
      </w:pPr>
      <w:rPr>
        <w:rFonts w:ascii="Cambria" w:eastAsia="Batang" w:hAnsi="Cambria"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FA4240"/>
    <w:multiLevelType w:val="hybridMultilevel"/>
    <w:tmpl w:val="78DCEC12"/>
    <w:lvl w:ilvl="0" w:tplc="A7389466">
      <w:start w:val="1"/>
      <w:numFmt w:val="upp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AEF44E0"/>
    <w:multiLevelType w:val="hybridMultilevel"/>
    <w:tmpl w:val="BFC8CBA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1ED15A8"/>
    <w:multiLevelType w:val="hybridMultilevel"/>
    <w:tmpl w:val="66B6C2B2"/>
    <w:lvl w:ilvl="0" w:tplc="FC46CBC4">
      <w:start w:val="1"/>
      <w:numFmt w:val="decimal"/>
      <w:lvlText w:val="%1."/>
      <w:lvlJc w:val="left"/>
      <w:pPr>
        <w:tabs>
          <w:tab w:val="num" w:pos="540"/>
        </w:tabs>
        <w:ind w:left="180" w:firstLine="720"/>
      </w:pPr>
      <w:rPr>
        <w:rFonts w:ascii="Cambria" w:hAnsi="Cambria" w:hint="default"/>
        <w:b w:val="0"/>
        <w:i w:val="0"/>
        <w:color w:val="auto"/>
        <w:sz w:val="20"/>
        <w:szCs w:val="20"/>
        <w:lang w:val="es-CO"/>
      </w:rPr>
    </w:lvl>
    <w:lvl w:ilvl="1" w:tplc="227C349A">
      <w:start w:val="223"/>
      <w:numFmt w:val="decimal"/>
      <w:lvlText w:val="%2."/>
      <w:lvlJc w:val="left"/>
      <w:pPr>
        <w:tabs>
          <w:tab w:val="num" w:pos="1560"/>
        </w:tabs>
        <w:ind w:left="1560" w:hanging="480"/>
      </w:pPr>
    </w:lvl>
    <w:lvl w:ilvl="2" w:tplc="562E7998">
      <w:start w:val="1"/>
      <w:numFmt w:val="decimal"/>
      <w:lvlText w:val="%3."/>
      <w:lvlJc w:val="left"/>
      <w:pPr>
        <w:tabs>
          <w:tab w:val="num" w:pos="2160"/>
        </w:tabs>
        <w:ind w:left="2160" w:hanging="360"/>
      </w:pPr>
      <w:rPr>
        <w:rFonts w:ascii="Cambria" w:eastAsia="Batang" w:hAnsi="Cambria"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0786ED7"/>
    <w:multiLevelType w:val="hybridMultilevel"/>
    <w:tmpl w:val="D0DE5646"/>
    <w:lvl w:ilvl="0" w:tplc="56E62606">
      <w:start w:val="1"/>
      <w:numFmt w:val="upperRoman"/>
      <w:pStyle w:val="Heading1"/>
      <w:lvlText w:val="%1."/>
      <w:lvlJc w:val="left"/>
      <w:pPr>
        <w:ind w:left="720" w:hanging="360"/>
      </w:pPr>
      <w:rPr>
        <w:rFonts w:hint="default"/>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4F05D28"/>
    <w:multiLevelType w:val="hybridMultilevel"/>
    <w:tmpl w:val="09DED11A"/>
    <w:lvl w:ilvl="0" w:tplc="562E7998">
      <w:start w:val="1"/>
      <w:numFmt w:val="decimal"/>
      <w:lvlText w:val="%1."/>
      <w:lvlJc w:val="left"/>
      <w:pPr>
        <w:tabs>
          <w:tab w:val="num" w:pos="2160"/>
        </w:tabs>
        <w:ind w:left="2160" w:hanging="360"/>
      </w:pPr>
      <w:rPr>
        <w:rFonts w:ascii="Cambria" w:eastAsia="Batang"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5"/>
  </w:num>
  <w:num w:numId="4">
    <w:abstractNumId w:val="22"/>
  </w:num>
  <w:num w:numId="5">
    <w:abstractNumId w:val="48"/>
  </w:num>
  <w:num w:numId="6">
    <w:abstractNumId w:val="27"/>
  </w:num>
  <w:num w:numId="7">
    <w:abstractNumId w:val="5"/>
  </w:num>
  <w:num w:numId="8">
    <w:abstractNumId w:val="17"/>
  </w:num>
  <w:num w:numId="9">
    <w:abstractNumId w:val="42"/>
  </w:num>
  <w:num w:numId="10">
    <w:abstractNumId w:val="0"/>
  </w:num>
  <w:num w:numId="11">
    <w:abstractNumId w:val="37"/>
  </w:num>
  <w:num w:numId="12">
    <w:abstractNumId w:val="38"/>
  </w:num>
  <w:num w:numId="13">
    <w:abstractNumId w:val="43"/>
  </w:num>
  <w:num w:numId="14">
    <w:abstractNumId w:val="1"/>
  </w:num>
  <w:num w:numId="15">
    <w:abstractNumId w:val="2"/>
  </w:num>
  <w:num w:numId="16">
    <w:abstractNumId w:val="6"/>
  </w:num>
  <w:num w:numId="17">
    <w:abstractNumId w:val="7"/>
  </w:num>
  <w:num w:numId="18">
    <w:abstractNumId w:val="9"/>
  </w:num>
  <w:num w:numId="19">
    <w:abstractNumId w:val="10"/>
  </w:num>
  <w:num w:numId="20">
    <w:abstractNumId w:val="11"/>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6"/>
  </w:num>
  <w:num w:numId="42">
    <w:abstractNumId w:val="49"/>
  </w:num>
  <w:num w:numId="43">
    <w:abstractNumId w:val="50"/>
  </w:num>
  <w:num w:numId="44">
    <w:abstractNumId w:val="52"/>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0"/>
  </w:num>
  <w:num w:numId="52">
    <w:abstractNumId w:val="41"/>
  </w:num>
  <w:num w:numId="53">
    <w:abstractNumId w:val="51"/>
  </w:num>
  <w:num w:numId="54">
    <w:abstractNumId w:val="45"/>
  </w:num>
  <w:num w:numId="55">
    <w:abstractNumId w:val="47"/>
  </w:num>
  <w:num w:numId="56">
    <w:abstractNumId w:val="31"/>
  </w:num>
  <w:num w:numId="57">
    <w:abstractNumId w:val="21"/>
  </w:num>
  <w:num w:numId="58">
    <w:abstractNumId w:val="53"/>
  </w:num>
  <w:num w:numId="59">
    <w:abstractNumId w:val="51"/>
    <w:lvlOverride w:ilvl="0">
      <w:startOverride w:val="4"/>
    </w:lvlOverride>
  </w:num>
  <w:num w:numId="60">
    <w:abstractNumId w:val="8"/>
  </w:num>
  <w:num w:numId="61">
    <w:abstractNumId w:val="47"/>
    <w:lvlOverride w:ilvl="0">
      <w:startOverride w:val="1"/>
    </w:lvlOverride>
    <w:lvlOverride w:ilvl="1">
      <w:startOverride w:val="2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1"/>
  </w:num>
  <w:num w:numId="63">
    <w:abstractNumId w:val="51"/>
  </w:num>
  <w:num w:numId="64">
    <w:abstractNumId w:val="44"/>
  </w:num>
  <w:num w:numId="65">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hdrShapeDefaults>
    <o:shapedefaults v:ext="edit" spidmax="18434"/>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1590"/>
    <w:rsid w:val="00002F5B"/>
    <w:rsid w:val="00006E1F"/>
    <w:rsid w:val="000070D7"/>
    <w:rsid w:val="00011C9A"/>
    <w:rsid w:val="000164FB"/>
    <w:rsid w:val="0001788C"/>
    <w:rsid w:val="00030F7D"/>
    <w:rsid w:val="00032103"/>
    <w:rsid w:val="00036EF7"/>
    <w:rsid w:val="0003702B"/>
    <w:rsid w:val="00037539"/>
    <w:rsid w:val="00037754"/>
    <w:rsid w:val="00040C3A"/>
    <w:rsid w:val="00041078"/>
    <w:rsid w:val="0004360D"/>
    <w:rsid w:val="0004756C"/>
    <w:rsid w:val="0005113F"/>
    <w:rsid w:val="0005750E"/>
    <w:rsid w:val="0005764E"/>
    <w:rsid w:val="00057F96"/>
    <w:rsid w:val="00060534"/>
    <w:rsid w:val="00063FDD"/>
    <w:rsid w:val="0006632C"/>
    <w:rsid w:val="000702DC"/>
    <w:rsid w:val="00070CE9"/>
    <w:rsid w:val="000716C5"/>
    <w:rsid w:val="00073669"/>
    <w:rsid w:val="00075A65"/>
    <w:rsid w:val="00075E23"/>
    <w:rsid w:val="0008442D"/>
    <w:rsid w:val="00085FF6"/>
    <w:rsid w:val="00086C21"/>
    <w:rsid w:val="00093038"/>
    <w:rsid w:val="0009344A"/>
    <w:rsid w:val="00094C9E"/>
    <w:rsid w:val="000973E6"/>
    <w:rsid w:val="000976C3"/>
    <w:rsid w:val="00097B51"/>
    <w:rsid w:val="000A0878"/>
    <w:rsid w:val="000A1192"/>
    <w:rsid w:val="000A2E76"/>
    <w:rsid w:val="000A392E"/>
    <w:rsid w:val="000A575F"/>
    <w:rsid w:val="000A59BD"/>
    <w:rsid w:val="000A5DBD"/>
    <w:rsid w:val="000A5F31"/>
    <w:rsid w:val="000B0C66"/>
    <w:rsid w:val="000B36BF"/>
    <w:rsid w:val="000B6AD6"/>
    <w:rsid w:val="000C24D3"/>
    <w:rsid w:val="000C4B68"/>
    <w:rsid w:val="000C4E2A"/>
    <w:rsid w:val="000D0E5B"/>
    <w:rsid w:val="000D10DB"/>
    <w:rsid w:val="000D2285"/>
    <w:rsid w:val="000D2B27"/>
    <w:rsid w:val="000E2EA3"/>
    <w:rsid w:val="000E3D70"/>
    <w:rsid w:val="000E3F62"/>
    <w:rsid w:val="000E5EB5"/>
    <w:rsid w:val="000E62DB"/>
    <w:rsid w:val="000F17B7"/>
    <w:rsid w:val="000F216B"/>
    <w:rsid w:val="000F35ED"/>
    <w:rsid w:val="001020A9"/>
    <w:rsid w:val="00103DC0"/>
    <w:rsid w:val="00107131"/>
    <w:rsid w:val="0010736F"/>
    <w:rsid w:val="00107587"/>
    <w:rsid w:val="00113F73"/>
    <w:rsid w:val="001162E9"/>
    <w:rsid w:val="001171EB"/>
    <w:rsid w:val="00117813"/>
    <w:rsid w:val="001212F0"/>
    <w:rsid w:val="00121CC2"/>
    <w:rsid w:val="00126EDD"/>
    <w:rsid w:val="00126FA7"/>
    <w:rsid w:val="0013064E"/>
    <w:rsid w:val="00131CC5"/>
    <w:rsid w:val="00133EE5"/>
    <w:rsid w:val="0013424E"/>
    <w:rsid w:val="001352C5"/>
    <w:rsid w:val="00137CB4"/>
    <w:rsid w:val="0014209A"/>
    <w:rsid w:val="00143C8B"/>
    <w:rsid w:val="00144E4F"/>
    <w:rsid w:val="00146EF5"/>
    <w:rsid w:val="00147F4A"/>
    <w:rsid w:val="00152DA3"/>
    <w:rsid w:val="001538A9"/>
    <w:rsid w:val="00153A0E"/>
    <w:rsid w:val="00164B27"/>
    <w:rsid w:val="00165EC6"/>
    <w:rsid w:val="00166EB7"/>
    <w:rsid w:val="00167A34"/>
    <w:rsid w:val="00167E85"/>
    <w:rsid w:val="0017085D"/>
    <w:rsid w:val="00170D38"/>
    <w:rsid w:val="0017712B"/>
    <w:rsid w:val="00186187"/>
    <w:rsid w:val="001869F6"/>
    <w:rsid w:val="00190CD3"/>
    <w:rsid w:val="0019220D"/>
    <w:rsid w:val="00193457"/>
    <w:rsid w:val="00194F04"/>
    <w:rsid w:val="00195624"/>
    <w:rsid w:val="001966F2"/>
    <w:rsid w:val="001A0B3F"/>
    <w:rsid w:val="001A1790"/>
    <w:rsid w:val="001A1E6D"/>
    <w:rsid w:val="001A2392"/>
    <w:rsid w:val="001A5EAC"/>
    <w:rsid w:val="001A683B"/>
    <w:rsid w:val="001A7870"/>
    <w:rsid w:val="001B0FB2"/>
    <w:rsid w:val="001B4171"/>
    <w:rsid w:val="001C035F"/>
    <w:rsid w:val="001C1B41"/>
    <w:rsid w:val="001C25F8"/>
    <w:rsid w:val="001C2900"/>
    <w:rsid w:val="001C3DD3"/>
    <w:rsid w:val="001C6DDB"/>
    <w:rsid w:val="001C73E6"/>
    <w:rsid w:val="001D1087"/>
    <w:rsid w:val="001D50E8"/>
    <w:rsid w:val="001D65EF"/>
    <w:rsid w:val="001E735F"/>
    <w:rsid w:val="001F1C05"/>
    <w:rsid w:val="001F1E17"/>
    <w:rsid w:val="001F262C"/>
    <w:rsid w:val="001F30AC"/>
    <w:rsid w:val="002046F2"/>
    <w:rsid w:val="00210441"/>
    <w:rsid w:val="0021377B"/>
    <w:rsid w:val="00215D7C"/>
    <w:rsid w:val="00216452"/>
    <w:rsid w:val="0022016F"/>
    <w:rsid w:val="00224239"/>
    <w:rsid w:val="002250A3"/>
    <w:rsid w:val="00226176"/>
    <w:rsid w:val="00227E0F"/>
    <w:rsid w:val="00232C8A"/>
    <w:rsid w:val="00235217"/>
    <w:rsid w:val="00235377"/>
    <w:rsid w:val="00235F26"/>
    <w:rsid w:val="00236E83"/>
    <w:rsid w:val="00237CE7"/>
    <w:rsid w:val="00244445"/>
    <w:rsid w:val="002459E5"/>
    <w:rsid w:val="00246D1F"/>
    <w:rsid w:val="00247403"/>
    <w:rsid w:val="00247542"/>
    <w:rsid w:val="002503B7"/>
    <w:rsid w:val="002504F6"/>
    <w:rsid w:val="00250BB8"/>
    <w:rsid w:val="00254CD4"/>
    <w:rsid w:val="0025597B"/>
    <w:rsid w:val="00256DF9"/>
    <w:rsid w:val="002605B6"/>
    <w:rsid w:val="00261A37"/>
    <w:rsid w:val="00263798"/>
    <w:rsid w:val="002658C8"/>
    <w:rsid w:val="00266B61"/>
    <w:rsid w:val="0026712A"/>
    <w:rsid w:val="002704DB"/>
    <w:rsid w:val="002740EE"/>
    <w:rsid w:val="00275229"/>
    <w:rsid w:val="00276E52"/>
    <w:rsid w:val="002772EF"/>
    <w:rsid w:val="00277412"/>
    <w:rsid w:val="002848C6"/>
    <w:rsid w:val="00284980"/>
    <w:rsid w:val="0028606C"/>
    <w:rsid w:val="00290FFE"/>
    <w:rsid w:val="002916A6"/>
    <w:rsid w:val="00291E3D"/>
    <w:rsid w:val="002924B1"/>
    <w:rsid w:val="00295150"/>
    <w:rsid w:val="00295A68"/>
    <w:rsid w:val="002A0AAE"/>
    <w:rsid w:val="002A5820"/>
    <w:rsid w:val="002A64B9"/>
    <w:rsid w:val="002A74DB"/>
    <w:rsid w:val="002B08CD"/>
    <w:rsid w:val="002B2315"/>
    <w:rsid w:val="002B5C6C"/>
    <w:rsid w:val="002B6EE3"/>
    <w:rsid w:val="002B7BF8"/>
    <w:rsid w:val="002C22F5"/>
    <w:rsid w:val="002C2F00"/>
    <w:rsid w:val="002D2B26"/>
    <w:rsid w:val="002D7634"/>
    <w:rsid w:val="002D7EA2"/>
    <w:rsid w:val="002E187C"/>
    <w:rsid w:val="002E2F48"/>
    <w:rsid w:val="002F2B57"/>
    <w:rsid w:val="002F3305"/>
    <w:rsid w:val="002F594E"/>
    <w:rsid w:val="00300016"/>
    <w:rsid w:val="00302733"/>
    <w:rsid w:val="0030299D"/>
    <w:rsid w:val="00303582"/>
    <w:rsid w:val="003114F3"/>
    <w:rsid w:val="00314078"/>
    <w:rsid w:val="00314A50"/>
    <w:rsid w:val="0031535D"/>
    <w:rsid w:val="00316ED4"/>
    <w:rsid w:val="00316F4A"/>
    <w:rsid w:val="0032456B"/>
    <w:rsid w:val="00325809"/>
    <w:rsid w:val="00327F73"/>
    <w:rsid w:val="0033169F"/>
    <w:rsid w:val="00332B40"/>
    <w:rsid w:val="0033359F"/>
    <w:rsid w:val="00333714"/>
    <w:rsid w:val="003339EE"/>
    <w:rsid w:val="00335090"/>
    <w:rsid w:val="00335942"/>
    <w:rsid w:val="003421E7"/>
    <w:rsid w:val="003466F6"/>
    <w:rsid w:val="00346C95"/>
    <w:rsid w:val="00352936"/>
    <w:rsid w:val="003532F2"/>
    <w:rsid w:val="00353857"/>
    <w:rsid w:val="00354048"/>
    <w:rsid w:val="00356185"/>
    <w:rsid w:val="0035783E"/>
    <w:rsid w:val="00360380"/>
    <w:rsid w:val="0036131F"/>
    <w:rsid w:val="003643B5"/>
    <w:rsid w:val="00365FF9"/>
    <w:rsid w:val="003709F9"/>
    <w:rsid w:val="00371DCB"/>
    <w:rsid w:val="0037519E"/>
    <w:rsid w:val="00377BBF"/>
    <w:rsid w:val="00380424"/>
    <w:rsid w:val="00386CF0"/>
    <w:rsid w:val="0038733A"/>
    <w:rsid w:val="003A164F"/>
    <w:rsid w:val="003A2CE3"/>
    <w:rsid w:val="003A2D38"/>
    <w:rsid w:val="003A46E4"/>
    <w:rsid w:val="003A5C0E"/>
    <w:rsid w:val="003A655B"/>
    <w:rsid w:val="003B0CE7"/>
    <w:rsid w:val="003B1E4A"/>
    <w:rsid w:val="003B56B9"/>
    <w:rsid w:val="003B5A0D"/>
    <w:rsid w:val="003B61D3"/>
    <w:rsid w:val="003B75A1"/>
    <w:rsid w:val="003C0FB7"/>
    <w:rsid w:val="003C132E"/>
    <w:rsid w:val="003C30DC"/>
    <w:rsid w:val="003C4071"/>
    <w:rsid w:val="003C48E0"/>
    <w:rsid w:val="003C63E7"/>
    <w:rsid w:val="003C676B"/>
    <w:rsid w:val="003C7A4B"/>
    <w:rsid w:val="003D3BC2"/>
    <w:rsid w:val="003D57AD"/>
    <w:rsid w:val="003E2E31"/>
    <w:rsid w:val="003E6CA1"/>
    <w:rsid w:val="003E7ADA"/>
    <w:rsid w:val="003E7B5D"/>
    <w:rsid w:val="003F22E6"/>
    <w:rsid w:val="003F4149"/>
    <w:rsid w:val="003F4E53"/>
    <w:rsid w:val="003F596D"/>
    <w:rsid w:val="003F7B75"/>
    <w:rsid w:val="00405398"/>
    <w:rsid w:val="004069CD"/>
    <w:rsid w:val="00407A68"/>
    <w:rsid w:val="004106E0"/>
    <w:rsid w:val="004115A2"/>
    <w:rsid w:val="00415253"/>
    <w:rsid w:val="004165C2"/>
    <w:rsid w:val="00420C8D"/>
    <w:rsid w:val="00421656"/>
    <w:rsid w:val="00421771"/>
    <w:rsid w:val="004218CB"/>
    <w:rsid w:val="00422C78"/>
    <w:rsid w:val="004308C2"/>
    <w:rsid w:val="0043274D"/>
    <w:rsid w:val="004358A0"/>
    <w:rsid w:val="00436151"/>
    <w:rsid w:val="00440F36"/>
    <w:rsid w:val="00441ECB"/>
    <w:rsid w:val="00443892"/>
    <w:rsid w:val="00446F5D"/>
    <w:rsid w:val="004524E4"/>
    <w:rsid w:val="0046209D"/>
    <w:rsid w:val="00462769"/>
    <w:rsid w:val="00466A5A"/>
    <w:rsid w:val="00467B7E"/>
    <w:rsid w:val="0047066D"/>
    <w:rsid w:val="00470A95"/>
    <w:rsid w:val="00473A2F"/>
    <w:rsid w:val="00477592"/>
    <w:rsid w:val="00486F1C"/>
    <w:rsid w:val="00487B2F"/>
    <w:rsid w:val="00491145"/>
    <w:rsid w:val="00492DFB"/>
    <w:rsid w:val="0049322F"/>
    <w:rsid w:val="0049419D"/>
    <w:rsid w:val="00497A47"/>
    <w:rsid w:val="004A4612"/>
    <w:rsid w:val="004A5C6F"/>
    <w:rsid w:val="004B22D6"/>
    <w:rsid w:val="004B5810"/>
    <w:rsid w:val="004C20D2"/>
    <w:rsid w:val="004C2CF6"/>
    <w:rsid w:val="004C355E"/>
    <w:rsid w:val="004C4B62"/>
    <w:rsid w:val="004C54C9"/>
    <w:rsid w:val="004D2327"/>
    <w:rsid w:val="004D6025"/>
    <w:rsid w:val="004D7CD1"/>
    <w:rsid w:val="004E0355"/>
    <w:rsid w:val="004E2649"/>
    <w:rsid w:val="004E2B8C"/>
    <w:rsid w:val="004E6A2D"/>
    <w:rsid w:val="004F160F"/>
    <w:rsid w:val="004F16F8"/>
    <w:rsid w:val="004F2339"/>
    <w:rsid w:val="004F289C"/>
    <w:rsid w:val="004F3FE0"/>
    <w:rsid w:val="00501399"/>
    <w:rsid w:val="00502988"/>
    <w:rsid w:val="005029D4"/>
    <w:rsid w:val="00504A77"/>
    <w:rsid w:val="00504F6A"/>
    <w:rsid w:val="0050633D"/>
    <w:rsid w:val="00506B68"/>
    <w:rsid w:val="005077E1"/>
    <w:rsid w:val="00507BC4"/>
    <w:rsid w:val="005128E4"/>
    <w:rsid w:val="005133DB"/>
    <w:rsid w:val="00523082"/>
    <w:rsid w:val="00523973"/>
    <w:rsid w:val="00525560"/>
    <w:rsid w:val="00533BEC"/>
    <w:rsid w:val="00534052"/>
    <w:rsid w:val="005361B4"/>
    <w:rsid w:val="0053777B"/>
    <w:rsid w:val="00540805"/>
    <w:rsid w:val="0054255B"/>
    <w:rsid w:val="00543388"/>
    <w:rsid w:val="0054357F"/>
    <w:rsid w:val="00544C49"/>
    <w:rsid w:val="0054566E"/>
    <w:rsid w:val="00546F81"/>
    <w:rsid w:val="00547A62"/>
    <w:rsid w:val="005516A1"/>
    <w:rsid w:val="00554BFE"/>
    <w:rsid w:val="005552D3"/>
    <w:rsid w:val="005560F6"/>
    <w:rsid w:val="00556334"/>
    <w:rsid w:val="005572E8"/>
    <w:rsid w:val="00557D2F"/>
    <w:rsid w:val="005606A6"/>
    <w:rsid w:val="00560D9E"/>
    <w:rsid w:val="00561965"/>
    <w:rsid w:val="00561F46"/>
    <w:rsid w:val="00562394"/>
    <w:rsid w:val="00563176"/>
    <w:rsid w:val="005712A8"/>
    <w:rsid w:val="00572DCE"/>
    <w:rsid w:val="0057402A"/>
    <w:rsid w:val="00576690"/>
    <w:rsid w:val="005771D0"/>
    <w:rsid w:val="00582477"/>
    <w:rsid w:val="0058334C"/>
    <w:rsid w:val="00583E78"/>
    <w:rsid w:val="00585C43"/>
    <w:rsid w:val="0059191A"/>
    <w:rsid w:val="00591B43"/>
    <w:rsid w:val="005921FF"/>
    <w:rsid w:val="0059283A"/>
    <w:rsid w:val="00592B13"/>
    <w:rsid w:val="00593CC1"/>
    <w:rsid w:val="00593F40"/>
    <w:rsid w:val="005A6D0E"/>
    <w:rsid w:val="005A7A46"/>
    <w:rsid w:val="005B080C"/>
    <w:rsid w:val="005B0F1E"/>
    <w:rsid w:val="005B42EE"/>
    <w:rsid w:val="005B52B0"/>
    <w:rsid w:val="005B6806"/>
    <w:rsid w:val="005B7945"/>
    <w:rsid w:val="005B7F98"/>
    <w:rsid w:val="005C1AAD"/>
    <w:rsid w:val="005C2AF2"/>
    <w:rsid w:val="005C4225"/>
    <w:rsid w:val="005C4ADD"/>
    <w:rsid w:val="005C4D4A"/>
    <w:rsid w:val="005C61BA"/>
    <w:rsid w:val="005C6791"/>
    <w:rsid w:val="005C6994"/>
    <w:rsid w:val="005D048E"/>
    <w:rsid w:val="005D187E"/>
    <w:rsid w:val="005D1AF8"/>
    <w:rsid w:val="005E174B"/>
    <w:rsid w:val="005E6607"/>
    <w:rsid w:val="005E6EB0"/>
    <w:rsid w:val="005F0DAD"/>
    <w:rsid w:val="005F0F33"/>
    <w:rsid w:val="005F5B8D"/>
    <w:rsid w:val="005F605B"/>
    <w:rsid w:val="00600DEB"/>
    <w:rsid w:val="006030BF"/>
    <w:rsid w:val="00604F7A"/>
    <w:rsid w:val="0061222C"/>
    <w:rsid w:val="00613482"/>
    <w:rsid w:val="00613624"/>
    <w:rsid w:val="0061706C"/>
    <w:rsid w:val="00617E46"/>
    <w:rsid w:val="00620F80"/>
    <w:rsid w:val="00623F12"/>
    <w:rsid w:val="0062771F"/>
    <w:rsid w:val="006277F1"/>
    <w:rsid w:val="00627C73"/>
    <w:rsid w:val="00627C9F"/>
    <w:rsid w:val="006311E9"/>
    <w:rsid w:val="00632354"/>
    <w:rsid w:val="006352F7"/>
    <w:rsid w:val="006373F0"/>
    <w:rsid w:val="00640A21"/>
    <w:rsid w:val="00642810"/>
    <w:rsid w:val="00643663"/>
    <w:rsid w:val="0064466E"/>
    <w:rsid w:val="006452CE"/>
    <w:rsid w:val="006453D4"/>
    <w:rsid w:val="006454F7"/>
    <w:rsid w:val="00646DF2"/>
    <w:rsid w:val="00651237"/>
    <w:rsid w:val="0065146E"/>
    <w:rsid w:val="006515B2"/>
    <w:rsid w:val="00652333"/>
    <w:rsid w:val="00652437"/>
    <w:rsid w:val="0066386D"/>
    <w:rsid w:val="00670BC7"/>
    <w:rsid w:val="00671D0F"/>
    <w:rsid w:val="0067559B"/>
    <w:rsid w:val="00675F41"/>
    <w:rsid w:val="00677A5E"/>
    <w:rsid w:val="0068009E"/>
    <w:rsid w:val="00681F5B"/>
    <w:rsid w:val="006855AC"/>
    <w:rsid w:val="006860BE"/>
    <w:rsid w:val="00692219"/>
    <w:rsid w:val="00692B55"/>
    <w:rsid w:val="006A17D2"/>
    <w:rsid w:val="006A73E6"/>
    <w:rsid w:val="006B2D5C"/>
    <w:rsid w:val="006B2D88"/>
    <w:rsid w:val="006B55EF"/>
    <w:rsid w:val="006B7B8E"/>
    <w:rsid w:val="006C1D45"/>
    <w:rsid w:val="006C213B"/>
    <w:rsid w:val="006C4EB1"/>
    <w:rsid w:val="006C5722"/>
    <w:rsid w:val="006C6AEE"/>
    <w:rsid w:val="006C7F40"/>
    <w:rsid w:val="006D0099"/>
    <w:rsid w:val="006D598C"/>
    <w:rsid w:val="006D7767"/>
    <w:rsid w:val="006E0166"/>
    <w:rsid w:val="006E182E"/>
    <w:rsid w:val="006E1AA5"/>
    <w:rsid w:val="006E1ED2"/>
    <w:rsid w:val="006E5077"/>
    <w:rsid w:val="006E6220"/>
    <w:rsid w:val="006E7B34"/>
    <w:rsid w:val="006F117F"/>
    <w:rsid w:val="006F2F18"/>
    <w:rsid w:val="006F34F3"/>
    <w:rsid w:val="0070090A"/>
    <w:rsid w:val="00704CE3"/>
    <w:rsid w:val="0070697F"/>
    <w:rsid w:val="00707512"/>
    <w:rsid w:val="007111F4"/>
    <w:rsid w:val="0071178F"/>
    <w:rsid w:val="00714E4A"/>
    <w:rsid w:val="0072199C"/>
    <w:rsid w:val="007225F3"/>
    <w:rsid w:val="00722C9F"/>
    <w:rsid w:val="0072309C"/>
    <w:rsid w:val="007253B8"/>
    <w:rsid w:val="007345A4"/>
    <w:rsid w:val="0073741F"/>
    <w:rsid w:val="007418F1"/>
    <w:rsid w:val="007440E4"/>
    <w:rsid w:val="00746BCF"/>
    <w:rsid w:val="007473A7"/>
    <w:rsid w:val="00747E89"/>
    <w:rsid w:val="00747FE2"/>
    <w:rsid w:val="00750771"/>
    <w:rsid w:val="00751F95"/>
    <w:rsid w:val="0075334D"/>
    <w:rsid w:val="00754CA3"/>
    <w:rsid w:val="00756584"/>
    <w:rsid w:val="00756BFE"/>
    <w:rsid w:val="00763468"/>
    <w:rsid w:val="0076643F"/>
    <w:rsid w:val="00770677"/>
    <w:rsid w:val="00777573"/>
    <w:rsid w:val="00777F63"/>
    <w:rsid w:val="00784557"/>
    <w:rsid w:val="00785E1C"/>
    <w:rsid w:val="0078688F"/>
    <w:rsid w:val="00790F71"/>
    <w:rsid w:val="007913B9"/>
    <w:rsid w:val="00795F5E"/>
    <w:rsid w:val="007A4BD3"/>
    <w:rsid w:val="007A4E72"/>
    <w:rsid w:val="007A5817"/>
    <w:rsid w:val="007A5940"/>
    <w:rsid w:val="007A6CD2"/>
    <w:rsid w:val="007B0A94"/>
    <w:rsid w:val="007B320C"/>
    <w:rsid w:val="007B60E9"/>
    <w:rsid w:val="007B6CC3"/>
    <w:rsid w:val="007C04E1"/>
    <w:rsid w:val="007C1C8D"/>
    <w:rsid w:val="007C3334"/>
    <w:rsid w:val="007C3EFA"/>
    <w:rsid w:val="007C5521"/>
    <w:rsid w:val="007D2B98"/>
    <w:rsid w:val="007D72BF"/>
    <w:rsid w:val="007D7B75"/>
    <w:rsid w:val="007E21BC"/>
    <w:rsid w:val="007E32A6"/>
    <w:rsid w:val="007E504D"/>
    <w:rsid w:val="007E6813"/>
    <w:rsid w:val="007E7FAA"/>
    <w:rsid w:val="007F09DC"/>
    <w:rsid w:val="007F1DE4"/>
    <w:rsid w:val="00800AC9"/>
    <w:rsid w:val="00802569"/>
    <w:rsid w:val="00802641"/>
    <w:rsid w:val="00802C2B"/>
    <w:rsid w:val="00802D56"/>
    <w:rsid w:val="00802F22"/>
    <w:rsid w:val="00803F1C"/>
    <w:rsid w:val="0080600E"/>
    <w:rsid w:val="00811013"/>
    <w:rsid w:val="008134BC"/>
    <w:rsid w:val="00813FB3"/>
    <w:rsid w:val="008140C0"/>
    <w:rsid w:val="00815B95"/>
    <w:rsid w:val="00817492"/>
    <w:rsid w:val="00817612"/>
    <w:rsid w:val="00820491"/>
    <w:rsid w:val="0082173F"/>
    <w:rsid w:val="00823B43"/>
    <w:rsid w:val="00830EBD"/>
    <w:rsid w:val="008314CA"/>
    <w:rsid w:val="0083318B"/>
    <w:rsid w:val="008338A4"/>
    <w:rsid w:val="00837C45"/>
    <w:rsid w:val="008404AC"/>
    <w:rsid w:val="0084215A"/>
    <w:rsid w:val="00842B1C"/>
    <w:rsid w:val="008436FB"/>
    <w:rsid w:val="00844730"/>
    <w:rsid w:val="008457C2"/>
    <w:rsid w:val="00846C29"/>
    <w:rsid w:val="00847FCD"/>
    <w:rsid w:val="00851452"/>
    <w:rsid w:val="0085560B"/>
    <w:rsid w:val="00857596"/>
    <w:rsid w:val="00857A82"/>
    <w:rsid w:val="00857B7D"/>
    <w:rsid w:val="008620A5"/>
    <w:rsid w:val="00864686"/>
    <w:rsid w:val="00865298"/>
    <w:rsid w:val="00870CE6"/>
    <w:rsid w:val="00870EA8"/>
    <w:rsid w:val="00872D01"/>
    <w:rsid w:val="008737AB"/>
    <w:rsid w:val="00873836"/>
    <w:rsid w:val="00875601"/>
    <w:rsid w:val="008850E9"/>
    <w:rsid w:val="00885737"/>
    <w:rsid w:val="00890650"/>
    <w:rsid w:val="008926A2"/>
    <w:rsid w:val="008931D1"/>
    <w:rsid w:val="008970B7"/>
    <w:rsid w:val="008971A2"/>
    <w:rsid w:val="00897E12"/>
    <w:rsid w:val="008A1082"/>
    <w:rsid w:val="008A116F"/>
    <w:rsid w:val="008A1ED4"/>
    <w:rsid w:val="008A70E8"/>
    <w:rsid w:val="008A7E0F"/>
    <w:rsid w:val="008B1291"/>
    <w:rsid w:val="008B12F5"/>
    <w:rsid w:val="008B40E2"/>
    <w:rsid w:val="008B7350"/>
    <w:rsid w:val="008C0DD0"/>
    <w:rsid w:val="008C25B0"/>
    <w:rsid w:val="008C475B"/>
    <w:rsid w:val="008C5447"/>
    <w:rsid w:val="008C6FA5"/>
    <w:rsid w:val="008D2971"/>
    <w:rsid w:val="008D2E85"/>
    <w:rsid w:val="008D768D"/>
    <w:rsid w:val="008E3759"/>
    <w:rsid w:val="008E3A37"/>
    <w:rsid w:val="008E4154"/>
    <w:rsid w:val="008F1912"/>
    <w:rsid w:val="008F32F2"/>
    <w:rsid w:val="008F5531"/>
    <w:rsid w:val="00900181"/>
    <w:rsid w:val="00900ED5"/>
    <w:rsid w:val="009014B1"/>
    <w:rsid w:val="00901A2E"/>
    <w:rsid w:val="00902224"/>
    <w:rsid w:val="0090270B"/>
    <w:rsid w:val="009028B1"/>
    <w:rsid w:val="00902B60"/>
    <w:rsid w:val="009036D0"/>
    <w:rsid w:val="00903B5A"/>
    <w:rsid w:val="009041DC"/>
    <w:rsid w:val="00907D34"/>
    <w:rsid w:val="00911071"/>
    <w:rsid w:val="00917B5A"/>
    <w:rsid w:val="00920A58"/>
    <w:rsid w:val="00920A8C"/>
    <w:rsid w:val="00923454"/>
    <w:rsid w:val="00923757"/>
    <w:rsid w:val="00927C73"/>
    <w:rsid w:val="00933F27"/>
    <w:rsid w:val="00934A2C"/>
    <w:rsid w:val="00940CB9"/>
    <w:rsid w:val="00942AA2"/>
    <w:rsid w:val="009433B8"/>
    <w:rsid w:val="00944F61"/>
    <w:rsid w:val="00950E00"/>
    <w:rsid w:val="00952CD7"/>
    <w:rsid w:val="00954277"/>
    <w:rsid w:val="009646A2"/>
    <w:rsid w:val="00966BF9"/>
    <w:rsid w:val="00966EAC"/>
    <w:rsid w:val="0096706E"/>
    <w:rsid w:val="0097103E"/>
    <w:rsid w:val="009730FC"/>
    <w:rsid w:val="009739DD"/>
    <w:rsid w:val="00974818"/>
    <w:rsid w:val="00975A13"/>
    <w:rsid w:val="00975B0A"/>
    <w:rsid w:val="00975C4E"/>
    <w:rsid w:val="00981FBA"/>
    <w:rsid w:val="00984A21"/>
    <w:rsid w:val="0098740D"/>
    <w:rsid w:val="009914D0"/>
    <w:rsid w:val="00995265"/>
    <w:rsid w:val="00995E95"/>
    <w:rsid w:val="00996985"/>
    <w:rsid w:val="00997BC5"/>
    <w:rsid w:val="009A393A"/>
    <w:rsid w:val="009A3D04"/>
    <w:rsid w:val="009A4F41"/>
    <w:rsid w:val="009B08A3"/>
    <w:rsid w:val="009B3442"/>
    <w:rsid w:val="009B381B"/>
    <w:rsid w:val="009B443F"/>
    <w:rsid w:val="009B462B"/>
    <w:rsid w:val="009B581D"/>
    <w:rsid w:val="009B590F"/>
    <w:rsid w:val="009B7554"/>
    <w:rsid w:val="009C17FA"/>
    <w:rsid w:val="009C1EE2"/>
    <w:rsid w:val="009C38A3"/>
    <w:rsid w:val="009D164F"/>
    <w:rsid w:val="009D1753"/>
    <w:rsid w:val="009D1BBD"/>
    <w:rsid w:val="009D2EC9"/>
    <w:rsid w:val="009D48E7"/>
    <w:rsid w:val="009D7611"/>
    <w:rsid w:val="009E0B61"/>
    <w:rsid w:val="009E26FB"/>
    <w:rsid w:val="009E53DE"/>
    <w:rsid w:val="009F31FD"/>
    <w:rsid w:val="009F3D13"/>
    <w:rsid w:val="009F3F6B"/>
    <w:rsid w:val="009F4D1F"/>
    <w:rsid w:val="009F6C60"/>
    <w:rsid w:val="00A000D3"/>
    <w:rsid w:val="00A05265"/>
    <w:rsid w:val="00A06EC6"/>
    <w:rsid w:val="00A073CE"/>
    <w:rsid w:val="00A11D86"/>
    <w:rsid w:val="00A1305E"/>
    <w:rsid w:val="00A14ECF"/>
    <w:rsid w:val="00A16C3E"/>
    <w:rsid w:val="00A238EB"/>
    <w:rsid w:val="00A30B4D"/>
    <w:rsid w:val="00A31FB6"/>
    <w:rsid w:val="00A328B3"/>
    <w:rsid w:val="00A34796"/>
    <w:rsid w:val="00A34E1C"/>
    <w:rsid w:val="00A35941"/>
    <w:rsid w:val="00A35C9C"/>
    <w:rsid w:val="00A50FCF"/>
    <w:rsid w:val="00A50FD9"/>
    <w:rsid w:val="00A52166"/>
    <w:rsid w:val="00A528D1"/>
    <w:rsid w:val="00A54625"/>
    <w:rsid w:val="00A55C6D"/>
    <w:rsid w:val="00A56D35"/>
    <w:rsid w:val="00A610CD"/>
    <w:rsid w:val="00A66A37"/>
    <w:rsid w:val="00A67B3E"/>
    <w:rsid w:val="00A70C0D"/>
    <w:rsid w:val="00A74EC4"/>
    <w:rsid w:val="00A84DBB"/>
    <w:rsid w:val="00A8548F"/>
    <w:rsid w:val="00A85693"/>
    <w:rsid w:val="00A85A95"/>
    <w:rsid w:val="00A92D55"/>
    <w:rsid w:val="00A96939"/>
    <w:rsid w:val="00AA09A2"/>
    <w:rsid w:val="00AA1A65"/>
    <w:rsid w:val="00AA1AB5"/>
    <w:rsid w:val="00AA2091"/>
    <w:rsid w:val="00AA4656"/>
    <w:rsid w:val="00AA6FA9"/>
    <w:rsid w:val="00AA7996"/>
    <w:rsid w:val="00AB044C"/>
    <w:rsid w:val="00AB2B7E"/>
    <w:rsid w:val="00AC19CB"/>
    <w:rsid w:val="00AC519C"/>
    <w:rsid w:val="00AC6466"/>
    <w:rsid w:val="00AD0543"/>
    <w:rsid w:val="00AD225E"/>
    <w:rsid w:val="00AD5D71"/>
    <w:rsid w:val="00AE5488"/>
    <w:rsid w:val="00AE6F91"/>
    <w:rsid w:val="00AE7704"/>
    <w:rsid w:val="00AF08B6"/>
    <w:rsid w:val="00AF120E"/>
    <w:rsid w:val="00AF1CE5"/>
    <w:rsid w:val="00AF3BFC"/>
    <w:rsid w:val="00AF3F4B"/>
    <w:rsid w:val="00AF5571"/>
    <w:rsid w:val="00B01A0C"/>
    <w:rsid w:val="00B03500"/>
    <w:rsid w:val="00B03854"/>
    <w:rsid w:val="00B03C8E"/>
    <w:rsid w:val="00B0567C"/>
    <w:rsid w:val="00B06EDF"/>
    <w:rsid w:val="00B072E9"/>
    <w:rsid w:val="00B07341"/>
    <w:rsid w:val="00B17917"/>
    <w:rsid w:val="00B22A8B"/>
    <w:rsid w:val="00B30539"/>
    <w:rsid w:val="00B314DB"/>
    <w:rsid w:val="00B31853"/>
    <w:rsid w:val="00B34353"/>
    <w:rsid w:val="00B348B9"/>
    <w:rsid w:val="00B35346"/>
    <w:rsid w:val="00B35D91"/>
    <w:rsid w:val="00B361F2"/>
    <w:rsid w:val="00B3718B"/>
    <w:rsid w:val="00B41887"/>
    <w:rsid w:val="00B44A22"/>
    <w:rsid w:val="00B44A24"/>
    <w:rsid w:val="00B4632A"/>
    <w:rsid w:val="00B507F1"/>
    <w:rsid w:val="00B5201E"/>
    <w:rsid w:val="00B530F1"/>
    <w:rsid w:val="00B56B3D"/>
    <w:rsid w:val="00B60DD9"/>
    <w:rsid w:val="00B61C48"/>
    <w:rsid w:val="00B62056"/>
    <w:rsid w:val="00B66BDB"/>
    <w:rsid w:val="00B71B80"/>
    <w:rsid w:val="00B74E3A"/>
    <w:rsid w:val="00B760E5"/>
    <w:rsid w:val="00B80E77"/>
    <w:rsid w:val="00B820BB"/>
    <w:rsid w:val="00B83AD5"/>
    <w:rsid w:val="00B84BB1"/>
    <w:rsid w:val="00B901BF"/>
    <w:rsid w:val="00B9170E"/>
    <w:rsid w:val="00B92764"/>
    <w:rsid w:val="00B96A2C"/>
    <w:rsid w:val="00B96C5C"/>
    <w:rsid w:val="00BA0631"/>
    <w:rsid w:val="00BA20D3"/>
    <w:rsid w:val="00BA276C"/>
    <w:rsid w:val="00BA5A4D"/>
    <w:rsid w:val="00BB306F"/>
    <w:rsid w:val="00BB5BE2"/>
    <w:rsid w:val="00BB6629"/>
    <w:rsid w:val="00BB7690"/>
    <w:rsid w:val="00BC46BC"/>
    <w:rsid w:val="00BC492D"/>
    <w:rsid w:val="00BC53D5"/>
    <w:rsid w:val="00BD0685"/>
    <w:rsid w:val="00BD4B89"/>
    <w:rsid w:val="00BE4502"/>
    <w:rsid w:val="00BE5027"/>
    <w:rsid w:val="00BE6458"/>
    <w:rsid w:val="00BE6679"/>
    <w:rsid w:val="00BE7BD0"/>
    <w:rsid w:val="00BF02CB"/>
    <w:rsid w:val="00BF324F"/>
    <w:rsid w:val="00BF6FD8"/>
    <w:rsid w:val="00C013F4"/>
    <w:rsid w:val="00C03680"/>
    <w:rsid w:val="00C036AB"/>
    <w:rsid w:val="00C05295"/>
    <w:rsid w:val="00C054DF"/>
    <w:rsid w:val="00C05AC1"/>
    <w:rsid w:val="00C06B9B"/>
    <w:rsid w:val="00C079CA"/>
    <w:rsid w:val="00C07CCB"/>
    <w:rsid w:val="00C12EE1"/>
    <w:rsid w:val="00C16151"/>
    <w:rsid w:val="00C207C8"/>
    <w:rsid w:val="00C21762"/>
    <w:rsid w:val="00C24543"/>
    <w:rsid w:val="00C256A2"/>
    <w:rsid w:val="00C27512"/>
    <w:rsid w:val="00C30B28"/>
    <w:rsid w:val="00C335AF"/>
    <w:rsid w:val="00C35938"/>
    <w:rsid w:val="00C36670"/>
    <w:rsid w:val="00C40A55"/>
    <w:rsid w:val="00C40D5A"/>
    <w:rsid w:val="00C410BA"/>
    <w:rsid w:val="00C4593F"/>
    <w:rsid w:val="00C45FAC"/>
    <w:rsid w:val="00C47029"/>
    <w:rsid w:val="00C47FF1"/>
    <w:rsid w:val="00C50210"/>
    <w:rsid w:val="00C51515"/>
    <w:rsid w:val="00C51A40"/>
    <w:rsid w:val="00C52932"/>
    <w:rsid w:val="00C542AF"/>
    <w:rsid w:val="00C54367"/>
    <w:rsid w:val="00C550EC"/>
    <w:rsid w:val="00C5660B"/>
    <w:rsid w:val="00C606C4"/>
    <w:rsid w:val="00C623DE"/>
    <w:rsid w:val="00C62DFA"/>
    <w:rsid w:val="00C62F65"/>
    <w:rsid w:val="00C630A3"/>
    <w:rsid w:val="00C633AD"/>
    <w:rsid w:val="00C6583A"/>
    <w:rsid w:val="00C66B72"/>
    <w:rsid w:val="00C679C0"/>
    <w:rsid w:val="00C708C6"/>
    <w:rsid w:val="00C71423"/>
    <w:rsid w:val="00C7258E"/>
    <w:rsid w:val="00C80543"/>
    <w:rsid w:val="00C874C0"/>
    <w:rsid w:val="00C91061"/>
    <w:rsid w:val="00C9212A"/>
    <w:rsid w:val="00C92D51"/>
    <w:rsid w:val="00C934E4"/>
    <w:rsid w:val="00C93CFB"/>
    <w:rsid w:val="00C9567A"/>
    <w:rsid w:val="00C95BE9"/>
    <w:rsid w:val="00C961BD"/>
    <w:rsid w:val="00C979FC"/>
    <w:rsid w:val="00CA6963"/>
    <w:rsid w:val="00CB1A7A"/>
    <w:rsid w:val="00CB212D"/>
    <w:rsid w:val="00CB2660"/>
    <w:rsid w:val="00CB4286"/>
    <w:rsid w:val="00CB67AA"/>
    <w:rsid w:val="00CB6E0D"/>
    <w:rsid w:val="00CB769B"/>
    <w:rsid w:val="00CC2642"/>
    <w:rsid w:val="00CC36FA"/>
    <w:rsid w:val="00CC391D"/>
    <w:rsid w:val="00CC5A7E"/>
    <w:rsid w:val="00CC5E90"/>
    <w:rsid w:val="00CC6654"/>
    <w:rsid w:val="00CC77CD"/>
    <w:rsid w:val="00CD046C"/>
    <w:rsid w:val="00CD13F6"/>
    <w:rsid w:val="00CD3B8A"/>
    <w:rsid w:val="00CD4887"/>
    <w:rsid w:val="00CD6EB8"/>
    <w:rsid w:val="00CE05EE"/>
    <w:rsid w:val="00CE076C"/>
    <w:rsid w:val="00CE5199"/>
    <w:rsid w:val="00CE531B"/>
    <w:rsid w:val="00CE66D5"/>
    <w:rsid w:val="00CE6808"/>
    <w:rsid w:val="00CF637A"/>
    <w:rsid w:val="00D04C08"/>
    <w:rsid w:val="00D059DE"/>
    <w:rsid w:val="00D065F9"/>
    <w:rsid w:val="00D1168B"/>
    <w:rsid w:val="00D11B1E"/>
    <w:rsid w:val="00D13FCE"/>
    <w:rsid w:val="00D233C8"/>
    <w:rsid w:val="00D23931"/>
    <w:rsid w:val="00D24484"/>
    <w:rsid w:val="00D2648A"/>
    <w:rsid w:val="00D279C6"/>
    <w:rsid w:val="00D27EA6"/>
    <w:rsid w:val="00D306D1"/>
    <w:rsid w:val="00D30C9E"/>
    <w:rsid w:val="00D3114E"/>
    <w:rsid w:val="00D34786"/>
    <w:rsid w:val="00D37BFC"/>
    <w:rsid w:val="00D408F2"/>
    <w:rsid w:val="00D41CB9"/>
    <w:rsid w:val="00D425EA"/>
    <w:rsid w:val="00D4533F"/>
    <w:rsid w:val="00D46225"/>
    <w:rsid w:val="00D46C76"/>
    <w:rsid w:val="00D47A8E"/>
    <w:rsid w:val="00D52CA8"/>
    <w:rsid w:val="00D52D14"/>
    <w:rsid w:val="00D53933"/>
    <w:rsid w:val="00D57EF7"/>
    <w:rsid w:val="00D6247D"/>
    <w:rsid w:val="00D630A2"/>
    <w:rsid w:val="00D712D3"/>
    <w:rsid w:val="00D71422"/>
    <w:rsid w:val="00D72DC6"/>
    <w:rsid w:val="00D7558D"/>
    <w:rsid w:val="00D758B9"/>
    <w:rsid w:val="00D81D92"/>
    <w:rsid w:val="00D81DF4"/>
    <w:rsid w:val="00D856AB"/>
    <w:rsid w:val="00D9096D"/>
    <w:rsid w:val="00D92315"/>
    <w:rsid w:val="00D933A1"/>
    <w:rsid w:val="00DA16A1"/>
    <w:rsid w:val="00DA458C"/>
    <w:rsid w:val="00DA45FE"/>
    <w:rsid w:val="00DA7885"/>
    <w:rsid w:val="00DA7B5F"/>
    <w:rsid w:val="00DB3801"/>
    <w:rsid w:val="00DB3915"/>
    <w:rsid w:val="00DC0194"/>
    <w:rsid w:val="00DC11E7"/>
    <w:rsid w:val="00DC2CC9"/>
    <w:rsid w:val="00DC2F90"/>
    <w:rsid w:val="00DC38F2"/>
    <w:rsid w:val="00DC5B89"/>
    <w:rsid w:val="00DC7023"/>
    <w:rsid w:val="00DC769A"/>
    <w:rsid w:val="00DD1003"/>
    <w:rsid w:val="00DD1E2B"/>
    <w:rsid w:val="00DD2A0F"/>
    <w:rsid w:val="00DD3AB3"/>
    <w:rsid w:val="00DD3D86"/>
    <w:rsid w:val="00DD655E"/>
    <w:rsid w:val="00DD7691"/>
    <w:rsid w:val="00DE14A9"/>
    <w:rsid w:val="00DE33B9"/>
    <w:rsid w:val="00DE3BD9"/>
    <w:rsid w:val="00DE6BD7"/>
    <w:rsid w:val="00DE6E25"/>
    <w:rsid w:val="00DE7141"/>
    <w:rsid w:val="00DF03CA"/>
    <w:rsid w:val="00DF1799"/>
    <w:rsid w:val="00DF1A7D"/>
    <w:rsid w:val="00DF1EC4"/>
    <w:rsid w:val="00E01876"/>
    <w:rsid w:val="00E0340B"/>
    <w:rsid w:val="00E04A90"/>
    <w:rsid w:val="00E077AE"/>
    <w:rsid w:val="00E166A5"/>
    <w:rsid w:val="00E219C7"/>
    <w:rsid w:val="00E21C4A"/>
    <w:rsid w:val="00E25A98"/>
    <w:rsid w:val="00E27FCA"/>
    <w:rsid w:val="00E30D65"/>
    <w:rsid w:val="00E426B6"/>
    <w:rsid w:val="00E43157"/>
    <w:rsid w:val="00E44D76"/>
    <w:rsid w:val="00E45CF7"/>
    <w:rsid w:val="00E45FF9"/>
    <w:rsid w:val="00E461CE"/>
    <w:rsid w:val="00E50EF9"/>
    <w:rsid w:val="00E51C22"/>
    <w:rsid w:val="00E534EF"/>
    <w:rsid w:val="00E542AA"/>
    <w:rsid w:val="00E5557F"/>
    <w:rsid w:val="00E60171"/>
    <w:rsid w:val="00E6026B"/>
    <w:rsid w:val="00E614C4"/>
    <w:rsid w:val="00E657E1"/>
    <w:rsid w:val="00E65FBF"/>
    <w:rsid w:val="00E700F5"/>
    <w:rsid w:val="00E720CA"/>
    <w:rsid w:val="00E80B45"/>
    <w:rsid w:val="00E816DE"/>
    <w:rsid w:val="00E83909"/>
    <w:rsid w:val="00E83CD2"/>
    <w:rsid w:val="00E84EB5"/>
    <w:rsid w:val="00E85662"/>
    <w:rsid w:val="00E8789F"/>
    <w:rsid w:val="00E93AE2"/>
    <w:rsid w:val="00E95F8B"/>
    <w:rsid w:val="00E96106"/>
    <w:rsid w:val="00E97B71"/>
    <w:rsid w:val="00EA126D"/>
    <w:rsid w:val="00EA2E09"/>
    <w:rsid w:val="00EA3D34"/>
    <w:rsid w:val="00EA62D1"/>
    <w:rsid w:val="00EB0342"/>
    <w:rsid w:val="00EB0EFE"/>
    <w:rsid w:val="00EB10FA"/>
    <w:rsid w:val="00EB2B78"/>
    <w:rsid w:val="00EB454D"/>
    <w:rsid w:val="00EC2E66"/>
    <w:rsid w:val="00EC75E1"/>
    <w:rsid w:val="00ED599F"/>
    <w:rsid w:val="00ED76BE"/>
    <w:rsid w:val="00EE1A75"/>
    <w:rsid w:val="00EE4E7D"/>
    <w:rsid w:val="00EE686F"/>
    <w:rsid w:val="00EF2012"/>
    <w:rsid w:val="00EF226E"/>
    <w:rsid w:val="00EF619B"/>
    <w:rsid w:val="00EF72D2"/>
    <w:rsid w:val="00F0020B"/>
    <w:rsid w:val="00F00B55"/>
    <w:rsid w:val="00F01CB8"/>
    <w:rsid w:val="00F02AD1"/>
    <w:rsid w:val="00F0459F"/>
    <w:rsid w:val="00F075A9"/>
    <w:rsid w:val="00F101B8"/>
    <w:rsid w:val="00F12F5C"/>
    <w:rsid w:val="00F13E73"/>
    <w:rsid w:val="00F160F7"/>
    <w:rsid w:val="00F253CC"/>
    <w:rsid w:val="00F27356"/>
    <w:rsid w:val="00F27E4C"/>
    <w:rsid w:val="00F37106"/>
    <w:rsid w:val="00F46639"/>
    <w:rsid w:val="00F4697E"/>
    <w:rsid w:val="00F50B6C"/>
    <w:rsid w:val="00F519CF"/>
    <w:rsid w:val="00F521A4"/>
    <w:rsid w:val="00F547A9"/>
    <w:rsid w:val="00F565DC"/>
    <w:rsid w:val="00F56BA5"/>
    <w:rsid w:val="00F57587"/>
    <w:rsid w:val="00F60E22"/>
    <w:rsid w:val="00F61C54"/>
    <w:rsid w:val="00F63550"/>
    <w:rsid w:val="00F64D13"/>
    <w:rsid w:val="00F64D30"/>
    <w:rsid w:val="00F66A88"/>
    <w:rsid w:val="00F66ED9"/>
    <w:rsid w:val="00F73C5A"/>
    <w:rsid w:val="00F7415B"/>
    <w:rsid w:val="00F80D3B"/>
    <w:rsid w:val="00F81395"/>
    <w:rsid w:val="00F85A06"/>
    <w:rsid w:val="00F86329"/>
    <w:rsid w:val="00F917D1"/>
    <w:rsid w:val="00F9653B"/>
    <w:rsid w:val="00FA58B7"/>
    <w:rsid w:val="00FA7561"/>
    <w:rsid w:val="00FB0276"/>
    <w:rsid w:val="00FB0C66"/>
    <w:rsid w:val="00FB40CF"/>
    <w:rsid w:val="00FB4683"/>
    <w:rsid w:val="00FB4A6B"/>
    <w:rsid w:val="00FB62CF"/>
    <w:rsid w:val="00FC2184"/>
    <w:rsid w:val="00FC5728"/>
    <w:rsid w:val="00FD1A6E"/>
    <w:rsid w:val="00FD37AE"/>
    <w:rsid w:val="00FD37C8"/>
    <w:rsid w:val="00FD3C3B"/>
    <w:rsid w:val="00FD56BE"/>
    <w:rsid w:val="00FD7DD0"/>
    <w:rsid w:val="00FE07DD"/>
    <w:rsid w:val="00FE14BE"/>
    <w:rsid w:val="00FE464A"/>
    <w:rsid w:val="00FE6B45"/>
    <w:rsid w:val="00FE716D"/>
    <w:rsid w:val="00FE7332"/>
    <w:rsid w:val="00FF06AC"/>
    <w:rsid w:val="00FF0F33"/>
    <w:rsid w:val="00FF34E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7F40"/>
    <w:rPr>
      <w:sz w:val="24"/>
      <w:szCs w:val="24"/>
      <w:lang w:val="en-US" w:eastAsia="en-US"/>
    </w:rPr>
  </w:style>
  <w:style w:type="paragraph" w:styleId="Heading1">
    <w:name w:val="heading 1"/>
    <w:basedOn w:val="Normal"/>
    <w:next w:val="Normal"/>
    <w:link w:val="Heading1Char"/>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qFormat/>
    <w:rsid w:val="00277412"/>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Times New Roman"/>
      <w:b/>
      <w:bCs/>
      <w:sz w:val="28"/>
      <w:szCs w:val="28"/>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List Paragraph11,List Paragraph2,Lista vistosa - Énfasis 1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nhideWhenUsed/>
    <w:rsid w:val="009B381B"/>
    <w:rPr>
      <w:rFonts w:ascii="Tahoma" w:hAnsi="Tahoma" w:cs="Tahoma"/>
      <w:sz w:val="16"/>
      <w:szCs w:val="16"/>
    </w:rPr>
  </w:style>
  <w:style w:type="character" w:customStyle="1" w:styleId="BalloonTextChar">
    <w:name w:val="Balloon Text Char"/>
    <w:basedOn w:val="DefaultParagraphFont"/>
    <w:link w:val="BalloonText"/>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AC6466"/>
    <w:pPr>
      <w:tabs>
        <w:tab w:val="left" w:pos="880"/>
        <w:tab w:val="left" w:pos="144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symbol,Footnote,Ref,de nota al pie,norma"/>
    <w:basedOn w:val="DefaultParagraphFont"/>
    <w:link w:val="1"/>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1">
    <w:name w:val="1"/>
    <w:basedOn w:val="Normal"/>
    <w:link w:val="FootnoteReference"/>
    <w:rsid w:val="007913B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Heading4Char">
    <w:name w:val="Heading 4 Char"/>
    <w:basedOn w:val="DefaultParagraphFont"/>
    <w:link w:val="Heading4"/>
    <w:rsid w:val="00277412"/>
    <w:rPr>
      <w:rFonts w:eastAsia="Times New Roman"/>
      <w:b/>
      <w:bCs/>
      <w:sz w:val="28"/>
      <w:szCs w:val="28"/>
      <w:bdr w:val="none" w:sz="0" w:space="0" w:color="auto"/>
      <w:lang w:eastAsia="en-US"/>
    </w:rPr>
  </w:style>
  <w:style w:type="numbering" w:customStyle="1" w:styleId="NoList1">
    <w:name w:val="No List1"/>
    <w:next w:val="NoList"/>
    <w:semiHidden/>
    <w:rsid w:val="00277412"/>
  </w:style>
  <w:style w:type="paragraph" w:styleId="NormalWeb">
    <w:name w:val="Normal (Web)"/>
    <w:basedOn w:val="Normal"/>
    <w:uiPriority w:val="99"/>
    <w:rsid w:val="002774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Batang"/>
      <w:bdr w:val="none" w:sz="0" w:space="0" w:color="auto"/>
    </w:rPr>
  </w:style>
  <w:style w:type="paragraph" w:styleId="BlockText">
    <w:name w:val="Block Text"/>
    <w:basedOn w:val="Normal"/>
    <w:rsid w:val="0027741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ight="720"/>
      <w:jc w:val="both"/>
    </w:pPr>
    <w:rPr>
      <w:rFonts w:ascii="Verdana" w:eastAsia="Batang" w:hAnsi="Verdana" w:cs="Verdana"/>
      <w:sz w:val="16"/>
      <w:szCs w:val="16"/>
      <w:bdr w:val="none" w:sz="0" w:space="0" w:color="auto"/>
      <w:lang w:val="es-ES_tradnl"/>
    </w:rPr>
  </w:style>
  <w:style w:type="paragraph" w:customStyle="1" w:styleId="Sangradetindependiente2">
    <w:name w:val="SangrÌa de t. independiente2"/>
    <w:basedOn w:val="Normal"/>
    <w:rsid w:val="0027741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tLeast"/>
    </w:pPr>
    <w:rPr>
      <w:rFonts w:ascii="Arial" w:eastAsia="Batang" w:hAnsi="Arial"/>
      <w:szCs w:val="20"/>
      <w:bdr w:val="none" w:sz="0" w:space="0" w:color="auto"/>
      <w:lang w:val="es-ES_tradnl" w:eastAsia="es-ES"/>
    </w:rPr>
  </w:style>
  <w:style w:type="character" w:customStyle="1" w:styleId="JuParaChar">
    <w:name w:val="Ju_Para Char"/>
    <w:link w:val="JuPara"/>
    <w:locked/>
    <w:rsid w:val="00277412"/>
    <w:rPr>
      <w:sz w:val="24"/>
      <w:lang w:val="fr-FR" w:eastAsia="fr-FR"/>
    </w:rPr>
  </w:style>
  <w:style w:type="paragraph" w:customStyle="1" w:styleId="JuPara">
    <w:name w:val="Ju_Para"/>
    <w:basedOn w:val="Normal"/>
    <w:link w:val="JuParaChar"/>
    <w:rsid w:val="00277412"/>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284"/>
      <w:jc w:val="both"/>
    </w:pPr>
    <w:rPr>
      <w:szCs w:val="20"/>
      <w:lang w:val="fr-FR" w:eastAsia="fr-FR"/>
    </w:rPr>
  </w:style>
  <w:style w:type="paragraph" w:styleId="DocumentMap">
    <w:name w:val="Document Map"/>
    <w:basedOn w:val="Normal"/>
    <w:link w:val="DocumentMapChar"/>
    <w:semiHidden/>
    <w:rsid w:val="002774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Batang" w:hAnsi="Tahoma" w:cs="Tahoma"/>
      <w:sz w:val="20"/>
      <w:szCs w:val="20"/>
      <w:bdr w:val="none" w:sz="0" w:space="0" w:color="auto"/>
      <w:lang w:val="es-UY"/>
    </w:rPr>
  </w:style>
  <w:style w:type="character" w:customStyle="1" w:styleId="DocumentMapChar">
    <w:name w:val="Document Map Char"/>
    <w:basedOn w:val="DefaultParagraphFont"/>
    <w:link w:val="DocumentMap"/>
    <w:semiHidden/>
    <w:rsid w:val="00277412"/>
    <w:rPr>
      <w:rFonts w:ascii="Tahoma" w:eastAsia="Batang" w:hAnsi="Tahoma" w:cs="Tahoma"/>
      <w:bdr w:val="none" w:sz="0" w:space="0" w:color="auto"/>
      <w:shd w:val="clear" w:color="auto" w:fill="000080"/>
      <w:lang w:val="es-UY" w:eastAsia="en-US"/>
    </w:rPr>
  </w:style>
  <w:style w:type="table" w:styleId="TableGrid">
    <w:name w:val="Table Grid"/>
    <w:basedOn w:val="TableNormal"/>
    <w:rsid w:val="0027741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demandas">
    <w:name w:val="Título 2 demandas"/>
    <w:basedOn w:val="Normal"/>
    <w:next w:val="Normal"/>
    <w:rsid w:val="00277412"/>
    <w:pPr>
      <w:keepNext/>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pPr>
    <w:rPr>
      <w:rFonts w:ascii="Univers" w:eastAsia="Times New Roman" w:hAnsi="Univers"/>
      <w:b/>
      <w:bCs/>
      <w:iCs/>
      <w:sz w:val="22"/>
      <w:szCs w:val="22"/>
      <w:bdr w:val="none" w:sz="0" w:space="0" w:color="auto"/>
      <w:lang w:val="en-GB"/>
    </w:rPr>
  </w:style>
  <w:style w:type="paragraph" w:customStyle="1" w:styleId="ColorfulList-Accent12">
    <w:name w:val="Colorful List - Accent 12"/>
    <w:basedOn w:val="Normal"/>
    <w:uiPriority w:val="34"/>
    <w:qFormat/>
    <w:rsid w:val="00277412"/>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Batang"/>
      <w:bdr w:val="none" w:sz="0" w:space="0" w:color="auto"/>
      <w:lang w:val="es-UY"/>
    </w:rPr>
  </w:style>
  <w:style w:type="character" w:styleId="CommentReference">
    <w:name w:val="annotation reference"/>
    <w:rsid w:val="00277412"/>
    <w:rPr>
      <w:sz w:val="16"/>
      <w:szCs w:val="16"/>
    </w:rPr>
  </w:style>
  <w:style w:type="paragraph" w:styleId="CommentText">
    <w:name w:val="annotation text"/>
    <w:basedOn w:val="Normal"/>
    <w:link w:val="CommentTextChar"/>
    <w:rsid w:val="00277412"/>
    <w:pPr>
      <w:pBdr>
        <w:top w:val="none" w:sz="0" w:space="0" w:color="auto"/>
        <w:left w:val="none" w:sz="0" w:space="0" w:color="auto"/>
        <w:bottom w:val="none" w:sz="0" w:space="0" w:color="auto"/>
        <w:right w:val="none" w:sz="0" w:space="0" w:color="auto"/>
        <w:between w:val="none" w:sz="0" w:space="0" w:color="auto"/>
        <w:bar w:val="none" w:sz="0" w:color="auto"/>
      </w:pBdr>
    </w:pPr>
    <w:rPr>
      <w:rFonts w:eastAsia="Batang"/>
      <w:sz w:val="20"/>
      <w:szCs w:val="20"/>
      <w:bdr w:val="none" w:sz="0" w:space="0" w:color="auto"/>
      <w:lang w:val="es-UY"/>
    </w:rPr>
  </w:style>
  <w:style w:type="character" w:customStyle="1" w:styleId="CommentTextChar">
    <w:name w:val="Comment Text Char"/>
    <w:basedOn w:val="DefaultParagraphFont"/>
    <w:link w:val="CommentText"/>
    <w:rsid w:val="00277412"/>
    <w:rPr>
      <w:rFonts w:eastAsia="Batang"/>
      <w:bdr w:val="none" w:sz="0" w:space="0" w:color="auto"/>
      <w:lang w:val="es-UY" w:eastAsia="en-US"/>
    </w:rPr>
  </w:style>
  <w:style w:type="paragraph" w:styleId="CommentSubject">
    <w:name w:val="annotation subject"/>
    <w:basedOn w:val="CommentText"/>
    <w:next w:val="CommentText"/>
    <w:link w:val="CommentSubjectChar"/>
    <w:rsid w:val="00277412"/>
    <w:rPr>
      <w:b/>
      <w:bCs/>
    </w:rPr>
  </w:style>
  <w:style w:type="character" w:customStyle="1" w:styleId="CommentSubjectChar">
    <w:name w:val="Comment Subject Char"/>
    <w:basedOn w:val="CommentTextChar"/>
    <w:link w:val="CommentSubject"/>
    <w:rsid w:val="00277412"/>
    <w:rPr>
      <w:rFonts w:eastAsia="Batang"/>
      <w:b/>
      <w:bCs/>
      <w:bdr w:val="none" w:sz="0" w:space="0" w:color="auto"/>
      <w:lang w:val="es-UY" w:eastAsia="en-US"/>
    </w:rPr>
  </w:style>
  <w:style w:type="character" w:customStyle="1" w:styleId="shorttext">
    <w:name w:val="short_text"/>
    <w:rsid w:val="00277412"/>
  </w:style>
  <w:style w:type="character" w:styleId="Strong">
    <w:name w:val="Strong"/>
    <w:uiPriority w:val="22"/>
    <w:qFormat/>
    <w:rsid w:val="00277412"/>
    <w:rPr>
      <w:b/>
      <w:bC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semiHidden/>
    <w:locked/>
    <w:rsid w:val="00277412"/>
    <w:rPr>
      <w:rFonts w:ascii="Univers" w:eastAsia="Batang" w:hAnsi="Univers"/>
      <w:lang w:val="es-CO" w:eastAsia="en-US"/>
    </w:rPr>
  </w:style>
  <w:style w:type="paragraph" w:styleId="HTMLPreformatted">
    <w:name w:val="HTML Preformatted"/>
    <w:basedOn w:val="Normal"/>
    <w:link w:val="HTMLPreformattedChar"/>
    <w:uiPriority w:val="99"/>
    <w:unhideWhenUsed/>
    <w:rsid w:val="00277412"/>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277412"/>
    <w:rPr>
      <w:rFonts w:ascii="Courier New" w:eastAsia="Times New Roman" w:hAnsi="Courier New" w:cs="Courier New"/>
      <w:bdr w:val="none" w:sz="0" w:space="0" w:color="auto"/>
      <w:lang w:val="en-US" w:eastAsia="en-US"/>
    </w:rPr>
  </w:style>
  <w:style w:type="character" w:customStyle="1" w:styleId="ColorfulList-Accent1Char">
    <w:name w:val="Colorful List - Accent 1 Char"/>
    <w:aliases w:val="Párrafo de lista1 Char,List Paragraph2 Char,List Paragraph1 Char,Colorful List - Accent 11 Char,Lista vistosa - Énfasis 11 Char,List Paragraph Char,List Paragraph11 Char"/>
    <w:link w:val="ColorfulList-Accent1"/>
    <w:locked/>
    <w:rsid w:val="00277412"/>
    <w:rPr>
      <w:rFonts w:eastAsia="Batang"/>
      <w:sz w:val="24"/>
      <w:szCs w:val="24"/>
      <w:lang w:val="es-UY"/>
    </w:rPr>
  </w:style>
  <w:style w:type="character" w:styleId="FollowedHyperlink">
    <w:name w:val="FollowedHyperlink"/>
    <w:rsid w:val="00277412"/>
    <w:rPr>
      <w:color w:val="800080"/>
      <w:u w:val="single"/>
    </w:rPr>
  </w:style>
  <w:style w:type="character" w:customStyle="1" w:styleId="skypepnhprintcontainer">
    <w:name w:val="skype_pnh_print_container"/>
    <w:rsid w:val="00277412"/>
    <w:rPr>
      <w:rFonts w:cs="Times New Roman"/>
    </w:rPr>
  </w:style>
  <w:style w:type="character" w:customStyle="1" w:styleId="skypepnhcontainer">
    <w:name w:val="skype_pnh_container"/>
    <w:rsid w:val="00277412"/>
    <w:rPr>
      <w:rFonts w:cs="Times New Roman"/>
    </w:rPr>
  </w:style>
  <w:style w:type="character" w:customStyle="1" w:styleId="s6b621b36">
    <w:name w:val="s6b621b36"/>
    <w:rsid w:val="00277412"/>
    <w:rPr>
      <w:rFonts w:cs="Times New Roman"/>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277412"/>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bdr w:val="none" w:sz="0" w:space="0" w:color="auto"/>
      <w:vertAlign w:val="superscript"/>
      <w:lang w:val="es-US" w:eastAsia="es-US"/>
    </w:rPr>
  </w:style>
  <w:style w:type="table" w:styleId="ColorfulList-Accent1">
    <w:name w:val="Colorful List Accent 1"/>
    <w:basedOn w:val="TableNormal"/>
    <w:link w:val="ColorfulList-Accent1Char"/>
    <w:uiPriority w:val="34"/>
    <w:rsid w:val="00277412"/>
    <w:rPr>
      <w:rFonts w:eastAsia="Batang"/>
      <w:sz w:val="24"/>
      <w:szCs w:val="24"/>
      <w:lang w:val="es-UY"/>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E50EF9"/>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vertAlign w:val="superscript"/>
      <w:lang w:val="es-ES" w:eastAsia="es-ES"/>
    </w:rPr>
  </w:style>
  <w:style w:type="paragraph" w:customStyle="1" w:styleId="v11n">
    <w:name w:val="v11n"/>
    <w:basedOn w:val="Normal"/>
    <w:rsid w:val="00756BF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customStyle="1" w:styleId="apple-converted-space">
    <w:name w:val="apple-converted-space"/>
    <w:basedOn w:val="DefaultParagraphFont"/>
    <w:rsid w:val="00756BFE"/>
  </w:style>
  <w:style w:type="paragraph" w:styleId="Revision">
    <w:name w:val="Revision"/>
    <w:hidden/>
    <w:uiPriority w:val="99"/>
    <w:semiHidden/>
    <w:rsid w:val="00F85A0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7F40"/>
    <w:rPr>
      <w:sz w:val="24"/>
      <w:szCs w:val="24"/>
      <w:lang w:val="en-US" w:eastAsia="en-US"/>
    </w:rPr>
  </w:style>
  <w:style w:type="paragraph" w:styleId="Heading1">
    <w:name w:val="heading 1"/>
    <w:basedOn w:val="Normal"/>
    <w:next w:val="Normal"/>
    <w:link w:val="Heading1Char"/>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qFormat/>
    <w:rsid w:val="00277412"/>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Times New Roman"/>
      <w:b/>
      <w:bCs/>
      <w:sz w:val="28"/>
      <w:szCs w:val="28"/>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List Paragraph11,List Paragraph2,Lista vistosa - Énfasis 1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nhideWhenUsed/>
    <w:rsid w:val="009B381B"/>
    <w:rPr>
      <w:rFonts w:ascii="Tahoma" w:hAnsi="Tahoma" w:cs="Tahoma"/>
      <w:sz w:val="16"/>
      <w:szCs w:val="16"/>
    </w:rPr>
  </w:style>
  <w:style w:type="character" w:customStyle="1" w:styleId="BalloonTextChar">
    <w:name w:val="Balloon Text Char"/>
    <w:basedOn w:val="DefaultParagraphFont"/>
    <w:link w:val="BalloonText"/>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AC6466"/>
    <w:pPr>
      <w:tabs>
        <w:tab w:val="left" w:pos="880"/>
        <w:tab w:val="left" w:pos="144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symbol,Footnote,Ref,de nota al pie,norma"/>
    <w:basedOn w:val="DefaultParagraphFont"/>
    <w:link w:val="1"/>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1">
    <w:name w:val="1"/>
    <w:basedOn w:val="Normal"/>
    <w:link w:val="FootnoteReference"/>
    <w:rsid w:val="007913B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Heading4Char">
    <w:name w:val="Heading 4 Char"/>
    <w:basedOn w:val="DefaultParagraphFont"/>
    <w:link w:val="Heading4"/>
    <w:rsid w:val="00277412"/>
    <w:rPr>
      <w:rFonts w:eastAsia="Times New Roman"/>
      <w:b/>
      <w:bCs/>
      <w:sz w:val="28"/>
      <w:szCs w:val="28"/>
      <w:bdr w:val="none" w:sz="0" w:space="0" w:color="auto"/>
      <w:lang w:eastAsia="en-US"/>
    </w:rPr>
  </w:style>
  <w:style w:type="numbering" w:customStyle="1" w:styleId="NoList1">
    <w:name w:val="No List1"/>
    <w:next w:val="NoList"/>
    <w:semiHidden/>
    <w:rsid w:val="00277412"/>
  </w:style>
  <w:style w:type="paragraph" w:styleId="NormalWeb">
    <w:name w:val="Normal (Web)"/>
    <w:basedOn w:val="Normal"/>
    <w:uiPriority w:val="99"/>
    <w:rsid w:val="002774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Batang"/>
      <w:bdr w:val="none" w:sz="0" w:space="0" w:color="auto"/>
    </w:rPr>
  </w:style>
  <w:style w:type="paragraph" w:styleId="BlockText">
    <w:name w:val="Block Text"/>
    <w:basedOn w:val="Normal"/>
    <w:rsid w:val="0027741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ight="720"/>
      <w:jc w:val="both"/>
    </w:pPr>
    <w:rPr>
      <w:rFonts w:ascii="Verdana" w:eastAsia="Batang" w:hAnsi="Verdana" w:cs="Verdana"/>
      <w:sz w:val="16"/>
      <w:szCs w:val="16"/>
      <w:bdr w:val="none" w:sz="0" w:space="0" w:color="auto"/>
      <w:lang w:val="es-ES_tradnl"/>
    </w:rPr>
  </w:style>
  <w:style w:type="paragraph" w:customStyle="1" w:styleId="Sangradetindependiente2">
    <w:name w:val="SangrÌa de t. independiente2"/>
    <w:basedOn w:val="Normal"/>
    <w:rsid w:val="0027741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tLeast"/>
    </w:pPr>
    <w:rPr>
      <w:rFonts w:ascii="Arial" w:eastAsia="Batang" w:hAnsi="Arial"/>
      <w:szCs w:val="20"/>
      <w:bdr w:val="none" w:sz="0" w:space="0" w:color="auto"/>
      <w:lang w:val="es-ES_tradnl" w:eastAsia="es-ES"/>
    </w:rPr>
  </w:style>
  <w:style w:type="character" w:customStyle="1" w:styleId="JuParaChar">
    <w:name w:val="Ju_Para Char"/>
    <w:link w:val="JuPara"/>
    <w:locked/>
    <w:rsid w:val="00277412"/>
    <w:rPr>
      <w:sz w:val="24"/>
      <w:lang w:val="fr-FR" w:eastAsia="fr-FR"/>
    </w:rPr>
  </w:style>
  <w:style w:type="paragraph" w:customStyle="1" w:styleId="JuPara">
    <w:name w:val="Ju_Para"/>
    <w:basedOn w:val="Normal"/>
    <w:link w:val="JuParaChar"/>
    <w:rsid w:val="00277412"/>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284"/>
      <w:jc w:val="both"/>
    </w:pPr>
    <w:rPr>
      <w:szCs w:val="20"/>
      <w:lang w:val="fr-FR" w:eastAsia="fr-FR"/>
    </w:rPr>
  </w:style>
  <w:style w:type="paragraph" w:styleId="DocumentMap">
    <w:name w:val="Document Map"/>
    <w:basedOn w:val="Normal"/>
    <w:link w:val="DocumentMapChar"/>
    <w:semiHidden/>
    <w:rsid w:val="002774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Batang" w:hAnsi="Tahoma" w:cs="Tahoma"/>
      <w:sz w:val="20"/>
      <w:szCs w:val="20"/>
      <w:bdr w:val="none" w:sz="0" w:space="0" w:color="auto"/>
      <w:lang w:val="es-UY"/>
    </w:rPr>
  </w:style>
  <w:style w:type="character" w:customStyle="1" w:styleId="DocumentMapChar">
    <w:name w:val="Document Map Char"/>
    <w:basedOn w:val="DefaultParagraphFont"/>
    <w:link w:val="DocumentMap"/>
    <w:semiHidden/>
    <w:rsid w:val="00277412"/>
    <w:rPr>
      <w:rFonts w:ascii="Tahoma" w:eastAsia="Batang" w:hAnsi="Tahoma" w:cs="Tahoma"/>
      <w:bdr w:val="none" w:sz="0" w:space="0" w:color="auto"/>
      <w:shd w:val="clear" w:color="auto" w:fill="000080"/>
      <w:lang w:val="es-UY" w:eastAsia="en-US"/>
    </w:rPr>
  </w:style>
  <w:style w:type="table" w:styleId="TableGrid">
    <w:name w:val="Table Grid"/>
    <w:basedOn w:val="TableNormal"/>
    <w:rsid w:val="0027741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demandas">
    <w:name w:val="Título 2 demandas"/>
    <w:basedOn w:val="Normal"/>
    <w:next w:val="Normal"/>
    <w:rsid w:val="00277412"/>
    <w:pPr>
      <w:keepNext/>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pPr>
    <w:rPr>
      <w:rFonts w:ascii="Univers" w:eastAsia="Times New Roman" w:hAnsi="Univers"/>
      <w:b/>
      <w:bCs/>
      <w:iCs/>
      <w:sz w:val="22"/>
      <w:szCs w:val="22"/>
      <w:bdr w:val="none" w:sz="0" w:space="0" w:color="auto"/>
      <w:lang w:val="en-GB"/>
    </w:rPr>
  </w:style>
  <w:style w:type="paragraph" w:customStyle="1" w:styleId="ColorfulList-Accent12">
    <w:name w:val="Colorful List - Accent 12"/>
    <w:basedOn w:val="Normal"/>
    <w:uiPriority w:val="34"/>
    <w:qFormat/>
    <w:rsid w:val="00277412"/>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Batang"/>
      <w:bdr w:val="none" w:sz="0" w:space="0" w:color="auto"/>
      <w:lang w:val="es-UY"/>
    </w:rPr>
  </w:style>
  <w:style w:type="character" w:styleId="CommentReference">
    <w:name w:val="annotation reference"/>
    <w:rsid w:val="00277412"/>
    <w:rPr>
      <w:sz w:val="16"/>
      <w:szCs w:val="16"/>
    </w:rPr>
  </w:style>
  <w:style w:type="paragraph" w:styleId="CommentText">
    <w:name w:val="annotation text"/>
    <w:basedOn w:val="Normal"/>
    <w:link w:val="CommentTextChar"/>
    <w:rsid w:val="00277412"/>
    <w:pPr>
      <w:pBdr>
        <w:top w:val="none" w:sz="0" w:space="0" w:color="auto"/>
        <w:left w:val="none" w:sz="0" w:space="0" w:color="auto"/>
        <w:bottom w:val="none" w:sz="0" w:space="0" w:color="auto"/>
        <w:right w:val="none" w:sz="0" w:space="0" w:color="auto"/>
        <w:between w:val="none" w:sz="0" w:space="0" w:color="auto"/>
        <w:bar w:val="none" w:sz="0" w:color="auto"/>
      </w:pBdr>
    </w:pPr>
    <w:rPr>
      <w:rFonts w:eastAsia="Batang"/>
      <w:sz w:val="20"/>
      <w:szCs w:val="20"/>
      <w:bdr w:val="none" w:sz="0" w:space="0" w:color="auto"/>
      <w:lang w:val="es-UY"/>
    </w:rPr>
  </w:style>
  <w:style w:type="character" w:customStyle="1" w:styleId="CommentTextChar">
    <w:name w:val="Comment Text Char"/>
    <w:basedOn w:val="DefaultParagraphFont"/>
    <w:link w:val="CommentText"/>
    <w:rsid w:val="00277412"/>
    <w:rPr>
      <w:rFonts w:eastAsia="Batang"/>
      <w:bdr w:val="none" w:sz="0" w:space="0" w:color="auto"/>
      <w:lang w:val="es-UY" w:eastAsia="en-US"/>
    </w:rPr>
  </w:style>
  <w:style w:type="paragraph" w:styleId="CommentSubject">
    <w:name w:val="annotation subject"/>
    <w:basedOn w:val="CommentText"/>
    <w:next w:val="CommentText"/>
    <w:link w:val="CommentSubjectChar"/>
    <w:rsid w:val="00277412"/>
    <w:rPr>
      <w:b/>
      <w:bCs/>
    </w:rPr>
  </w:style>
  <w:style w:type="character" w:customStyle="1" w:styleId="CommentSubjectChar">
    <w:name w:val="Comment Subject Char"/>
    <w:basedOn w:val="CommentTextChar"/>
    <w:link w:val="CommentSubject"/>
    <w:rsid w:val="00277412"/>
    <w:rPr>
      <w:rFonts w:eastAsia="Batang"/>
      <w:b/>
      <w:bCs/>
      <w:bdr w:val="none" w:sz="0" w:space="0" w:color="auto"/>
      <w:lang w:val="es-UY" w:eastAsia="en-US"/>
    </w:rPr>
  </w:style>
  <w:style w:type="character" w:customStyle="1" w:styleId="shorttext">
    <w:name w:val="short_text"/>
    <w:rsid w:val="00277412"/>
  </w:style>
  <w:style w:type="character" w:styleId="Strong">
    <w:name w:val="Strong"/>
    <w:uiPriority w:val="22"/>
    <w:qFormat/>
    <w:rsid w:val="00277412"/>
    <w:rPr>
      <w:b/>
      <w:bC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semiHidden/>
    <w:locked/>
    <w:rsid w:val="00277412"/>
    <w:rPr>
      <w:rFonts w:ascii="Univers" w:eastAsia="Batang" w:hAnsi="Univers"/>
      <w:lang w:val="es-CO" w:eastAsia="en-US"/>
    </w:rPr>
  </w:style>
  <w:style w:type="paragraph" w:styleId="HTMLPreformatted">
    <w:name w:val="HTML Preformatted"/>
    <w:basedOn w:val="Normal"/>
    <w:link w:val="HTMLPreformattedChar"/>
    <w:uiPriority w:val="99"/>
    <w:unhideWhenUsed/>
    <w:rsid w:val="00277412"/>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277412"/>
    <w:rPr>
      <w:rFonts w:ascii="Courier New" w:eastAsia="Times New Roman" w:hAnsi="Courier New" w:cs="Courier New"/>
      <w:bdr w:val="none" w:sz="0" w:space="0" w:color="auto"/>
      <w:lang w:val="en-US" w:eastAsia="en-US"/>
    </w:rPr>
  </w:style>
  <w:style w:type="character" w:customStyle="1" w:styleId="ColorfulList-Accent1Char">
    <w:name w:val="Colorful List - Accent 1 Char"/>
    <w:aliases w:val="Párrafo de lista1 Char,List Paragraph2 Char,List Paragraph1 Char,Colorful List - Accent 11 Char,Lista vistosa - Énfasis 11 Char,List Paragraph Char,List Paragraph11 Char"/>
    <w:link w:val="ColorfulList-Accent1"/>
    <w:locked/>
    <w:rsid w:val="00277412"/>
    <w:rPr>
      <w:rFonts w:eastAsia="Batang"/>
      <w:sz w:val="24"/>
      <w:szCs w:val="24"/>
      <w:lang w:val="es-UY"/>
    </w:rPr>
  </w:style>
  <w:style w:type="character" w:styleId="FollowedHyperlink">
    <w:name w:val="FollowedHyperlink"/>
    <w:rsid w:val="00277412"/>
    <w:rPr>
      <w:color w:val="800080"/>
      <w:u w:val="single"/>
    </w:rPr>
  </w:style>
  <w:style w:type="character" w:customStyle="1" w:styleId="skypepnhprintcontainer">
    <w:name w:val="skype_pnh_print_container"/>
    <w:rsid w:val="00277412"/>
    <w:rPr>
      <w:rFonts w:cs="Times New Roman"/>
    </w:rPr>
  </w:style>
  <w:style w:type="character" w:customStyle="1" w:styleId="skypepnhcontainer">
    <w:name w:val="skype_pnh_container"/>
    <w:rsid w:val="00277412"/>
    <w:rPr>
      <w:rFonts w:cs="Times New Roman"/>
    </w:rPr>
  </w:style>
  <w:style w:type="character" w:customStyle="1" w:styleId="s6b621b36">
    <w:name w:val="s6b621b36"/>
    <w:rsid w:val="00277412"/>
    <w:rPr>
      <w:rFonts w:cs="Times New Roman"/>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277412"/>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bdr w:val="none" w:sz="0" w:space="0" w:color="auto"/>
      <w:vertAlign w:val="superscript"/>
      <w:lang w:val="es-US" w:eastAsia="es-US"/>
    </w:rPr>
  </w:style>
  <w:style w:type="table" w:styleId="ColorfulList-Accent1">
    <w:name w:val="Colorful List Accent 1"/>
    <w:basedOn w:val="TableNormal"/>
    <w:link w:val="ColorfulList-Accent1Char"/>
    <w:uiPriority w:val="34"/>
    <w:rsid w:val="00277412"/>
    <w:rPr>
      <w:rFonts w:eastAsia="Batang"/>
      <w:sz w:val="24"/>
      <w:szCs w:val="24"/>
      <w:lang w:val="es-UY"/>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E50EF9"/>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vertAlign w:val="superscript"/>
      <w:lang w:val="es-ES" w:eastAsia="es-ES"/>
    </w:rPr>
  </w:style>
  <w:style w:type="paragraph" w:customStyle="1" w:styleId="v11n">
    <w:name w:val="v11n"/>
    <w:basedOn w:val="Normal"/>
    <w:rsid w:val="00756BF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customStyle="1" w:styleId="apple-converted-space">
    <w:name w:val="apple-converted-space"/>
    <w:basedOn w:val="DefaultParagraphFont"/>
    <w:rsid w:val="00756BFE"/>
  </w:style>
  <w:style w:type="paragraph" w:styleId="Revision">
    <w:name w:val="Revision"/>
    <w:hidden/>
    <w:uiPriority w:val="99"/>
    <w:semiHidden/>
    <w:rsid w:val="00F85A0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0110">
      <w:bodyDiv w:val="1"/>
      <w:marLeft w:val="0"/>
      <w:marRight w:val="0"/>
      <w:marTop w:val="0"/>
      <w:marBottom w:val="0"/>
      <w:divBdr>
        <w:top w:val="none" w:sz="0" w:space="0" w:color="auto"/>
        <w:left w:val="none" w:sz="0" w:space="0" w:color="auto"/>
        <w:bottom w:val="none" w:sz="0" w:space="0" w:color="auto"/>
        <w:right w:val="none" w:sz="0" w:space="0" w:color="auto"/>
      </w:divBdr>
    </w:div>
    <w:div w:id="419915683">
      <w:bodyDiv w:val="1"/>
      <w:marLeft w:val="0"/>
      <w:marRight w:val="0"/>
      <w:marTop w:val="0"/>
      <w:marBottom w:val="0"/>
      <w:divBdr>
        <w:top w:val="none" w:sz="0" w:space="0" w:color="auto"/>
        <w:left w:val="none" w:sz="0" w:space="0" w:color="auto"/>
        <w:bottom w:val="none" w:sz="0" w:space="0" w:color="auto"/>
        <w:right w:val="none" w:sz="0" w:space="0" w:color="auto"/>
      </w:divBdr>
    </w:div>
    <w:div w:id="815803182">
      <w:bodyDiv w:val="1"/>
      <w:marLeft w:val="0"/>
      <w:marRight w:val="0"/>
      <w:marTop w:val="0"/>
      <w:marBottom w:val="0"/>
      <w:divBdr>
        <w:top w:val="none" w:sz="0" w:space="0" w:color="auto"/>
        <w:left w:val="none" w:sz="0" w:space="0" w:color="auto"/>
        <w:bottom w:val="none" w:sz="0" w:space="0" w:color="auto"/>
        <w:right w:val="none" w:sz="0" w:space="0" w:color="auto"/>
      </w:divBdr>
    </w:div>
    <w:div w:id="823542779">
      <w:bodyDiv w:val="1"/>
      <w:marLeft w:val="0"/>
      <w:marRight w:val="0"/>
      <w:marTop w:val="0"/>
      <w:marBottom w:val="0"/>
      <w:divBdr>
        <w:top w:val="none" w:sz="0" w:space="0" w:color="auto"/>
        <w:left w:val="none" w:sz="0" w:space="0" w:color="auto"/>
        <w:bottom w:val="none" w:sz="0" w:space="0" w:color="auto"/>
        <w:right w:val="none" w:sz="0" w:space="0" w:color="auto"/>
      </w:divBdr>
    </w:div>
    <w:div w:id="85002747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13" Type="http://schemas.openxmlformats.org/officeDocument/2006/relationships/hyperlink" Target="http://joomla.corteidh.or.cr:8080/joomla/es/jurisprudencia-oc-avanzado/38-jurisprudencia/1906-corte-idh-caso-furlan-y-familiares-vs-argentina-excepciones-preliminares-fondo-reparaciones-y-costas-sentencia-de-31-de-agosto-de-2012-serie-c-no-246" TargetMode="External"/><Relationship Id="rId3" Type="http://schemas.openxmlformats.org/officeDocument/2006/relationships/hyperlink" Target="http://www.planalto.gov.br/ccivil_03/decreto/Antigos/D55649.htm" TargetMode="External"/><Relationship Id="rId7" Type="http://schemas.openxmlformats.org/officeDocument/2006/relationships/hyperlink" Target="http://joomla.corteidh.or.cr:8080/joomla/es/casos-contenciosos/38-jurisprudencia/192-corte-idh-caso-velasquez-rodriguez-vs-honduras-fondo-sentencia-de-29-de-julio-de-1988-serie-c-no-4" TargetMode="External"/><Relationship Id="rId12" Type="http://schemas.openxmlformats.org/officeDocument/2006/relationships/hyperlink" Target="http://joomla.corteidh.or.cr:8080/joomla/es/jurisprudencia-oc-avanzado/38-jurisprudencia/1620-corte-idh-caso-forneron-e-hija-vs-argentina-fondo-reparaciones-y-costas-sentencia-de-27-de-abril-de-2012-serie-c-no-242" TargetMode="External"/><Relationship Id="rId2" Type="http://schemas.openxmlformats.org/officeDocument/2006/relationships/hyperlink" Target="http://www.planalto.gov.br/ccivil_03/constituicao/constituicao.htm" TargetMode="External"/><Relationship Id="rId16" Type="http://schemas.openxmlformats.org/officeDocument/2006/relationships/hyperlink" Target="http://www.oas.org/es/sla/ddi/tratados_multilaterales_interamericanos_A-41_carta_OEA.asp" TargetMode="External"/><Relationship Id="rId1" Type="http://schemas.openxmlformats.org/officeDocument/2006/relationships/hyperlink" Target="http://www.planalto.gov.br/ccivil_03/constituicao/constituicao.htm" TargetMode="External"/><Relationship Id="rId6" Type="http://schemas.openxmlformats.org/officeDocument/2006/relationships/hyperlink" Target="http://www.camara.gov.br/sileg/integras/839945.pdf" TargetMode="External"/><Relationship Id="rId11" Type="http://schemas.openxmlformats.org/officeDocument/2006/relationships/hyperlink" Target="http://joomla.corteidh.or.cr:8080/joomla/es/casos-contenciosos/38-jurisprudencia/192-corte-idh-caso-velasquez-rodriguez-vs-honduras-fondo-sentencia-de-29-de-julio-de-1988-serie-c-no-4" TargetMode="External"/><Relationship Id="rId5" Type="http://schemas.openxmlformats.org/officeDocument/2006/relationships/hyperlink" Target="http://www.planalto.gov.br/ccivil_03/decreto-lei/Del5452.htm" TargetMode="External"/><Relationship Id="rId15" Type="http://schemas.openxmlformats.org/officeDocument/2006/relationships/hyperlink" Target="http://www.oas.org/es/sla/ddi/tratados_multilaterales_interamericanos_A-41_carta_OEA.asp" TargetMode="External"/><Relationship Id="rId10" Type="http://schemas.openxmlformats.org/officeDocument/2006/relationships/hyperlink" Target="http://joomla.corteidh.or.cr:8080/joomla/es/casos-contenciosos/38-jurisprudencia/192-corte-idh-caso-velasquez-rodriguez-vs-honduras-fondo-sentencia-de-29-de-julio-de-1988-serie-c-no-4" TargetMode="External"/><Relationship Id="rId4" Type="http://schemas.openxmlformats.org/officeDocument/2006/relationships/hyperlink" Target="http://www.planalto.gov.br/ccivil_03/decreto/Antigos/D55649.htm" TargetMode="External"/><Relationship Id="rId9" Type="http://schemas.openxmlformats.org/officeDocument/2006/relationships/hyperlink" Target="http://joomla.corteidh.or.cr:8080/joomla/es/casos-contenciosos/38-jurisprudencia/192-corte-idh-caso-velasquez-rodriguez-vs-honduras-fondo-sentencia-de-29-de-julio-de-1988-serie-c-no-4" TargetMode="External"/><Relationship Id="rId14" Type="http://schemas.openxmlformats.org/officeDocument/2006/relationships/hyperlink" Target="http://joomla.corteidh.or.cr:8080/joomla/es/jurisprudencia-oc-avanzado/38-jurisprudencia/1620-corte-idh-caso-forneron-e-hija-vs-argentina-fondo-reparaciones-y-costas-sentencia-de-27-de-abril-de-2012-serie-c-no-24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57D5F-CEA6-4E4B-8EFF-95D0F8AC3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38</Pages>
  <Words>17814</Words>
  <Characters>101541</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PC</cp:lastModifiedBy>
  <cp:revision>3</cp:revision>
  <cp:lastPrinted>2017-11-07T22:36:00Z</cp:lastPrinted>
  <dcterms:created xsi:type="dcterms:W3CDTF">2018-09-18T16:48:00Z</dcterms:created>
  <dcterms:modified xsi:type="dcterms:W3CDTF">2018-09-18T19:20:00Z</dcterms:modified>
</cp:coreProperties>
</file>