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420489" w:rsidRDefault="00C0075D" w:rsidP="00627C9F">
      <w:pPr>
        <w:jc w:val="both"/>
        <w:rPr>
          <w:rFonts w:asciiTheme="majorHAnsi" w:hAnsiTheme="majorHAnsi" w:cs="Univers"/>
          <w:b/>
          <w:bCs/>
          <w:sz w:val="20"/>
          <w:szCs w:val="20"/>
          <w:lang w:val="es-ES_tradnl"/>
        </w:rPr>
      </w:pPr>
      <w:r>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7534D403" wp14:editId="06B67CC4">
                <wp:simplePos x="0" y="0"/>
                <wp:positionH relativeFrom="column">
                  <wp:posOffset>1282065</wp:posOffset>
                </wp:positionH>
                <wp:positionV relativeFrom="paragraph">
                  <wp:posOffset>-373380</wp:posOffset>
                </wp:positionV>
                <wp:extent cx="5248275" cy="902335"/>
                <wp:effectExtent l="0" t="0" r="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0EB1" w:rsidRDefault="00F40EB1" w:rsidP="00AE5488">
                            <w:r>
                              <w:rPr>
                                <w:noProof/>
                              </w:rPr>
                              <w:drawing>
                                <wp:inline distT="0" distB="0" distL="0" distR="0" wp14:anchorId="5A49DDF1" wp14:editId="5ED43C1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29.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" filled="f" stroked="f" strokeweight=".5pt">
                <v:path arrowok="t"/>
                <v:textbox>
                  <w:txbxContent>
                    <w:p w:rsidR="00F40EB1" w:rsidRDefault="00F40EB1" w:rsidP="00AE5488">
                      <w:r>
                        <w:rPr>
                          <w:noProof/>
                        </w:rPr>
                        <w:drawing>
                          <wp:inline distT="0" distB="0" distL="0" distR="0" wp14:anchorId="5A49DDF1" wp14:editId="5ED43C1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21DD207B" wp14:editId="3B33C7C8">
                <wp:simplePos x="0" y="0"/>
                <wp:positionH relativeFrom="column">
                  <wp:posOffset>-415925</wp:posOffset>
                </wp:positionH>
                <wp:positionV relativeFrom="paragraph">
                  <wp:posOffset>-439420</wp:posOffset>
                </wp:positionV>
                <wp:extent cx="1543050" cy="9096375"/>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At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BC9sAtogIAAJ8FAAAOAAAAAAAAAAAAAAAA&#10;AC4CAABkcnMvZTJvRG9jLnhtbFBLAQItABQABgAIAAAAIQDzmg9R4gAAAAwBAAAPAAAAAAAAAAAA&#10;AAAAAPwEAABkcnMvZG93bnJldi54bWxQSwUGAAAAAAQABADzAAAACwYAAAAA&#10;" fillcolor="#4a7194" stroked="f" strokeweight="2pt">
                <v:path arrowok="t"/>
              </v:rect>
            </w:pict>
          </mc:Fallback>
        </mc:AlternateContent>
      </w:r>
    </w:p>
    <w:p w:rsidR="00040C3A" w:rsidRPr="00420489" w:rsidRDefault="00040C3A" w:rsidP="00040C3A">
      <w:pPr>
        <w:tabs>
          <w:tab w:val="center" w:pos="5400"/>
        </w:tabs>
        <w:suppressAutoHyphens/>
        <w:jc w:val="both"/>
        <w:rPr>
          <w:rFonts w:asciiTheme="majorHAnsi" w:hAnsiTheme="majorHAnsi"/>
          <w:sz w:val="20"/>
          <w:szCs w:val="20"/>
          <w:lang w:val="es-ES_tradnl"/>
        </w:rPr>
      </w:pPr>
    </w:p>
    <w:p w:rsidR="00040C3A" w:rsidRPr="00420489" w:rsidRDefault="00040C3A" w:rsidP="00040C3A">
      <w:pPr>
        <w:tabs>
          <w:tab w:val="center" w:pos="5400"/>
        </w:tabs>
        <w:suppressAutoHyphens/>
        <w:jc w:val="both"/>
        <w:rPr>
          <w:rFonts w:asciiTheme="majorHAnsi" w:hAnsiTheme="majorHAnsi"/>
          <w:sz w:val="20"/>
          <w:szCs w:val="20"/>
          <w:lang w:val="es-ES_tradnl"/>
        </w:rPr>
      </w:pPr>
    </w:p>
    <w:p w:rsidR="005128E4" w:rsidRPr="00420489" w:rsidRDefault="005128E4" w:rsidP="00040C3A">
      <w:pPr>
        <w:tabs>
          <w:tab w:val="center" w:pos="5400"/>
        </w:tabs>
        <w:suppressAutoHyphens/>
        <w:rPr>
          <w:rFonts w:asciiTheme="majorHAnsi" w:hAnsiTheme="majorHAnsi"/>
          <w:sz w:val="20"/>
          <w:szCs w:val="20"/>
          <w:lang w:val="es-ES_tradnl"/>
        </w:rPr>
      </w:pPr>
    </w:p>
    <w:p w:rsidR="005128E4" w:rsidRPr="00420489" w:rsidRDefault="005128E4" w:rsidP="00040C3A">
      <w:pPr>
        <w:tabs>
          <w:tab w:val="center" w:pos="5400"/>
        </w:tabs>
        <w:suppressAutoHyphens/>
        <w:rPr>
          <w:rFonts w:asciiTheme="majorHAnsi" w:hAnsiTheme="majorHAnsi"/>
          <w:sz w:val="20"/>
          <w:szCs w:val="20"/>
          <w:lang w:val="es-ES_tradnl"/>
        </w:rPr>
      </w:pPr>
    </w:p>
    <w:p w:rsidR="005128E4" w:rsidRPr="00420489" w:rsidRDefault="005128E4" w:rsidP="00040C3A">
      <w:pPr>
        <w:tabs>
          <w:tab w:val="center" w:pos="5400"/>
        </w:tabs>
        <w:suppressAutoHyphens/>
        <w:rPr>
          <w:rFonts w:asciiTheme="majorHAnsi" w:hAnsiTheme="majorHAnsi"/>
          <w:sz w:val="20"/>
          <w:szCs w:val="20"/>
          <w:lang w:val="es-ES_tradnl"/>
        </w:rPr>
      </w:pPr>
    </w:p>
    <w:p w:rsidR="00040C3A" w:rsidRPr="00420489" w:rsidRDefault="00040C3A" w:rsidP="005128E4">
      <w:pPr>
        <w:tabs>
          <w:tab w:val="center" w:pos="5400"/>
        </w:tabs>
        <w:suppressAutoHyphens/>
        <w:jc w:val="center"/>
        <w:rPr>
          <w:rFonts w:asciiTheme="majorHAnsi" w:hAnsiTheme="majorHAnsi"/>
          <w:sz w:val="20"/>
          <w:szCs w:val="20"/>
          <w:lang w:val="es-ES_tradnl"/>
        </w:rPr>
      </w:pPr>
    </w:p>
    <w:p w:rsidR="00040C3A" w:rsidRPr="00420489" w:rsidRDefault="00040C3A" w:rsidP="005128E4">
      <w:pPr>
        <w:tabs>
          <w:tab w:val="center" w:pos="5400"/>
        </w:tabs>
        <w:suppressAutoHyphens/>
        <w:jc w:val="center"/>
        <w:rPr>
          <w:rFonts w:asciiTheme="majorHAnsi" w:hAnsiTheme="majorHAnsi"/>
          <w:sz w:val="20"/>
          <w:szCs w:val="20"/>
          <w:lang w:val="es-ES_tradnl"/>
        </w:rPr>
      </w:pPr>
    </w:p>
    <w:p w:rsidR="005B52B0" w:rsidRPr="00420489" w:rsidRDefault="005B52B0" w:rsidP="005128E4">
      <w:pPr>
        <w:tabs>
          <w:tab w:val="center" w:pos="5400"/>
        </w:tabs>
        <w:suppressAutoHyphens/>
        <w:jc w:val="center"/>
        <w:rPr>
          <w:rFonts w:asciiTheme="majorHAnsi" w:hAnsiTheme="majorHAnsi"/>
          <w:sz w:val="20"/>
          <w:szCs w:val="20"/>
          <w:lang w:val="es-ES_tradnl"/>
        </w:rPr>
      </w:pPr>
    </w:p>
    <w:p w:rsidR="005B52B0" w:rsidRPr="00420489" w:rsidRDefault="005B52B0" w:rsidP="005128E4">
      <w:pPr>
        <w:tabs>
          <w:tab w:val="center" w:pos="5400"/>
        </w:tabs>
        <w:suppressAutoHyphens/>
        <w:jc w:val="center"/>
        <w:rPr>
          <w:rFonts w:asciiTheme="majorHAnsi" w:hAnsiTheme="majorHAnsi"/>
          <w:sz w:val="20"/>
          <w:szCs w:val="20"/>
          <w:lang w:val="es-ES_tradnl"/>
        </w:rPr>
      </w:pPr>
    </w:p>
    <w:p w:rsidR="005B52B0" w:rsidRPr="00420489" w:rsidRDefault="005B52B0" w:rsidP="005128E4">
      <w:pPr>
        <w:tabs>
          <w:tab w:val="center" w:pos="5400"/>
        </w:tabs>
        <w:suppressAutoHyphens/>
        <w:jc w:val="center"/>
        <w:rPr>
          <w:rFonts w:asciiTheme="majorHAnsi" w:hAnsiTheme="majorHAnsi"/>
          <w:sz w:val="20"/>
          <w:szCs w:val="20"/>
          <w:lang w:val="es-ES_tradnl"/>
        </w:rPr>
      </w:pPr>
    </w:p>
    <w:p w:rsidR="00040C3A" w:rsidRPr="00420489" w:rsidRDefault="00040C3A" w:rsidP="00040C3A">
      <w:pPr>
        <w:tabs>
          <w:tab w:val="center" w:pos="5400"/>
        </w:tabs>
        <w:suppressAutoHyphens/>
        <w:jc w:val="center"/>
        <w:rPr>
          <w:rFonts w:asciiTheme="majorHAnsi" w:hAnsiTheme="majorHAnsi"/>
          <w:sz w:val="20"/>
          <w:szCs w:val="20"/>
          <w:lang w:val="es-ES_tradnl"/>
        </w:rPr>
      </w:pPr>
    </w:p>
    <w:p w:rsidR="00040C3A" w:rsidRPr="00420489" w:rsidRDefault="00040C3A" w:rsidP="00040C3A">
      <w:pPr>
        <w:tabs>
          <w:tab w:val="center" w:pos="5400"/>
        </w:tabs>
        <w:suppressAutoHyphens/>
        <w:jc w:val="center"/>
        <w:rPr>
          <w:rFonts w:asciiTheme="majorHAnsi" w:hAnsiTheme="majorHAnsi"/>
          <w:sz w:val="20"/>
          <w:szCs w:val="20"/>
          <w:lang w:val="es-ES_tradnl"/>
        </w:rPr>
      </w:pPr>
    </w:p>
    <w:p w:rsidR="00040C3A" w:rsidRPr="00420489" w:rsidRDefault="00C0075D" w:rsidP="00040C3A">
      <w:pPr>
        <w:tabs>
          <w:tab w:val="center" w:pos="5400"/>
        </w:tabs>
        <w:suppressAutoHyphens/>
        <w:jc w:val="center"/>
        <w:rPr>
          <w:rFonts w:asciiTheme="majorHAnsi" w:hAnsiTheme="majorHAnsi"/>
          <w:sz w:val="20"/>
          <w:szCs w:val="20"/>
          <w:lang w:val="es-ES_tradnl"/>
        </w:rPr>
      </w:pPr>
      <w:r>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4C8406DE" wp14:editId="000849DF">
                <wp:simplePos x="0" y="0"/>
                <wp:positionH relativeFrom="column">
                  <wp:posOffset>1352550</wp:posOffset>
                </wp:positionH>
                <wp:positionV relativeFrom="paragraph">
                  <wp:posOffset>109220</wp:posOffset>
                </wp:positionV>
                <wp:extent cx="4441190" cy="42735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427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0EB1" w:rsidRDefault="00F40EB1" w:rsidP="00997BC5">
                            <w:pPr>
                              <w:spacing w:line="276" w:lineRule="auto"/>
                              <w:rPr>
                                <w:rFonts w:asciiTheme="majorHAnsi" w:hAnsiTheme="majorHAnsi" w:cs="Arial"/>
                                <w:b/>
                                <w:bCs/>
                                <w:color w:val="0D0D0D" w:themeColor="text1" w:themeTint="F2"/>
                                <w:sz w:val="36"/>
                                <w:szCs w:val="22"/>
                                <w:lang w:val="es-ES"/>
                              </w:rPr>
                            </w:pPr>
                            <w:r w:rsidRPr="00B06C1C">
                              <w:rPr>
                                <w:rFonts w:asciiTheme="majorHAnsi" w:hAnsiTheme="majorHAnsi" w:cs="Arial"/>
                                <w:b/>
                                <w:bCs/>
                                <w:color w:val="0D0D0D" w:themeColor="text1" w:themeTint="F2"/>
                                <w:sz w:val="36"/>
                                <w:szCs w:val="22"/>
                                <w:lang w:val="es-ES"/>
                              </w:rPr>
                              <w:t xml:space="preserve">INFORME </w:t>
                            </w:r>
                            <w:r w:rsidRPr="00B06C1C">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132/17</w:t>
                            </w:r>
                          </w:p>
                          <w:p w:rsidR="00F40EB1" w:rsidRPr="00B06C1C" w:rsidRDefault="00F40EB1" w:rsidP="00997BC5">
                            <w:pPr>
                              <w:spacing w:line="276" w:lineRule="auto"/>
                              <w:rPr>
                                <w:rFonts w:asciiTheme="majorHAnsi" w:hAnsiTheme="majorHAnsi" w:cs="Arial"/>
                                <w:b/>
                                <w:bCs/>
                                <w:color w:val="0D0D0D" w:themeColor="text1" w:themeTint="F2"/>
                                <w:sz w:val="36"/>
                                <w:szCs w:val="22"/>
                                <w:lang w:val="es-ES"/>
                              </w:rPr>
                            </w:pPr>
                            <w:r>
                              <w:rPr>
                                <w:rFonts w:asciiTheme="majorHAnsi" w:hAnsiTheme="majorHAnsi" w:cs="Arial"/>
                                <w:b/>
                                <w:bCs/>
                                <w:color w:val="0D0D0D" w:themeColor="text1" w:themeTint="F2"/>
                                <w:sz w:val="36"/>
                                <w:szCs w:val="22"/>
                                <w:lang w:val="es-ES"/>
                              </w:rPr>
                              <w:t>CASO 12. 452</w:t>
                            </w:r>
                          </w:p>
                          <w:p w:rsidR="00F40EB1" w:rsidRDefault="00F40EB1" w:rsidP="007014EB">
                            <w:pPr>
                              <w:spacing w:line="276" w:lineRule="auto"/>
                              <w:rPr>
                                <w:rFonts w:asciiTheme="majorHAnsi" w:hAnsiTheme="majorHAnsi" w:cs="Arial"/>
                                <w:color w:val="0D0D0D" w:themeColor="text1" w:themeTint="F2"/>
                                <w:szCs w:val="22"/>
                                <w:lang w:val="es-ES_tradnl"/>
                              </w:rPr>
                            </w:pPr>
                            <w:bookmarkStart w:id="0" w:name="_ftnref1"/>
                            <w:r>
                              <w:rPr>
                                <w:rFonts w:asciiTheme="majorHAnsi" w:hAnsiTheme="majorHAnsi" w:cs="Arial"/>
                                <w:color w:val="0D0D0D" w:themeColor="text1" w:themeTint="F2"/>
                                <w:szCs w:val="22"/>
                                <w:lang w:val="es-ES_tradnl"/>
                              </w:rPr>
                              <w:t xml:space="preserve">INFORME DE ADMISIBILIDAD Y FONDO </w:t>
                            </w:r>
                          </w:p>
                          <w:p w:rsidR="00F40EB1" w:rsidRPr="00B06E1C" w:rsidRDefault="00F40EB1" w:rsidP="00B06E1C">
                            <w:pPr>
                              <w:suppressAutoHyphens/>
                              <w:rPr>
                                <w:rFonts w:asciiTheme="majorHAnsi" w:hAnsiTheme="majorHAnsi" w:cs="Arial"/>
                                <w:b/>
                                <w:color w:val="0D0D0D" w:themeColor="text1" w:themeTint="F2"/>
                                <w:lang w:val="es-ES"/>
                              </w:rPr>
                            </w:pPr>
                          </w:p>
                          <w:p w:rsidR="00F40EB1" w:rsidRDefault="00F40EB1" w:rsidP="00997BC5">
                            <w:pPr>
                              <w:spacing w:line="276" w:lineRule="auto"/>
                              <w:rPr>
                                <w:rFonts w:asciiTheme="majorHAnsi" w:hAnsiTheme="majorHAnsi" w:cs="Arial"/>
                                <w:color w:val="0D0D0D" w:themeColor="text1" w:themeTint="F2"/>
                                <w:szCs w:val="22"/>
                                <w:lang w:val="es-ES_tradnl"/>
                              </w:rPr>
                            </w:pPr>
                          </w:p>
                          <w:p w:rsidR="00F40EB1" w:rsidRDefault="00F40EB1" w:rsidP="00F25D69">
                            <w:pPr>
                              <w:suppressAutoHyphens/>
                              <w:ind w:right="990"/>
                              <w:rPr>
                                <w:rFonts w:asciiTheme="majorHAnsi" w:hAnsiTheme="majorHAnsi" w:cs="Arial"/>
                                <w:color w:val="0D0D0D" w:themeColor="text1" w:themeTint="F2"/>
                                <w:szCs w:val="22"/>
                                <w:lang w:val="es-VE"/>
                              </w:rPr>
                            </w:pPr>
                            <w:r>
                              <w:rPr>
                                <w:rFonts w:asciiTheme="majorHAnsi" w:hAnsiTheme="majorHAnsi" w:cs="Arial"/>
                                <w:color w:val="0D0D0D" w:themeColor="text1" w:themeTint="F2"/>
                                <w:szCs w:val="22"/>
                                <w:lang w:val="es-ES_tradnl"/>
                              </w:rPr>
                              <w:t>TIRSO ROM</w:t>
                            </w:r>
                            <w:r>
                              <w:rPr>
                                <w:rFonts w:asciiTheme="majorHAnsi" w:hAnsiTheme="majorHAnsi" w:cs="Arial"/>
                                <w:color w:val="0D0D0D" w:themeColor="text1" w:themeTint="F2"/>
                                <w:szCs w:val="22"/>
                                <w:lang w:val="es-VE"/>
                              </w:rPr>
                              <w:t xml:space="preserve">ÁN VALENZUELA </w:t>
                            </w:r>
                            <w:r w:rsidRPr="007F3D68">
                              <w:rPr>
                                <w:rFonts w:asciiTheme="majorHAnsi" w:hAnsiTheme="majorHAnsi" w:cs="Arial"/>
                                <w:color w:val="0D0D0D" w:themeColor="text1" w:themeTint="F2"/>
                                <w:szCs w:val="22"/>
                                <w:lang w:val="es-VE"/>
                              </w:rPr>
                              <w:t>ÁVILA Y FAMILIARES</w:t>
                            </w:r>
                          </w:p>
                          <w:p w:rsidR="00F40EB1" w:rsidRPr="007014EB" w:rsidRDefault="00F40EB1" w:rsidP="00F25D69">
                            <w:pPr>
                              <w:suppressAutoHyphens/>
                              <w:ind w:right="990"/>
                              <w:rPr>
                                <w:rFonts w:asciiTheme="majorHAnsi" w:hAnsiTheme="majorHAnsi" w:cs="Arial"/>
                                <w:color w:val="0D0D0D" w:themeColor="text1" w:themeTint="F2"/>
                                <w:szCs w:val="22"/>
                                <w:lang w:val="es-VE"/>
                              </w:rPr>
                            </w:pPr>
                            <w:r>
                              <w:rPr>
                                <w:rFonts w:asciiTheme="majorHAnsi" w:hAnsiTheme="majorHAnsi" w:cs="Arial"/>
                                <w:color w:val="0D0D0D" w:themeColor="text1" w:themeTint="F2"/>
                                <w:szCs w:val="22"/>
                                <w:lang w:val="es-VE"/>
                              </w:rPr>
                              <w:t>G</w:t>
                            </w:r>
                            <w:r w:rsidR="006D7B67">
                              <w:rPr>
                                <w:rFonts w:asciiTheme="majorHAnsi" w:hAnsiTheme="majorHAnsi" w:cs="Arial"/>
                                <w:color w:val="0D0D0D" w:themeColor="text1" w:themeTint="F2"/>
                                <w:szCs w:val="22"/>
                                <w:lang w:val="es-VE"/>
                              </w:rPr>
                              <w:t>UATEMALA</w:t>
                            </w:r>
                            <w:bookmarkStart w:id="1" w:name="_GoBack"/>
                            <w:bookmarkEnd w:id="1"/>
                          </w:p>
                          <w:p w:rsidR="00F40EB1" w:rsidRDefault="00F40EB1" w:rsidP="007014EB">
                            <w:pPr>
                              <w:suppressAutoHyphens/>
                              <w:ind w:right="990"/>
                              <w:rPr>
                                <w:rFonts w:asciiTheme="majorHAnsi" w:hAnsiTheme="majorHAnsi" w:cs="Arial"/>
                                <w:color w:val="0D0D0D" w:themeColor="text1" w:themeTint="F2"/>
                                <w:szCs w:val="22"/>
                                <w:lang w:val="es-ES_tradnl"/>
                              </w:rPr>
                            </w:pPr>
                            <w:r>
                              <w:rPr>
                                <w:rFonts w:ascii="Cambria" w:hAnsi="Cambria"/>
                                <w:lang w:val="es-ES_tradnl"/>
                              </w:rPr>
                              <w:t xml:space="preserve"> </w:t>
                            </w:r>
                          </w:p>
                          <w:p w:rsidR="00F40EB1" w:rsidRPr="0010736F" w:rsidRDefault="00F40EB1" w:rsidP="00997BC5">
                            <w:pPr>
                              <w:spacing w:line="276" w:lineRule="auto"/>
                              <w:rPr>
                                <w:rFonts w:asciiTheme="majorHAnsi" w:hAnsiTheme="majorHAnsi" w:cs="Arial"/>
                                <w:color w:val="0D0D0D" w:themeColor="text1" w:themeTint="F2"/>
                                <w:szCs w:val="22"/>
                                <w:lang w:val="es-ES_tradnl"/>
                              </w:rPr>
                            </w:pPr>
                          </w:p>
                          <w:bookmarkEnd w:id="0"/>
                          <w:p w:rsidR="00F40EB1" w:rsidRPr="00AE5488" w:rsidRDefault="00F40EB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6pt;width:349.7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" filled="f" stroked="f" strokeweight=".5pt">
                <v:path arrowok="t"/>
                <v:textbox>
                  <w:txbxContent>
                    <w:p w:rsidR="00F40EB1" w:rsidRDefault="00F40EB1" w:rsidP="00997BC5">
                      <w:pPr>
                        <w:spacing w:line="276" w:lineRule="auto"/>
                        <w:rPr>
                          <w:rFonts w:asciiTheme="majorHAnsi" w:hAnsiTheme="majorHAnsi" w:cs="Arial"/>
                          <w:b/>
                          <w:bCs/>
                          <w:color w:val="0D0D0D" w:themeColor="text1" w:themeTint="F2"/>
                          <w:sz w:val="36"/>
                          <w:szCs w:val="22"/>
                          <w:lang w:val="es-ES"/>
                        </w:rPr>
                      </w:pPr>
                      <w:r w:rsidRPr="00B06C1C">
                        <w:rPr>
                          <w:rFonts w:asciiTheme="majorHAnsi" w:hAnsiTheme="majorHAnsi" w:cs="Arial"/>
                          <w:b/>
                          <w:bCs/>
                          <w:color w:val="0D0D0D" w:themeColor="text1" w:themeTint="F2"/>
                          <w:sz w:val="36"/>
                          <w:szCs w:val="22"/>
                          <w:lang w:val="es-ES"/>
                        </w:rPr>
                        <w:t xml:space="preserve">INFORME </w:t>
                      </w:r>
                      <w:r w:rsidRPr="00B06C1C">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132/17</w:t>
                      </w:r>
                    </w:p>
                    <w:p w:rsidR="00F40EB1" w:rsidRPr="00B06C1C" w:rsidRDefault="00F40EB1" w:rsidP="00997BC5">
                      <w:pPr>
                        <w:spacing w:line="276" w:lineRule="auto"/>
                        <w:rPr>
                          <w:rFonts w:asciiTheme="majorHAnsi" w:hAnsiTheme="majorHAnsi" w:cs="Arial"/>
                          <w:b/>
                          <w:bCs/>
                          <w:color w:val="0D0D0D" w:themeColor="text1" w:themeTint="F2"/>
                          <w:sz w:val="36"/>
                          <w:szCs w:val="22"/>
                          <w:lang w:val="es-ES"/>
                        </w:rPr>
                      </w:pPr>
                      <w:r>
                        <w:rPr>
                          <w:rFonts w:asciiTheme="majorHAnsi" w:hAnsiTheme="majorHAnsi" w:cs="Arial"/>
                          <w:b/>
                          <w:bCs/>
                          <w:color w:val="0D0D0D" w:themeColor="text1" w:themeTint="F2"/>
                          <w:sz w:val="36"/>
                          <w:szCs w:val="22"/>
                          <w:lang w:val="es-ES"/>
                        </w:rPr>
                        <w:t>CASO 12. 452</w:t>
                      </w:r>
                    </w:p>
                    <w:p w:rsidR="00F40EB1" w:rsidRDefault="00F40EB1" w:rsidP="007014EB">
                      <w:pPr>
                        <w:spacing w:line="276" w:lineRule="auto"/>
                        <w:rPr>
                          <w:rFonts w:asciiTheme="majorHAnsi" w:hAnsiTheme="majorHAnsi" w:cs="Arial"/>
                          <w:color w:val="0D0D0D" w:themeColor="text1" w:themeTint="F2"/>
                          <w:szCs w:val="22"/>
                          <w:lang w:val="es-ES_tradnl"/>
                        </w:rPr>
                      </w:pPr>
                      <w:bookmarkStart w:id="2" w:name="_ftnref1"/>
                      <w:r>
                        <w:rPr>
                          <w:rFonts w:asciiTheme="majorHAnsi" w:hAnsiTheme="majorHAnsi" w:cs="Arial"/>
                          <w:color w:val="0D0D0D" w:themeColor="text1" w:themeTint="F2"/>
                          <w:szCs w:val="22"/>
                          <w:lang w:val="es-ES_tradnl"/>
                        </w:rPr>
                        <w:t xml:space="preserve">INFORME DE ADMISIBILIDAD Y FONDO </w:t>
                      </w:r>
                    </w:p>
                    <w:p w:rsidR="00F40EB1" w:rsidRPr="00B06E1C" w:rsidRDefault="00F40EB1" w:rsidP="00B06E1C">
                      <w:pPr>
                        <w:suppressAutoHyphens/>
                        <w:rPr>
                          <w:rFonts w:asciiTheme="majorHAnsi" w:hAnsiTheme="majorHAnsi" w:cs="Arial"/>
                          <w:b/>
                          <w:color w:val="0D0D0D" w:themeColor="text1" w:themeTint="F2"/>
                          <w:lang w:val="es-ES"/>
                        </w:rPr>
                      </w:pPr>
                    </w:p>
                    <w:p w:rsidR="00F40EB1" w:rsidRDefault="00F40EB1" w:rsidP="00997BC5">
                      <w:pPr>
                        <w:spacing w:line="276" w:lineRule="auto"/>
                        <w:rPr>
                          <w:rFonts w:asciiTheme="majorHAnsi" w:hAnsiTheme="majorHAnsi" w:cs="Arial"/>
                          <w:color w:val="0D0D0D" w:themeColor="text1" w:themeTint="F2"/>
                          <w:szCs w:val="22"/>
                          <w:lang w:val="es-ES_tradnl"/>
                        </w:rPr>
                      </w:pPr>
                    </w:p>
                    <w:p w:rsidR="00F40EB1" w:rsidRDefault="00F40EB1" w:rsidP="00F25D69">
                      <w:pPr>
                        <w:suppressAutoHyphens/>
                        <w:ind w:right="990"/>
                        <w:rPr>
                          <w:rFonts w:asciiTheme="majorHAnsi" w:hAnsiTheme="majorHAnsi" w:cs="Arial"/>
                          <w:color w:val="0D0D0D" w:themeColor="text1" w:themeTint="F2"/>
                          <w:szCs w:val="22"/>
                          <w:lang w:val="es-VE"/>
                        </w:rPr>
                      </w:pPr>
                      <w:r>
                        <w:rPr>
                          <w:rFonts w:asciiTheme="majorHAnsi" w:hAnsiTheme="majorHAnsi" w:cs="Arial"/>
                          <w:color w:val="0D0D0D" w:themeColor="text1" w:themeTint="F2"/>
                          <w:szCs w:val="22"/>
                          <w:lang w:val="es-ES_tradnl"/>
                        </w:rPr>
                        <w:t>TIRSO ROM</w:t>
                      </w:r>
                      <w:r>
                        <w:rPr>
                          <w:rFonts w:asciiTheme="majorHAnsi" w:hAnsiTheme="majorHAnsi" w:cs="Arial"/>
                          <w:color w:val="0D0D0D" w:themeColor="text1" w:themeTint="F2"/>
                          <w:szCs w:val="22"/>
                          <w:lang w:val="es-VE"/>
                        </w:rPr>
                        <w:t xml:space="preserve">ÁN VALENZUELA </w:t>
                      </w:r>
                      <w:r w:rsidRPr="007F3D68">
                        <w:rPr>
                          <w:rFonts w:asciiTheme="majorHAnsi" w:hAnsiTheme="majorHAnsi" w:cs="Arial"/>
                          <w:color w:val="0D0D0D" w:themeColor="text1" w:themeTint="F2"/>
                          <w:szCs w:val="22"/>
                          <w:lang w:val="es-VE"/>
                        </w:rPr>
                        <w:t>ÁVILA Y FAMILIARES</w:t>
                      </w:r>
                    </w:p>
                    <w:p w:rsidR="00F40EB1" w:rsidRPr="007014EB" w:rsidRDefault="00F40EB1" w:rsidP="00F25D69">
                      <w:pPr>
                        <w:suppressAutoHyphens/>
                        <w:ind w:right="990"/>
                        <w:rPr>
                          <w:rFonts w:asciiTheme="majorHAnsi" w:hAnsiTheme="majorHAnsi" w:cs="Arial"/>
                          <w:color w:val="0D0D0D" w:themeColor="text1" w:themeTint="F2"/>
                          <w:szCs w:val="22"/>
                          <w:lang w:val="es-VE"/>
                        </w:rPr>
                      </w:pPr>
                      <w:r>
                        <w:rPr>
                          <w:rFonts w:asciiTheme="majorHAnsi" w:hAnsiTheme="majorHAnsi" w:cs="Arial"/>
                          <w:color w:val="0D0D0D" w:themeColor="text1" w:themeTint="F2"/>
                          <w:szCs w:val="22"/>
                          <w:lang w:val="es-VE"/>
                        </w:rPr>
                        <w:t>G</w:t>
                      </w:r>
                      <w:r w:rsidR="006D7B67">
                        <w:rPr>
                          <w:rFonts w:asciiTheme="majorHAnsi" w:hAnsiTheme="majorHAnsi" w:cs="Arial"/>
                          <w:color w:val="0D0D0D" w:themeColor="text1" w:themeTint="F2"/>
                          <w:szCs w:val="22"/>
                          <w:lang w:val="es-VE"/>
                        </w:rPr>
                        <w:t>UATEMALA</w:t>
                      </w:r>
                      <w:bookmarkStart w:id="3" w:name="_GoBack"/>
                      <w:bookmarkEnd w:id="3"/>
                    </w:p>
                    <w:p w:rsidR="00F40EB1" w:rsidRDefault="00F40EB1" w:rsidP="007014EB">
                      <w:pPr>
                        <w:suppressAutoHyphens/>
                        <w:ind w:right="990"/>
                        <w:rPr>
                          <w:rFonts w:asciiTheme="majorHAnsi" w:hAnsiTheme="majorHAnsi" w:cs="Arial"/>
                          <w:color w:val="0D0D0D" w:themeColor="text1" w:themeTint="F2"/>
                          <w:szCs w:val="22"/>
                          <w:lang w:val="es-ES_tradnl"/>
                        </w:rPr>
                      </w:pPr>
                      <w:r>
                        <w:rPr>
                          <w:rFonts w:ascii="Cambria" w:hAnsi="Cambria"/>
                          <w:lang w:val="es-ES_tradnl"/>
                        </w:rPr>
                        <w:t xml:space="preserve"> </w:t>
                      </w:r>
                    </w:p>
                    <w:p w:rsidR="00F40EB1" w:rsidRPr="0010736F" w:rsidRDefault="00F40EB1" w:rsidP="00997BC5">
                      <w:pPr>
                        <w:spacing w:line="276" w:lineRule="auto"/>
                        <w:rPr>
                          <w:rFonts w:asciiTheme="majorHAnsi" w:hAnsiTheme="majorHAnsi" w:cs="Arial"/>
                          <w:color w:val="0D0D0D" w:themeColor="text1" w:themeTint="F2"/>
                          <w:szCs w:val="22"/>
                          <w:lang w:val="es-ES_tradnl"/>
                        </w:rPr>
                      </w:pPr>
                    </w:p>
                    <w:bookmarkEnd w:id="2"/>
                    <w:p w:rsidR="00F40EB1" w:rsidRPr="00AE5488" w:rsidRDefault="00F40EB1" w:rsidP="007A5817">
                      <w:pPr>
                        <w:rPr>
                          <w:color w:val="0D0D0D" w:themeColor="text1" w:themeTint="F2"/>
                          <w:lang w:val="es-ES_tradnl"/>
                        </w:rPr>
                      </w:pPr>
                    </w:p>
                  </w:txbxContent>
                </v:textbox>
              </v:shape>
            </w:pict>
          </mc:Fallback>
        </mc:AlternateContent>
      </w:r>
      <w:r>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59068D9B" wp14:editId="6B7369D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0EB1" w:rsidRPr="00F40EB1" w:rsidRDefault="00F40EB1" w:rsidP="007A5817">
                            <w:pPr>
                              <w:spacing w:line="276" w:lineRule="auto"/>
                              <w:jc w:val="right"/>
                              <w:rPr>
                                <w:rFonts w:asciiTheme="minorHAnsi" w:hAnsiTheme="minorHAnsi"/>
                                <w:color w:val="FFFFFF" w:themeColor="background1"/>
                                <w:sz w:val="22"/>
                                <w:lang w:val="pt-BR"/>
                              </w:rPr>
                            </w:pPr>
                            <w:r w:rsidRPr="00F40EB1">
                              <w:rPr>
                                <w:rFonts w:asciiTheme="minorHAnsi" w:hAnsiTheme="minorHAnsi"/>
                                <w:color w:val="FFFFFF" w:themeColor="background1"/>
                                <w:sz w:val="22"/>
                                <w:lang w:val="pt-BR"/>
                              </w:rPr>
                              <w:t>OEA/Ser.L/V/II.165</w:t>
                            </w:r>
                          </w:p>
                          <w:p w:rsidR="00F40EB1" w:rsidRPr="00F40EB1" w:rsidRDefault="00F40EB1" w:rsidP="007A5817">
                            <w:pPr>
                              <w:spacing w:line="276" w:lineRule="auto"/>
                              <w:jc w:val="right"/>
                              <w:rPr>
                                <w:rFonts w:asciiTheme="minorHAnsi" w:hAnsiTheme="minorHAnsi"/>
                                <w:color w:val="FFFFFF" w:themeColor="background1"/>
                                <w:sz w:val="22"/>
                                <w:lang w:val="pt-BR"/>
                              </w:rPr>
                            </w:pPr>
                            <w:r w:rsidRPr="00F40EB1">
                              <w:rPr>
                                <w:rFonts w:asciiTheme="minorHAnsi" w:hAnsiTheme="minorHAnsi"/>
                                <w:color w:val="FFFFFF" w:themeColor="background1"/>
                                <w:sz w:val="22"/>
                                <w:lang w:val="pt-BR"/>
                              </w:rPr>
                              <w:t>Doc. 158</w:t>
                            </w:r>
                          </w:p>
                          <w:p w:rsidR="00F40EB1" w:rsidRPr="00A5702A" w:rsidRDefault="00F40EB1" w:rsidP="007A5817">
                            <w:pPr>
                              <w:spacing w:line="276" w:lineRule="auto"/>
                              <w:jc w:val="right"/>
                              <w:rPr>
                                <w:rFonts w:asciiTheme="minorHAnsi" w:hAnsiTheme="minorHAnsi"/>
                                <w:color w:val="FFFFFF" w:themeColor="background1"/>
                                <w:sz w:val="22"/>
                                <w:lang w:val="es-VE"/>
                              </w:rPr>
                            </w:pPr>
                            <w:r w:rsidRPr="00A5702A">
                              <w:rPr>
                                <w:rFonts w:asciiTheme="minorHAnsi" w:hAnsiTheme="minorHAnsi"/>
                                <w:color w:val="FFFFFF" w:themeColor="background1"/>
                                <w:sz w:val="22"/>
                                <w:lang w:val="es-VE"/>
                              </w:rPr>
                              <w:t>25 octubre 2017</w:t>
                            </w:r>
                          </w:p>
                          <w:p w:rsidR="00F40EB1" w:rsidRPr="000C5BC3" w:rsidRDefault="00F40EB1" w:rsidP="007A5817">
                            <w:pPr>
                              <w:spacing w:line="276" w:lineRule="auto"/>
                              <w:jc w:val="right"/>
                              <w:rPr>
                                <w:rFonts w:asciiTheme="minorHAnsi" w:hAnsiTheme="minorHAnsi"/>
                                <w:color w:val="FFFFFF" w:themeColor="background1"/>
                                <w:sz w:val="22"/>
                                <w:lang w:val="es-ES"/>
                              </w:rPr>
                            </w:pPr>
                            <w:r w:rsidRPr="000C5BC3">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F40EB1" w:rsidRPr="00F40EB1" w:rsidRDefault="00F40EB1" w:rsidP="007A5817">
                      <w:pPr>
                        <w:spacing w:line="276" w:lineRule="auto"/>
                        <w:jc w:val="right"/>
                        <w:rPr>
                          <w:rFonts w:asciiTheme="minorHAnsi" w:hAnsiTheme="minorHAnsi"/>
                          <w:color w:val="FFFFFF" w:themeColor="background1"/>
                          <w:sz w:val="22"/>
                          <w:lang w:val="pt-BR"/>
                        </w:rPr>
                      </w:pPr>
                      <w:r w:rsidRPr="00F40EB1">
                        <w:rPr>
                          <w:rFonts w:asciiTheme="minorHAnsi" w:hAnsiTheme="minorHAnsi"/>
                          <w:color w:val="FFFFFF" w:themeColor="background1"/>
                          <w:sz w:val="22"/>
                          <w:lang w:val="pt-BR"/>
                        </w:rPr>
                        <w:t>OEA/Ser.L/V/II.165</w:t>
                      </w:r>
                    </w:p>
                    <w:p w:rsidR="00F40EB1" w:rsidRPr="00F40EB1" w:rsidRDefault="00F40EB1" w:rsidP="007A5817">
                      <w:pPr>
                        <w:spacing w:line="276" w:lineRule="auto"/>
                        <w:jc w:val="right"/>
                        <w:rPr>
                          <w:rFonts w:asciiTheme="minorHAnsi" w:hAnsiTheme="minorHAnsi"/>
                          <w:color w:val="FFFFFF" w:themeColor="background1"/>
                          <w:sz w:val="22"/>
                          <w:lang w:val="pt-BR"/>
                        </w:rPr>
                      </w:pPr>
                      <w:r w:rsidRPr="00F40EB1">
                        <w:rPr>
                          <w:rFonts w:asciiTheme="minorHAnsi" w:hAnsiTheme="minorHAnsi"/>
                          <w:color w:val="FFFFFF" w:themeColor="background1"/>
                          <w:sz w:val="22"/>
                          <w:lang w:val="pt-BR"/>
                        </w:rPr>
                        <w:t>Doc. 158</w:t>
                      </w:r>
                    </w:p>
                    <w:p w:rsidR="00F40EB1" w:rsidRPr="00A5702A" w:rsidRDefault="00F40EB1" w:rsidP="007A5817">
                      <w:pPr>
                        <w:spacing w:line="276" w:lineRule="auto"/>
                        <w:jc w:val="right"/>
                        <w:rPr>
                          <w:rFonts w:asciiTheme="minorHAnsi" w:hAnsiTheme="minorHAnsi"/>
                          <w:color w:val="FFFFFF" w:themeColor="background1"/>
                          <w:sz w:val="22"/>
                          <w:lang w:val="es-VE"/>
                        </w:rPr>
                      </w:pPr>
                      <w:r w:rsidRPr="00A5702A">
                        <w:rPr>
                          <w:rFonts w:asciiTheme="minorHAnsi" w:hAnsiTheme="minorHAnsi"/>
                          <w:color w:val="FFFFFF" w:themeColor="background1"/>
                          <w:sz w:val="22"/>
                          <w:lang w:val="es-VE"/>
                        </w:rPr>
                        <w:t>25 octubre 2017</w:t>
                      </w:r>
                    </w:p>
                    <w:p w:rsidR="00F40EB1" w:rsidRPr="000C5BC3" w:rsidRDefault="00F40EB1" w:rsidP="007A5817">
                      <w:pPr>
                        <w:spacing w:line="276" w:lineRule="auto"/>
                        <w:jc w:val="right"/>
                        <w:rPr>
                          <w:rFonts w:asciiTheme="minorHAnsi" w:hAnsiTheme="minorHAnsi"/>
                          <w:color w:val="FFFFFF" w:themeColor="background1"/>
                          <w:sz w:val="22"/>
                          <w:lang w:val="es-ES"/>
                        </w:rPr>
                      </w:pPr>
                      <w:r w:rsidRPr="000C5BC3">
                        <w:rPr>
                          <w:rFonts w:asciiTheme="minorHAnsi" w:hAnsiTheme="minorHAnsi"/>
                          <w:color w:val="FFFFFF" w:themeColor="background1"/>
                          <w:sz w:val="22"/>
                          <w:lang w:val="es-ES"/>
                        </w:rPr>
                        <w:t>Original: español</w:t>
                      </w:r>
                    </w:p>
                  </w:txbxContent>
                </v:textbox>
              </v:shape>
            </w:pict>
          </mc:Fallback>
        </mc:AlternateContent>
      </w:r>
    </w:p>
    <w:p w:rsidR="00040C3A" w:rsidRPr="00420489" w:rsidRDefault="00040C3A" w:rsidP="00040C3A">
      <w:pPr>
        <w:tabs>
          <w:tab w:val="center" w:pos="5400"/>
        </w:tabs>
        <w:suppressAutoHyphens/>
        <w:jc w:val="center"/>
        <w:rPr>
          <w:rFonts w:asciiTheme="majorHAnsi" w:hAnsiTheme="majorHAnsi"/>
          <w:sz w:val="20"/>
          <w:szCs w:val="20"/>
          <w:lang w:val="es-ES_tradnl"/>
        </w:rPr>
      </w:pPr>
    </w:p>
    <w:p w:rsidR="00040C3A" w:rsidRPr="00420489" w:rsidRDefault="00040C3A" w:rsidP="00040C3A">
      <w:pPr>
        <w:tabs>
          <w:tab w:val="center" w:pos="5400"/>
        </w:tabs>
        <w:suppressAutoHyphens/>
        <w:jc w:val="center"/>
        <w:rPr>
          <w:rFonts w:asciiTheme="majorHAnsi" w:hAnsiTheme="majorHAnsi"/>
          <w:sz w:val="20"/>
          <w:szCs w:val="20"/>
          <w:lang w:val="es-ES_tradnl"/>
        </w:rPr>
      </w:pPr>
    </w:p>
    <w:p w:rsidR="00040C3A" w:rsidRPr="00420489" w:rsidRDefault="00040C3A" w:rsidP="00040C3A">
      <w:pPr>
        <w:tabs>
          <w:tab w:val="center" w:pos="5400"/>
        </w:tabs>
        <w:suppressAutoHyphens/>
        <w:jc w:val="center"/>
        <w:rPr>
          <w:rFonts w:asciiTheme="majorHAnsi" w:hAnsiTheme="majorHAnsi" w:cs="Arial"/>
          <w:sz w:val="20"/>
          <w:szCs w:val="20"/>
          <w:lang w:val="es-ES_tradnl"/>
        </w:rPr>
      </w:pPr>
    </w:p>
    <w:p w:rsidR="00040C3A" w:rsidRPr="00420489" w:rsidRDefault="00040C3A" w:rsidP="00040C3A">
      <w:pPr>
        <w:tabs>
          <w:tab w:val="center" w:pos="5400"/>
        </w:tabs>
        <w:suppressAutoHyphens/>
        <w:jc w:val="center"/>
        <w:rPr>
          <w:rFonts w:asciiTheme="majorHAnsi" w:hAnsiTheme="majorHAnsi"/>
          <w:sz w:val="20"/>
          <w:szCs w:val="20"/>
          <w:lang w:val="es-ES_tradnl"/>
        </w:rPr>
      </w:pPr>
    </w:p>
    <w:p w:rsidR="00040C3A" w:rsidRPr="00420489" w:rsidRDefault="00040C3A" w:rsidP="00040C3A">
      <w:pPr>
        <w:tabs>
          <w:tab w:val="center" w:pos="5400"/>
        </w:tabs>
        <w:suppressAutoHyphens/>
        <w:jc w:val="center"/>
        <w:rPr>
          <w:rFonts w:asciiTheme="majorHAnsi" w:hAnsiTheme="majorHAnsi"/>
          <w:sz w:val="20"/>
          <w:szCs w:val="20"/>
          <w:lang w:val="es-ES_tradnl"/>
        </w:rPr>
      </w:pPr>
    </w:p>
    <w:p w:rsidR="00040C3A" w:rsidRPr="00420489" w:rsidRDefault="00040C3A" w:rsidP="00040C3A">
      <w:pPr>
        <w:tabs>
          <w:tab w:val="center" w:pos="5400"/>
        </w:tabs>
        <w:suppressAutoHyphens/>
        <w:jc w:val="center"/>
        <w:rPr>
          <w:rFonts w:asciiTheme="majorHAnsi" w:hAnsiTheme="majorHAnsi"/>
          <w:sz w:val="20"/>
          <w:szCs w:val="20"/>
          <w:lang w:val="es-ES_tradnl"/>
        </w:rPr>
      </w:pPr>
    </w:p>
    <w:p w:rsidR="00040C3A" w:rsidRPr="00420489" w:rsidRDefault="00040C3A" w:rsidP="00040C3A">
      <w:pPr>
        <w:tabs>
          <w:tab w:val="center" w:pos="5400"/>
        </w:tabs>
        <w:suppressAutoHyphens/>
        <w:jc w:val="center"/>
        <w:rPr>
          <w:rFonts w:asciiTheme="majorHAnsi" w:hAnsiTheme="majorHAnsi"/>
          <w:sz w:val="20"/>
          <w:szCs w:val="20"/>
          <w:lang w:val="es-ES_tradnl"/>
        </w:rPr>
      </w:pPr>
    </w:p>
    <w:p w:rsidR="005128E4" w:rsidRPr="00420489" w:rsidRDefault="005128E4" w:rsidP="00040C3A">
      <w:pPr>
        <w:tabs>
          <w:tab w:val="center" w:pos="5400"/>
        </w:tabs>
        <w:suppressAutoHyphens/>
        <w:jc w:val="center"/>
        <w:rPr>
          <w:rFonts w:asciiTheme="majorHAnsi" w:hAnsiTheme="majorHAnsi"/>
          <w:sz w:val="20"/>
          <w:szCs w:val="20"/>
          <w:lang w:val="es-ES_tradnl"/>
        </w:rPr>
      </w:pPr>
    </w:p>
    <w:p w:rsidR="00040C3A" w:rsidRPr="00420489" w:rsidRDefault="00040C3A" w:rsidP="00040C3A">
      <w:pPr>
        <w:tabs>
          <w:tab w:val="center" w:pos="5400"/>
        </w:tabs>
        <w:suppressAutoHyphens/>
        <w:jc w:val="center"/>
        <w:rPr>
          <w:rFonts w:asciiTheme="majorHAnsi" w:hAnsiTheme="majorHAnsi"/>
          <w:sz w:val="20"/>
          <w:szCs w:val="20"/>
          <w:lang w:val="es-ES_tradnl"/>
        </w:rPr>
      </w:pPr>
    </w:p>
    <w:p w:rsidR="005128E4" w:rsidRPr="00420489" w:rsidRDefault="005128E4" w:rsidP="00040C3A">
      <w:pPr>
        <w:tabs>
          <w:tab w:val="center" w:pos="5400"/>
        </w:tabs>
        <w:suppressAutoHyphens/>
        <w:jc w:val="center"/>
        <w:rPr>
          <w:rFonts w:asciiTheme="majorHAnsi" w:hAnsiTheme="majorHAnsi"/>
          <w:sz w:val="20"/>
          <w:szCs w:val="20"/>
          <w:lang w:val="es-ES_tradnl"/>
        </w:rPr>
      </w:pPr>
    </w:p>
    <w:p w:rsidR="005128E4" w:rsidRPr="00420489" w:rsidRDefault="005128E4" w:rsidP="00040C3A">
      <w:pPr>
        <w:tabs>
          <w:tab w:val="center" w:pos="5400"/>
        </w:tabs>
        <w:suppressAutoHyphens/>
        <w:jc w:val="center"/>
        <w:rPr>
          <w:rFonts w:asciiTheme="majorHAnsi" w:hAnsiTheme="majorHAnsi"/>
          <w:sz w:val="20"/>
          <w:szCs w:val="20"/>
          <w:lang w:val="es-ES_tradnl"/>
        </w:rPr>
      </w:pPr>
    </w:p>
    <w:p w:rsidR="005128E4" w:rsidRPr="00420489" w:rsidRDefault="005128E4" w:rsidP="00040C3A">
      <w:pPr>
        <w:tabs>
          <w:tab w:val="center" w:pos="5400"/>
        </w:tabs>
        <w:suppressAutoHyphens/>
        <w:jc w:val="center"/>
        <w:rPr>
          <w:rFonts w:asciiTheme="majorHAnsi" w:hAnsiTheme="majorHAnsi"/>
          <w:sz w:val="20"/>
          <w:szCs w:val="20"/>
          <w:lang w:val="es-ES_tradnl"/>
        </w:rPr>
      </w:pPr>
    </w:p>
    <w:p w:rsidR="00040C3A" w:rsidRPr="00420489" w:rsidRDefault="00040C3A" w:rsidP="00040C3A">
      <w:pPr>
        <w:tabs>
          <w:tab w:val="center" w:pos="5400"/>
        </w:tabs>
        <w:suppressAutoHyphens/>
        <w:jc w:val="center"/>
        <w:rPr>
          <w:rFonts w:asciiTheme="majorHAnsi" w:hAnsiTheme="majorHAnsi"/>
          <w:sz w:val="20"/>
          <w:szCs w:val="20"/>
          <w:lang w:val="es-ES_tradnl"/>
        </w:rPr>
      </w:pPr>
    </w:p>
    <w:p w:rsidR="00040C3A" w:rsidRPr="00420489" w:rsidRDefault="00040C3A" w:rsidP="00040C3A">
      <w:pPr>
        <w:tabs>
          <w:tab w:val="center" w:pos="5400"/>
        </w:tabs>
        <w:suppressAutoHyphens/>
        <w:jc w:val="center"/>
        <w:rPr>
          <w:rFonts w:asciiTheme="majorHAnsi" w:hAnsiTheme="majorHAnsi"/>
          <w:sz w:val="20"/>
          <w:szCs w:val="20"/>
          <w:lang w:val="es-ES_tradnl"/>
        </w:rPr>
      </w:pPr>
    </w:p>
    <w:p w:rsidR="00A50FCF" w:rsidRPr="00420489" w:rsidRDefault="00A50FCF" w:rsidP="00040C3A">
      <w:pPr>
        <w:tabs>
          <w:tab w:val="center" w:pos="5400"/>
        </w:tabs>
        <w:suppressAutoHyphens/>
        <w:jc w:val="center"/>
        <w:rPr>
          <w:rFonts w:asciiTheme="majorHAnsi" w:hAnsiTheme="majorHAnsi"/>
          <w:sz w:val="20"/>
          <w:szCs w:val="20"/>
          <w:lang w:val="es-ES_tradnl"/>
        </w:rPr>
      </w:pPr>
    </w:p>
    <w:p w:rsidR="00A50FCF" w:rsidRPr="00420489" w:rsidRDefault="00A50FCF" w:rsidP="00040C3A">
      <w:pPr>
        <w:tabs>
          <w:tab w:val="center" w:pos="5400"/>
        </w:tabs>
        <w:suppressAutoHyphens/>
        <w:jc w:val="center"/>
        <w:rPr>
          <w:rFonts w:asciiTheme="majorHAnsi" w:hAnsiTheme="majorHAnsi"/>
          <w:sz w:val="20"/>
          <w:szCs w:val="20"/>
          <w:lang w:val="es-ES_tradnl"/>
        </w:rPr>
      </w:pPr>
    </w:p>
    <w:p w:rsidR="00A50FCF" w:rsidRPr="00420489" w:rsidRDefault="00A50FCF" w:rsidP="00040C3A">
      <w:pPr>
        <w:tabs>
          <w:tab w:val="center" w:pos="5400"/>
        </w:tabs>
        <w:suppressAutoHyphens/>
        <w:jc w:val="center"/>
        <w:rPr>
          <w:rFonts w:asciiTheme="majorHAnsi" w:hAnsiTheme="majorHAnsi"/>
          <w:sz w:val="20"/>
          <w:szCs w:val="20"/>
          <w:lang w:val="es-ES_tradnl"/>
        </w:rPr>
      </w:pPr>
    </w:p>
    <w:p w:rsidR="00A50FCF" w:rsidRPr="00420489" w:rsidRDefault="00A50FCF" w:rsidP="00040C3A">
      <w:pPr>
        <w:tabs>
          <w:tab w:val="center" w:pos="5400"/>
        </w:tabs>
        <w:suppressAutoHyphens/>
        <w:jc w:val="center"/>
        <w:rPr>
          <w:rFonts w:asciiTheme="majorHAnsi" w:hAnsiTheme="majorHAnsi"/>
          <w:sz w:val="20"/>
          <w:szCs w:val="20"/>
          <w:lang w:val="es-ES_tradnl"/>
        </w:rPr>
      </w:pPr>
    </w:p>
    <w:p w:rsidR="00A50FCF" w:rsidRPr="00420489" w:rsidRDefault="00A50FCF" w:rsidP="00040C3A">
      <w:pPr>
        <w:tabs>
          <w:tab w:val="center" w:pos="5400"/>
        </w:tabs>
        <w:suppressAutoHyphens/>
        <w:jc w:val="center"/>
        <w:rPr>
          <w:rFonts w:asciiTheme="majorHAnsi" w:hAnsiTheme="majorHAnsi"/>
          <w:sz w:val="20"/>
          <w:szCs w:val="20"/>
          <w:lang w:val="es-ES_tradnl"/>
        </w:rPr>
      </w:pPr>
    </w:p>
    <w:p w:rsidR="00A50FCF" w:rsidRPr="00420489" w:rsidRDefault="00A50FCF" w:rsidP="00040C3A">
      <w:pPr>
        <w:tabs>
          <w:tab w:val="center" w:pos="5400"/>
        </w:tabs>
        <w:suppressAutoHyphens/>
        <w:jc w:val="center"/>
        <w:rPr>
          <w:rFonts w:asciiTheme="majorHAnsi" w:hAnsiTheme="majorHAnsi"/>
          <w:sz w:val="20"/>
          <w:szCs w:val="20"/>
          <w:lang w:val="es-ES_tradnl"/>
        </w:rPr>
      </w:pPr>
    </w:p>
    <w:p w:rsidR="00A50FCF" w:rsidRPr="00420489" w:rsidRDefault="00A50FCF" w:rsidP="00040C3A">
      <w:pPr>
        <w:tabs>
          <w:tab w:val="center" w:pos="5400"/>
        </w:tabs>
        <w:suppressAutoHyphens/>
        <w:jc w:val="center"/>
        <w:rPr>
          <w:rFonts w:asciiTheme="majorHAnsi" w:hAnsiTheme="majorHAnsi"/>
          <w:sz w:val="20"/>
          <w:szCs w:val="20"/>
          <w:lang w:val="es-ES_tradnl"/>
        </w:rPr>
      </w:pPr>
    </w:p>
    <w:p w:rsidR="00A50FCF" w:rsidRPr="00420489" w:rsidRDefault="00A50FCF" w:rsidP="00040C3A">
      <w:pPr>
        <w:tabs>
          <w:tab w:val="center" w:pos="5400"/>
        </w:tabs>
        <w:suppressAutoHyphens/>
        <w:jc w:val="center"/>
        <w:rPr>
          <w:rFonts w:asciiTheme="majorHAnsi" w:hAnsiTheme="majorHAnsi"/>
          <w:sz w:val="20"/>
          <w:szCs w:val="20"/>
          <w:lang w:val="es-ES_tradnl"/>
        </w:rPr>
      </w:pPr>
    </w:p>
    <w:p w:rsidR="00A50FCF" w:rsidRPr="00420489" w:rsidRDefault="00A50FCF" w:rsidP="00040C3A">
      <w:pPr>
        <w:tabs>
          <w:tab w:val="center" w:pos="5400"/>
        </w:tabs>
        <w:suppressAutoHyphens/>
        <w:jc w:val="center"/>
        <w:rPr>
          <w:rFonts w:asciiTheme="majorHAnsi" w:hAnsiTheme="majorHAnsi"/>
          <w:sz w:val="20"/>
          <w:szCs w:val="20"/>
          <w:lang w:val="es-ES_tradnl"/>
        </w:rPr>
      </w:pPr>
    </w:p>
    <w:p w:rsidR="00A50FCF" w:rsidRPr="00420489" w:rsidRDefault="00A50FCF" w:rsidP="00040C3A">
      <w:pPr>
        <w:tabs>
          <w:tab w:val="center" w:pos="5400"/>
        </w:tabs>
        <w:suppressAutoHyphens/>
        <w:jc w:val="center"/>
        <w:rPr>
          <w:rFonts w:asciiTheme="majorHAnsi" w:hAnsiTheme="majorHAnsi"/>
          <w:sz w:val="20"/>
          <w:szCs w:val="20"/>
          <w:lang w:val="es-ES_tradnl"/>
        </w:rPr>
      </w:pPr>
    </w:p>
    <w:p w:rsidR="00A50FCF" w:rsidRPr="00420489" w:rsidRDefault="00A50FCF" w:rsidP="00040C3A">
      <w:pPr>
        <w:tabs>
          <w:tab w:val="center" w:pos="5400"/>
        </w:tabs>
        <w:suppressAutoHyphens/>
        <w:jc w:val="center"/>
        <w:rPr>
          <w:rFonts w:asciiTheme="majorHAnsi" w:hAnsiTheme="majorHAnsi"/>
          <w:sz w:val="20"/>
          <w:szCs w:val="20"/>
          <w:lang w:val="es-ES_tradnl"/>
        </w:rPr>
      </w:pPr>
    </w:p>
    <w:p w:rsidR="00A50FCF" w:rsidRPr="00420489" w:rsidRDefault="00A50FCF" w:rsidP="00040C3A">
      <w:pPr>
        <w:tabs>
          <w:tab w:val="center" w:pos="5400"/>
        </w:tabs>
        <w:suppressAutoHyphens/>
        <w:jc w:val="center"/>
        <w:rPr>
          <w:rFonts w:asciiTheme="majorHAnsi" w:hAnsiTheme="majorHAnsi"/>
          <w:sz w:val="20"/>
          <w:szCs w:val="20"/>
          <w:lang w:val="es-ES_tradnl"/>
        </w:rPr>
      </w:pPr>
    </w:p>
    <w:p w:rsidR="00A50FCF" w:rsidRPr="00420489" w:rsidRDefault="00A50FCF" w:rsidP="00040C3A">
      <w:pPr>
        <w:tabs>
          <w:tab w:val="center" w:pos="5400"/>
        </w:tabs>
        <w:suppressAutoHyphens/>
        <w:jc w:val="center"/>
        <w:rPr>
          <w:rFonts w:asciiTheme="majorHAnsi" w:hAnsiTheme="majorHAnsi"/>
          <w:sz w:val="20"/>
          <w:szCs w:val="20"/>
          <w:lang w:val="es-ES_tradnl"/>
        </w:rPr>
      </w:pPr>
    </w:p>
    <w:p w:rsidR="00A50FCF" w:rsidRPr="00420489" w:rsidRDefault="00A50FCF" w:rsidP="00040C3A">
      <w:pPr>
        <w:tabs>
          <w:tab w:val="center" w:pos="5400"/>
        </w:tabs>
        <w:suppressAutoHyphens/>
        <w:jc w:val="center"/>
        <w:rPr>
          <w:rFonts w:asciiTheme="majorHAnsi" w:hAnsiTheme="majorHAnsi"/>
          <w:sz w:val="20"/>
          <w:szCs w:val="20"/>
          <w:lang w:val="es-ES_tradnl"/>
        </w:rPr>
      </w:pPr>
    </w:p>
    <w:p w:rsidR="00A50FCF" w:rsidRPr="00420489" w:rsidRDefault="00C0075D" w:rsidP="00040C3A">
      <w:pPr>
        <w:tabs>
          <w:tab w:val="center" w:pos="5400"/>
        </w:tabs>
        <w:suppressAutoHyphens/>
        <w:jc w:val="center"/>
        <w:rPr>
          <w:rFonts w:asciiTheme="majorHAnsi" w:hAnsiTheme="majorHAnsi"/>
          <w:sz w:val="20"/>
          <w:szCs w:val="20"/>
          <w:lang w:val="es-ES_tradnl"/>
        </w:rPr>
      </w:pPr>
      <w:r>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45B07895" wp14:editId="1E0EC260">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0EB1" w:rsidRPr="00890650" w:rsidRDefault="00F40EB1"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 xml:space="preserve">o. 2102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25 de octubre de 2017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165</w:t>
                            </w:r>
                            <w:r w:rsidRPr="00890650">
                              <w:rPr>
                                <w:rFonts w:asciiTheme="majorHAnsi" w:hAnsiTheme="majorHAnsi" w:cs="Univers"/>
                                <w:color w:val="0D0D0D" w:themeColor="text1" w:themeTint="F2"/>
                                <w:sz w:val="18"/>
                                <w:szCs w:val="20"/>
                                <w:lang w:val="es-ES_tradnl"/>
                              </w:rPr>
                              <w:t xml:space="preserve"> período ordinario de sesiones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F40EB1" w:rsidRPr="00890650" w:rsidRDefault="00F40EB1"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 xml:space="preserve">o. 2102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25 de octubre de 2017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165</w:t>
                      </w:r>
                      <w:r w:rsidRPr="00890650">
                        <w:rPr>
                          <w:rFonts w:asciiTheme="majorHAnsi" w:hAnsiTheme="majorHAnsi" w:cs="Univers"/>
                          <w:color w:val="0D0D0D" w:themeColor="text1" w:themeTint="F2"/>
                          <w:sz w:val="18"/>
                          <w:szCs w:val="20"/>
                          <w:lang w:val="es-ES_tradnl"/>
                        </w:rPr>
                        <w:t xml:space="preserve"> período ordinario de sesiones</w:t>
                      </w:r>
                    </w:p>
                  </w:txbxContent>
                </v:textbox>
              </v:shape>
            </w:pict>
          </mc:Fallback>
        </mc:AlternateContent>
      </w:r>
    </w:p>
    <w:p w:rsidR="00A50FCF" w:rsidRPr="00420489" w:rsidRDefault="00A50FCF" w:rsidP="00040C3A">
      <w:pPr>
        <w:tabs>
          <w:tab w:val="center" w:pos="5400"/>
        </w:tabs>
        <w:suppressAutoHyphens/>
        <w:jc w:val="center"/>
        <w:rPr>
          <w:rFonts w:asciiTheme="majorHAnsi" w:hAnsiTheme="majorHAnsi"/>
          <w:sz w:val="20"/>
          <w:szCs w:val="20"/>
          <w:lang w:val="es-ES_tradnl"/>
        </w:rPr>
      </w:pPr>
    </w:p>
    <w:p w:rsidR="00A50FCF" w:rsidRPr="00420489" w:rsidRDefault="00A50FCF" w:rsidP="00040C3A">
      <w:pPr>
        <w:tabs>
          <w:tab w:val="center" w:pos="5400"/>
        </w:tabs>
        <w:suppressAutoHyphens/>
        <w:jc w:val="center"/>
        <w:rPr>
          <w:rFonts w:asciiTheme="majorHAnsi" w:hAnsiTheme="majorHAnsi"/>
          <w:sz w:val="20"/>
          <w:szCs w:val="20"/>
          <w:lang w:val="es-ES_tradnl"/>
        </w:rPr>
      </w:pPr>
    </w:p>
    <w:p w:rsidR="00A50FCF" w:rsidRPr="00420489" w:rsidRDefault="00A50FCF" w:rsidP="00040C3A">
      <w:pPr>
        <w:tabs>
          <w:tab w:val="center" w:pos="5400"/>
        </w:tabs>
        <w:suppressAutoHyphens/>
        <w:jc w:val="center"/>
        <w:rPr>
          <w:rFonts w:asciiTheme="majorHAnsi" w:hAnsiTheme="majorHAnsi"/>
          <w:sz w:val="20"/>
          <w:szCs w:val="20"/>
          <w:lang w:val="es-ES_tradnl"/>
        </w:rPr>
      </w:pPr>
    </w:p>
    <w:p w:rsidR="00A50FCF" w:rsidRPr="00420489" w:rsidRDefault="00A50FCF" w:rsidP="00040C3A">
      <w:pPr>
        <w:tabs>
          <w:tab w:val="center" w:pos="5400"/>
        </w:tabs>
        <w:suppressAutoHyphens/>
        <w:jc w:val="center"/>
        <w:rPr>
          <w:rFonts w:asciiTheme="majorHAnsi" w:hAnsiTheme="majorHAnsi"/>
          <w:sz w:val="20"/>
          <w:szCs w:val="20"/>
          <w:lang w:val="es-ES_tradnl"/>
        </w:rPr>
      </w:pPr>
    </w:p>
    <w:p w:rsidR="00A50FCF" w:rsidRPr="00420489" w:rsidRDefault="00C0075D" w:rsidP="00040C3A">
      <w:pPr>
        <w:tabs>
          <w:tab w:val="center" w:pos="5400"/>
        </w:tabs>
        <w:suppressAutoHyphens/>
        <w:jc w:val="center"/>
        <w:rPr>
          <w:rFonts w:asciiTheme="majorHAnsi" w:hAnsiTheme="majorHAnsi"/>
          <w:sz w:val="20"/>
          <w:szCs w:val="20"/>
          <w:lang w:val="es-ES_tradnl"/>
        </w:rPr>
      </w:pPr>
      <w:r>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374392F9" wp14:editId="366A39D7">
                <wp:simplePos x="0" y="0"/>
                <wp:positionH relativeFrom="column">
                  <wp:posOffset>1333500</wp:posOffset>
                </wp:positionH>
                <wp:positionV relativeFrom="paragraph">
                  <wp:posOffset>5715</wp:posOffset>
                </wp:positionV>
                <wp:extent cx="4943475" cy="65722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0EB1" w:rsidRPr="00623F39" w:rsidRDefault="00F40EB1" w:rsidP="00EB1199">
                            <w:pPr>
                              <w:spacing w:line="276" w:lineRule="auto"/>
                              <w:rPr>
                                <w:rFonts w:asciiTheme="majorHAnsi" w:hAnsiTheme="majorHAnsi"/>
                                <w:color w:val="595959" w:themeColor="text1" w:themeTint="A6"/>
                                <w:sz w:val="18"/>
                                <w:szCs w:val="18"/>
                                <w:lang w:val="es-VE"/>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093196">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
                              </w:rPr>
                              <w:t>132/17</w:t>
                            </w:r>
                            <w:r>
                              <w:rPr>
                                <w:rFonts w:asciiTheme="majorHAnsi" w:hAnsiTheme="majorHAnsi"/>
                                <w:color w:val="595959" w:themeColor="text1" w:themeTint="A6"/>
                                <w:sz w:val="18"/>
                                <w:szCs w:val="18"/>
                                <w:lang w:val="es-ES_tradnl"/>
                              </w:rPr>
                              <w:t>, Caso 12.452. Admisibilidad y Fondo. Tirso Román Valenzuela Ávila.</w:t>
                            </w:r>
                            <w:r>
                              <w:rPr>
                                <w:rFonts w:asciiTheme="majorHAnsi" w:hAnsiTheme="majorHAnsi"/>
                                <w:color w:val="595959" w:themeColor="text1" w:themeTint="A6"/>
                                <w:sz w:val="18"/>
                                <w:szCs w:val="18"/>
                                <w:lang w:val="es-VE"/>
                              </w:rPr>
                              <w:t xml:space="preserve"> </w:t>
                            </w:r>
                            <w:r>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25 de octubre de 2017</w:t>
                            </w:r>
                            <w:r w:rsidRPr="00093196">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F40EB1" w:rsidRPr="00623F39" w:rsidRDefault="00F40EB1" w:rsidP="00EB1199">
                      <w:pPr>
                        <w:spacing w:line="276" w:lineRule="auto"/>
                        <w:rPr>
                          <w:rFonts w:asciiTheme="majorHAnsi" w:hAnsiTheme="majorHAnsi"/>
                          <w:color w:val="595959" w:themeColor="text1" w:themeTint="A6"/>
                          <w:sz w:val="18"/>
                          <w:szCs w:val="18"/>
                          <w:lang w:val="es-VE"/>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093196">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
                        </w:rPr>
                        <w:t>132/17</w:t>
                      </w:r>
                      <w:r>
                        <w:rPr>
                          <w:rFonts w:asciiTheme="majorHAnsi" w:hAnsiTheme="majorHAnsi"/>
                          <w:color w:val="595959" w:themeColor="text1" w:themeTint="A6"/>
                          <w:sz w:val="18"/>
                          <w:szCs w:val="18"/>
                          <w:lang w:val="es-ES_tradnl"/>
                        </w:rPr>
                        <w:t>, Caso 12.452. Admisibilidad y Fondo. Tirso Román Valenzuela Ávila.</w:t>
                      </w:r>
                      <w:r>
                        <w:rPr>
                          <w:rFonts w:asciiTheme="majorHAnsi" w:hAnsiTheme="majorHAnsi"/>
                          <w:color w:val="595959" w:themeColor="text1" w:themeTint="A6"/>
                          <w:sz w:val="18"/>
                          <w:szCs w:val="18"/>
                          <w:lang w:val="es-VE"/>
                        </w:rPr>
                        <w:t xml:space="preserve"> </w:t>
                      </w:r>
                      <w:r>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25 de octubre de 2017</w:t>
                      </w:r>
                      <w:r w:rsidRPr="00093196">
                        <w:rPr>
                          <w:rFonts w:asciiTheme="majorHAnsi" w:hAnsiTheme="majorHAnsi"/>
                          <w:color w:val="595959" w:themeColor="text1" w:themeTint="A6"/>
                          <w:sz w:val="18"/>
                          <w:szCs w:val="18"/>
                          <w:lang w:val="es-ES"/>
                        </w:rPr>
                        <w:t>.</w:t>
                      </w:r>
                    </w:p>
                  </w:txbxContent>
                </v:textbox>
              </v:shape>
            </w:pict>
          </mc:Fallback>
        </mc:AlternateContent>
      </w:r>
    </w:p>
    <w:p w:rsidR="00A50FCF" w:rsidRPr="00420489" w:rsidRDefault="00A50FCF" w:rsidP="00040C3A">
      <w:pPr>
        <w:tabs>
          <w:tab w:val="center" w:pos="5400"/>
        </w:tabs>
        <w:suppressAutoHyphens/>
        <w:jc w:val="center"/>
        <w:rPr>
          <w:rFonts w:asciiTheme="majorHAnsi" w:hAnsiTheme="majorHAnsi"/>
          <w:sz w:val="20"/>
          <w:szCs w:val="20"/>
          <w:lang w:val="es-ES_tradnl"/>
        </w:rPr>
      </w:pPr>
    </w:p>
    <w:p w:rsidR="0070697F" w:rsidRPr="00420489" w:rsidRDefault="00C0075D" w:rsidP="00166325">
      <w:pPr>
        <w:tabs>
          <w:tab w:val="center" w:pos="5400"/>
        </w:tabs>
        <w:suppressAutoHyphens/>
        <w:rPr>
          <w:rFonts w:asciiTheme="majorHAnsi" w:hAnsiTheme="majorHAnsi"/>
          <w:b/>
          <w:sz w:val="20"/>
          <w:szCs w:val="20"/>
          <w:lang w:val="es-ES_tradnl"/>
        </w:rPr>
        <w:sectPr w:rsidR="0070697F" w:rsidRPr="00420489"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r>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2439CFB7" wp14:editId="58E25474">
                <wp:simplePos x="0" y="0"/>
                <wp:positionH relativeFrom="column">
                  <wp:posOffset>1329690</wp:posOffset>
                </wp:positionH>
                <wp:positionV relativeFrom="paragraph">
                  <wp:posOffset>638810</wp:posOffset>
                </wp:positionV>
                <wp:extent cx="4096385" cy="5670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0EB1" w:rsidRPr="00D72DC6" w:rsidRDefault="00F40EB1" w:rsidP="00F02AD1">
                            <w:pPr>
                              <w:rPr>
                                <w:color w:val="FFFFFF" w:themeColor="background1"/>
                              </w:rPr>
                            </w:pPr>
                            <w:r w:rsidRPr="00D72DC6">
                              <w:rPr>
                                <w:noProof/>
                                <w:color w:val="FFFFFF" w:themeColor="background1"/>
                              </w:rPr>
                              <w:drawing>
                                <wp:inline distT="0" distB="0" distL="0" distR="0" wp14:anchorId="0F127D6D" wp14:editId="5362791E">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" fillcolor="white [3201]" stroked="f" strokeweight=".5pt">
                <v:path arrowok="t"/>
                <v:textbox>
                  <w:txbxContent>
                    <w:p w:rsidR="00F40EB1" w:rsidRPr="00D72DC6" w:rsidRDefault="00F40EB1" w:rsidP="00F02AD1">
                      <w:pPr>
                        <w:rPr>
                          <w:color w:val="FFFFFF" w:themeColor="background1"/>
                        </w:rPr>
                      </w:pPr>
                      <w:r w:rsidRPr="00D72DC6">
                        <w:rPr>
                          <w:noProof/>
                          <w:color w:val="FFFFFF" w:themeColor="background1"/>
                        </w:rPr>
                        <w:drawing>
                          <wp:inline distT="0" distB="0" distL="0" distR="0" wp14:anchorId="0F127D6D" wp14:editId="5362791E">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7DCED016" wp14:editId="0211D60E">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0EB1" w:rsidRPr="004B7EB6" w:rsidRDefault="00F40EB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cG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" filled="f" stroked="f" strokeweight=".5pt">
                <v:path arrowok="t"/>
                <v:textbox>
                  <w:txbxContent>
                    <w:p w:rsidR="00F40EB1" w:rsidRPr="004B7EB6" w:rsidRDefault="00F40EB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4B316C" w:rsidRPr="00420489" w:rsidRDefault="00A5702A" w:rsidP="001663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r>
        <w:rPr>
          <w:rFonts w:asciiTheme="majorHAnsi" w:eastAsia="Times New Roman" w:hAnsiTheme="majorHAnsi"/>
          <w:b/>
          <w:sz w:val="20"/>
          <w:szCs w:val="20"/>
          <w:bdr w:val="none" w:sz="0" w:space="0" w:color="auto"/>
          <w:lang w:val="es-ES_tradnl"/>
        </w:rPr>
        <w:lastRenderedPageBreak/>
        <w:t>INFORME No. 132</w:t>
      </w:r>
      <w:r w:rsidR="004D3B62">
        <w:rPr>
          <w:rFonts w:asciiTheme="majorHAnsi" w:eastAsia="Times New Roman" w:hAnsiTheme="majorHAnsi"/>
          <w:b/>
          <w:sz w:val="20"/>
          <w:szCs w:val="20"/>
          <w:bdr w:val="none" w:sz="0" w:space="0" w:color="auto"/>
          <w:lang w:val="es-ES_tradnl"/>
        </w:rPr>
        <w:t>/17</w:t>
      </w:r>
    </w:p>
    <w:p w:rsidR="004B316C" w:rsidRPr="00420489" w:rsidRDefault="007014EB"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r>
        <w:rPr>
          <w:rFonts w:asciiTheme="majorHAnsi" w:eastAsia="Times New Roman" w:hAnsiTheme="majorHAnsi"/>
          <w:b/>
          <w:sz w:val="20"/>
          <w:szCs w:val="20"/>
          <w:bdr w:val="none" w:sz="0" w:space="0" w:color="auto"/>
          <w:lang w:val="es-ES_tradnl"/>
        </w:rPr>
        <w:t>CASO</w:t>
      </w:r>
      <w:r w:rsidR="008830A2">
        <w:rPr>
          <w:rFonts w:asciiTheme="majorHAnsi" w:eastAsia="Times New Roman" w:hAnsiTheme="majorHAnsi"/>
          <w:b/>
          <w:sz w:val="20"/>
          <w:szCs w:val="20"/>
          <w:bdr w:val="none" w:sz="0" w:space="0" w:color="auto"/>
          <w:lang w:val="es-ES_tradnl"/>
        </w:rPr>
        <w:t xml:space="preserve"> 12.452</w:t>
      </w:r>
    </w:p>
    <w:p w:rsidR="004B316C" w:rsidRDefault="006F1C37"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ES_tradnl"/>
        </w:rPr>
      </w:pPr>
      <w:r>
        <w:rPr>
          <w:rFonts w:asciiTheme="majorHAnsi" w:eastAsia="Times New Roman" w:hAnsiTheme="majorHAnsi"/>
          <w:sz w:val="20"/>
          <w:szCs w:val="20"/>
          <w:bdr w:val="none" w:sz="0" w:space="0" w:color="auto"/>
          <w:lang w:val="es-ES_tradnl"/>
        </w:rPr>
        <w:t xml:space="preserve">ADMISIBILIDAD Y </w:t>
      </w:r>
      <w:r w:rsidR="004B316C" w:rsidRPr="00420489">
        <w:rPr>
          <w:rFonts w:asciiTheme="majorHAnsi" w:eastAsia="Times New Roman" w:hAnsiTheme="majorHAnsi"/>
          <w:sz w:val="20"/>
          <w:szCs w:val="20"/>
          <w:bdr w:val="none" w:sz="0" w:space="0" w:color="auto"/>
          <w:lang w:val="es-ES_tradnl"/>
        </w:rPr>
        <w:t>FONDO</w:t>
      </w:r>
    </w:p>
    <w:p w:rsidR="00B06C1C" w:rsidRPr="007F3D68" w:rsidRDefault="007014EB" w:rsidP="007014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ES_tradnl"/>
        </w:rPr>
      </w:pPr>
      <w:r w:rsidRPr="007014EB">
        <w:rPr>
          <w:rFonts w:asciiTheme="majorHAnsi" w:eastAsia="Times New Roman" w:hAnsiTheme="majorHAnsi"/>
          <w:sz w:val="20"/>
          <w:szCs w:val="20"/>
          <w:bdr w:val="none" w:sz="0" w:space="0" w:color="auto"/>
          <w:lang w:val="es-ES_tradnl"/>
        </w:rPr>
        <w:t xml:space="preserve">TIRSO ROMÁN VALENZUELA </w:t>
      </w:r>
      <w:r w:rsidRPr="007F3D68">
        <w:rPr>
          <w:rFonts w:asciiTheme="majorHAnsi" w:eastAsia="Times New Roman" w:hAnsiTheme="majorHAnsi"/>
          <w:sz w:val="20"/>
          <w:szCs w:val="20"/>
          <w:bdr w:val="none" w:sz="0" w:space="0" w:color="auto"/>
          <w:lang w:val="es-ES_tradnl"/>
        </w:rPr>
        <w:t>ÁVILA</w:t>
      </w:r>
      <w:r w:rsidR="00B06E1C" w:rsidRPr="007F3D68">
        <w:rPr>
          <w:rFonts w:asciiTheme="majorHAnsi" w:eastAsia="Times New Roman" w:hAnsiTheme="majorHAnsi"/>
          <w:sz w:val="20"/>
          <w:szCs w:val="20"/>
          <w:bdr w:val="none" w:sz="0" w:space="0" w:color="auto"/>
          <w:lang w:val="es-ES_tradnl"/>
        </w:rPr>
        <w:t xml:space="preserve"> </w:t>
      </w:r>
      <w:r w:rsidR="006E623C" w:rsidRPr="007F3D68">
        <w:rPr>
          <w:rFonts w:asciiTheme="majorHAnsi" w:eastAsia="Times New Roman" w:hAnsiTheme="majorHAnsi"/>
          <w:sz w:val="20"/>
          <w:szCs w:val="20"/>
          <w:bdr w:val="none" w:sz="0" w:space="0" w:color="auto"/>
          <w:lang w:val="es-ES_tradnl"/>
        </w:rPr>
        <w:t>Y FAMILIARES</w:t>
      </w:r>
    </w:p>
    <w:p w:rsidR="00B06C1C" w:rsidRPr="00420489" w:rsidRDefault="00B06E1C"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ES_tradnl"/>
        </w:rPr>
      </w:pPr>
      <w:r w:rsidRPr="007F3D68">
        <w:rPr>
          <w:rFonts w:asciiTheme="majorHAnsi" w:eastAsia="Times New Roman" w:hAnsiTheme="majorHAnsi"/>
          <w:sz w:val="20"/>
          <w:szCs w:val="20"/>
          <w:bdr w:val="none" w:sz="0" w:space="0" w:color="auto"/>
          <w:lang w:val="es-ES_tradnl"/>
        </w:rPr>
        <w:t>GUATEMALA</w:t>
      </w:r>
    </w:p>
    <w:p w:rsidR="0073741F" w:rsidRPr="00420489" w:rsidRDefault="00A5702A"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ES_tradnl"/>
        </w:rPr>
      </w:pPr>
      <w:r>
        <w:rPr>
          <w:rFonts w:asciiTheme="majorHAnsi" w:eastAsia="Times New Roman" w:hAnsiTheme="majorHAnsi"/>
          <w:sz w:val="20"/>
          <w:szCs w:val="20"/>
          <w:bdr w:val="none" w:sz="0" w:space="0" w:color="auto"/>
          <w:lang w:val="es-ES_tradnl"/>
        </w:rPr>
        <w:t>25</w:t>
      </w:r>
      <w:r w:rsidR="00E24E60" w:rsidRPr="00420489">
        <w:rPr>
          <w:rFonts w:asciiTheme="majorHAnsi" w:eastAsia="Times New Roman" w:hAnsiTheme="majorHAnsi"/>
          <w:sz w:val="20"/>
          <w:szCs w:val="20"/>
          <w:bdr w:val="none" w:sz="0" w:space="0" w:color="auto"/>
          <w:lang w:val="es-ES_tradnl"/>
        </w:rPr>
        <w:t xml:space="preserve"> DE </w:t>
      </w:r>
      <w:r>
        <w:rPr>
          <w:rFonts w:asciiTheme="majorHAnsi" w:eastAsia="Times New Roman" w:hAnsiTheme="majorHAnsi"/>
          <w:sz w:val="20"/>
          <w:szCs w:val="20"/>
          <w:bdr w:val="none" w:sz="0" w:space="0" w:color="auto"/>
          <w:lang w:val="es-ES_tradnl"/>
        </w:rPr>
        <w:t>OCTUBRE</w:t>
      </w:r>
      <w:r w:rsidR="000A23C0">
        <w:rPr>
          <w:rFonts w:asciiTheme="majorHAnsi" w:eastAsia="Times New Roman" w:hAnsiTheme="majorHAnsi"/>
          <w:sz w:val="20"/>
          <w:szCs w:val="20"/>
          <w:bdr w:val="none" w:sz="0" w:space="0" w:color="auto"/>
          <w:lang w:val="es-ES_tradnl"/>
        </w:rPr>
        <w:t xml:space="preserve"> DE 2017</w:t>
      </w:r>
    </w:p>
    <w:p w:rsidR="004B316C" w:rsidRPr="00420489" w:rsidRDefault="004B316C"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sz w:val="20"/>
          <w:szCs w:val="20"/>
          <w:lang w:val="es-ES_tradnl"/>
        </w:rPr>
      </w:pPr>
    </w:p>
    <w:p w:rsidR="0070697F" w:rsidRPr="006D6521" w:rsidRDefault="00AA09A2" w:rsidP="006D6521">
      <w:pPr>
        <w:tabs>
          <w:tab w:val="center" w:pos="5400"/>
        </w:tabs>
        <w:suppressAutoHyphens/>
        <w:spacing w:line="276" w:lineRule="auto"/>
        <w:jc w:val="center"/>
        <w:rPr>
          <w:rFonts w:asciiTheme="majorHAnsi" w:hAnsiTheme="majorHAnsi"/>
          <w:b/>
          <w:sz w:val="20"/>
          <w:szCs w:val="20"/>
          <w:lang w:val="es-ES_tradnl"/>
        </w:rPr>
      </w:pPr>
      <w:r w:rsidRPr="00420489">
        <w:rPr>
          <w:rFonts w:asciiTheme="majorHAnsi" w:hAnsiTheme="majorHAnsi"/>
          <w:b/>
          <w:sz w:val="20"/>
          <w:szCs w:val="20"/>
          <w:lang w:val="es-ES_tradnl"/>
        </w:rPr>
        <w:t>Í</w:t>
      </w:r>
      <w:r w:rsidR="00DC7023" w:rsidRPr="00420489">
        <w:rPr>
          <w:rFonts w:asciiTheme="majorHAnsi" w:hAnsiTheme="majorHAnsi"/>
          <w:b/>
          <w:sz w:val="20"/>
          <w:szCs w:val="20"/>
          <w:lang w:val="es-ES_tradnl"/>
        </w:rPr>
        <w:t>NDICE</w:t>
      </w:r>
    </w:p>
    <w:sdt>
      <w:sdtPr>
        <w:rPr>
          <w:rFonts w:ascii="Times New Roman" w:eastAsia="Arial Unicode MS" w:hAnsi="Times New Roman" w:cs="Times New Roman"/>
          <w:b w:val="0"/>
          <w:bCs w:val="0"/>
          <w:color w:val="auto"/>
          <w:sz w:val="24"/>
          <w:szCs w:val="24"/>
          <w:bdr w:val="nil"/>
          <w:lang w:eastAsia="en-US"/>
        </w:rPr>
        <w:id w:val="1438630762"/>
        <w:docPartObj>
          <w:docPartGallery w:val="Table of Contents"/>
          <w:docPartUnique/>
        </w:docPartObj>
      </w:sdtPr>
      <w:sdtEndPr>
        <w:rPr>
          <w:noProof/>
        </w:rPr>
      </w:sdtEndPr>
      <w:sdtContent>
        <w:p w:rsidR="009A3D68" w:rsidRDefault="009A3D68">
          <w:pPr>
            <w:pStyle w:val="TOCHeading"/>
          </w:pPr>
        </w:p>
        <w:p w:rsidR="000E3549" w:rsidRPr="000E3549" w:rsidRDefault="009A3D68">
          <w:pPr>
            <w:pStyle w:val="TOC1"/>
            <w:rPr>
              <w:rFonts w:eastAsiaTheme="minorEastAsia" w:cstheme="minorBidi"/>
              <w:b w:val="0"/>
              <w:bdr w:val="none" w:sz="0" w:space="0" w:color="auto"/>
            </w:rPr>
          </w:pPr>
          <w:r w:rsidRPr="009A3D68">
            <w:fldChar w:fldCharType="begin"/>
          </w:r>
          <w:r w:rsidRPr="009A3D68">
            <w:instrText xml:space="preserve"> TOC \o "1-3" \h \z \u </w:instrText>
          </w:r>
          <w:r w:rsidRPr="009A3D68">
            <w:fldChar w:fldCharType="separate"/>
          </w:r>
          <w:hyperlink w:anchor="_Toc495479527" w:history="1">
            <w:r w:rsidR="000E3549" w:rsidRPr="000E3549">
              <w:rPr>
                <w:rStyle w:val="Hyperlink"/>
              </w:rPr>
              <w:t>I.</w:t>
            </w:r>
            <w:r w:rsidR="000E3549" w:rsidRPr="000E3549">
              <w:rPr>
                <w:rFonts w:eastAsiaTheme="minorEastAsia" w:cstheme="minorBidi"/>
                <w:b w:val="0"/>
                <w:bdr w:val="none" w:sz="0" w:space="0" w:color="auto"/>
              </w:rPr>
              <w:tab/>
            </w:r>
            <w:r w:rsidR="000E3549" w:rsidRPr="000E3549">
              <w:rPr>
                <w:rStyle w:val="Hyperlink"/>
              </w:rPr>
              <w:t>RESUMEN</w:t>
            </w:r>
            <w:r w:rsidR="000E3549" w:rsidRPr="000E3549">
              <w:rPr>
                <w:webHidden/>
              </w:rPr>
              <w:tab/>
            </w:r>
            <w:r w:rsidR="000E3549" w:rsidRPr="000E3549">
              <w:rPr>
                <w:webHidden/>
              </w:rPr>
              <w:fldChar w:fldCharType="begin"/>
            </w:r>
            <w:r w:rsidR="000E3549" w:rsidRPr="000E3549">
              <w:rPr>
                <w:webHidden/>
              </w:rPr>
              <w:instrText xml:space="preserve"> PAGEREF _Toc495479527 \h </w:instrText>
            </w:r>
            <w:r w:rsidR="000E3549" w:rsidRPr="000E3549">
              <w:rPr>
                <w:webHidden/>
              </w:rPr>
            </w:r>
            <w:r w:rsidR="000E3549" w:rsidRPr="000E3549">
              <w:rPr>
                <w:webHidden/>
              </w:rPr>
              <w:fldChar w:fldCharType="separate"/>
            </w:r>
            <w:r w:rsidR="00171E52">
              <w:rPr>
                <w:webHidden/>
              </w:rPr>
              <w:t>3</w:t>
            </w:r>
            <w:r w:rsidR="000E3549" w:rsidRPr="000E3549">
              <w:rPr>
                <w:webHidden/>
              </w:rPr>
              <w:fldChar w:fldCharType="end"/>
            </w:r>
          </w:hyperlink>
        </w:p>
        <w:p w:rsidR="000E3549" w:rsidRPr="000E3549" w:rsidRDefault="006D7B67">
          <w:pPr>
            <w:pStyle w:val="TOC1"/>
            <w:rPr>
              <w:rFonts w:eastAsiaTheme="minorEastAsia" w:cstheme="minorBidi"/>
              <w:b w:val="0"/>
              <w:bdr w:val="none" w:sz="0" w:space="0" w:color="auto"/>
            </w:rPr>
          </w:pPr>
          <w:hyperlink w:anchor="_Toc495479528" w:history="1">
            <w:r w:rsidR="000E3549" w:rsidRPr="000E3549">
              <w:rPr>
                <w:rStyle w:val="Hyperlink"/>
              </w:rPr>
              <w:t>II.</w:t>
            </w:r>
            <w:r w:rsidR="000E3549" w:rsidRPr="000E3549">
              <w:rPr>
                <w:rFonts w:eastAsiaTheme="minorEastAsia" w:cstheme="minorBidi"/>
                <w:b w:val="0"/>
                <w:bdr w:val="none" w:sz="0" w:space="0" w:color="auto"/>
              </w:rPr>
              <w:tab/>
            </w:r>
            <w:r w:rsidR="000E3549" w:rsidRPr="000E3549">
              <w:rPr>
                <w:rStyle w:val="Hyperlink"/>
              </w:rPr>
              <w:t>TRÁMITE ANTE LA COMISIÓN</w:t>
            </w:r>
            <w:r w:rsidR="000E3549" w:rsidRPr="000E3549">
              <w:rPr>
                <w:webHidden/>
              </w:rPr>
              <w:tab/>
            </w:r>
            <w:r w:rsidR="000E3549" w:rsidRPr="000E3549">
              <w:rPr>
                <w:webHidden/>
              </w:rPr>
              <w:fldChar w:fldCharType="begin"/>
            </w:r>
            <w:r w:rsidR="000E3549" w:rsidRPr="000E3549">
              <w:rPr>
                <w:webHidden/>
              </w:rPr>
              <w:instrText xml:space="preserve"> PAGEREF _Toc495479528 \h </w:instrText>
            </w:r>
            <w:r w:rsidR="000E3549" w:rsidRPr="000E3549">
              <w:rPr>
                <w:webHidden/>
              </w:rPr>
            </w:r>
            <w:r w:rsidR="000E3549" w:rsidRPr="000E3549">
              <w:rPr>
                <w:webHidden/>
              </w:rPr>
              <w:fldChar w:fldCharType="separate"/>
            </w:r>
            <w:r w:rsidR="00171E52">
              <w:rPr>
                <w:webHidden/>
              </w:rPr>
              <w:t>3</w:t>
            </w:r>
            <w:r w:rsidR="000E3549" w:rsidRPr="000E3549">
              <w:rPr>
                <w:webHidden/>
              </w:rPr>
              <w:fldChar w:fldCharType="end"/>
            </w:r>
          </w:hyperlink>
        </w:p>
        <w:p w:rsidR="000E3549" w:rsidRPr="000E3549" w:rsidRDefault="006D7B67">
          <w:pPr>
            <w:pStyle w:val="TOC1"/>
            <w:rPr>
              <w:rFonts w:eastAsiaTheme="minorEastAsia" w:cstheme="minorBidi"/>
              <w:b w:val="0"/>
              <w:bdr w:val="none" w:sz="0" w:space="0" w:color="auto"/>
            </w:rPr>
          </w:pPr>
          <w:hyperlink w:anchor="_Toc495479529" w:history="1">
            <w:r w:rsidR="000E3549" w:rsidRPr="000E3549">
              <w:rPr>
                <w:rStyle w:val="Hyperlink"/>
                <w:lang w:val="es-VE"/>
              </w:rPr>
              <w:t>III.</w:t>
            </w:r>
            <w:r w:rsidR="000E3549" w:rsidRPr="000E3549">
              <w:rPr>
                <w:rFonts w:eastAsiaTheme="minorEastAsia" w:cstheme="minorBidi"/>
                <w:b w:val="0"/>
                <w:bdr w:val="none" w:sz="0" w:space="0" w:color="auto"/>
              </w:rPr>
              <w:tab/>
            </w:r>
            <w:r w:rsidR="000E3549" w:rsidRPr="000E3549">
              <w:rPr>
                <w:rStyle w:val="Hyperlink"/>
                <w:lang w:val="es-VE"/>
              </w:rPr>
              <w:t>POSICIONES DE LAS PARTES</w:t>
            </w:r>
            <w:r w:rsidR="000E3549" w:rsidRPr="000E3549">
              <w:rPr>
                <w:webHidden/>
              </w:rPr>
              <w:tab/>
            </w:r>
            <w:r w:rsidR="000E3549" w:rsidRPr="000E3549">
              <w:rPr>
                <w:webHidden/>
              </w:rPr>
              <w:fldChar w:fldCharType="begin"/>
            </w:r>
            <w:r w:rsidR="000E3549" w:rsidRPr="000E3549">
              <w:rPr>
                <w:webHidden/>
              </w:rPr>
              <w:instrText xml:space="preserve"> PAGEREF _Toc495479529 \h </w:instrText>
            </w:r>
            <w:r w:rsidR="000E3549" w:rsidRPr="000E3549">
              <w:rPr>
                <w:webHidden/>
              </w:rPr>
            </w:r>
            <w:r w:rsidR="000E3549" w:rsidRPr="000E3549">
              <w:rPr>
                <w:webHidden/>
              </w:rPr>
              <w:fldChar w:fldCharType="separate"/>
            </w:r>
            <w:r w:rsidR="00171E52">
              <w:rPr>
                <w:webHidden/>
              </w:rPr>
              <w:t>4</w:t>
            </w:r>
            <w:r w:rsidR="000E3549" w:rsidRPr="000E3549">
              <w:rPr>
                <w:webHidden/>
              </w:rPr>
              <w:fldChar w:fldCharType="end"/>
            </w:r>
          </w:hyperlink>
        </w:p>
        <w:p w:rsidR="000E3549" w:rsidRPr="000E3549" w:rsidRDefault="006D7B67" w:rsidP="000E3549">
          <w:pPr>
            <w:pStyle w:val="TOC2"/>
            <w:rPr>
              <w:rFonts w:eastAsiaTheme="minorEastAsia" w:cstheme="minorBidi"/>
              <w:bdr w:val="none" w:sz="0" w:space="0" w:color="auto"/>
              <w:lang w:val="en-US"/>
            </w:rPr>
          </w:pPr>
          <w:hyperlink w:anchor="_Toc495479530" w:history="1">
            <w:r w:rsidR="000E3549" w:rsidRPr="000E3549">
              <w:rPr>
                <w:rStyle w:val="Hyperlink"/>
              </w:rPr>
              <w:t>A.</w:t>
            </w:r>
            <w:r w:rsidR="000E3549" w:rsidRPr="000E3549">
              <w:rPr>
                <w:rFonts w:eastAsiaTheme="minorEastAsia" w:cstheme="minorBidi"/>
                <w:bdr w:val="none" w:sz="0" w:space="0" w:color="auto"/>
                <w:lang w:val="en-US"/>
              </w:rPr>
              <w:tab/>
            </w:r>
            <w:r w:rsidR="000E3549" w:rsidRPr="000E3549">
              <w:rPr>
                <w:rStyle w:val="Hyperlink"/>
              </w:rPr>
              <w:t>Posición de los peticionarios</w:t>
            </w:r>
            <w:r w:rsidR="000E3549" w:rsidRPr="000E3549">
              <w:rPr>
                <w:webHidden/>
              </w:rPr>
              <w:tab/>
            </w:r>
            <w:r w:rsidR="000E3549" w:rsidRPr="000E3549">
              <w:rPr>
                <w:webHidden/>
              </w:rPr>
              <w:fldChar w:fldCharType="begin"/>
            </w:r>
            <w:r w:rsidR="000E3549" w:rsidRPr="000E3549">
              <w:rPr>
                <w:webHidden/>
              </w:rPr>
              <w:instrText xml:space="preserve"> PAGEREF _Toc495479530 \h </w:instrText>
            </w:r>
            <w:r w:rsidR="000E3549" w:rsidRPr="000E3549">
              <w:rPr>
                <w:webHidden/>
              </w:rPr>
            </w:r>
            <w:r w:rsidR="000E3549" w:rsidRPr="000E3549">
              <w:rPr>
                <w:webHidden/>
              </w:rPr>
              <w:fldChar w:fldCharType="separate"/>
            </w:r>
            <w:r w:rsidR="00171E52">
              <w:rPr>
                <w:webHidden/>
              </w:rPr>
              <w:t>4</w:t>
            </w:r>
            <w:r w:rsidR="000E3549" w:rsidRPr="000E3549">
              <w:rPr>
                <w:webHidden/>
              </w:rPr>
              <w:fldChar w:fldCharType="end"/>
            </w:r>
          </w:hyperlink>
        </w:p>
        <w:p w:rsidR="000E3549" w:rsidRPr="000E3549" w:rsidRDefault="006D7B67" w:rsidP="000E3549">
          <w:pPr>
            <w:pStyle w:val="TOC2"/>
            <w:rPr>
              <w:rFonts w:eastAsiaTheme="minorEastAsia" w:cstheme="minorBidi"/>
              <w:bdr w:val="none" w:sz="0" w:space="0" w:color="auto"/>
              <w:lang w:val="en-US"/>
            </w:rPr>
          </w:pPr>
          <w:hyperlink w:anchor="_Toc495479531" w:history="1">
            <w:r w:rsidR="000E3549" w:rsidRPr="000E3549">
              <w:rPr>
                <w:rStyle w:val="Hyperlink"/>
              </w:rPr>
              <w:t>B.</w:t>
            </w:r>
            <w:r w:rsidR="000E3549" w:rsidRPr="000E3549">
              <w:rPr>
                <w:rFonts w:eastAsiaTheme="minorEastAsia" w:cstheme="minorBidi"/>
                <w:bdr w:val="none" w:sz="0" w:space="0" w:color="auto"/>
                <w:lang w:val="en-US"/>
              </w:rPr>
              <w:tab/>
            </w:r>
            <w:r w:rsidR="000E3549" w:rsidRPr="000E3549">
              <w:rPr>
                <w:rStyle w:val="Hyperlink"/>
              </w:rPr>
              <w:t>Posición del Estado</w:t>
            </w:r>
            <w:r w:rsidR="000E3549" w:rsidRPr="000E3549">
              <w:rPr>
                <w:webHidden/>
              </w:rPr>
              <w:tab/>
            </w:r>
            <w:r w:rsidR="000E3549" w:rsidRPr="000E3549">
              <w:rPr>
                <w:webHidden/>
              </w:rPr>
              <w:fldChar w:fldCharType="begin"/>
            </w:r>
            <w:r w:rsidR="000E3549" w:rsidRPr="000E3549">
              <w:rPr>
                <w:webHidden/>
              </w:rPr>
              <w:instrText xml:space="preserve"> PAGEREF _Toc495479531 \h </w:instrText>
            </w:r>
            <w:r w:rsidR="000E3549" w:rsidRPr="000E3549">
              <w:rPr>
                <w:webHidden/>
              </w:rPr>
            </w:r>
            <w:r w:rsidR="000E3549" w:rsidRPr="000E3549">
              <w:rPr>
                <w:webHidden/>
              </w:rPr>
              <w:fldChar w:fldCharType="separate"/>
            </w:r>
            <w:r w:rsidR="00171E52">
              <w:rPr>
                <w:webHidden/>
              </w:rPr>
              <w:t>5</w:t>
            </w:r>
            <w:r w:rsidR="000E3549" w:rsidRPr="000E3549">
              <w:rPr>
                <w:webHidden/>
              </w:rPr>
              <w:fldChar w:fldCharType="end"/>
            </w:r>
          </w:hyperlink>
        </w:p>
        <w:p w:rsidR="000E3549" w:rsidRPr="000E3549" w:rsidRDefault="006D7B67">
          <w:pPr>
            <w:pStyle w:val="TOC1"/>
            <w:rPr>
              <w:rFonts w:eastAsiaTheme="minorEastAsia" w:cstheme="minorBidi"/>
              <w:b w:val="0"/>
              <w:bdr w:val="none" w:sz="0" w:space="0" w:color="auto"/>
            </w:rPr>
          </w:pPr>
          <w:hyperlink w:anchor="_Toc495479532" w:history="1">
            <w:r w:rsidR="000E3549" w:rsidRPr="000E3549">
              <w:rPr>
                <w:rStyle w:val="Hyperlink"/>
                <w:lang w:val="es-VE"/>
              </w:rPr>
              <w:t>IV.</w:t>
            </w:r>
            <w:r w:rsidR="000E3549" w:rsidRPr="000E3549">
              <w:rPr>
                <w:rFonts w:eastAsiaTheme="minorEastAsia" w:cstheme="minorBidi"/>
                <w:b w:val="0"/>
                <w:bdr w:val="none" w:sz="0" w:space="0" w:color="auto"/>
              </w:rPr>
              <w:tab/>
            </w:r>
            <w:r w:rsidR="000E3549" w:rsidRPr="000E3549">
              <w:rPr>
                <w:rStyle w:val="Hyperlink"/>
                <w:lang w:val="es-VE"/>
              </w:rPr>
              <w:t>ANÁLISIS DE ADMISIBILIDAD DEL ALEGATO RELACIONADO CON LA SUPUESTA EJECUCIÓN EXTRAJUDICIAL  DE LA PRESUNTA VÍCTIMA</w:t>
            </w:r>
            <w:r w:rsidR="000E3549" w:rsidRPr="000E3549">
              <w:rPr>
                <w:webHidden/>
              </w:rPr>
              <w:tab/>
            </w:r>
            <w:r w:rsidR="000E3549" w:rsidRPr="000E3549">
              <w:rPr>
                <w:webHidden/>
              </w:rPr>
              <w:fldChar w:fldCharType="begin"/>
            </w:r>
            <w:r w:rsidR="000E3549" w:rsidRPr="000E3549">
              <w:rPr>
                <w:webHidden/>
              </w:rPr>
              <w:instrText xml:space="preserve"> PAGEREF _Toc495479532 \h </w:instrText>
            </w:r>
            <w:r w:rsidR="000E3549" w:rsidRPr="000E3549">
              <w:rPr>
                <w:webHidden/>
              </w:rPr>
            </w:r>
            <w:r w:rsidR="000E3549" w:rsidRPr="000E3549">
              <w:rPr>
                <w:webHidden/>
              </w:rPr>
              <w:fldChar w:fldCharType="separate"/>
            </w:r>
            <w:r w:rsidR="00171E52">
              <w:rPr>
                <w:webHidden/>
              </w:rPr>
              <w:t>5</w:t>
            </w:r>
            <w:r w:rsidR="000E3549" w:rsidRPr="000E3549">
              <w:rPr>
                <w:webHidden/>
              </w:rPr>
              <w:fldChar w:fldCharType="end"/>
            </w:r>
          </w:hyperlink>
        </w:p>
        <w:p w:rsidR="000E3549" w:rsidRPr="000E3549" w:rsidRDefault="006D7B67" w:rsidP="000E3549">
          <w:pPr>
            <w:pStyle w:val="TOC2"/>
            <w:rPr>
              <w:rFonts w:eastAsiaTheme="minorEastAsia" w:cstheme="minorBidi"/>
              <w:bdr w:val="none" w:sz="0" w:space="0" w:color="auto"/>
              <w:lang w:val="en-US"/>
            </w:rPr>
          </w:pPr>
          <w:hyperlink w:anchor="_Toc495479533" w:history="1">
            <w:r w:rsidR="000E3549" w:rsidRPr="000E3549">
              <w:rPr>
                <w:rStyle w:val="Hyperlink"/>
                <w:lang w:val="es-ES"/>
              </w:rPr>
              <w:t>A.</w:t>
            </w:r>
            <w:r w:rsidR="000E3549" w:rsidRPr="000E3549">
              <w:rPr>
                <w:rFonts w:eastAsiaTheme="minorEastAsia" w:cstheme="minorBidi"/>
                <w:bdr w:val="none" w:sz="0" w:space="0" w:color="auto"/>
                <w:lang w:val="en-US"/>
              </w:rPr>
              <w:tab/>
            </w:r>
            <w:r w:rsidR="000E3549" w:rsidRPr="000E3549">
              <w:rPr>
                <w:rStyle w:val="Hyperlink"/>
                <w:lang w:val="es-ES"/>
              </w:rPr>
              <w:t xml:space="preserve">Competencia </w:t>
            </w:r>
            <w:r w:rsidR="000E3549" w:rsidRPr="000E3549">
              <w:rPr>
                <w:rStyle w:val="Hyperlink"/>
                <w:i/>
                <w:lang w:val="es-ES"/>
              </w:rPr>
              <w:t>ratione</w:t>
            </w:r>
            <w:r w:rsidR="000E3549" w:rsidRPr="000E3549">
              <w:rPr>
                <w:rStyle w:val="Hyperlink"/>
                <w:i/>
              </w:rPr>
              <w:t xml:space="preserve"> materiae</w:t>
            </w:r>
            <w:r w:rsidR="000E3549" w:rsidRPr="000E3549">
              <w:rPr>
                <w:rStyle w:val="Hyperlink"/>
              </w:rPr>
              <w:t xml:space="preserve">, </w:t>
            </w:r>
            <w:r w:rsidR="000E3549" w:rsidRPr="000E3549">
              <w:rPr>
                <w:rStyle w:val="Hyperlink"/>
                <w:i/>
              </w:rPr>
              <w:t>ratione personae</w:t>
            </w:r>
            <w:r w:rsidR="000E3549" w:rsidRPr="000E3549">
              <w:rPr>
                <w:rStyle w:val="Hyperlink"/>
              </w:rPr>
              <w:t xml:space="preserve">, </w:t>
            </w:r>
            <w:r w:rsidR="000E3549" w:rsidRPr="000E3549">
              <w:rPr>
                <w:rStyle w:val="Hyperlink"/>
                <w:i/>
              </w:rPr>
              <w:t>ratione temporis</w:t>
            </w:r>
            <w:r w:rsidR="000E3549" w:rsidRPr="000E3549">
              <w:rPr>
                <w:rStyle w:val="Hyperlink"/>
              </w:rPr>
              <w:t xml:space="preserve"> y </w:t>
            </w:r>
            <w:r w:rsidR="000E3549" w:rsidRPr="000E3549">
              <w:rPr>
                <w:rStyle w:val="Hyperlink"/>
                <w:i/>
              </w:rPr>
              <w:t>ratione loci</w:t>
            </w:r>
            <w:r w:rsidR="000E3549" w:rsidRPr="000E3549">
              <w:rPr>
                <w:rStyle w:val="Hyperlink"/>
              </w:rPr>
              <w:t xml:space="preserve"> de la  Comisión</w:t>
            </w:r>
            <w:r w:rsidR="000E3549" w:rsidRPr="000E3549">
              <w:rPr>
                <w:webHidden/>
              </w:rPr>
              <w:tab/>
            </w:r>
            <w:r w:rsidR="000E3549" w:rsidRPr="000E3549">
              <w:rPr>
                <w:webHidden/>
              </w:rPr>
              <w:fldChar w:fldCharType="begin"/>
            </w:r>
            <w:r w:rsidR="000E3549" w:rsidRPr="000E3549">
              <w:rPr>
                <w:webHidden/>
              </w:rPr>
              <w:instrText xml:space="preserve"> PAGEREF _Toc495479533 \h </w:instrText>
            </w:r>
            <w:r w:rsidR="000E3549" w:rsidRPr="000E3549">
              <w:rPr>
                <w:webHidden/>
              </w:rPr>
            </w:r>
            <w:r w:rsidR="000E3549" w:rsidRPr="000E3549">
              <w:rPr>
                <w:webHidden/>
              </w:rPr>
              <w:fldChar w:fldCharType="separate"/>
            </w:r>
            <w:r w:rsidR="00171E52">
              <w:rPr>
                <w:webHidden/>
              </w:rPr>
              <w:t>5</w:t>
            </w:r>
            <w:r w:rsidR="000E3549" w:rsidRPr="000E3549">
              <w:rPr>
                <w:webHidden/>
              </w:rPr>
              <w:fldChar w:fldCharType="end"/>
            </w:r>
          </w:hyperlink>
        </w:p>
        <w:p w:rsidR="000E3549" w:rsidRPr="000E3549" w:rsidRDefault="006D7B67" w:rsidP="000E3549">
          <w:pPr>
            <w:pStyle w:val="TOC2"/>
            <w:rPr>
              <w:rFonts w:eastAsiaTheme="minorEastAsia" w:cstheme="minorBidi"/>
              <w:bdr w:val="none" w:sz="0" w:space="0" w:color="auto"/>
              <w:lang w:val="en-US"/>
            </w:rPr>
          </w:pPr>
          <w:hyperlink w:anchor="_Toc495479534" w:history="1">
            <w:r w:rsidR="000E3549" w:rsidRPr="000E3549">
              <w:rPr>
                <w:rStyle w:val="Hyperlink"/>
                <w:lang w:val="es-ES"/>
              </w:rPr>
              <w:t>B.</w:t>
            </w:r>
            <w:r w:rsidR="000E3549" w:rsidRPr="000E3549">
              <w:rPr>
                <w:rFonts w:eastAsiaTheme="minorEastAsia" w:cstheme="minorBidi"/>
                <w:bdr w:val="none" w:sz="0" w:space="0" w:color="auto"/>
                <w:lang w:val="en-US"/>
              </w:rPr>
              <w:tab/>
            </w:r>
            <w:r w:rsidR="000E3549" w:rsidRPr="000E3549">
              <w:rPr>
                <w:rStyle w:val="Hyperlink"/>
                <w:lang w:val="es-ES"/>
              </w:rPr>
              <w:t>Requisitos de admisibilidad</w:t>
            </w:r>
            <w:r w:rsidR="000E3549" w:rsidRPr="000E3549">
              <w:rPr>
                <w:webHidden/>
              </w:rPr>
              <w:tab/>
            </w:r>
            <w:r w:rsidR="000E3549" w:rsidRPr="000E3549">
              <w:rPr>
                <w:webHidden/>
              </w:rPr>
              <w:fldChar w:fldCharType="begin"/>
            </w:r>
            <w:r w:rsidR="000E3549" w:rsidRPr="000E3549">
              <w:rPr>
                <w:webHidden/>
              </w:rPr>
              <w:instrText xml:space="preserve"> PAGEREF _Toc495479534 \h </w:instrText>
            </w:r>
            <w:r w:rsidR="000E3549" w:rsidRPr="000E3549">
              <w:rPr>
                <w:webHidden/>
              </w:rPr>
            </w:r>
            <w:r w:rsidR="000E3549" w:rsidRPr="000E3549">
              <w:rPr>
                <w:webHidden/>
              </w:rPr>
              <w:fldChar w:fldCharType="separate"/>
            </w:r>
            <w:r w:rsidR="00171E52">
              <w:rPr>
                <w:webHidden/>
              </w:rPr>
              <w:t>5</w:t>
            </w:r>
            <w:r w:rsidR="000E3549" w:rsidRPr="000E3549">
              <w:rPr>
                <w:webHidden/>
              </w:rPr>
              <w:fldChar w:fldCharType="end"/>
            </w:r>
          </w:hyperlink>
        </w:p>
        <w:p w:rsidR="000E3549" w:rsidRPr="000E3549" w:rsidRDefault="006D7B67">
          <w:pPr>
            <w:pStyle w:val="TOC3"/>
            <w:tabs>
              <w:tab w:val="left" w:pos="2160"/>
            </w:tabs>
            <w:rPr>
              <w:rFonts w:asciiTheme="majorHAnsi" w:eastAsiaTheme="minorEastAsia" w:hAnsiTheme="majorHAnsi" w:cstheme="minorBidi"/>
              <w:noProof/>
              <w:sz w:val="20"/>
              <w:szCs w:val="20"/>
              <w:bdr w:val="none" w:sz="0" w:space="0" w:color="auto"/>
            </w:rPr>
          </w:pPr>
          <w:hyperlink w:anchor="_Toc495479535" w:history="1">
            <w:r w:rsidR="000E3549" w:rsidRPr="000E3549">
              <w:rPr>
                <w:rStyle w:val="Hyperlink"/>
                <w:rFonts w:asciiTheme="majorHAnsi" w:eastAsia="Times New Roman" w:hAnsiTheme="majorHAnsi"/>
                <w:noProof/>
                <w:sz w:val="20"/>
                <w:szCs w:val="20"/>
                <w:lang w:val="es-VE"/>
              </w:rPr>
              <w:t>1.</w:t>
            </w:r>
            <w:r w:rsidR="000E3549" w:rsidRPr="000E3549">
              <w:rPr>
                <w:rFonts w:asciiTheme="majorHAnsi" w:eastAsiaTheme="minorEastAsia" w:hAnsiTheme="majorHAnsi" w:cstheme="minorBidi"/>
                <w:noProof/>
                <w:sz w:val="20"/>
                <w:szCs w:val="20"/>
                <w:bdr w:val="none" w:sz="0" w:space="0" w:color="auto"/>
              </w:rPr>
              <w:tab/>
            </w:r>
            <w:r w:rsidR="000E3549" w:rsidRPr="000E3549">
              <w:rPr>
                <w:rStyle w:val="Hyperlink"/>
                <w:rFonts w:asciiTheme="majorHAnsi" w:eastAsia="Times New Roman" w:hAnsiTheme="majorHAnsi" w:cs="Arial"/>
                <w:noProof/>
                <w:sz w:val="20"/>
                <w:szCs w:val="20"/>
                <w:lang w:val="es-VE"/>
              </w:rPr>
              <w:t>Agotamiento de los recursos internos y plazo de presentación</w:t>
            </w:r>
            <w:r w:rsidR="000E3549" w:rsidRPr="000E3549">
              <w:rPr>
                <w:rFonts w:asciiTheme="majorHAnsi" w:hAnsiTheme="majorHAnsi"/>
                <w:noProof/>
                <w:webHidden/>
                <w:sz w:val="20"/>
                <w:szCs w:val="20"/>
              </w:rPr>
              <w:tab/>
            </w:r>
            <w:r w:rsidR="000E3549" w:rsidRPr="000E3549">
              <w:rPr>
                <w:rFonts w:asciiTheme="majorHAnsi" w:hAnsiTheme="majorHAnsi"/>
                <w:noProof/>
                <w:webHidden/>
                <w:sz w:val="20"/>
                <w:szCs w:val="20"/>
              </w:rPr>
              <w:fldChar w:fldCharType="begin"/>
            </w:r>
            <w:r w:rsidR="000E3549" w:rsidRPr="000E3549">
              <w:rPr>
                <w:rFonts w:asciiTheme="majorHAnsi" w:hAnsiTheme="majorHAnsi"/>
                <w:noProof/>
                <w:webHidden/>
                <w:sz w:val="20"/>
                <w:szCs w:val="20"/>
              </w:rPr>
              <w:instrText xml:space="preserve"> PAGEREF _Toc495479535 \h </w:instrText>
            </w:r>
            <w:r w:rsidR="000E3549" w:rsidRPr="000E3549">
              <w:rPr>
                <w:rFonts w:asciiTheme="majorHAnsi" w:hAnsiTheme="majorHAnsi"/>
                <w:noProof/>
                <w:webHidden/>
                <w:sz w:val="20"/>
                <w:szCs w:val="20"/>
              </w:rPr>
            </w:r>
            <w:r w:rsidR="000E3549" w:rsidRPr="000E3549">
              <w:rPr>
                <w:rFonts w:asciiTheme="majorHAnsi" w:hAnsiTheme="majorHAnsi"/>
                <w:noProof/>
                <w:webHidden/>
                <w:sz w:val="20"/>
                <w:szCs w:val="20"/>
              </w:rPr>
              <w:fldChar w:fldCharType="separate"/>
            </w:r>
            <w:r w:rsidR="00171E52">
              <w:rPr>
                <w:rFonts w:asciiTheme="majorHAnsi" w:hAnsiTheme="majorHAnsi"/>
                <w:noProof/>
                <w:webHidden/>
                <w:sz w:val="20"/>
                <w:szCs w:val="20"/>
              </w:rPr>
              <w:t>5</w:t>
            </w:r>
            <w:r w:rsidR="000E3549" w:rsidRPr="000E3549">
              <w:rPr>
                <w:rFonts w:asciiTheme="majorHAnsi" w:hAnsiTheme="majorHAnsi"/>
                <w:noProof/>
                <w:webHidden/>
                <w:sz w:val="20"/>
                <w:szCs w:val="20"/>
              </w:rPr>
              <w:fldChar w:fldCharType="end"/>
            </w:r>
          </w:hyperlink>
        </w:p>
        <w:p w:rsidR="000E3549" w:rsidRPr="000E3549" w:rsidRDefault="006D7B67">
          <w:pPr>
            <w:pStyle w:val="TOC3"/>
            <w:tabs>
              <w:tab w:val="left" w:pos="2160"/>
            </w:tabs>
            <w:rPr>
              <w:rFonts w:asciiTheme="majorHAnsi" w:eastAsiaTheme="minorEastAsia" w:hAnsiTheme="majorHAnsi" w:cstheme="minorBidi"/>
              <w:noProof/>
              <w:sz w:val="20"/>
              <w:szCs w:val="20"/>
              <w:bdr w:val="none" w:sz="0" w:space="0" w:color="auto"/>
            </w:rPr>
          </w:pPr>
          <w:hyperlink w:anchor="_Toc495479536" w:history="1">
            <w:r w:rsidR="000E3549" w:rsidRPr="000E3549">
              <w:rPr>
                <w:rStyle w:val="Hyperlink"/>
                <w:rFonts w:asciiTheme="majorHAnsi" w:eastAsia="Times New Roman" w:hAnsiTheme="majorHAnsi"/>
                <w:noProof/>
                <w:sz w:val="20"/>
                <w:szCs w:val="20"/>
                <w:lang w:val="es-VE"/>
              </w:rPr>
              <w:t>2.</w:t>
            </w:r>
            <w:r w:rsidR="000E3549" w:rsidRPr="000E3549">
              <w:rPr>
                <w:rFonts w:asciiTheme="majorHAnsi" w:eastAsiaTheme="minorEastAsia" w:hAnsiTheme="majorHAnsi" w:cstheme="minorBidi"/>
                <w:noProof/>
                <w:sz w:val="20"/>
                <w:szCs w:val="20"/>
                <w:bdr w:val="none" w:sz="0" w:space="0" w:color="auto"/>
              </w:rPr>
              <w:tab/>
            </w:r>
            <w:r w:rsidR="000E3549" w:rsidRPr="000E3549">
              <w:rPr>
                <w:rStyle w:val="Hyperlink"/>
                <w:rFonts w:asciiTheme="majorHAnsi" w:eastAsia="Times New Roman" w:hAnsiTheme="majorHAnsi" w:cs="Arial"/>
                <w:noProof/>
                <w:sz w:val="20"/>
                <w:szCs w:val="20"/>
                <w:lang w:val="es-VE"/>
              </w:rPr>
              <w:t>Duplicación de procedimientos y cosa juzgada internacional</w:t>
            </w:r>
            <w:r w:rsidR="000E3549" w:rsidRPr="000E3549">
              <w:rPr>
                <w:rFonts w:asciiTheme="majorHAnsi" w:hAnsiTheme="majorHAnsi"/>
                <w:noProof/>
                <w:webHidden/>
                <w:sz w:val="20"/>
                <w:szCs w:val="20"/>
              </w:rPr>
              <w:tab/>
            </w:r>
            <w:r w:rsidR="000E3549" w:rsidRPr="000E3549">
              <w:rPr>
                <w:rFonts w:asciiTheme="majorHAnsi" w:hAnsiTheme="majorHAnsi"/>
                <w:noProof/>
                <w:webHidden/>
                <w:sz w:val="20"/>
                <w:szCs w:val="20"/>
              </w:rPr>
              <w:fldChar w:fldCharType="begin"/>
            </w:r>
            <w:r w:rsidR="000E3549" w:rsidRPr="000E3549">
              <w:rPr>
                <w:rFonts w:asciiTheme="majorHAnsi" w:hAnsiTheme="majorHAnsi"/>
                <w:noProof/>
                <w:webHidden/>
                <w:sz w:val="20"/>
                <w:szCs w:val="20"/>
              </w:rPr>
              <w:instrText xml:space="preserve"> PAGEREF _Toc495479536 \h </w:instrText>
            </w:r>
            <w:r w:rsidR="000E3549" w:rsidRPr="000E3549">
              <w:rPr>
                <w:rFonts w:asciiTheme="majorHAnsi" w:hAnsiTheme="majorHAnsi"/>
                <w:noProof/>
                <w:webHidden/>
                <w:sz w:val="20"/>
                <w:szCs w:val="20"/>
              </w:rPr>
            </w:r>
            <w:r w:rsidR="000E3549" w:rsidRPr="000E3549">
              <w:rPr>
                <w:rFonts w:asciiTheme="majorHAnsi" w:hAnsiTheme="majorHAnsi"/>
                <w:noProof/>
                <w:webHidden/>
                <w:sz w:val="20"/>
                <w:szCs w:val="20"/>
              </w:rPr>
              <w:fldChar w:fldCharType="separate"/>
            </w:r>
            <w:r w:rsidR="00171E52">
              <w:rPr>
                <w:rFonts w:asciiTheme="majorHAnsi" w:hAnsiTheme="majorHAnsi"/>
                <w:noProof/>
                <w:webHidden/>
                <w:sz w:val="20"/>
                <w:szCs w:val="20"/>
              </w:rPr>
              <w:t>6</w:t>
            </w:r>
            <w:r w:rsidR="000E3549" w:rsidRPr="000E3549">
              <w:rPr>
                <w:rFonts w:asciiTheme="majorHAnsi" w:hAnsiTheme="majorHAnsi"/>
                <w:noProof/>
                <w:webHidden/>
                <w:sz w:val="20"/>
                <w:szCs w:val="20"/>
              </w:rPr>
              <w:fldChar w:fldCharType="end"/>
            </w:r>
          </w:hyperlink>
        </w:p>
        <w:p w:rsidR="000E3549" w:rsidRPr="000E3549" w:rsidRDefault="006D7B67">
          <w:pPr>
            <w:pStyle w:val="TOC3"/>
            <w:tabs>
              <w:tab w:val="left" w:pos="2160"/>
            </w:tabs>
            <w:rPr>
              <w:rFonts w:asciiTheme="majorHAnsi" w:eastAsiaTheme="minorEastAsia" w:hAnsiTheme="majorHAnsi" w:cstheme="minorBidi"/>
              <w:noProof/>
              <w:sz w:val="20"/>
              <w:szCs w:val="20"/>
              <w:bdr w:val="none" w:sz="0" w:space="0" w:color="auto"/>
            </w:rPr>
          </w:pPr>
          <w:hyperlink w:anchor="_Toc495479537" w:history="1">
            <w:r w:rsidR="000E3549" w:rsidRPr="000E3549">
              <w:rPr>
                <w:rStyle w:val="Hyperlink"/>
                <w:rFonts w:asciiTheme="majorHAnsi" w:eastAsia="Times New Roman" w:hAnsiTheme="majorHAnsi"/>
                <w:noProof/>
                <w:sz w:val="20"/>
                <w:szCs w:val="20"/>
                <w:lang w:val="es-VE"/>
              </w:rPr>
              <w:t>3.</w:t>
            </w:r>
            <w:r w:rsidR="000E3549" w:rsidRPr="000E3549">
              <w:rPr>
                <w:rFonts w:asciiTheme="majorHAnsi" w:eastAsiaTheme="minorEastAsia" w:hAnsiTheme="majorHAnsi" w:cstheme="minorBidi"/>
                <w:noProof/>
                <w:sz w:val="20"/>
                <w:szCs w:val="20"/>
                <w:bdr w:val="none" w:sz="0" w:space="0" w:color="auto"/>
              </w:rPr>
              <w:tab/>
            </w:r>
            <w:r w:rsidR="000E3549" w:rsidRPr="000E3549">
              <w:rPr>
                <w:rStyle w:val="Hyperlink"/>
                <w:rFonts w:asciiTheme="majorHAnsi" w:eastAsia="Times New Roman" w:hAnsiTheme="majorHAnsi" w:cs="Arial"/>
                <w:noProof/>
                <w:sz w:val="20"/>
                <w:szCs w:val="20"/>
                <w:lang w:val="es-VE"/>
              </w:rPr>
              <w:t>Caracterización de los hechos alegados</w:t>
            </w:r>
            <w:r w:rsidR="000E3549" w:rsidRPr="000E3549">
              <w:rPr>
                <w:rFonts w:asciiTheme="majorHAnsi" w:hAnsiTheme="majorHAnsi"/>
                <w:noProof/>
                <w:webHidden/>
                <w:sz w:val="20"/>
                <w:szCs w:val="20"/>
              </w:rPr>
              <w:tab/>
            </w:r>
            <w:r w:rsidR="000E3549" w:rsidRPr="000E3549">
              <w:rPr>
                <w:rFonts w:asciiTheme="majorHAnsi" w:hAnsiTheme="majorHAnsi"/>
                <w:noProof/>
                <w:webHidden/>
                <w:sz w:val="20"/>
                <w:szCs w:val="20"/>
              </w:rPr>
              <w:fldChar w:fldCharType="begin"/>
            </w:r>
            <w:r w:rsidR="000E3549" w:rsidRPr="000E3549">
              <w:rPr>
                <w:rFonts w:asciiTheme="majorHAnsi" w:hAnsiTheme="majorHAnsi"/>
                <w:noProof/>
                <w:webHidden/>
                <w:sz w:val="20"/>
                <w:szCs w:val="20"/>
              </w:rPr>
              <w:instrText xml:space="preserve"> PAGEREF _Toc495479537 \h </w:instrText>
            </w:r>
            <w:r w:rsidR="000E3549" w:rsidRPr="000E3549">
              <w:rPr>
                <w:rFonts w:asciiTheme="majorHAnsi" w:hAnsiTheme="majorHAnsi"/>
                <w:noProof/>
                <w:webHidden/>
                <w:sz w:val="20"/>
                <w:szCs w:val="20"/>
              </w:rPr>
            </w:r>
            <w:r w:rsidR="000E3549" w:rsidRPr="000E3549">
              <w:rPr>
                <w:rFonts w:asciiTheme="majorHAnsi" w:hAnsiTheme="majorHAnsi"/>
                <w:noProof/>
                <w:webHidden/>
                <w:sz w:val="20"/>
                <w:szCs w:val="20"/>
              </w:rPr>
              <w:fldChar w:fldCharType="separate"/>
            </w:r>
            <w:r w:rsidR="00171E52">
              <w:rPr>
                <w:rFonts w:asciiTheme="majorHAnsi" w:hAnsiTheme="majorHAnsi"/>
                <w:noProof/>
                <w:webHidden/>
                <w:sz w:val="20"/>
                <w:szCs w:val="20"/>
              </w:rPr>
              <w:t>6</w:t>
            </w:r>
            <w:r w:rsidR="000E3549" w:rsidRPr="000E3549">
              <w:rPr>
                <w:rFonts w:asciiTheme="majorHAnsi" w:hAnsiTheme="majorHAnsi"/>
                <w:noProof/>
                <w:webHidden/>
                <w:sz w:val="20"/>
                <w:szCs w:val="20"/>
              </w:rPr>
              <w:fldChar w:fldCharType="end"/>
            </w:r>
          </w:hyperlink>
        </w:p>
        <w:p w:rsidR="000E3549" w:rsidRPr="000E3549" w:rsidRDefault="006D7B67">
          <w:pPr>
            <w:pStyle w:val="TOC1"/>
            <w:rPr>
              <w:rFonts w:eastAsiaTheme="minorEastAsia" w:cstheme="minorBidi"/>
              <w:b w:val="0"/>
              <w:bdr w:val="none" w:sz="0" w:space="0" w:color="auto"/>
            </w:rPr>
          </w:pPr>
          <w:hyperlink w:anchor="_Toc495479538" w:history="1">
            <w:r w:rsidR="000E3549" w:rsidRPr="000E3549">
              <w:rPr>
                <w:rStyle w:val="Hyperlink"/>
              </w:rPr>
              <w:t>V.</w:t>
            </w:r>
            <w:r w:rsidR="000E3549" w:rsidRPr="000E3549">
              <w:rPr>
                <w:rFonts w:eastAsiaTheme="minorEastAsia" w:cstheme="minorBidi"/>
                <w:b w:val="0"/>
                <w:bdr w:val="none" w:sz="0" w:space="0" w:color="auto"/>
              </w:rPr>
              <w:tab/>
            </w:r>
            <w:r w:rsidR="000E3549" w:rsidRPr="000E3549">
              <w:rPr>
                <w:rStyle w:val="Hyperlink"/>
              </w:rPr>
              <w:t>HECHOS PROBADOS</w:t>
            </w:r>
            <w:r w:rsidR="000E3549" w:rsidRPr="000E3549">
              <w:rPr>
                <w:webHidden/>
              </w:rPr>
              <w:tab/>
            </w:r>
            <w:r w:rsidR="000E3549" w:rsidRPr="000E3549">
              <w:rPr>
                <w:webHidden/>
              </w:rPr>
              <w:fldChar w:fldCharType="begin"/>
            </w:r>
            <w:r w:rsidR="000E3549" w:rsidRPr="000E3549">
              <w:rPr>
                <w:webHidden/>
              </w:rPr>
              <w:instrText xml:space="preserve"> PAGEREF _Toc495479538 \h </w:instrText>
            </w:r>
            <w:r w:rsidR="000E3549" w:rsidRPr="000E3549">
              <w:rPr>
                <w:webHidden/>
              </w:rPr>
            </w:r>
            <w:r w:rsidR="000E3549" w:rsidRPr="000E3549">
              <w:rPr>
                <w:webHidden/>
              </w:rPr>
              <w:fldChar w:fldCharType="separate"/>
            </w:r>
            <w:r w:rsidR="00171E52">
              <w:rPr>
                <w:webHidden/>
              </w:rPr>
              <w:t>6</w:t>
            </w:r>
            <w:r w:rsidR="000E3549" w:rsidRPr="000E3549">
              <w:rPr>
                <w:webHidden/>
              </w:rPr>
              <w:fldChar w:fldCharType="end"/>
            </w:r>
          </w:hyperlink>
        </w:p>
        <w:p w:rsidR="000E3549" w:rsidRPr="000E3549" w:rsidRDefault="006D7B67" w:rsidP="000E3549">
          <w:pPr>
            <w:pStyle w:val="TOC2"/>
            <w:rPr>
              <w:rFonts w:eastAsiaTheme="minorEastAsia" w:cstheme="minorBidi"/>
              <w:bdr w:val="none" w:sz="0" w:space="0" w:color="auto"/>
              <w:lang w:val="en-US"/>
            </w:rPr>
          </w:pPr>
          <w:hyperlink w:anchor="_Toc495479539" w:history="1">
            <w:r w:rsidR="000E3549" w:rsidRPr="000E3549">
              <w:rPr>
                <w:rStyle w:val="Hyperlink"/>
              </w:rPr>
              <w:t>A.</w:t>
            </w:r>
            <w:r w:rsidR="000E3549" w:rsidRPr="000E3549">
              <w:rPr>
                <w:rFonts w:eastAsiaTheme="minorEastAsia" w:cstheme="minorBidi"/>
                <w:bdr w:val="none" w:sz="0" w:space="0" w:color="auto"/>
                <w:lang w:val="en-US"/>
              </w:rPr>
              <w:tab/>
            </w:r>
            <w:r w:rsidR="000E3549" w:rsidRPr="000E3549">
              <w:rPr>
                <w:rStyle w:val="Hyperlink"/>
              </w:rPr>
              <w:t>La detención, alegatos de tortura y proceso interno adelantado en contra de la presunta víctima</w:t>
            </w:r>
            <w:r w:rsidR="000E3549" w:rsidRPr="000E3549">
              <w:rPr>
                <w:webHidden/>
              </w:rPr>
              <w:tab/>
            </w:r>
            <w:r w:rsidR="000E3549" w:rsidRPr="000E3549">
              <w:rPr>
                <w:webHidden/>
              </w:rPr>
              <w:fldChar w:fldCharType="begin"/>
            </w:r>
            <w:r w:rsidR="000E3549" w:rsidRPr="000E3549">
              <w:rPr>
                <w:webHidden/>
              </w:rPr>
              <w:instrText xml:space="preserve"> PAGEREF _Toc495479539 \h </w:instrText>
            </w:r>
            <w:r w:rsidR="000E3549" w:rsidRPr="000E3549">
              <w:rPr>
                <w:webHidden/>
              </w:rPr>
            </w:r>
            <w:r w:rsidR="000E3549" w:rsidRPr="000E3549">
              <w:rPr>
                <w:webHidden/>
              </w:rPr>
              <w:fldChar w:fldCharType="separate"/>
            </w:r>
            <w:r w:rsidR="00171E52">
              <w:rPr>
                <w:webHidden/>
              </w:rPr>
              <w:t>6</w:t>
            </w:r>
            <w:r w:rsidR="000E3549" w:rsidRPr="000E3549">
              <w:rPr>
                <w:webHidden/>
              </w:rPr>
              <w:fldChar w:fldCharType="end"/>
            </w:r>
          </w:hyperlink>
        </w:p>
        <w:p w:rsidR="000E3549" w:rsidRPr="000E3549" w:rsidRDefault="006D7B67">
          <w:pPr>
            <w:pStyle w:val="TOC3"/>
            <w:tabs>
              <w:tab w:val="left" w:pos="2160"/>
            </w:tabs>
            <w:rPr>
              <w:rFonts w:asciiTheme="majorHAnsi" w:eastAsiaTheme="minorEastAsia" w:hAnsiTheme="majorHAnsi" w:cstheme="minorBidi"/>
              <w:noProof/>
              <w:sz w:val="20"/>
              <w:szCs w:val="20"/>
              <w:bdr w:val="none" w:sz="0" w:space="0" w:color="auto"/>
            </w:rPr>
          </w:pPr>
          <w:hyperlink w:anchor="_Toc495479540" w:history="1">
            <w:r w:rsidR="000E3549" w:rsidRPr="000E3549">
              <w:rPr>
                <w:rStyle w:val="Hyperlink"/>
                <w:rFonts w:asciiTheme="majorHAnsi" w:hAnsiTheme="majorHAnsi"/>
                <w:noProof/>
                <w:sz w:val="20"/>
                <w:szCs w:val="20"/>
                <w:lang w:val="es-VE"/>
              </w:rPr>
              <w:t>1.</w:t>
            </w:r>
            <w:r w:rsidR="000E3549" w:rsidRPr="000E3549">
              <w:rPr>
                <w:rFonts w:asciiTheme="majorHAnsi" w:eastAsiaTheme="minorEastAsia" w:hAnsiTheme="majorHAnsi" w:cstheme="minorBidi"/>
                <w:noProof/>
                <w:sz w:val="20"/>
                <w:szCs w:val="20"/>
                <w:bdr w:val="none" w:sz="0" w:space="0" w:color="auto"/>
              </w:rPr>
              <w:tab/>
            </w:r>
            <w:r w:rsidR="000E3549" w:rsidRPr="000E3549">
              <w:rPr>
                <w:rStyle w:val="Hyperlink"/>
                <w:rFonts w:asciiTheme="majorHAnsi" w:hAnsiTheme="majorHAnsi"/>
                <w:noProof/>
                <w:sz w:val="20"/>
                <w:szCs w:val="20"/>
                <w:lang w:val="es-VE"/>
              </w:rPr>
              <w:t>Detención y alegatos de tortura</w:t>
            </w:r>
            <w:r w:rsidR="000E3549" w:rsidRPr="000E3549">
              <w:rPr>
                <w:rFonts w:asciiTheme="majorHAnsi" w:hAnsiTheme="majorHAnsi"/>
                <w:noProof/>
                <w:webHidden/>
                <w:sz w:val="20"/>
                <w:szCs w:val="20"/>
              </w:rPr>
              <w:tab/>
            </w:r>
            <w:r w:rsidR="000E3549" w:rsidRPr="000E3549">
              <w:rPr>
                <w:rFonts w:asciiTheme="majorHAnsi" w:hAnsiTheme="majorHAnsi"/>
                <w:noProof/>
                <w:webHidden/>
                <w:sz w:val="20"/>
                <w:szCs w:val="20"/>
              </w:rPr>
              <w:fldChar w:fldCharType="begin"/>
            </w:r>
            <w:r w:rsidR="000E3549" w:rsidRPr="000E3549">
              <w:rPr>
                <w:rFonts w:asciiTheme="majorHAnsi" w:hAnsiTheme="majorHAnsi"/>
                <w:noProof/>
                <w:webHidden/>
                <w:sz w:val="20"/>
                <w:szCs w:val="20"/>
              </w:rPr>
              <w:instrText xml:space="preserve"> PAGEREF _Toc495479540 \h </w:instrText>
            </w:r>
            <w:r w:rsidR="000E3549" w:rsidRPr="000E3549">
              <w:rPr>
                <w:rFonts w:asciiTheme="majorHAnsi" w:hAnsiTheme="majorHAnsi"/>
                <w:noProof/>
                <w:webHidden/>
                <w:sz w:val="20"/>
                <w:szCs w:val="20"/>
              </w:rPr>
            </w:r>
            <w:r w:rsidR="000E3549" w:rsidRPr="000E3549">
              <w:rPr>
                <w:rFonts w:asciiTheme="majorHAnsi" w:hAnsiTheme="majorHAnsi"/>
                <w:noProof/>
                <w:webHidden/>
                <w:sz w:val="20"/>
                <w:szCs w:val="20"/>
              </w:rPr>
              <w:fldChar w:fldCharType="separate"/>
            </w:r>
            <w:r w:rsidR="00171E52">
              <w:rPr>
                <w:rFonts w:asciiTheme="majorHAnsi" w:hAnsiTheme="majorHAnsi"/>
                <w:noProof/>
                <w:webHidden/>
                <w:sz w:val="20"/>
                <w:szCs w:val="20"/>
              </w:rPr>
              <w:t>6</w:t>
            </w:r>
            <w:r w:rsidR="000E3549" w:rsidRPr="000E3549">
              <w:rPr>
                <w:rFonts w:asciiTheme="majorHAnsi" w:hAnsiTheme="majorHAnsi"/>
                <w:noProof/>
                <w:webHidden/>
                <w:sz w:val="20"/>
                <w:szCs w:val="20"/>
              </w:rPr>
              <w:fldChar w:fldCharType="end"/>
            </w:r>
          </w:hyperlink>
        </w:p>
        <w:p w:rsidR="000E3549" w:rsidRPr="000E3549" w:rsidRDefault="006D7B67">
          <w:pPr>
            <w:pStyle w:val="TOC3"/>
            <w:tabs>
              <w:tab w:val="left" w:pos="2160"/>
            </w:tabs>
            <w:rPr>
              <w:rFonts w:asciiTheme="majorHAnsi" w:eastAsiaTheme="minorEastAsia" w:hAnsiTheme="majorHAnsi" w:cstheme="minorBidi"/>
              <w:noProof/>
              <w:sz w:val="20"/>
              <w:szCs w:val="20"/>
              <w:bdr w:val="none" w:sz="0" w:space="0" w:color="auto"/>
            </w:rPr>
          </w:pPr>
          <w:hyperlink w:anchor="_Toc495479541" w:history="1">
            <w:r w:rsidR="000E3549" w:rsidRPr="000E3549">
              <w:rPr>
                <w:rStyle w:val="Hyperlink"/>
                <w:rFonts w:asciiTheme="majorHAnsi" w:hAnsiTheme="majorHAnsi"/>
                <w:noProof/>
                <w:sz w:val="20"/>
                <w:szCs w:val="20"/>
                <w:lang w:val="es-VE"/>
              </w:rPr>
              <w:t>2.</w:t>
            </w:r>
            <w:r w:rsidR="000E3549" w:rsidRPr="000E3549">
              <w:rPr>
                <w:rFonts w:asciiTheme="majorHAnsi" w:eastAsiaTheme="minorEastAsia" w:hAnsiTheme="majorHAnsi" w:cstheme="minorBidi"/>
                <w:noProof/>
                <w:sz w:val="20"/>
                <w:szCs w:val="20"/>
                <w:bdr w:val="none" w:sz="0" w:space="0" w:color="auto"/>
              </w:rPr>
              <w:tab/>
            </w:r>
            <w:r w:rsidR="000E3549" w:rsidRPr="000E3549">
              <w:rPr>
                <w:rStyle w:val="Hyperlink"/>
                <w:rFonts w:asciiTheme="majorHAnsi" w:hAnsiTheme="majorHAnsi"/>
                <w:noProof/>
                <w:sz w:val="20"/>
                <w:szCs w:val="20"/>
                <w:lang w:val="es-VE"/>
              </w:rPr>
              <w:t>Alegada tortura en momentos posteriores a la detención</w:t>
            </w:r>
            <w:r w:rsidR="000E3549" w:rsidRPr="000E3549">
              <w:rPr>
                <w:rFonts w:asciiTheme="majorHAnsi" w:hAnsiTheme="majorHAnsi"/>
                <w:noProof/>
                <w:webHidden/>
                <w:sz w:val="20"/>
                <w:szCs w:val="20"/>
              </w:rPr>
              <w:tab/>
            </w:r>
            <w:r w:rsidR="000E3549" w:rsidRPr="000E3549">
              <w:rPr>
                <w:rFonts w:asciiTheme="majorHAnsi" w:hAnsiTheme="majorHAnsi"/>
                <w:noProof/>
                <w:webHidden/>
                <w:sz w:val="20"/>
                <w:szCs w:val="20"/>
              </w:rPr>
              <w:fldChar w:fldCharType="begin"/>
            </w:r>
            <w:r w:rsidR="000E3549" w:rsidRPr="000E3549">
              <w:rPr>
                <w:rFonts w:asciiTheme="majorHAnsi" w:hAnsiTheme="majorHAnsi"/>
                <w:noProof/>
                <w:webHidden/>
                <w:sz w:val="20"/>
                <w:szCs w:val="20"/>
              </w:rPr>
              <w:instrText xml:space="preserve"> PAGEREF _Toc495479541 \h </w:instrText>
            </w:r>
            <w:r w:rsidR="000E3549" w:rsidRPr="000E3549">
              <w:rPr>
                <w:rFonts w:asciiTheme="majorHAnsi" w:hAnsiTheme="majorHAnsi"/>
                <w:noProof/>
                <w:webHidden/>
                <w:sz w:val="20"/>
                <w:szCs w:val="20"/>
              </w:rPr>
            </w:r>
            <w:r w:rsidR="000E3549" w:rsidRPr="000E3549">
              <w:rPr>
                <w:rFonts w:asciiTheme="majorHAnsi" w:hAnsiTheme="majorHAnsi"/>
                <w:noProof/>
                <w:webHidden/>
                <w:sz w:val="20"/>
                <w:szCs w:val="20"/>
              </w:rPr>
              <w:fldChar w:fldCharType="separate"/>
            </w:r>
            <w:r w:rsidR="00171E52">
              <w:rPr>
                <w:rFonts w:asciiTheme="majorHAnsi" w:hAnsiTheme="majorHAnsi"/>
                <w:noProof/>
                <w:webHidden/>
                <w:sz w:val="20"/>
                <w:szCs w:val="20"/>
              </w:rPr>
              <w:t>8</w:t>
            </w:r>
            <w:r w:rsidR="000E3549" w:rsidRPr="000E3549">
              <w:rPr>
                <w:rFonts w:asciiTheme="majorHAnsi" w:hAnsiTheme="majorHAnsi"/>
                <w:noProof/>
                <w:webHidden/>
                <w:sz w:val="20"/>
                <w:szCs w:val="20"/>
              </w:rPr>
              <w:fldChar w:fldCharType="end"/>
            </w:r>
          </w:hyperlink>
        </w:p>
        <w:p w:rsidR="000E3549" w:rsidRPr="000E3549" w:rsidRDefault="006D7B67" w:rsidP="000E3549">
          <w:pPr>
            <w:pStyle w:val="TOC2"/>
            <w:rPr>
              <w:rFonts w:eastAsiaTheme="minorEastAsia" w:cstheme="minorBidi"/>
              <w:bdr w:val="none" w:sz="0" w:space="0" w:color="auto"/>
              <w:lang w:val="en-US"/>
            </w:rPr>
          </w:pPr>
          <w:hyperlink w:anchor="_Toc495479542" w:history="1">
            <w:r w:rsidR="000E3549" w:rsidRPr="000E3549">
              <w:rPr>
                <w:rStyle w:val="Hyperlink"/>
              </w:rPr>
              <w:t>B.</w:t>
            </w:r>
            <w:r w:rsidR="000E3549" w:rsidRPr="000E3549">
              <w:rPr>
                <w:rFonts w:eastAsiaTheme="minorEastAsia" w:cstheme="minorBidi"/>
                <w:bdr w:val="none" w:sz="0" w:space="0" w:color="auto"/>
                <w:lang w:val="en-US"/>
              </w:rPr>
              <w:tab/>
            </w:r>
            <w:r w:rsidR="000E3549" w:rsidRPr="000E3549">
              <w:rPr>
                <w:rStyle w:val="Hyperlink"/>
              </w:rPr>
              <w:t>Proceso penal</w:t>
            </w:r>
            <w:r w:rsidR="000E3549" w:rsidRPr="000E3549">
              <w:rPr>
                <w:webHidden/>
              </w:rPr>
              <w:tab/>
            </w:r>
            <w:r w:rsidR="000E3549" w:rsidRPr="000E3549">
              <w:rPr>
                <w:webHidden/>
              </w:rPr>
              <w:fldChar w:fldCharType="begin"/>
            </w:r>
            <w:r w:rsidR="000E3549" w:rsidRPr="000E3549">
              <w:rPr>
                <w:webHidden/>
              </w:rPr>
              <w:instrText xml:space="preserve"> PAGEREF _Toc495479542 \h </w:instrText>
            </w:r>
            <w:r w:rsidR="000E3549" w:rsidRPr="000E3549">
              <w:rPr>
                <w:webHidden/>
              </w:rPr>
            </w:r>
            <w:r w:rsidR="000E3549" w:rsidRPr="000E3549">
              <w:rPr>
                <w:webHidden/>
              </w:rPr>
              <w:fldChar w:fldCharType="separate"/>
            </w:r>
            <w:r w:rsidR="00171E52">
              <w:rPr>
                <w:webHidden/>
              </w:rPr>
              <w:t>10</w:t>
            </w:r>
            <w:r w:rsidR="000E3549" w:rsidRPr="000E3549">
              <w:rPr>
                <w:webHidden/>
              </w:rPr>
              <w:fldChar w:fldCharType="end"/>
            </w:r>
          </w:hyperlink>
        </w:p>
        <w:p w:rsidR="000E3549" w:rsidRPr="000E3549" w:rsidRDefault="006D7B67">
          <w:pPr>
            <w:pStyle w:val="TOC3"/>
            <w:tabs>
              <w:tab w:val="left" w:pos="2160"/>
            </w:tabs>
            <w:rPr>
              <w:rFonts w:asciiTheme="majorHAnsi" w:eastAsiaTheme="minorEastAsia" w:hAnsiTheme="majorHAnsi" w:cstheme="minorBidi"/>
              <w:noProof/>
              <w:sz w:val="20"/>
              <w:szCs w:val="20"/>
              <w:bdr w:val="none" w:sz="0" w:space="0" w:color="auto"/>
            </w:rPr>
          </w:pPr>
          <w:hyperlink w:anchor="_Toc495479543" w:history="1">
            <w:r w:rsidR="000E3549" w:rsidRPr="000E3549">
              <w:rPr>
                <w:rStyle w:val="Hyperlink"/>
                <w:rFonts w:asciiTheme="majorHAnsi" w:hAnsiTheme="majorHAnsi"/>
                <w:noProof/>
                <w:sz w:val="20"/>
                <w:szCs w:val="20"/>
                <w:lang w:val="es-VE"/>
              </w:rPr>
              <w:t>1.</w:t>
            </w:r>
            <w:r w:rsidR="000E3549" w:rsidRPr="000E3549">
              <w:rPr>
                <w:rFonts w:asciiTheme="majorHAnsi" w:eastAsiaTheme="minorEastAsia" w:hAnsiTheme="majorHAnsi" w:cstheme="minorBidi"/>
                <w:noProof/>
                <w:sz w:val="20"/>
                <w:szCs w:val="20"/>
                <w:bdr w:val="none" w:sz="0" w:space="0" w:color="auto"/>
              </w:rPr>
              <w:tab/>
            </w:r>
            <w:r w:rsidR="000E3549" w:rsidRPr="000E3549">
              <w:rPr>
                <w:rStyle w:val="Hyperlink"/>
                <w:rFonts w:asciiTheme="majorHAnsi" w:hAnsiTheme="majorHAnsi"/>
                <w:noProof/>
                <w:sz w:val="20"/>
                <w:szCs w:val="20"/>
                <w:lang w:val="es-VE"/>
              </w:rPr>
              <w:t>Acusación</w:t>
            </w:r>
            <w:r w:rsidR="000E3549" w:rsidRPr="000E3549">
              <w:rPr>
                <w:rFonts w:asciiTheme="majorHAnsi" w:hAnsiTheme="majorHAnsi"/>
                <w:noProof/>
                <w:webHidden/>
                <w:sz w:val="20"/>
                <w:szCs w:val="20"/>
              </w:rPr>
              <w:tab/>
            </w:r>
            <w:r w:rsidR="000E3549" w:rsidRPr="000E3549">
              <w:rPr>
                <w:rFonts w:asciiTheme="majorHAnsi" w:hAnsiTheme="majorHAnsi"/>
                <w:noProof/>
                <w:webHidden/>
                <w:sz w:val="20"/>
                <w:szCs w:val="20"/>
              </w:rPr>
              <w:fldChar w:fldCharType="begin"/>
            </w:r>
            <w:r w:rsidR="000E3549" w:rsidRPr="000E3549">
              <w:rPr>
                <w:rFonts w:asciiTheme="majorHAnsi" w:hAnsiTheme="majorHAnsi"/>
                <w:noProof/>
                <w:webHidden/>
                <w:sz w:val="20"/>
                <w:szCs w:val="20"/>
              </w:rPr>
              <w:instrText xml:space="preserve"> PAGEREF _Toc495479543 \h </w:instrText>
            </w:r>
            <w:r w:rsidR="000E3549" w:rsidRPr="000E3549">
              <w:rPr>
                <w:rFonts w:asciiTheme="majorHAnsi" w:hAnsiTheme="majorHAnsi"/>
                <w:noProof/>
                <w:webHidden/>
                <w:sz w:val="20"/>
                <w:szCs w:val="20"/>
              </w:rPr>
            </w:r>
            <w:r w:rsidR="000E3549" w:rsidRPr="000E3549">
              <w:rPr>
                <w:rFonts w:asciiTheme="majorHAnsi" w:hAnsiTheme="majorHAnsi"/>
                <w:noProof/>
                <w:webHidden/>
                <w:sz w:val="20"/>
                <w:szCs w:val="20"/>
              </w:rPr>
              <w:fldChar w:fldCharType="separate"/>
            </w:r>
            <w:r w:rsidR="00171E52">
              <w:rPr>
                <w:rFonts w:asciiTheme="majorHAnsi" w:hAnsiTheme="majorHAnsi"/>
                <w:noProof/>
                <w:webHidden/>
                <w:sz w:val="20"/>
                <w:szCs w:val="20"/>
              </w:rPr>
              <w:t>10</w:t>
            </w:r>
            <w:r w:rsidR="000E3549" w:rsidRPr="000E3549">
              <w:rPr>
                <w:rFonts w:asciiTheme="majorHAnsi" w:hAnsiTheme="majorHAnsi"/>
                <w:noProof/>
                <w:webHidden/>
                <w:sz w:val="20"/>
                <w:szCs w:val="20"/>
              </w:rPr>
              <w:fldChar w:fldCharType="end"/>
            </w:r>
          </w:hyperlink>
        </w:p>
        <w:p w:rsidR="000E3549" w:rsidRPr="000E3549" w:rsidRDefault="006D7B67">
          <w:pPr>
            <w:pStyle w:val="TOC3"/>
            <w:tabs>
              <w:tab w:val="left" w:pos="2160"/>
            </w:tabs>
            <w:rPr>
              <w:rFonts w:asciiTheme="majorHAnsi" w:eastAsiaTheme="minorEastAsia" w:hAnsiTheme="majorHAnsi" w:cstheme="minorBidi"/>
              <w:noProof/>
              <w:sz w:val="20"/>
              <w:szCs w:val="20"/>
              <w:bdr w:val="none" w:sz="0" w:space="0" w:color="auto"/>
            </w:rPr>
          </w:pPr>
          <w:hyperlink w:anchor="_Toc495479544" w:history="1">
            <w:r w:rsidR="000E3549" w:rsidRPr="000E3549">
              <w:rPr>
                <w:rStyle w:val="Hyperlink"/>
                <w:rFonts w:asciiTheme="majorHAnsi" w:hAnsiTheme="majorHAnsi"/>
                <w:noProof/>
                <w:sz w:val="20"/>
                <w:szCs w:val="20"/>
                <w:lang w:val="es-VE"/>
              </w:rPr>
              <w:t>2.</w:t>
            </w:r>
            <w:r w:rsidR="000E3549" w:rsidRPr="000E3549">
              <w:rPr>
                <w:rFonts w:asciiTheme="majorHAnsi" w:eastAsiaTheme="minorEastAsia" w:hAnsiTheme="majorHAnsi" w:cstheme="minorBidi"/>
                <w:noProof/>
                <w:sz w:val="20"/>
                <w:szCs w:val="20"/>
                <w:bdr w:val="none" w:sz="0" w:space="0" w:color="auto"/>
              </w:rPr>
              <w:tab/>
            </w:r>
            <w:r w:rsidR="000E3549" w:rsidRPr="000E3549">
              <w:rPr>
                <w:rStyle w:val="Hyperlink"/>
                <w:rFonts w:asciiTheme="majorHAnsi" w:hAnsiTheme="majorHAnsi"/>
                <w:noProof/>
                <w:sz w:val="20"/>
                <w:szCs w:val="20"/>
                <w:lang w:val="es-VE"/>
              </w:rPr>
              <w:t>Sentencia condenatoria</w:t>
            </w:r>
            <w:r w:rsidR="000E3549" w:rsidRPr="000E3549">
              <w:rPr>
                <w:rFonts w:asciiTheme="majorHAnsi" w:hAnsiTheme="majorHAnsi"/>
                <w:noProof/>
                <w:webHidden/>
                <w:sz w:val="20"/>
                <w:szCs w:val="20"/>
              </w:rPr>
              <w:tab/>
            </w:r>
            <w:r w:rsidR="000E3549" w:rsidRPr="000E3549">
              <w:rPr>
                <w:rFonts w:asciiTheme="majorHAnsi" w:hAnsiTheme="majorHAnsi"/>
                <w:noProof/>
                <w:webHidden/>
                <w:sz w:val="20"/>
                <w:szCs w:val="20"/>
              </w:rPr>
              <w:fldChar w:fldCharType="begin"/>
            </w:r>
            <w:r w:rsidR="000E3549" w:rsidRPr="000E3549">
              <w:rPr>
                <w:rFonts w:asciiTheme="majorHAnsi" w:hAnsiTheme="majorHAnsi"/>
                <w:noProof/>
                <w:webHidden/>
                <w:sz w:val="20"/>
                <w:szCs w:val="20"/>
              </w:rPr>
              <w:instrText xml:space="preserve"> PAGEREF _Toc495479544 \h </w:instrText>
            </w:r>
            <w:r w:rsidR="000E3549" w:rsidRPr="000E3549">
              <w:rPr>
                <w:rFonts w:asciiTheme="majorHAnsi" w:hAnsiTheme="majorHAnsi"/>
                <w:noProof/>
                <w:webHidden/>
                <w:sz w:val="20"/>
                <w:szCs w:val="20"/>
              </w:rPr>
            </w:r>
            <w:r w:rsidR="000E3549" w:rsidRPr="000E3549">
              <w:rPr>
                <w:rFonts w:asciiTheme="majorHAnsi" w:hAnsiTheme="majorHAnsi"/>
                <w:noProof/>
                <w:webHidden/>
                <w:sz w:val="20"/>
                <w:szCs w:val="20"/>
              </w:rPr>
              <w:fldChar w:fldCharType="separate"/>
            </w:r>
            <w:r w:rsidR="00171E52">
              <w:rPr>
                <w:rFonts w:asciiTheme="majorHAnsi" w:hAnsiTheme="majorHAnsi"/>
                <w:noProof/>
                <w:webHidden/>
                <w:sz w:val="20"/>
                <w:szCs w:val="20"/>
              </w:rPr>
              <w:t>10</w:t>
            </w:r>
            <w:r w:rsidR="000E3549" w:rsidRPr="000E3549">
              <w:rPr>
                <w:rFonts w:asciiTheme="majorHAnsi" w:hAnsiTheme="majorHAnsi"/>
                <w:noProof/>
                <w:webHidden/>
                <w:sz w:val="20"/>
                <w:szCs w:val="20"/>
              </w:rPr>
              <w:fldChar w:fldCharType="end"/>
            </w:r>
          </w:hyperlink>
        </w:p>
        <w:p w:rsidR="000E3549" w:rsidRPr="000E3549" w:rsidRDefault="006D7B67">
          <w:pPr>
            <w:pStyle w:val="TOC3"/>
            <w:tabs>
              <w:tab w:val="left" w:pos="2160"/>
            </w:tabs>
            <w:rPr>
              <w:rFonts w:asciiTheme="majorHAnsi" w:eastAsiaTheme="minorEastAsia" w:hAnsiTheme="majorHAnsi" w:cstheme="minorBidi"/>
              <w:noProof/>
              <w:sz w:val="20"/>
              <w:szCs w:val="20"/>
              <w:bdr w:val="none" w:sz="0" w:space="0" w:color="auto"/>
            </w:rPr>
          </w:pPr>
          <w:hyperlink w:anchor="_Toc495479545" w:history="1">
            <w:r w:rsidR="000E3549" w:rsidRPr="000E3549">
              <w:rPr>
                <w:rStyle w:val="Hyperlink"/>
                <w:rFonts w:asciiTheme="majorHAnsi" w:hAnsiTheme="majorHAnsi"/>
                <w:noProof/>
                <w:sz w:val="20"/>
                <w:szCs w:val="20"/>
                <w:lang w:val="es-VE"/>
              </w:rPr>
              <w:t>3.</w:t>
            </w:r>
            <w:r w:rsidR="000E3549" w:rsidRPr="000E3549">
              <w:rPr>
                <w:rFonts w:asciiTheme="majorHAnsi" w:eastAsiaTheme="minorEastAsia" w:hAnsiTheme="majorHAnsi" w:cstheme="minorBidi"/>
                <w:noProof/>
                <w:sz w:val="20"/>
                <w:szCs w:val="20"/>
                <w:bdr w:val="none" w:sz="0" w:space="0" w:color="auto"/>
              </w:rPr>
              <w:tab/>
            </w:r>
            <w:r w:rsidR="000E3549" w:rsidRPr="000E3549">
              <w:rPr>
                <w:rStyle w:val="Hyperlink"/>
                <w:rFonts w:asciiTheme="majorHAnsi" w:hAnsiTheme="majorHAnsi"/>
                <w:noProof/>
                <w:sz w:val="20"/>
                <w:szCs w:val="20"/>
                <w:lang w:val="es-VE"/>
              </w:rPr>
              <w:t>Recurso de apelación especial</w:t>
            </w:r>
            <w:r w:rsidR="000E3549" w:rsidRPr="000E3549">
              <w:rPr>
                <w:rFonts w:asciiTheme="majorHAnsi" w:hAnsiTheme="majorHAnsi"/>
                <w:noProof/>
                <w:webHidden/>
                <w:sz w:val="20"/>
                <w:szCs w:val="20"/>
              </w:rPr>
              <w:tab/>
            </w:r>
            <w:r w:rsidR="000E3549" w:rsidRPr="000E3549">
              <w:rPr>
                <w:rFonts w:asciiTheme="majorHAnsi" w:hAnsiTheme="majorHAnsi"/>
                <w:noProof/>
                <w:webHidden/>
                <w:sz w:val="20"/>
                <w:szCs w:val="20"/>
              </w:rPr>
              <w:fldChar w:fldCharType="begin"/>
            </w:r>
            <w:r w:rsidR="000E3549" w:rsidRPr="000E3549">
              <w:rPr>
                <w:rFonts w:asciiTheme="majorHAnsi" w:hAnsiTheme="majorHAnsi"/>
                <w:noProof/>
                <w:webHidden/>
                <w:sz w:val="20"/>
                <w:szCs w:val="20"/>
              </w:rPr>
              <w:instrText xml:space="preserve"> PAGEREF _Toc495479545 \h </w:instrText>
            </w:r>
            <w:r w:rsidR="000E3549" w:rsidRPr="000E3549">
              <w:rPr>
                <w:rFonts w:asciiTheme="majorHAnsi" w:hAnsiTheme="majorHAnsi"/>
                <w:noProof/>
                <w:webHidden/>
                <w:sz w:val="20"/>
                <w:szCs w:val="20"/>
              </w:rPr>
            </w:r>
            <w:r w:rsidR="000E3549" w:rsidRPr="000E3549">
              <w:rPr>
                <w:rFonts w:asciiTheme="majorHAnsi" w:hAnsiTheme="majorHAnsi"/>
                <w:noProof/>
                <w:webHidden/>
                <w:sz w:val="20"/>
                <w:szCs w:val="20"/>
              </w:rPr>
              <w:fldChar w:fldCharType="separate"/>
            </w:r>
            <w:r w:rsidR="00171E52">
              <w:rPr>
                <w:rFonts w:asciiTheme="majorHAnsi" w:hAnsiTheme="majorHAnsi"/>
                <w:noProof/>
                <w:webHidden/>
                <w:sz w:val="20"/>
                <w:szCs w:val="20"/>
              </w:rPr>
              <w:t>11</w:t>
            </w:r>
            <w:r w:rsidR="000E3549" w:rsidRPr="000E3549">
              <w:rPr>
                <w:rFonts w:asciiTheme="majorHAnsi" w:hAnsiTheme="majorHAnsi"/>
                <w:noProof/>
                <w:webHidden/>
                <w:sz w:val="20"/>
                <w:szCs w:val="20"/>
              </w:rPr>
              <w:fldChar w:fldCharType="end"/>
            </w:r>
          </w:hyperlink>
        </w:p>
        <w:p w:rsidR="000E3549" w:rsidRPr="000E3549" w:rsidRDefault="006D7B67">
          <w:pPr>
            <w:pStyle w:val="TOC3"/>
            <w:tabs>
              <w:tab w:val="left" w:pos="2160"/>
            </w:tabs>
            <w:rPr>
              <w:rFonts w:asciiTheme="majorHAnsi" w:eastAsiaTheme="minorEastAsia" w:hAnsiTheme="majorHAnsi" w:cstheme="minorBidi"/>
              <w:noProof/>
              <w:sz w:val="20"/>
              <w:szCs w:val="20"/>
              <w:bdr w:val="none" w:sz="0" w:space="0" w:color="auto"/>
            </w:rPr>
          </w:pPr>
          <w:hyperlink w:anchor="_Toc495479546" w:history="1">
            <w:r w:rsidR="000E3549" w:rsidRPr="000E3549">
              <w:rPr>
                <w:rStyle w:val="Hyperlink"/>
                <w:rFonts w:asciiTheme="majorHAnsi" w:hAnsiTheme="majorHAnsi"/>
                <w:noProof/>
                <w:sz w:val="20"/>
                <w:szCs w:val="20"/>
                <w:lang w:val="es-VE"/>
              </w:rPr>
              <w:t>4.</w:t>
            </w:r>
            <w:r w:rsidR="000E3549" w:rsidRPr="000E3549">
              <w:rPr>
                <w:rFonts w:asciiTheme="majorHAnsi" w:eastAsiaTheme="minorEastAsia" w:hAnsiTheme="majorHAnsi" w:cstheme="minorBidi"/>
                <w:noProof/>
                <w:sz w:val="20"/>
                <w:szCs w:val="20"/>
                <w:bdr w:val="none" w:sz="0" w:space="0" w:color="auto"/>
              </w:rPr>
              <w:tab/>
            </w:r>
            <w:r w:rsidR="000E3549" w:rsidRPr="000E3549">
              <w:rPr>
                <w:rStyle w:val="Hyperlink"/>
                <w:rFonts w:asciiTheme="majorHAnsi" w:hAnsiTheme="majorHAnsi"/>
                <w:noProof/>
                <w:sz w:val="20"/>
                <w:szCs w:val="20"/>
                <w:lang w:val="es-VE"/>
              </w:rPr>
              <w:t>Recursos de casación y revisión</w:t>
            </w:r>
            <w:r w:rsidR="000E3549" w:rsidRPr="000E3549">
              <w:rPr>
                <w:rFonts w:asciiTheme="majorHAnsi" w:hAnsiTheme="majorHAnsi"/>
                <w:noProof/>
                <w:webHidden/>
                <w:sz w:val="20"/>
                <w:szCs w:val="20"/>
              </w:rPr>
              <w:tab/>
            </w:r>
            <w:r w:rsidR="000E3549" w:rsidRPr="000E3549">
              <w:rPr>
                <w:rFonts w:asciiTheme="majorHAnsi" w:hAnsiTheme="majorHAnsi"/>
                <w:noProof/>
                <w:webHidden/>
                <w:sz w:val="20"/>
                <w:szCs w:val="20"/>
              </w:rPr>
              <w:fldChar w:fldCharType="begin"/>
            </w:r>
            <w:r w:rsidR="000E3549" w:rsidRPr="000E3549">
              <w:rPr>
                <w:rFonts w:asciiTheme="majorHAnsi" w:hAnsiTheme="majorHAnsi"/>
                <w:noProof/>
                <w:webHidden/>
                <w:sz w:val="20"/>
                <w:szCs w:val="20"/>
              </w:rPr>
              <w:instrText xml:space="preserve"> PAGEREF _Toc495479546 \h </w:instrText>
            </w:r>
            <w:r w:rsidR="000E3549" w:rsidRPr="000E3549">
              <w:rPr>
                <w:rFonts w:asciiTheme="majorHAnsi" w:hAnsiTheme="majorHAnsi"/>
                <w:noProof/>
                <w:webHidden/>
                <w:sz w:val="20"/>
                <w:szCs w:val="20"/>
              </w:rPr>
            </w:r>
            <w:r w:rsidR="000E3549" w:rsidRPr="000E3549">
              <w:rPr>
                <w:rFonts w:asciiTheme="majorHAnsi" w:hAnsiTheme="majorHAnsi"/>
                <w:noProof/>
                <w:webHidden/>
                <w:sz w:val="20"/>
                <w:szCs w:val="20"/>
              </w:rPr>
              <w:fldChar w:fldCharType="separate"/>
            </w:r>
            <w:r w:rsidR="00171E52">
              <w:rPr>
                <w:rFonts w:asciiTheme="majorHAnsi" w:hAnsiTheme="majorHAnsi"/>
                <w:noProof/>
                <w:webHidden/>
                <w:sz w:val="20"/>
                <w:szCs w:val="20"/>
              </w:rPr>
              <w:t>12</w:t>
            </w:r>
            <w:r w:rsidR="000E3549" w:rsidRPr="000E3549">
              <w:rPr>
                <w:rFonts w:asciiTheme="majorHAnsi" w:hAnsiTheme="majorHAnsi"/>
                <w:noProof/>
                <w:webHidden/>
                <w:sz w:val="20"/>
                <w:szCs w:val="20"/>
              </w:rPr>
              <w:fldChar w:fldCharType="end"/>
            </w:r>
          </w:hyperlink>
        </w:p>
        <w:p w:rsidR="000E3549" w:rsidRPr="000E3549" w:rsidRDefault="006D7B67" w:rsidP="000E3549">
          <w:pPr>
            <w:pStyle w:val="TOC2"/>
            <w:rPr>
              <w:rFonts w:eastAsiaTheme="minorEastAsia" w:cstheme="minorBidi"/>
              <w:bdr w:val="none" w:sz="0" w:space="0" w:color="auto"/>
              <w:lang w:val="en-US"/>
            </w:rPr>
          </w:pPr>
          <w:hyperlink w:anchor="_Toc495479547" w:history="1">
            <w:r w:rsidR="000E3549" w:rsidRPr="000E3549">
              <w:rPr>
                <w:rStyle w:val="Hyperlink"/>
                <w:lang w:val="es-ES"/>
              </w:rPr>
              <w:t>C.</w:t>
            </w:r>
            <w:r w:rsidR="000E3549" w:rsidRPr="000E3549">
              <w:rPr>
                <w:rFonts w:eastAsiaTheme="minorEastAsia" w:cstheme="minorBidi"/>
                <w:bdr w:val="none" w:sz="0" w:space="0" w:color="auto"/>
                <w:lang w:val="en-US"/>
              </w:rPr>
              <w:tab/>
            </w:r>
            <w:r w:rsidR="000E3549" w:rsidRPr="000E3549">
              <w:rPr>
                <w:rStyle w:val="Hyperlink"/>
                <w:lang w:val="es-ES"/>
              </w:rPr>
              <w:t>El contexto de aplicación de la pena de muerte en Guatemala</w:t>
            </w:r>
            <w:r w:rsidR="000E3549" w:rsidRPr="000E3549">
              <w:rPr>
                <w:webHidden/>
              </w:rPr>
              <w:tab/>
            </w:r>
            <w:r w:rsidR="000E3549" w:rsidRPr="000E3549">
              <w:rPr>
                <w:webHidden/>
              </w:rPr>
              <w:fldChar w:fldCharType="begin"/>
            </w:r>
            <w:r w:rsidR="000E3549" w:rsidRPr="000E3549">
              <w:rPr>
                <w:webHidden/>
              </w:rPr>
              <w:instrText xml:space="preserve"> PAGEREF _Toc495479547 \h </w:instrText>
            </w:r>
            <w:r w:rsidR="000E3549" w:rsidRPr="000E3549">
              <w:rPr>
                <w:webHidden/>
              </w:rPr>
            </w:r>
            <w:r w:rsidR="000E3549" w:rsidRPr="000E3549">
              <w:rPr>
                <w:webHidden/>
              </w:rPr>
              <w:fldChar w:fldCharType="separate"/>
            </w:r>
            <w:r w:rsidR="00171E52">
              <w:rPr>
                <w:webHidden/>
              </w:rPr>
              <w:t>12</w:t>
            </w:r>
            <w:r w:rsidR="000E3549" w:rsidRPr="000E3549">
              <w:rPr>
                <w:webHidden/>
              </w:rPr>
              <w:fldChar w:fldCharType="end"/>
            </w:r>
          </w:hyperlink>
        </w:p>
        <w:p w:rsidR="000E3549" w:rsidRPr="000E3549" w:rsidRDefault="006D7B67">
          <w:pPr>
            <w:pStyle w:val="TOC3"/>
            <w:tabs>
              <w:tab w:val="left" w:pos="2160"/>
            </w:tabs>
            <w:rPr>
              <w:rFonts w:asciiTheme="majorHAnsi" w:eastAsiaTheme="minorEastAsia" w:hAnsiTheme="majorHAnsi" w:cstheme="minorBidi"/>
              <w:noProof/>
              <w:sz w:val="20"/>
              <w:szCs w:val="20"/>
              <w:bdr w:val="none" w:sz="0" w:space="0" w:color="auto"/>
            </w:rPr>
          </w:pPr>
          <w:hyperlink w:anchor="_Toc495479548" w:history="1">
            <w:r w:rsidR="000E3549" w:rsidRPr="000E3549">
              <w:rPr>
                <w:rStyle w:val="Hyperlink"/>
                <w:rFonts w:asciiTheme="majorHAnsi" w:hAnsiTheme="majorHAnsi"/>
                <w:noProof/>
                <w:sz w:val="20"/>
                <w:szCs w:val="20"/>
                <w:lang w:val="es-VE"/>
              </w:rPr>
              <w:t>1.</w:t>
            </w:r>
            <w:r w:rsidR="000E3549" w:rsidRPr="000E3549">
              <w:rPr>
                <w:rFonts w:asciiTheme="majorHAnsi" w:eastAsiaTheme="minorEastAsia" w:hAnsiTheme="majorHAnsi" w:cstheme="minorBidi"/>
                <w:noProof/>
                <w:sz w:val="20"/>
                <w:szCs w:val="20"/>
                <w:bdr w:val="none" w:sz="0" w:space="0" w:color="auto"/>
              </w:rPr>
              <w:tab/>
            </w:r>
            <w:r w:rsidR="000E3549" w:rsidRPr="000E3549">
              <w:rPr>
                <w:rStyle w:val="Hyperlink"/>
                <w:rFonts w:asciiTheme="majorHAnsi" w:hAnsiTheme="majorHAnsi"/>
                <w:noProof/>
                <w:sz w:val="20"/>
                <w:szCs w:val="20"/>
                <w:lang w:val="es-VE"/>
              </w:rPr>
              <w:t>El recurso de gracia y la derogatoria del Decreto 159 de 1892</w:t>
            </w:r>
            <w:r w:rsidR="000E3549" w:rsidRPr="000E3549">
              <w:rPr>
                <w:rFonts w:asciiTheme="majorHAnsi" w:hAnsiTheme="majorHAnsi"/>
                <w:noProof/>
                <w:webHidden/>
                <w:sz w:val="20"/>
                <w:szCs w:val="20"/>
              </w:rPr>
              <w:tab/>
            </w:r>
            <w:r w:rsidR="000E3549" w:rsidRPr="000E3549">
              <w:rPr>
                <w:rFonts w:asciiTheme="majorHAnsi" w:hAnsiTheme="majorHAnsi"/>
                <w:noProof/>
                <w:webHidden/>
                <w:sz w:val="20"/>
                <w:szCs w:val="20"/>
              </w:rPr>
              <w:fldChar w:fldCharType="begin"/>
            </w:r>
            <w:r w:rsidR="000E3549" w:rsidRPr="000E3549">
              <w:rPr>
                <w:rFonts w:asciiTheme="majorHAnsi" w:hAnsiTheme="majorHAnsi"/>
                <w:noProof/>
                <w:webHidden/>
                <w:sz w:val="20"/>
                <w:szCs w:val="20"/>
              </w:rPr>
              <w:instrText xml:space="preserve"> PAGEREF _Toc495479548 \h </w:instrText>
            </w:r>
            <w:r w:rsidR="000E3549" w:rsidRPr="000E3549">
              <w:rPr>
                <w:rFonts w:asciiTheme="majorHAnsi" w:hAnsiTheme="majorHAnsi"/>
                <w:noProof/>
                <w:webHidden/>
                <w:sz w:val="20"/>
                <w:szCs w:val="20"/>
              </w:rPr>
            </w:r>
            <w:r w:rsidR="000E3549" w:rsidRPr="000E3549">
              <w:rPr>
                <w:rFonts w:asciiTheme="majorHAnsi" w:hAnsiTheme="majorHAnsi"/>
                <w:noProof/>
                <w:webHidden/>
                <w:sz w:val="20"/>
                <w:szCs w:val="20"/>
              </w:rPr>
              <w:fldChar w:fldCharType="separate"/>
            </w:r>
            <w:r w:rsidR="00171E52">
              <w:rPr>
                <w:rFonts w:asciiTheme="majorHAnsi" w:hAnsiTheme="majorHAnsi"/>
                <w:noProof/>
                <w:webHidden/>
                <w:sz w:val="20"/>
                <w:szCs w:val="20"/>
              </w:rPr>
              <w:t>13</w:t>
            </w:r>
            <w:r w:rsidR="000E3549" w:rsidRPr="000E3549">
              <w:rPr>
                <w:rFonts w:asciiTheme="majorHAnsi" w:hAnsiTheme="majorHAnsi"/>
                <w:noProof/>
                <w:webHidden/>
                <w:sz w:val="20"/>
                <w:szCs w:val="20"/>
              </w:rPr>
              <w:fldChar w:fldCharType="end"/>
            </w:r>
          </w:hyperlink>
        </w:p>
        <w:p w:rsidR="000E3549" w:rsidRPr="000E3549" w:rsidRDefault="006D7B67">
          <w:pPr>
            <w:pStyle w:val="TOC3"/>
            <w:tabs>
              <w:tab w:val="left" w:pos="2160"/>
            </w:tabs>
            <w:rPr>
              <w:rFonts w:asciiTheme="majorHAnsi" w:eastAsiaTheme="minorEastAsia" w:hAnsiTheme="majorHAnsi" w:cstheme="minorBidi"/>
              <w:noProof/>
              <w:sz w:val="20"/>
              <w:szCs w:val="20"/>
              <w:bdr w:val="none" w:sz="0" w:space="0" w:color="auto"/>
            </w:rPr>
          </w:pPr>
          <w:hyperlink w:anchor="_Toc495479549" w:history="1">
            <w:r w:rsidR="000E3549" w:rsidRPr="000E3549">
              <w:rPr>
                <w:rStyle w:val="Hyperlink"/>
                <w:rFonts w:asciiTheme="majorHAnsi" w:hAnsiTheme="majorHAnsi"/>
                <w:noProof/>
                <w:sz w:val="20"/>
                <w:szCs w:val="20"/>
                <w:lang w:val="es-VE"/>
              </w:rPr>
              <w:t>2.</w:t>
            </w:r>
            <w:r w:rsidR="000E3549" w:rsidRPr="000E3549">
              <w:rPr>
                <w:rFonts w:asciiTheme="majorHAnsi" w:eastAsiaTheme="minorEastAsia" w:hAnsiTheme="majorHAnsi" w:cstheme="minorBidi"/>
                <w:noProof/>
                <w:sz w:val="20"/>
                <w:szCs w:val="20"/>
                <w:bdr w:val="none" w:sz="0" w:space="0" w:color="auto"/>
              </w:rPr>
              <w:tab/>
            </w:r>
            <w:r w:rsidR="000E3549" w:rsidRPr="000E3549">
              <w:rPr>
                <w:rStyle w:val="Hyperlink"/>
                <w:rFonts w:asciiTheme="majorHAnsi" w:hAnsiTheme="majorHAnsi"/>
                <w:noProof/>
                <w:sz w:val="20"/>
                <w:szCs w:val="20"/>
                <w:lang w:val="es-VE"/>
              </w:rPr>
              <w:t>Los casos Fermín Ramírez y Raxcacó Reyes vs. Guatemala conocidos por la Corte Interamericana de Derechos Humanos</w:t>
            </w:r>
            <w:r w:rsidR="000E3549" w:rsidRPr="000E3549">
              <w:rPr>
                <w:rFonts w:asciiTheme="majorHAnsi" w:hAnsiTheme="majorHAnsi"/>
                <w:noProof/>
                <w:webHidden/>
                <w:sz w:val="20"/>
                <w:szCs w:val="20"/>
              </w:rPr>
              <w:tab/>
            </w:r>
            <w:r w:rsidR="000E3549" w:rsidRPr="000E3549">
              <w:rPr>
                <w:rFonts w:asciiTheme="majorHAnsi" w:hAnsiTheme="majorHAnsi"/>
                <w:noProof/>
                <w:webHidden/>
                <w:sz w:val="20"/>
                <w:szCs w:val="20"/>
              </w:rPr>
              <w:fldChar w:fldCharType="begin"/>
            </w:r>
            <w:r w:rsidR="000E3549" w:rsidRPr="000E3549">
              <w:rPr>
                <w:rFonts w:asciiTheme="majorHAnsi" w:hAnsiTheme="majorHAnsi"/>
                <w:noProof/>
                <w:webHidden/>
                <w:sz w:val="20"/>
                <w:szCs w:val="20"/>
              </w:rPr>
              <w:instrText xml:space="preserve"> PAGEREF _Toc495479549 \h </w:instrText>
            </w:r>
            <w:r w:rsidR="000E3549" w:rsidRPr="000E3549">
              <w:rPr>
                <w:rFonts w:asciiTheme="majorHAnsi" w:hAnsiTheme="majorHAnsi"/>
                <w:noProof/>
                <w:webHidden/>
                <w:sz w:val="20"/>
                <w:szCs w:val="20"/>
              </w:rPr>
            </w:r>
            <w:r w:rsidR="000E3549" w:rsidRPr="000E3549">
              <w:rPr>
                <w:rFonts w:asciiTheme="majorHAnsi" w:hAnsiTheme="majorHAnsi"/>
                <w:noProof/>
                <w:webHidden/>
                <w:sz w:val="20"/>
                <w:szCs w:val="20"/>
              </w:rPr>
              <w:fldChar w:fldCharType="separate"/>
            </w:r>
            <w:r w:rsidR="00171E52">
              <w:rPr>
                <w:rFonts w:asciiTheme="majorHAnsi" w:hAnsiTheme="majorHAnsi"/>
                <w:noProof/>
                <w:webHidden/>
                <w:sz w:val="20"/>
                <w:szCs w:val="20"/>
              </w:rPr>
              <w:t>14</w:t>
            </w:r>
            <w:r w:rsidR="000E3549" w:rsidRPr="000E3549">
              <w:rPr>
                <w:rFonts w:asciiTheme="majorHAnsi" w:hAnsiTheme="majorHAnsi"/>
                <w:noProof/>
                <w:webHidden/>
                <w:sz w:val="20"/>
                <w:szCs w:val="20"/>
              </w:rPr>
              <w:fldChar w:fldCharType="end"/>
            </w:r>
          </w:hyperlink>
        </w:p>
        <w:p w:rsidR="000E3549" w:rsidRPr="000E3549" w:rsidRDefault="006D7B67">
          <w:pPr>
            <w:pStyle w:val="TOC3"/>
            <w:tabs>
              <w:tab w:val="left" w:pos="2160"/>
            </w:tabs>
            <w:rPr>
              <w:rFonts w:asciiTheme="majorHAnsi" w:eastAsiaTheme="minorEastAsia" w:hAnsiTheme="majorHAnsi" w:cstheme="minorBidi"/>
              <w:noProof/>
              <w:sz w:val="20"/>
              <w:szCs w:val="20"/>
              <w:bdr w:val="none" w:sz="0" w:space="0" w:color="auto"/>
            </w:rPr>
          </w:pPr>
          <w:hyperlink w:anchor="_Toc495479550" w:history="1">
            <w:r w:rsidR="000E3549" w:rsidRPr="000E3549">
              <w:rPr>
                <w:rStyle w:val="Hyperlink"/>
                <w:rFonts w:asciiTheme="majorHAnsi" w:hAnsiTheme="majorHAnsi"/>
                <w:noProof/>
                <w:sz w:val="20"/>
                <w:szCs w:val="20"/>
                <w:lang w:val="es-VE"/>
              </w:rPr>
              <w:t>3.</w:t>
            </w:r>
            <w:r w:rsidR="000E3549" w:rsidRPr="000E3549">
              <w:rPr>
                <w:rFonts w:asciiTheme="majorHAnsi" w:eastAsiaTheme="minorEastAsia" w:hAnsiTheme="majorHAnsi" w:cstheme="minorBidi"/>
                <w:noProof/>
                <w:sz w:val="20"/>
                <w:szCs w:val="20"/>
                <w:bdr w:val="none" w:sz="0" w:space="0" w:color="auto"/>
              </w:rPr>
              <w:tab/>
            </w:r>
            <w:r w:rsidR="000E3549" w:rsidRPr="000E3549">
              <w:rPr>
                <w:rStyle w:val="Hyperlink"/>
                <w:rFonts w:asciiTheme="majorHAnsi" w:hAnsiTheme="majorHAnsi"/>
                <w:noProof/>
                <w:sz w:val="20"/>
                <w:szCs w:val="20"/>
                <w:lang w:val="es-VE"/>
              </w:rPr>
              <w:t>La pena de muerte en Guatemala en la actualidad</w:t>
            </w:r>
            <w:r w:rsidR="000E3549" w:rsidRPr="000E3549">
              <w:rPr>
                <w:rFonts w:asciiTheme="majorHAnsi" w:hAnsiTheme="majorHAnsi"/>
                <w:noProof/>
                <w:webHidden/>
                <w:sz w:val="20"/>
                <w:szCs w:val="20"/>
              </w:rPr>
              <w:tab/>
            </w:r>
            <w:r w:rsidR="000E3549" w:rsidRPr="000E3549">
              <w:rPr>
                <w:rFonts w:asciiTheme="majorHAnsi" w:hAnsiTheme="majorHAnsi"/>
                <w:noProof/>
                <w:webHidden/>
                <w:sz w:val="20"/>
                <w:szCs w:val="20"/>
              </w:rPr>
              <w:fldChar w:fldCharType="begin"/>
            </w:r>
            <w:r w:rsidR="000E3549" w:rsidRPr="000E3549">
              <w:rPr>
                <w:rFonts w:asciiTheme="majorHAnsi" w:hAnsiTheme="majorHAnsi"/>
                <w:noProof/>
                <w:webHidden/>
                <w:sz w:val="20"/>
                <w:szCs w:val="20"/>
              </w:rPr>
              <w:instrText xml:space="preserve"> PAGEREF _Toc495479550 \h </w:instrText>
            </w:r>
            <w:r w:rsidR="000E3549" w:rsidRPr="000E3549">
              <w:rPr>
                <w:rFonts w:asciiTheme="majorHAnsi" w:hAnsiTheme="majorHAnsi"/>
                <w:noProof/>
                <w:webHidden/>
                <w:sz w:val="20"/>
                <w:szCs w:val="20"/>
              </w:rPr>
            </w:r>
            <w:r w:rsidR="000E3549" w:rsidRPr="000E3549">
              <w:rPr>
                <w:rFonts w:asciiTheme="majorHAnsi" w:hAnsiTheme="majorHAnsi"/>
                <w:noProof/>
                <w:webHidden/>
                <w:sz w:val="20"/>
                <w:szCs w:val="20"/>
              </w:rPr>
              <w:fldChar w:fldCharType="separate"/>
            </w:r>
            <w:r w:rsidR="00171E52">
              <w:rPr>
                <w:rFonts w:asciiTheme="majorHAnsi" w:hAnsiTheme="majorHAnsi"/>
                <w:noProof/>
                <w:webHidden/>
                <w:sz w:val="20"/>
                <w:szCs w:val="20"/>
              </w:rPr>
              <w:t>14</w:t>
            </w:r>
            <w:r w:rsidR="000E3549" w:rsidRPr="000E3549">
              <w:rPr>
                <w:rFonts w:asciiTheme="majorHAnsi" w:hAnsiTheme="majorHAnsi"/>
                <w:noProof/>
                <w:webHidden/>
                <w:sz w:val="20"/>
                <w:szCs w:val="20"/>
              </w:rPr>
              <w:fldChar w:fldCharType="end"/>
            </w:r>
          </w:hyperlink>
        </w:p>
        <w:p w:rsidR="000E3549" w:rsidRPr="000E3549" w:rsidRDefault="006D7B67" w:rsidP="000E3549">
          <w:pPr>
            <w:pStyle w:val="TOC2"/>
            <w:rPr>
              <w:rFonts w:eastAsiaTheme="minorEastAsia" w:cstheme="minorBidi"/>
              <w:bdr w:val="none" w:sz="0" w:space="0" w:color="auto"/>
              <w:lang w:val="en-US"/>
            </w:rPr>
          </w:pPr>
          <w:hyperlink w:anchor="_Toc495479551" w:history="1">
            <w:r w:rsidR="000E3549" w:rsidRPr="000E3549">
              <w:rPr>
                <w:rStyle w:val="Hyperlink"/>
                <w:lang w:val="es-VE"/>
              </w:rPr>
              <w:t>D.</w:t>
            </w:r>
            <w:r w:rsidR="000E3549" w:rsidRPr="000E3549">
              <w:rPr>
                <w:rFonts w:eastAsiaTheme="minorEastAsia" w:cstheme="minorBidi"/>
                <w:bdr w:val="none" w:sz="0" w:space="0" w:color="auto"/>
                <w:lang w:val="en-US"/>
              </w:rPr>
              <w:tab/>
            </w:r>
            <w:r w:rsidR="000E3549" w:rsidRPr="000E3549">
              <w:rPr>
                <w:rStyle w:val="Hyperlink"/>
                <w:lang w:val="es-VE"/>
              </w:rPr>
              <w:t>La muerte de la presunta víctima en el marco del Plan Gavilán</w:t>
            </w:r>
            <w:r w:rsidR="000E3549" w:rsidRPr="000E3549">
              <w:rPr>
                <w:webHidden/>
              </w:rPr>
              <w:tab/>
            </w:r>
            <w:r w:rsidR="000E3549" w:rsidRPr="000E3549">
              <w:rPr>
                <w:webHidden/>
              </w:rPr>
              <w:fldChar w:fldCharType="begin"/>
            </w:r>
            <w:r w:rsidR="000E3549" w:rsidRPr="000E3549">
              <w:rPr>
                <w:webHidden/>
              </w:rPr>
              <w:instrText xml:space="preserve"> PAGEREF _Toc495479551 \h </w:instrText>
            </w:r>
            <w:r w:rsidR="000E3549" w:rsidRPr="000E3549">
              <w:rPr>
                <w:webHidden/>
              </w:rPr>
            </w:r>
            <w:r w:rsidR="000E3549" w:rsidRPr="000E3549">
              <w:rPr>
                <w:webHidden/>
              </w:rPr>
              <w:fldChar w:fldCharType="separate"/>
            </w:r>
            <w:r w:rsidR="00171E52">
              <w:rPr>
                <w:webHidden/>
              </w:rPr>
              <w:t>15</w:t>
            </w:r>
            <w:r w:rsidR="000E3549" w:rsidRPr="000E3549">
              <w:rPr>
                <w:webHidden/>
              </w:rPr>
              <w:fldChar w:fldCharType="end"/>
            </w:r>
          </w:hyperlink>
        </w:p>
        <w:p w:rsidR="000E3549" w:rsidRPr="000E3549" w:rsidRDefault="006D7B67">
          <w:pPr>
            <w:pStyle w:val="TOC1"/>
            <w:rPr>
              <w:rFonts w:eastAsiaTheme="minorEastAsia" w:cstheme="minorBidi"/>
              <w:b w:val="0"/>
              <w:bdr w:val="none" w:sz="0" w:space="0" w:color="auto"/>
            </w:rPr>
          </w:pPr>
          <w:hyperlink w:anchor="_Toc495479552" w:history="1">
            <w:r w:rsidR="000E3549" w:rsidRPr="000E3549">
              <w:rPr>
                <w:rStyle w:val="Hyperlink"/>
              </w:rPr>
              <w:t>VI.</w:t>
            </w:r>
            <w:r w:rsidR="000E3549" w:rsidRPr="000E3549">
              <w:rPr>
                <w:rFonts w:eastAsiaTheme="minorEastAsia" w:cstheme="minorBidi"/>
                <w:b w:val="0"/>
                <w:bdr w:val="none" w:sz="0" w:space="0" w:color="auto"/>
              </w:rPr>
              <w:tab/>
            </w:r>
            <w:r w:rsidR="000E3549" w:rsidRPr="000E3549">
              <w:rPr>
                <w:rStyle w:val="Hyperlink"/>
              </w:rPr>
              <w:t>ANALISIS DE DERECHO</w:t>
            </w:r>
            <w:r w:rsidR="000E3549" w:rsidRPr="000E3549">
              <w:rPr>
                <w:webHidden/>
              </w:rPr>
              <w:tab/>
            </w:r>
            <w:r w:rsidR="000E3549" w:rsidRPr="000E3549">
              <w:rPr>
                <w:webHidden/>
              </w:rPr>
              <w:fldChar w:fldCharType="begin"/>
            </w:r>
            <w:r w:rsidR="000E3549" w:rsidRPr="000E3549">
              <w:rPr>
                <w:webHidden/>
              </w:rPr>
              <w:instrText xml:space="preserve"> PAGEREF _Toc495479552 \h </w:instrText>
            </w:r>
            <w:r w:rsidR="000E3549" w:rsidRPr="000E3549">
              <w:rPr>
                <w:webHidden/>
              </w:rPr>
            </w:r>
            <w:r w:rsidR="000E3549" w:rsidRPr="000E3549">
              <w:rPr>
                <w:webHidden/>
              </w:rPr>
              <w:fldChar w:fldCharType="separate"/>
            </w:r>
            <w:r w:rsidR="00171E52">
              <w:rPr>
                <w:webHidden/>
              </w:rPr>
              <w:t>17</w:t>
            </w:r>
            <w:r w:rsidR="000E3549" w:rsidRPr="000E3549">
              <w:rPr>
                <w:webHidden/>
              </w:rPr>
              <w:fldChar w:fldCharType="end"/>
            </w:r>
          </w:hyperlink>
        </w:p>
        <w:p w:rsidR="000E3549" w:rsidRPr="000E3549" w:rsidRDefault="006D7B67" w:rsidP="000E3549">
          <w:pPr>
            <w:pStyle w:val="TOC2"/>
            <w:rPr>
              <w:rFonts w:eastAsiaTheme="minorEastAsia" w:cstheme="minorBidi"/>
              <w:b w:val="0"/>
              <w:bdr w:val="none" w:sz="0" w:space="0" w:color="auto"/>
              <w:lang w:val="en-US"/>
            </w:rPr>
          </w:pPr>
          <w:hyperlink w:anchor="_Toc495479553" w:history="1">
            <w:r w:rsidR="000E3549" w:rsidRPr="000E3549">
              <w:rPr>
                <w:rStyle w:val="Hyperlink"/>
              </w:rPr>
              <w:t>A.</w:t>
            </w:r>
            <w:r w:rsidR="000E3549" w:rsidRPr="000E3549">
              <w:rPr>
                <w:rFonts w:eastAsiaTheme="minorEastAsia" w:cstheme="minorBidi"/>
                <w:bdr w:val="none" w:sz="0" w:space="0" w:color="auto"/>
                <w:lang w:val="en-US"/>
              </w:rPr>
              <w:tab/>
            </w:r>
            <w:r w:rsidR="000E3549" w:rsidRPr="000E3549">
              <w:rPr>
                <w:rStyle w:val="Hyperlink"/>
              </w:rPr>
              <w:t xml:space="preserve">Derechos a la vida, </w:t>
            </w:r>
            <w:r w:rsidR="000E3549" w:rsidRPr="000E3549">
              <w:rPr>
                <w:rStyle w:val="Hyperlink"/>
                <w:lang w:val="es-ES"/>
              </w:rPr>
              <w:t xml:space="preserve">principio de legalidad, </w:t>
            </w:r>
            <w:r w:rsidR="000E3549" w:rsidRPr="000E3549">
              <w:rPr>
                <w:rStyle w:val="Hyperlink"/>
              </w:rPr>
              <w:t>garantías judiciales y protección judicial en el marco del proceso que culminó con la imposición de la pena de muert</w:t>
            </w:r>
            <w:r w:rsidR="000E3549" w:rsidRPr="000E3549">
              <w:rPr>
                <w:rStyle w:val="Hyperlink"/>
                <w:b w:val="0"/>
              </w:rPr>
              <w:t>e</w:t>
            </w:r>
            <w:r w:rsidR="000E3549" w:rsidRPr="000E3549">
              <w:rPr>
                <w:b w:val="0"/>
                <w:webHidden/>
              </w:rPr>
              <w:tab/>
            </w:r>
            <w:r w:rsidR="000E3549" w:rsidRPr="000E3549">
              <w:rPr>
                <w:b w:val="0"/>
                <w:webHidden/>
              </w:rPr>
              <w:fldChar w:fldCharType="begin"/>
            </w:r>
            <w:r w:rsidR="000E3549" w:rsidRPr="000E3549">
              <w:rPr>
                <w:b w:val="0"/>
                <w:webHidden/>
              </w:rPr>
              <w:instrText xml:space="preserve"> PAGEREF _Toc495479553 \h </w:instrText>
            </w:r>
            <w:r w:rsidR="000E3549" w:rsidRPr="000E3549">
              <w:rPr>
                <w:b w:val="0"/>
                <w:webHidden/>
              </w:rPr>
            </w:r>
            <w:r w:rsidR="000E3549" w:rsidRPr="000E3549">
              <w:rPr>
                <w:b w:val="0"/>
                <w:webHidden/>
              </w:rPr>
              <w:fldChar w:fldCharType="separate"/>
            </w:r>
            <w:r w:rsidR="00171E52">
              <w:rPr>
                <w:b w:val="0"/>
                <w:webHidden/>
              </w:rPr>
              <w:t>17</w:t>
            </w:r>
            <w:r w:rsidR="000E3549" w:rsidRPr="000E3549">
              <w:rPr>
                <w:b w:val="0"/>
                <w:webHidden/>
              </w:rPr>
              <w:fldChar w:fldCharType="end"/>
            </w:r>
          </w:hyperlink>
        </w:p>
        <w:p w:rsidR="000E3549" w:rsidRPr="000E3549" w:rsidRDefault="006D7B67">
          <w:pPr>
            <w:pStyle w:val="TOC3"/>
            <w:tabs>
              <w:tab w:val="left" w:pos="2160"/>
            </w:tabs>
            <w:rPr>
              <w:rFonts w:asciiTheme="majorHAnsi" w:eastAsiaTheme="minorEastAsia" w:hAnsiTheme="majorHAnsi" w:cstheme="minorBidi"/>
              <w:noProof/>
              <w:sz w:val="20"/>
              <w:szCs w:val="20"/>
              <w:bdr w:val="none" w:sz="0" w:space="0" w:color="auto"/>
            </w:rPr>
          </w:pPr>
          <w:hyperlink w:anchor="_Toc495479554" w:history="1">
            <w:r w:rsidR="000E3549" w:rsidRPr="000E3549">
              <w:rPr>
                <w:rStyle w:val="Hyperlink"/>
                <w:rFonts w:asciiTheme="majorHAnsi" w:hAnsiTheme="majorHAnsi"/>
                <w:noProof/>
                <w:sz w:val="20"/>
                <w:szCs w:val="20"/>
                <w:lang w:val="es-CO"/>
              </w:rPr>
              <w:t>1.</w:t>
            </w:r>
            <w:r w:rsidR="000E3549" w:rsidRPr="000E3549">
              <w:rPr>
                <w:rFonts w:asciiTheme="majorHAnsi" w:eastAsiaTheme="minorEastAsia" w:hAnsiTheme="majorHAnsi" w:cstheme="minorBidi"/>
                <w:noProof/>
                <w:sz w:val="20"/>
                <w:szCs w:val="20"/>
                <w:bdr w:val="none" w:sz="0" w:space="0" w:color="auto"/>
              </w:rPr>
              <w:tab/>
            </w:r>
            <w:r w:rsidR="000E3549" w:rsidRPr="000E3549">
              <w:rPr>
                <w:rStyle w:val="Hyperlink"/>
                <w:rFonts w:asciiTheme="majorHAnsi" w:hAnsiTheme="majorHAnsi"/>
                <w:noProof/>
                <w:sz w:val="20"/>
                <w:szCs w:val="20"/>
                <w:lang w:val="es-CO"/>
              </w:rPr>
              <w:t xml:space="preserve">Consideraciones generales sobre el estándar de análisis en </w:t>
            </w:r>
            <w:r w:rsidR="000E3549" w:rsidRPr="000E3549">
              <w:rPr>
                <w:rStyle w:val="Hyperlink"/>
                <w:rFonts w:asciiTheme="majorHAnsi" w:hAnsiTheme="majorHAnsi"/>
                <w:noProof/>
                <w:sz w:val="20"/>
                <w:szCs w:val="20"/>
                <w:lang w:val="es-DO"/>
              </w:rPr>
              <w:t>casos</w:t>
            </w:r>
            <w:r w:rsidR="000E3549" w:rsidRPr="000E3549">
              <w:rPr>
                <w:rStyle w:val="Hyperlink"/>
                <w:rFonts w:asciiTheme="majorHAnsi" w:hAnsiTheme="majorHAnsi"/>
                <w:noProof/>
                <w:sz w:val="20"/>
                <w:szCs w:val="20"/>
                <w:lang w:val="es-CO"/>
              </w:rPr>
              <w:t xml:space="preserve"> de pena de muerte</w:t>
            </w:r>
            <w:r w:rsidR="000E3549" w:rsidRPr="000E3549">
              <w:rPr>
                <w:rFonts w:asciiTheme="majorHAnsi" w:hAnsiTheme="majorHAnsi"/>
                <w:noProof/>
                <w:webHidden/>
                <w:sz w:val="20"/>
                <w:szCs w:val="20"/>
              </w:rPr>
              <w:tab/>
            </w:r>
            <w:r w:rsidR="000E3549" w:rsidRPr="000E3549">
              <w:rPr>
                <w:rFonts w:asciiTheme="majorHAnsi" w:hAnsiTheme="majorHAnsi"/>
                <w:noProof/>
                <w:webHidden/>
                <w:sz w:val="20"/>
                <w:szCs w:val="20"/>
              </w:rPr>
              <w:fldChar w:fldCharType="begin"/>
            </w:r>
            <w:r w:rsidR="000E3549" w:rsidRPr="000E3549">
              <w:rPr>
                <w:rFonts w:asciiTheme="majorHAnsi" w:hAnsiTheme="majorHAnsi"/>
                <w:noProof/>
                <w:webHidden/>
                <w:sz w:val="20"/>
                <w:szCs w:val="20"/>
              </w:rPr>
              <w:instrText xml:space="preserve"> PAGEREF _Toc495479554 \h </w:instrText>
            </w:r>
            <w:r w:rsidR="000E3549" w:rsidRPr="000E3549">
              <w:rPr>
                <w:rFonts w:asciiTheme="majorHAnsi" w:hAnsiTheme="majorHAnsi"/>
                <w:noProof/>
                <w:webHidden/>
                <w:sz w:val="20"/>
                <w:szCs w:val="20"/>
              </w:rPr>
            </w:r>
            <w:r w:rsidR="000E3549" w:rsidRPr="000E3549">
              <w:rPr>
                <w:rFonts w:asciiTheme="majorHAnsi" w:hAnsiTheme="majorHAnsi"/>
                <w:noProof/>
                <w:webHidden/>
                <w:sz w:val="20"/>
                <w:szCs w:val="20"/>
              </w:rPr>
              <w:fldChar w:fldCharType="separate"/>
            </w:r>
            <w:r w:rsidR="00171E52">
              <w:rPr>
                <w:rFonts w:asciiTheme="majorHAnsi" w:hAnsiTheme="majorHAnsi"/>
                <w:noProof/>
                <w:webHidden/>
                <w:sz w:val="20"/>
                <w:szCs w:val="20"/>
              </w:rPr>
              <w:t>17</w:t>
            </w:r>
            <w:r w:rsidR="000E3549" w:rsidRPr="000E3549">
              <w:rPr>
                <w:rFonts w:asciiTheme="majorHAnsi" w:hAnsiTheme="majorHAnsi"/>
                <w:noProof/>
                <w:webHidden/>
                <w:sz w:val="20"/>
                <w:szCs w:val="20"/>
              </w:rPr>
              <w:fldChar w:fldCharType="end"/>
            </w:r>
          </w:hyperlink>
        </w:p>
        <w:p w:rsidR="000E3549" w:rsidRPr="000E3549" w:rsidRDefault="006D7B67">
          <w:pPr>
            <w:pStyle w:val="TOC3"/>
            <w:tabs>
              <w:tab w:val="left" w:pos="2160"/>
            </w:tabs>
            <w:rPr>
              <w:rFonts w:asciiTheme="majorHAnsi" w:eastAsiaTheme="minorEastAsia" w:hAnsiTheme="majorHAnsi" w:cstheme="minorBidi"/>
              <w:noProof/>
              <w:sz w:val="20"/>
              <w:szCs w:val="20"/>
              <w:bdr w:val="none" w:sz="0" w:space="0" w:color="auto"/>
            </w:rPr>
          </w:pPr>
          <w:hyperlink w:anchor="_Toc495479555" w:history="1">
            <w:r w:rsidR="000E3549" w:rsidRPr="000E3549">
              <w:rPr>
                <w:rStyle w:val="Hyperlink"/>
                <w:rFonts w:asciiTheme="majorHAnsi" w:hAnsiTheme="majorHAnsi"/>
                <w:noProof/>
                <w:sz w:val="20"/>
                <w:szCs w:val="20"/>
                <w:lang w:val="es-CO"/>
              </w:rPr>
              <w:t>2.</w:t>
            </w:r>
            <w:r w:rsidR="000E3549" w:rsidRPr="000E3549">
              <w:rPr>
                <w:rFonts w:asciiTheme="majorHAnsi" w:eastAsiaTheme="minorEastAsia" w:hAnsiTheme="majorHAnsi" w:cstheme="minorBidi"/>
                <w:noProof/>
                <w:sz w:val="20"/>
                <w:szCs w:val="20"/>
                <w:bdr w:val="none" w:sz="0" w:space="0" w:color="auto"/>
              </w:rPr>
              <w:tab/>
            </w:r>
            <w:r w:rsidR="000E3549" w:rsidRPr="000E3549">
              <w:rPr>
                <w:rStyle w:val="Hyperlink"/>
                <w:rFonts w:asciiTheme="majorHAnsi" w:hAnsiTheme="majorHAnsi"/>
                <w:noProof/>
                <w:sz w:val="20"/>
                <w:szCs w:val="20"/>
                <w:lang w:val="es-CO"/>
              </w:rPr>
              <w:t>Sobre la aplicación del concepto de peligrosidad para imponer la pena de muerte</w:t>
            </w:r>
            <w:r w:rsidR="000E3549" w:rsidRPr="000E3549">
              <w:rPr>
                <w:rFonts w:asciiTheme="majorHAnsi" w:hAnsiTheme="majorHAnsi"/>
                <w:noProof/>
                <w:webHidden/>
                <w:sz w:val="20"/>
                <w:szCs w:val="20"/>
              </w:rPr>
              <w:tab/>
            </w:r>
            <w:r w:rsidR="000E3549" w:rsidRPr="000E3549">
              <w:rPr>
                <w:rFonts w:asciiTheme="majorHAnsi" w:hAnsiTheme="majorHAnsi"/>
                <w:noProof/>
                <w:webHidden/>
                <w:sz w:val="20"/>
                <w:szCs w:val="20"/>
              </w:rPr>
              <w:fldChar w:fldCharType="begin"/>
            </w:r>
            <w:r w:rsidR="000E3549" w:rsidRPr="000E3549">
              <w:rPr>
                <w:rFonts w:asciiTheme="majorHAnsi" w:hAnsiTheme="majorHAnsi"/>
                <w:noProof/>
                <w:webHidden/>
                <w:sz w:val="20"/>
                <w:szCs w:val="20"/>
              </w:rPr>
              <w:instrText xml:space="preserve"> PAGEREF _Toc495479555 \h </w:instrText>
            </w:r>
            <w:r w:rsidR="000E3549" w:rsidRPr="000E3549">
              <w:rPr>
                <w:rFonts w:asciiTheme="majorHAnsi" w:hAnsiTheme="majorHAnsi"/>
                <w:noProof/>
                <w:webHidden/>
                <w:sz w:val="20"/>
                <w:szCs w:val="20"/>
              </w:rPr>
            </w:r>
            <w:r w:rsidR="000E3549" w:rsidRPr="000E3549">
              <w:rPr>
                <w:rFonts w:asciiTheme="majorHAnsi" w:hAnsiTheme="majorHAnsi"/>
                <w:noProof/>
                <w:webHidden/>
                <w:sz w:val="20"/>
                <w:szCs w:val="20"/>
              </w:rPr>
              <w:fldChar w:fldCharType="separate"/>
            </w:r>
            <w:r w:rsidR="00171E52">
              <w:rPr>
                <w:rFonts w:asciiTheme="majorHAnsi" w:hAnsiTheme="majorHAnsi"/>
                <w:noProof/>
                <w:webHidden/>
                <w:sz w:val="20"/>
                <w:szCs w:val="20"/>
              </w:rPr>
              <w:t>18</w:t>
            </w:r>
            <w:r w:rsidR="000E3549" w:rsidRPr="000E3549">
              <w:rPr>
                <w:rFonts w:asciiTheme="majorHAnsi" w:hAnsiTheme="majorHAnsi"/>
                <w:noProof/>
                <w:webHidden/>
                <w:sz w:val="20"/>
                <w:szCs w:val="20"/>
              </w:rPr>
              <w:fldChar w:fldCharType="end"/>
            </w:r>
          </w:hyperlink>
        </w:p>
        <w:p w:rsidR="000E3549" w:rsidRPr="000E3549" w:rsidRDefault="006D7B67">
          <w:pPr>
            <w:pStyle w:val="TOC3"/>
            <w:tabs>
              <w:tab w:val="left" w:pos="2160"/>
            </w:tabs>
            <w:rPr>
              <w:rFonts w:asciiTheme="majorHAnsi" w:eastAsiaTheme="minorEastAsia" w:hAnsiTheme="majorHAnsi" w:cstheme="minorBidi"/>
              <w:noProof/>
              <w:sz w:val="20"/>
              <w:szCs w:val="20"/>
              <w:bdr w:val="none" w:sz="0" w:space="0" w:color="auto"/>
            </w:rPr>
          </w:pPr>
          <w:hyperlink w:anchor="_Toc495479556" w:history="1">
            <w:r w:rsidR="000E3549" w:rsidRPr="000E3549">
              <w:rPr>
                <w:rStyle w:val="Hyperlink"/>
                <w:rFonts w:asciiTheme="majorHAnsi" w:hAnsiTheme="majorHAnsi"/>
                <w:noProof/>
                <w:sz w:val="20"/>
                <w:szCs w:val="20"/>
                <w:lang w:val="es-CO"/>
              </w:rPr>
              <w:t>3.</w:t>
            </w:r>
            <w:r w:rsidR="000E3549" w:rsidRPr="000E3549">
              <w:rPr>
                <w:rFonts w:asciiTheme="majorHAnsi" w:eastAsiaTheme="minorEastAsia" w:hAnsiTheme="majorHAnsi" w:cstheme="minorBidi"/>
                <w:noProof/>
                <w:sz w:val="20"/>
                <w:szCs w:val="20"/>
                <w:bdr w:val="none" w:sz="0" w:space="0" w:color="auto"/>
              </w:rPr>
              <w:tab/>
            </w:r>
            <w:r w:rsidR="000E3549" w:rsidRPr="000E3549">
              <w:rPr>
                <w:rStyle w:val="Hyperlink"/>
                <w:rFonts w:asciiTheme="majorHAnsi" w:hAnsiTheme="majorHAnsi"/>
                <w:noProof/>
                <w:sz w:val="20"/>
                <w:szCs w:val="20"/>
                <w:lang w:val="es-CO"/>
              </w:rPr>
              <w:t>Sobre el derecho a recurrir el fallo condenatorio</w:t>
            </w:r>
            <w:r w:rsidR="000E3549" w:rsidRPr="000E3549">
              <w:rPr>
                <w:rFonts w:asciiTheme="majorHAnsi" w:hAnsiTheme="majorHAnsi"/>
                <w:noProof/>
                <w:webHidden/>
                <w:sz w:val="20"/>
                <w:szCs w:val="20"/>
              </w:rPr>
              <w:tab/>
            </w:r>
            <w:r w:rsidR="000E3549" w:rsidRPr="000E3549">
              <w:rPr>
                <w:rFonts w:asciiTheme="majorHAnsi" w:hAnsiTheme="majorHAnsi"/>
                <w:noProof/>
                <w:webHidden/>
                <w:sz w:val="20"/>
                <w:szCs w:val="20"/>
              </w:rPr>
              <w:fldChar w:fldCharType="begin"/>
            </w:r>
            <w:r w:rsidR="000E3549" w:rsidRPr="000E3549">
              <w:rPr>
                <w:rFonts w:asciiTheme="majorHAnsi" w:hAnsiTheme="majorHAnsi"/>
                <w:noProof/>
                <w:webHidden/>
                <w:sz w:val="20"/>
                <w:szCs w:val="20"/>
              </w:rPr>
              <w:instrText xml:space="preserve"> PAGEREF _Toc495479556 \h </w:instrText>
            </w:r>
            <w:r w:rsidR="000E3549" w:rsidRPr="000E3549">
              <w:rPr>
                <w:rFonts w:asciiTheme="majorHAnsi" w:hAnsiTheme="majorHAnsi"/>
                <w:noProof/>
                <w:webHidden/>
                <w:sz w:val="20"/>
                <w:szCs w:val="20"/>
              </w:rPr>
            </w:r>
            <w:r w:rsidR="000E3549" w:rsidRPr="000E3549">
              <w:rPr>
                <w:rFonts w:asciiTheme="majorHAnsi" w:hAnsiTheme="majorHAnsi"/>
                <w:noProof/>
                <w:webHidden/>
                <w:sz w:val="20"/>
                <w:szCs w:val="20"/>
              </w:rPr>
              <w:fldChar w:fldCharType="separate"/>
            </w:r>
            <w:r w:rsidR="00171E52">
              <w:rPr>
                <w:rFonts w:asciiTheme="majorHAnsi" w:hAnsiTheme="majorHAnsi"/>
                <w:noProof/>
                <w:webHidden/>
                <w:sz w:val="20"/>
                <w:szCs w:val="20"/>
              </w:rPr>
              <w:t>21</w:t>
            </w:r>
            <w:r w:rsidR="000E3549" w:rsidRPr="000E3549">
              <w:rPr>
                <w:rFonts w:asciiTheme="majorHAnsi" w:hAnsiTheme="majorHAnsi"/>
                <w:noProof/>
                <w:webHidden/>
                <w:sz w:val="20"/>
                <w:szCs w:val="20"/>
              </w:rPr>
              <w:fldChar w:fldCharType="end"/>
            </w:r>
          </w:hyperlink>
        </w:p>
        <w:p w:rsidR="000E3549" w:rsidRPr="000E3549" w:rsidRDefault="006D7B67">
          <w:pPr>
            <w:pStyle w:val="TOC3"/>
            <w:tabs>
              <w:tab w:val="left" w:pos="2160"/>
            </w:tabs>
            <w:rPr>
              <w:rFonts w:asciiTheme="majorHAnsi" w:eastAsiaTheme="minorEastAsia" w:hAnsiTheme="majorHAnsi" w:cstheme="minorBidi"/>
              <w:noProof/>
              <w:sz w:val="20"/>
              <w:szCs w:val="20"/>
              <w:bdr w:val="none" w:sz="0" w:space="0" w:color="auto"/>
            </w:rPr>
          </w:pPr>
          <w:hyperlink w:anchor="_Toc495479557" w:history="1">
            <w:r w:rsidR="000E3549" w:rsidRPr="000E3549">
              <w:rPr>
                <w:rStyle w:val="Hyperlink"/>
                <w:rFonts w:asciiTheme="majorHAnsi" w:hAnsiTheme="majorHAnsi"/>
                <w:noProof/>
                <w:sz w:val="20"/>
                <w:szCs w:val="20"/>
                <w:lang w:val="es-CO"/>
              </w:rPr>
              <w:t>4.</w:t>
            </w:r>
            <w:r w:rsidR="000E3549" w:rsidRPr="000E3549">
              <w:rPr>
                <w:rFonts w:asciiTheme="majorHAnsi" w:eastAsiaTheme="minorEastAsia" w:hAnsiTheme="majorHAnsi" w:cstheme="minorBidi"/>
                <w:noProof/>
                <w:sz w:val="20"/>
                <w:szCs w:val="20"/>
                <w:bdr w:val="none" w:sz="0" w:space="0" w:color="auto"/>
              </w:rPr>
              <w:tab/>
            </w:r>
            <w:r w:rsidR="000E3549" w:rsidRPr="000E3549">
              <w:rPr>
                <w:rStyle w:val="Hyperlink"/>
                <w:rFonts w:asciiTheme="majorHAnsi" w:hAnsiTheme="majorHAnsi"/>
                <w:noProof/>
                <w:sz w:val="20"/>
                <w:szCs w:val="20"/>
                <w:lang w:val="es-CO"/>
              </w:rPr>
              <w:t>Sobre la inconvencionalidad de la imposición de la pena de muerte</w:t>
            </w:r>
            <w:r w:rsidR="000E3549" w:rsidRPr="000E3549">
              <w:rPr>
                <w:rFonts w:asciiTheme="majorHAnsi" w:hAnsiTheme="majorHAnsi"/>
                <w:noProof/>
                <w:webHidden/>
                <w:sz w:val="20"/>
                <w:szCs w:val="20"/>
              </w:rPr>
              <w:tab/>
            </w:r>
            <w:r w:rsidR="000E3549" w:rsidRPr="000E3549">
              <w:rPr>
                <w:rFonts w:asciiTheme="majorHAnsi" w:hAnsiTheme="majorHAnsi"/>
                <w:noProof/>
                <w:webHidden/>
                <w:sz w:val="20"/>
                <w:szCs w:val="20"/>
              </w:rPr>
              <w:fldChar w:fldCharType="begin"/>
            </w:r>
            <w:r w:rsidR="000E3549" w:rsidRPr="000E3549">
              <w:rPr>
                <w:rFonts w:asciiTheme="majorHAnsi" w:hAnsiTheme="majorHAnsi"/>
                <w:noProof/>
                <w:webHidden/>
                <w:sz w:val="20"/>
                <w:szCs w:val="20"/>
              </w:rPr>
              <w:instrText xml:space="preserve"> PAGEREF _Toc495479557 \h </w:instrText>
            </w:r>
            <w:r w:rsidR="000E3549" w:rsidRPr="000E3549">
              <w:rPr>
                <w:rFonts w:asciiTheme="majorHAnsi" w:hAnsiTheme="majorHAnsi"/>
                <w:noProof/>
                <w:webHidden/>
                <w:sz w:val="20"/>
                <w:szCs w:val="20"/>
              </w:rPr>
            </w:r>
            <w:r w:rsidR="000E3549" w:rsidRPr="000E3549">
              <w:rPr>
                <w:rFonts w:asciiTheme="majorHAnsi" w:hAnsiTheme="majorHAnsi"/>
                <w:noProof/>
                <w:webHidden/>
                <w:sz w:val="20"/>
                <w:szCs w:val="20"/>
              </w:rPr>
              <w:fldChar w:fldCharType="separate"/>
            </w:r>
            <w:r w:rsidR="00171E52">
              <w:rPr>
                <w:rFonts w:asciiTheme="majorHAnsi" w:hAnsiTheme="majorHAnsi"/>
                <w:noProof/>
                <w:webHidden/>
                <w:sz w:val="20"/>
                <w:szCs w:val="20"/>
              </w:rPr>
              <w:t>22</w:t>
            </w:r>
            <w:r w:rsidR="000E3549" w:rsidRPr="000E3549">
              <w:rPr>
                <w:rFonts w:asciiTheme="majorHAnsi" w:hAnsiTheme="majorHAnsi"/>
                <w:noProof/>
                <w:webHidden/>
                <w:sz w:val="20"/>
                <w:szCs w:val="20"/>
              </w:rPr>
              <w:fldChar w:fldCharType="end"/>
            </w:r>
          </w:hyperlink>
        </w:p>
        <w:p w:rsidR="000E3549" w:rsidRPr="000E3549" w:rsidRDefault="006D7B67" w:rsidP="000E3549">
          <w:pPr>
            <w:pStyle w:val="TOC2"/>
            <w:rPr>
              <w:rFonts w:eastAsiaTheme="minorEastAsia" w:cstheme="minorBidi"/>
              <w:bdr w:val="none" w:sz="0" w:space="0" w:color="auto"/>
              <w:lang w:val="en-US"/>
            </w:rPr>
          </w:pPr>
          <w:hyperlink w:anchor="_Toc495479558" w:history="1">
            <w:r w:rsidR="000E3549" w:rsidRPr="000E3549">
              <w:rPr>
                <w:rStyle w:val="Hyperlink"/>
                <w:lang w:val="es-ES"/>
              </w:rPr>
              <w:t>B.</w:t>
            </w:r>
            <w:r w:rsidR="000E3549" w:rsidRPr="000E3549">
              <w:rPr>
                <w:rFonts w:eastAsiaTheme="minorEastAsia" w:cstheme="minorBidi"/>
                <w:bdr w:val="none" w:sz="0" w:space="0" w:color="auto"/>
                <w:lang w:val="en-US"/>
              </w:rPr>
              <w:tab/>
            </w:r>
            <w:r w:rsidR="000E3549" w:rsidRPr="000E3549">
              <w:rPr>
                <w:rStyle w:val="Hyperlink"/>
              </w:rPr>
              <w:t>Derecho a la integridad personal con respecto al fenómeno del “corredor de la muerte” y disposiciones relevantes de la CIPST</w:t>
            </w:r>
            <w:r w:rsidR="000E3549" w:rsidRPr="000E3549">
              <w:rPr>
                <w:webHidden/>
              </w:rPr>
              <w:tab/>
            </w:r>
            <w:r w:rsidR="000E3549" w:rsidRPr="000E3549">
              <w:rPr>
                <w:webHidden/>
              </w:rPr>
              <w:fldChar w:fldCharType="begin"/>
            </w:r>
            <w:r w:rsidR="000E3549" w:rsidRPr="000E3549">
              <w:rPr>
                <w:webHidden/>
              </w:rPr>
              <w:instrText xml:space="preserve"> PAGEREF _Toc495479558 \h </w:instrText>
            </w:r>
            <w:r w:rsidR="000E3549" w:rsidRPr="000E3549">
              <w:rPr>
                <w:webHidden/>
              </w:rPr>
            </w:r>
            <w:r w:rsidR="000E3549" w:rsidRPr="000E3549">
              <w:rPr>
                <w:webHidden/>
              </w:rPr>
              <w:fldChar w:fldCharType="separate"/>
            </w:r>
            <w:r w:rsidR="00171E52">
              <w:rPr>
                <w:webHidden/>
              </w:rPr>
              <w:t>22</w:t>
            </w:r>
            <w:r w:rsidR="000E3549" w:rsidRPr="000E3549">
              <w:rPr>
                <w:webHidden/>
              </w:rPr>
              <w:fldChar w:fldCharType="end"/>
            </w:r>
          </w:hyperlink>
        </w:p>
        <w:p w:rsidR="000E3549" w:rsidRPr="000E3549" w:rsidRDefault="006D7B67" w:rsidP="000E3549">
          <w:pPr>
            <w:pStyle w:val="TOC2"/>
            <w:rPr>
              <w:rFonts w:eastAsiaTheme="minorEastAsia" w:cstheme="minorBidi"/>
              <w:bdr w:val="none" w:sz="0" w:space="0" w:color="auto"/>
              <w:lang w:val="en-US"/>
            </w:rPr>
          </w:pPr>
          <w:hyperlink w:anchor="_Toc495479559" w:history="1">
            <w:r w:rsidR="000E3549" w:rsidRPr="000E3549">
              <w:rPr>
                <w:rStyle w:val="Hyperlink"/>
              </w:rPr>
              <w:t>C.</w:t>
            </w:r>
            <w:r w:rsidR="000E3549" w:rsidRPr="000E3549">
              <w:rPr>
                <w:rFonts w:eastAsiaTheme="minorEastAsia" w:cstheme="minorBidi"/>
                <w:bdr w:val="none" w:sz="0" w:space="0" w:color="auto"/>
                <w:lang w:val="en-US"/>
              </w:rPr>
              <w:tab/>
            </w:r>
            <w:r w:rsidR="000E3549" w:rsidRPr="000E3549">
              <w:rPr>
                <w:rStyle w:val="Hyperlink"/>
              </w:rPr>
              <w:t>Derechos a la integridad personal, dignidad, vida privada y autonomía, garantías judiciales y protección judicial y disposiciones relevantes de la CIPST respecto de las alegadas torturas</w:t>
            </w:r>
            <w:r w:rsidR="000E3549" w:rsidRPr="000E3549">
              <w:rPr>
                <w:webHidden/>
              </w:rPr>
              <w:tab/>
            </w:r>
            <w:r w:rsidR="000E3549" w:rsidRPr="000E3549">
              <w:rPr>
                <w:webHidden/>
              </w:rPr>
              <w:fldChar w:fldCharType="begin"/>
            </w:r>
            <w:r w:rsidR="000E3549" w:rsidRPr="000E3549">
              <w:rPr>
                <w:webHidden/>
              </w:rPr>
              <w:instrText xml:space="preserve"> PAGEREF _Toc495479559 \h </w:instrText>
            </w:r>
            <w:r w:rsidR="000E3549" w:rsidRPr="000E3549">
              <w:rPr>
                <w:webHidden/>
              </w:rPr>
            </w:r>
            <w:r w:rsidR="000E3549" w:rsidRPr="000E3549">
              <w:rPr>
                <w:webHidden/>
              </w:rPr>
              <w:fldChar w:fldCharType="separate"/>
            </w:r>
            <w:r w:rsidR="00171E52">
              <w:rPr>
                <w:webHidden/>
              </w:rPr>
              <w:t>25</w:t>
            </w:r>
            <w:r w:rsidR="000E3549" w:rsidRPr="000E3549">
              <w:rPr>
                <w:webHidden/>
              </w:rPr>
              <w:fldChar w:fldCharType="end"/>
            </w:r>
          </w:hyperlink>
        </w:p>
        <w:p w:rsidR="000E3549" w:rsidRPr="000E3549" w:rsidRDefault="006D7B67">
          <w:pPr>
            <w:pStyle w:val="TOC3"/>
            <w:tabs>
              <w:tab w:val="left" w:pos="2160"/>
            </w:tabs>
            <w:rPr>
              <w:rFonts w:asciiTheme="majorHAnsi" w:eastAsiaTheme="minorEastAsia" w:hAnsiTheme="majorHAnsi" w:cstheme="minorBidi"/>
              <w:noProof/>
              <w:sz w:val="20"/>
              <w:szCs w:val="20"/>
              <w:bdr w:val="none" w:sz="0" w:space="0" w:color="auto"/>
            </w:rPr>
          </w:pPr>
          <w:hyperlink w:anchor="_Toc495479560" w:history="1">
            <w:r w:rsidR="000E3549" w:rsidRPr="000E3549">
              <w:rPr>
                <w:rStyle w:val="Hyperlink"/>
                <w:rFonts w:asciiTheme="majorHAnsi" w:hAnsiTheme="majorHAnsi"/>
                <w:noProof/>
                <w:sz w:val="20"/>
                <w:szCs w:val="20"/>
                <w:lang w:val="es-CO"/>
              </w:rPr>
              <w:t>1.</w:t>
            </w:r>
            <w:r w:rsidR="000E3549" w:rsidRPr="000E3549">
              <w:rPr>
                <w:rFonts w:asciiTheme="majorHAnsi" w:eastAsiaTheme="minorEastAsia" w:hAnsiTheme="majorHAnsi" w:cstheme="minorBidi"/>
                <w:noProof/>
                <w:sz w:val="20"/>
                <w:szCs w:val="20"/>
                <w:bdr w:val="none" w:sz="0" w:space="0" w:color="auto"/>
              </w:rPr>
              <w:tab/>
            </w:r>
            <w:r w:rsidR="000E3549" w:rsidRPr="000E3549">
              <w:rPr>
                <w:rStyle w:val="Hyperlink"/>
                <w:rFonts w:asciiTheme="majorHAnsi" w:hAnsiTheme="majorHAnsi"/>
                <w:noProof/>
                <w:sz w:val="20"/>
                <w:szCs w:val="20"/>
                <w:lang w:val="es-CO"/>
              </w:rPr>
              <w:t>Consideraciones generales</w:t>
            </w:r>
            <w:r w:rsidR="000E3549" w:rsidRPr="000E3549">
              <w:rPr>
                <w:rFonts w:asciiTheme="majorHAnsi" w:hAnsiTheme="majorHAnsi"/>
                <w:noProof/>
                <w:webHidden/>
                <w:sz w:val="20"/>
                <w:szCs w:val="20"/>
              </w:rPr>
              <w:tab/>
            </w:r>
            <w:r w:rsidR="000E3549" w:rsidRPr="000E3549">
              <w:rPr>
                <w:rFonts w:asciiTheme="majorHAnsi" w:hAnsiTheme="majorHAnsi"/>
                <w:noProof/>
                <w:webHidden/>
                <w:sz w:val="20"/>
                <w:szCs w:val="20"/>
              </w:rPr>
              <w:fldChar w:fldCharType="begin"/>
            </w:r>
            <w:r w:rsidR="000E3549" w:rsidRPr="000E3549">
              <w:rPr>
                <w:rFonts w:asciiTheme="majorHAnsi" w:hAnsiTheme="majorHAnsi"/>
                <w:noProof/>
                <w:webHidden/>
                <w:sz w:val="20"/>
                <w:szCs w:val="20"/>
              </w:rPr>
              <w:instrText xml:space="preserve"> PAGEREF _Toc495479560 \h </w:instrText>
            </w:r>
            <w:r w:rsidR="000E3549" w:rsidRPr="000E3549">
              <w:rPr>
                <w:rFonts w:asciiTheme="majorHAnsi" w:hAnsiTheme="majorHAnsi"/>
                <w:noProof/>
                <w:webHidden/>
                <w:sz w:val="20"/>
                <w:szCs w:val="20"/>
              </w:rPr>
            </w:r>
            <w:r w:rsidR="000E3549" w:rsidRPr="000E3549">
              <w:rPr>
                <w:rFonts w:asciiTheme="majorHAnsi" w:hAnsiTheme="majorHAnsi"/>
                <w:noProof/>
                <w:webHidden/>
                <w:sz w:val="20"/>
                <w:szCs w:val="20"/>
              </w:rPr>
              <w:fldChar w:fldCharType="separate"/>
            </w:r>
            <w:r w:rsidR="00171E52">
              <w:rPr>
                <w:rFonts w:asciiTheme="majorHAnsi" w:hAnsiTheme="majorHAnsi"/>
                <w:noProof/>
                <w:webHidden/>
                <w:sz w:val="20"/>
                <w:szCs w:val="20"/>
              </w:rPr>
              <w:t>25</w:t>
            </w:r>
            <w:r w:rsidR="000E3549" w:rsidRPr="000E3549">
              <w:rPr>
                <w:rFonts w:asciiTheme="majorHAnsi" w:hAnsiTheme="majorHAnsi"/>
                <w:noProof/>
                <w:webHidden/>
                <w:sz w:val="20"/>
                <w:szCs w:val="20"/>
              </w:rPr>
              <w:fldChar w:fldCharType="end"/>
            </w:r>
          </w:hyperlink>
        </w:p>
        <w:p w:rsidR="000E3549" w:rsidRPr="000E3549" w:rsidRDefault="006D7B67">
          <w:pPr>
            <w:pStyle w:val="TOC3"/>
            <w:tabs>
              <w:tab w:val="left" w:pos="2160"/>
            </w:tabs>
            <w:rPr>
              <w:rFonts w:asciiTheme="majorHAnsi" w:eastAsiaTheme="minorEastAsia" w:hAnsiTheme="majorHAnsi" w:cstheme="minorBidi"/>
              <w:noProof/>
              <w:sz w:val="20"/>
              <w:szCs w:val="20"/>
              <w:bdr w:val="none" w:sz="0" w:space="0" w:color="auto"/>
            </w:rPr>
          </w:pPr>
          <w:hyperlink w:anchor="_Toc495479561" w:history="1">
            <w:r w:rsidR="000E3549" w:rsidRPr="000E3549">
              <w:rPr>
                <w:rStyle w:val="Hyperlink"/>
                <w:rFonts w:asciiTheme="majorHAnsi" w:hAnsiTheme="majorHAnsi"/>
                <w:noProof/>
                <w:sz w:val="20"/>
                <w:szCs w:val="20"/>
                <w:lang w:val="es-CO"/>
              </w:rPr>
              <w:t>2.</w:t>
            </w:r>
            <w:r w:rsidR="000E3549" w:rsidRPr="000E3549">
              <w:rPr>
                <w:rFonts w:asciiTheme="majorHAnsi" w:eastAsiaTheme="minorEastAsia" w:hAnsiTheme="majorHAnsi" w:cstheme="minorBidi"/>
                <w:noProof/>
                <w:sz w:val="20"/>
                <w:szCs w:val="20"/>
                <w:bdr w:val="none" w:sz="0" w:space="0" w:color="auto"/>
              </w:rPr>
              <w:tab/>
            </w:r>
            <w:r w:rsidR="000E3549" w:rsidRPr="000E3549">
              <w:rPr>
                <w:rStyle w:val="Hyperlink"/>
                <w:rFonts w:asciiTheme="majorHAnsi" w:hAnsiTheme="majorHAnsi"/>
                <w:noProof/>
                <w:sz w:val="20"/>
                <w:szCs w:val="20"/>
                <w:lang w:val="es-CO"/>
              </w:rPr>
              <w:t>Análisis del caso</w:t>
            </w:r>
            <w:r w:rsidR="000E3549" w:rsidRPr="000E3549">
              <w:rPr>
                <w:rFonts w:asciiTheme="majorHAnsi" w:hAnsiTheme="majorHAnsi"/>
                <w:noProof/>
                <w:webHidden/>
                <w:sz w:val="20"/>
                <w:szCs w:val="20"/>
              </w:rPr>
              <w:tab/>
            </w:r>
            <w:r w:rsidR="000E3549" w:rsidRPr="000E3549">
              <w:rPr>
                <w:rFonts w:asciiTheme="majorHAnsi" w:hAnsiTheme="majorHAnsi"/>
                <w:noProof/>
                <w:webHidden/>
                <w:sz w:val="20"/>
                <w:szCs w:val="20"/>
              </w:rPr>
              <w:fldChar w:fldCharType="begin"/>
            </w:r>
            <w:r w:rsidR="000E3549" w:rsidRPr="000E3549">
              <w:rPr>
                <w:rFonts w:asciiTheme="majorHAnsi" w:hAnsiTheme="majorHAnsi"/>
                <w:noProof/>
                <w:webHidden/>
                <w:sz w:val="20"/>
                <w:szCs w:val="20"/>
              </w:rPr>
              <w:instrText xml:space="preserve"> PAGEREF _Toc495479561 \h </w:instrText>
            </w:r>
            <w:r w:rsidR="000E3549" w:rsidRPr="000E3549">
              <w:rPr>
                <w:rFonts w:asciiTheme="majorHAnsi" w:hAnsiTheme="majorHAnsi"/>
                <w:noProof/>
                <w:webHidden/>
                <w:sz w:val="20"/>
                <w:szCs w:val="20"/>
              </w:rPr>
            </w:r>
            <w:r w:rsidR="000E3549" w:rsidRPr="000E3549">
              <w:rPr>
                <w:rFonts w:asciiTheme="majorHAnsi" w:hAnsiTheme="majorHAnsi"/>
                <w:noProof/>
                <w:webHidden/>
                <w:sz w:val="20"/>
                <w:szCs w:val="20"/>
              </w:rPr>
              <w:fldChar w:fldCharType="separate"/>
            </w:r>
            <w:r w:rsidR="00171E52">
              <w:rPr>
                <w:rFonts w:asciiTheme="majorHAnsi" w:hAnsiTheme="majorHAnsi"/>
                <w:noProof/>
                <w:webHidden/>
                <w:sz w:val="20"/>
                <w:szCs w:val="20"/>
              </w:rPr>
              <w:t>28</w:t>
            </w:r>
            <w:r w:rsidR="000E3549" w:rsidRPr="000E3549">
              <w:rPr>
                <w:rFonts w:asciiTheme="majorHAnsi" w:hAnsiTheme="majorHAnsi"/>
                <w:noProof/>
                <w:webHidden/>
                <w:sz w:val="20"/>
                <w:szCs w:val="20"/>
              </w:rPr>
              <w:fldChar w:fldCharType="end"/>
            </w:r>
          </w:hyperlink>
        </w:p>
        <w:p w:rsidR="000E3549" w:rsidRPr="000E3549" w:rsidRDefault="006D7B67" w:rsidP="000E3549">
          <w:pPr>
            <w:pStyle w:val="TOC2"/>
            <w:rPr>
              <w:rFonts w:eastAsiaTheme="minorEastAsia" w:cstheme="minorBidi"/>
              <w:bdr w:val="none" w:sz="0" w:space="0" w:color="auto"/>
              <w:lang w:val="en-US"/>
            </w:rPr>
          </w:pPr>
          <w:hyperlink w:anchor="_Toc495479562" w:history="1">
            <w:r w:rsidR="000E3549" w:rsidRPr="000E3549">
              <w:rPr>
                <w:rStyle w:val="Hyperlink"/>
                <w:lang w:val="es-ES"/>
              </w:rPr>
              <w:t>D.</w:t>
            </w:r>
            <w:r w:rsidR="000E3549" w:rsidRPr="000E3549">
              <w:rPr>
                <w:rFonts w:eastAsiaTheme="minorEastAsia" w:cstheme="minorBidi"/>
                <w:bdr w:val="none" w:sz="0" w:space="0" w:color="auto"/>
                <w:lang w:val="en-US"/>
              </w:rPr>
              <w:tab/>
            </w:r>
            <w:r w:rsidR="000E3549" w:rsidRPr="000E3549">
              <w:rPr>
                <w:rStyle w:val="Hyperlink"/>
              </w:rPr>
              <w:t>Derechos a la vida, garantías judiciales y protección judicial respecto de la muerte</w:t>
            </w:r>
            <w:r w:rsidR="000E3549" w:rsidRPr="000E3549">
              <w:rPr>
                <w:rStyle w:val="Hyperlink"/>
                <w:lang w:val="es-ES"/>
              </w:rPr>
              <w:t xml:space="preserve"> de </w:t>
            </w:r>
            <w:r w:rsidR="000E3549" w:rsidRPr="000E3549">
              <w:rPr>
                <w:rStyle w:val="Hyperlink"/>
                <w:lang w:val="es-US"/>
              </w:rPr>
              <w:t>Tirso Román Valenzuela Ávila</w:t>
            </w:r>
            <w:r w:rsidR="000E3549" w:rsidRPr="000E3549">
              <w:rPr>
                <w:webHidden/>
              </w:rPr>
              <w:tab/>
            </w:r>
            <w:r w:rsidR="000E3549" w:rsidRPr="000E3549">
              <w:rPr>
                <w:webHidden/>
              </w:rPr>
              <w:fldChar w:fldCharType="begin"/>
            </w:r>
            <w:r w:rsidR="000E3549" w:rsidRPr="000E3549">
              <w:rPr>
                <w:webHidden/>
              </w:rPr>
              <w:instrText xml:space="preserve"> PAGEREF _Toc495479562 \h </w:instrText>
            </w:r>
            <w:r w:rsidR="000E3549" w:rsidRPr="000E3549">
              <w:rPr>
                <w:webHidden/>
              </w:rPr>
            </w:r>
            <w:r w:rsidR="000E3549" w:rsidRPr="000E3549">
              <w:rPr>
                <w:webHidden/>
              </w:rPr>
              <w:fldChar w:fldCharType="separate"/>
            </w:r>
            <w:r w:rsidR="00171E52">
              <w:rPr>
                <w:webHidden/>
              </w:rPr>
              <w:t>31</w:t>
            </w:r>
            <w:r w:rsidR="000E3549" w:rsidRPr="000E3549">
              <w:rPr>
                <w:webHidden/>
              </w:rPr>
              <w:fldChar w:fldCharType="end"/>
            </w:r>
          </w:hyperlink>
        </w:p>
        <w:p w:rsidR="000E3549" w:rsidRPr="000E3549" w:rsidRDefault="006D7B67">
          <w:pPr>
            <w:pStyle w:val="TOC3"/>
            <w:tabs>
              <w:tab w:val="left" w:pos="2160"/>
            </w:tabs>
            <w:rPr>
              <w:rFonts w:asciiTheme="majorHAnsi" w:eastAsiaTheme="minorEastAsia" w:hAnsiTheme="majorHAnsi" w:cstheme="minorBidi"/>
              <w:noProof/>
              <w:sz w:val="20"/>
              <w:szCs w:val="20"/>
              <w:bdr w:val="none" w:sz="0" w:space="0" w:color="auto"/>
            </w:rPr>
          </w:pPr>
          <w:hyperlink w:anchor="_Toc495479563" w:history="1">
            <w:r w:rsidR="000E3549" w:rsidRPr="000E3549">
              <w:rPr>
                <w:rStyle w:val="Hyperlink"/>
                <w:rFonts w:asciiTheme="majorHAnsi" w:hAnsiTheme="majorHAnsi"/>
                <w:noProof/>
                <w:sz w:val="20"/>
                <w:szCs w:val="20"/>
                <w:lang w:val="es-ES_tradnl"/>
              </w:rPr>
              <w:t>1.</w:t>
            </w:r>
            <w:r w:rsidR="000E3549" w:rsidRPr="000E3549">
              <w:rPr>
                <w:rFonts w:asciiTheme="majorHAnsi" w:eastAsiaTheme="minorEastAsia" w:hAnsiTheme="majorHAnsi" w:cstheme="minorBidi"/>
                <w:noProof/>
                <w:sz w:val="20"/>
                <w:szCs w:val="20"/>
                <w:bdr w:val="none" w:sz="0" w:space="0" w:color="auto"/>
              </w:rPr>
              <w:tab/>
            </w:r>
            <w:r w:rsidR="000E3549" w:rsidRPr="000E3549">
              <w:rPr>
                <w:rStyle w:val="Hyperlink"/>
                <w:rFonts w:asciiTheme="majorHAnsi" w:hAnsiTheme="majorHAnsi"/>
                <w:noProof/>
                <w:sz w:val="20"/>
                <w:szCs w:val="20"/>
                <w:lang w:val="es-CO"/>
              </w:rPr>
              <w:t>Consideraciones generales</w:t>
            </w:r>
            <w:r w:rsidR="000E3549" w:rsidRPr="000E3549">
              <w:rPr>
                <w:rFonts w:asciiTheme="majorHAnsi" w:hAnsiTheme="majorHAnsi"/>
                <w:noProof/>
                <w:webHidden/>
                <w:sz w:val="20"/>
                <w:szCs w:val="20"/>
              </w:rPr>
              <w:tab/>
            </w:r>
            <w:r w:rsidR="000E3549" w:rsidRPr="000E3549">
              <w:rPr>
                <w:rFonts w:asciiTheme="majorHAnsi" w:hAnsiTheme="majorHAnsi"/>
                <w:noProof/>
                <w:webHidden/>
                <w:sz w:val="20"/>
                <w:szCs w:val="20"/>
              </w:rPr>
              <w:fldChar w:fldCharType="begin"/>
            </w:r>
            <w:r w:rsidR="000E3549" w:rsidRPr="000E3549">
              <w:rPr>
                <w:rFonts w:asciiTheme="majorHAnsi" w:hAnsiTheme="majorHAnsi"/>
                <w:noProof/>
                <w:webHidden/>
                <w:sz w:val="20"/>
                <w:szCs w:val="20"/>
              </w:rPr>
              <w:instrText xml:space="preserve"> PAGEREF _Toc495479563 \h </w:instrText>
            </w:r>
            <w:r w:rsidR="000E3549" w:rsidRPr="000E3549">
              <w:rPr>
                <w:rFonts w:asciiTheme="majorHAnsi" w:hAnsiTheme="majorHAnsi"/>
                <w:noProof/>
                <w:webHidden/>
                <w:sz w:val="20"/>
                <w:szCs w:val="20"/>
              </w:rPr>
            </w:r>
            <w:r w:rsidR="000E3549" w:rsidRPr="000E3549">
              <w:rPr>
                <w:rFonts w:asciiTheme="majorHAnsi" w:hAnsiTheme="majorHAnsi"/>
                <w:noProof/>
                <w:webHidden/>
                <w:sz w:val="20"/>
                <w:szCs w:val="20"/>
              </w:rPr>
              <w:fldChar w:fldCharType="separate"/>
            </w:r>
            <w:r w:rsidR="00171E52">
              <w:rPr>
                <w:rFonts w:asciiTheme="majorHAnsi" w:hAnsiTheme="majorHAnsi"/>
                <w:noProof/>
                <w:webHidden/>
                <w:sz w:val="20"/>
                <w:szCs w:val="20"/>
              </w:rPr>
              <w:t>31</w:t>
            </w:r>
            <w:r w:rsidR="000E3549" w:rsidRPr="000E3549">
              <w:rPr>
                <w:rFonts w:asciiTheme="majorHAnsi" w:hAnsiTheme="majorHAnsi"/>
                <w:noProof/>
                <w:webHidden/>
                <w:sz w:val="20"/>
                <w:szCs w:val="20"/>
              </w:rPr>
              <w:fldChar w:fldCharType="end"/>
            </w:r>
          </w:hyperlink>
        </w:p>
        <w:p w:rsidR="000E3549" w:rsidRPr="000E3549" w:rsidRDefault="006D7B67">
          <w:pPr>
            <w:pStyle w:val="TOC3"/>
            <w:tabs>
              <w:tab w:val="left" w:pos="2160"/>
            </w:tabs>
            <w:rPr>
              <w:rFonts w:asciiTheme="majorHAnsi" w:eastAsiaTheme="minorEastAsia" w:hAnsiTheme="majorHAnsi" w:cstheme="minorBidi"/>
              <w:noProof/>
              <w:sz w:val="20"/>
              <w:szCs w:val="20"/>
              <w:bdr w:val="none" w:sz="0" w:space="0" w:color="auto"/>
            </w:rPr>
          </w:pPr>
          <w:hyperlink w:anchor="_Toc495479564" w:history="1">
            <w:r w:rsidR="000E3549" w:rsidRPr="000E3549">
              <w:rPr>
                <w:rStyle w:val="Hyperlink"/>
                <w:rFonts w:asciiTheme="majorHAnsi" w:hAnsiTheme="majorHAnsi"/>
                <w:noProof/>
                <w:sz w:val="20"/>
                <w:szCs w:val="20"/>
                <w:lang w:val="es-ES_tradnl"/>
              </w:rPr>
              <w:t>2.</w:t>
            </w:r>
            <w:r w:rsidR="000E3549" w:rsidRPr="000E3549">
              <w:rPr>
                <w:rFonts w:asciiTheme="majorHAnsi" w:eastAsiaTheme="minorEastAsia" w:hAnsiTheme="majorHAnsi" w:cstheme="minorBidi"/>
                <w:noProof/>
                <w:sz w:val="20"/>
                <w:szCs w:val="20"/>
                <w:bdr w:val="none" w:sz="0" w:space="0" w:color="auto"/>
              </w:rPr>
              <w:tab/>
            </w:r>
            <w:r w:rsidR="000E3549" w:rsidRPr="000E3549">
              <w:rPr>
                <w:rStyle w:val="Hyperlink"/>
                <w:rFonts w:asciiTheme="majorHAnsi" w:hAnsiTheme="majorHAnsi"/>
                <w:noProof/>
                <w:sz w:val="20"/>
                <w:szCs w:val="20"/>
                <w:lang w:val="es-CO"/>
              </w:rPr>
              <w:t>Análisis de si la muerte del señor Valenzuela Ávila fue una ejecución extrajudicial</w:t>
            </w:r>
            <w:r w:rsidR="000E3549" w:rsidRPr="000E3549">
              <w:rPr>
                <w:rFonts w:asciiTheme="majorHAnsi" w:hAnsiTheme="majorHAnsi"/>
                <w:noProof/>
                <w:webHidden/>
                <w:sz w:val="20"/>
                <w:szCs w:val="20"/>
              </w:rPr>
              <w:tab/>
            </w:r>
            <w:r w:rsidR="000E3549" w:rsidRPr="000E3549">
              <w:rPr>
                <w:rFonts w:asciiTheme="majorHAnsi" w:hAnsiTheme="majorHAnsi"/>
                <w:noProof/>
                <w:webHidden/>
                <w:sz w:val="20"/>
                <w:szCs w:val="20"/>
              </w:rPr>
              <w:fldChar w:fldCharType="begin"/>
            </w:r>
            <w:r w:rsidR="000E3549" w:rsidRPr="000E3549">
              <w:rPr>
                <w:rFonts w:asciiTheme="majorHAnsi" w:hAnsiTheme="majorHAnsi"/>
                <w:noProof/>
                <w:webHidden/>
                <w:sz w:val="20"/>
                <w:szCs w:val="20"/>
              </w:rPr>
              <w:instrText xml:space="preserve"> PAGEREF _Toc495479564 \h </w:instrText>
            </w:r>
            <w:r w:rsidR="000E3549" w:rsidRPr="000E3549">
              <w:rPr>
                <w:rFonts w:asciiTheme="majorHAnsi" w:hAnsiTheme="majorHAnsi"/>
                <w:noProof/>
                <w:webHidden/>
                <w:sz w:val="20"/>
                <w:szCs w:val="20"/>
              </w:rPr>
            </w:r>
            <w:r w:rsidR="000E3549" w:rsidRPr="000E3549">
              <w:rPr>
                <w:rFonts w:asciiTheme="majorHAnsi" w:hAnsiTheme="majorHAnsi"/>
                <w:noProof/>
                <w:webHidden/>
                <w:sz w:val="20"/>
                <w:szCs w:val="20"/>
              </w:rPr>
              <w:fldChar w:fldCharType="separate"/>
            </w:r>
            <w:r w:rsidR="00171E52">
              <w:rPr>
                <w:rFonts w:asciiTheme="majorHAnsi" w:hAnsiTheme="majorHAnsi"/>
                <w:noProof/>
                <w:webHidden/>
                <w:sz w:val="20"/>
                <w:szCs w:val="20"/>
              </w:rPr>
              <w:t>34</w:t>
            </w:r>
            <w:r w:rsidR="000E3549" w:rsidRPr="000E3549">
              <w:rPr>
                <w:rFonts w:asciiTheme="majorHAnsi" w:hAnsiTheme="majorHAnsi"/>
                <w:noProof/>
                <w:webHidden/>
                <w:sz w:val="20"/>
                <w:szCs w:val="20"/>
              </w:rPr>
              <w:fldChar w:fldCharType="end"/>
            </w:r>
          </w:hyperlink>
        </w:p>
        <w:p w:rsidR="000E3549" w:rsidRPr="000E3549" w:rsidRDefault="006D7B67">
          <w:pPr>
            <w:pStyle w:val="TOC3"/>
            <w:tabs>
              <w:tab w:val="left" w:pos="2160"/>
            </w:tabs>
            <w:rPr>
              <w:rFonts w:asciiTheme="majorHAnsi" w:eastAsiaTheme="minorEastAsia" w:hAnsiTheme="majorHAnsi" w:cstheme="minorBidi"/>
              <w:noProof/>
              <w:sz w:val="20"/>
              <w:szCs w:val="20"/>
              <w:bdr w:val="none" w:sz="0" w:space="0" w:color="auto"/>
            </w:rPr>
          </w:pPr>
          <w:hyperlink w:anchor="_Toc495479565" w:history="1">
            <w:r w:rsidR="000E3549" w:rsidRPr="000E3549">
              <w:rPr>
                <w:rStyle w:val="Hyperlink"/>
                <w:rFonts w:asciiTheme="majorHAnsi" w:hAnsiTheme="majorHAnsi"/>
                <w:noProof/>
                <w:sz w:val="20"/>
                <w:szCs w:val="20"/>
                <w:lang w:val="es-ES_tradnl"/>
              </w:rPr>
              <w:t>3.</w:t>
            </w:r>
            <w:r w:rsidR="000E3549" w:rsidRPr="000E3549">
              <w:rPr>
                <w:rFonts w:asciiTheme="majorHAnsi" w:eastAsiaTheme="minorEastAsia" w:hAnsiTheme="majorHAnsi" w:cstheme="minorBidi"/>
                <w:noProof/>
                <w:sz w:val="20"/>
                <w:szCs w:val="20"/>
                <w:bdr w:val="none" w:sz="0" w:space="0" w:color="auto"/>
              </w:rPr>
              <w:tab/>
            </w:r>
            <w:r w:rsidR="000E3549" w:rsidRPr="000E3549">
              <w:rPr>
                <w:rStyle w:val="Hyperlink"/>
                <w:rFonts w:asciiTheme="majorHAnsi" w:hAnsiTheme="majorHAnsi"/>
                <w:noProof/>
                <w:sz w:val="20"/>
                <w:szCs w:val="20"/>
                <w:lang w:val="es-CO"/>
              </w:rPr>
              <w:t>Análisis sobre si el Estado cumplió su obligación de investigar la muerte del señor Valenzuela Ávila</w:t>
            </w:r>
            <w:r w:rsidR="000E3549" w:rsidRPr="000E3549">
              <w:rPr>
                <w:rFonts w:asciiTheme="majorHAnsi" w:hAnsiTheme="majorHAnsi"/>
                <w:noProof/>
                <w:webHidden/>
                <w:sz w:val="20"/>
                <w:szCs w:val="20"/>
              </w:rPr>
              <w:tab/>
            </w:r>
            <w:r w:rsidR="000E3549" w:rsidRPr="000E3549">
              <w:rPr>
                <w:rFonts w:asciiTheme="majorHAnsi" w:hAnsiTheme="majorHAnsi"/>
                <w:noProof/>
                <w:webHidden/>
                <w:sz w:val="20"/>
                <w:szCs w:val="20"/>
              </w:rPr>
              <w:fldChar w:fldCharType="begin"/>
            </w:r>
            <w:r w:rsidR="000E3549" w:rsidRPr="000E3549">
              <w:rPr>
                <w:rFonts w:asciiTheme="majorHAnsi" w:hAnsiTheme="majorHAnsi"/>
                <w:noProof/>
                <w:webHidden/>
                <w:sz w:val="20"/>
                <w:szCs w:val="20"/>
              </w:rPr>
              <w:instrText xml:space="preserve"> PAGEREF _Toc495479565 \h </w:instrText>
            </w:r>
            <w:r w:rsidR="000E3549" w:rsidRPr="000E3549">
              <w:rPr>
                <w:rFonts w:asciiTheme="majorHAnsi" w:hAnsiTheme="majorHAnsi"/>
                <w:noProof/>
                <w:webHidden/>
                <w:sz w:val="20"/>
                <w:szCs w:val="20"/>
              </w:rPr>
            </w:r>
            <w:r w:rsidR="000E3549" w:rsidRPr="000E3549">
              <w:rPr>
                <w:rFonts w:asciiTheme="majorHAnsi" w:hAnsiTheme="majorHAnsi"/>
                <w:noProof/>
                <w:webHidden/>
                <w:sz w:val="20"/>
                <w:szCs w:val="20"/>
              </w:rPr>
              <w:fldChar w:fldCharType="separate"/>
            </w:r>
            <w:r w:rsidR="00171E52">
              <w:rPr>
                <w:rFonts w:asciiTheme="majorHAnsi" w:hAnsiTheme="majorHAnsi"/>
                <w:noProof/>
                <w:webHidden/>
                <w:sz w:val="20"/>
                <w:szCs w:val="20"/>
              </w:rPr>
              <w:t>35</w:t>
            </w:r>
            <w:r w:rsidR="000E3549" w:rsidRPr="000E3549">
              <w:rPr>
                <w:rFonts w:asciiTheme="majorHAnsi" w:hAnsiTheme="majorHAnsi"/>
                <w:noProof/>
                <w:webHidden/>
                <w:sz w:val="20"/>
                <w:szCs w:val="20"/>
              </w:rPr>
              <w:fldChar w:fldCharType="end"/>
            </w:r>
          </w:hyperlink>
        </w:p>
        <w:p w:rsidR="000E3549" w:rsidRPr="000E3549" w:rsidRDefault="006D7B67">
          <w:pPr>
            <w:pStyle w:val="TOC1"/>
            <w:rPr>
              <w:rFonts w:eastAsiaTheme="minorEastAsia" w:cstheme="minorBidi"/>
              <w:b w:val="0"/>
              <w:bdr w:val="none" w:sz="0" w:space="0" w:color="auto"/>
            </w:rPr>
          </w:pPr>
          <w:hyperlink w:anchor="_Toc495479566" w:history="1">
            <w:r w:rsidR="000E3549" w:rsidRPr="000E3549">
              <w:rPr>
                <w:rStyle w:val="Hyperlink"/>
              </w:rPr>
              <w:t>VII.</w:t>
            </w:r>
            <w:r w:rsidR="000E3549" w:rsidRPr="000E3549">
              <w:rPr>
                <w:rFonts w:eastAsiaTheme="minorEastAsia" w:cstheme="minorBidi"/>
                <w:b w:val="0"/>
                <w:bdr w:val="none" w:sz="0" w:space="0" w:color="auto"/>
              </w:rPr>
              <w:tab/>
            </w:r>
            <w:r w:rsidR="000E3549" w:rsidRPr="000E3549">
              <w:rPr>
                <w:rStyle w:val="Hyperlink"/>
              </w:rPr>
              <w:t>CONCLUSIONES</w:t>
            </w:r>
            <w:r w:rsidR="000E3549" w:rsidRPr="000E3549">
              <w:rPr>
                <w:webHidden/>
              </w:rPr>
              <w:tab/>
            </w:r>
            <w:r w:rsidR="000E3549" w:rsidRPr="000E3549">
              <w:rPr>
                <w:webHidden/>
              </w:rPr>
              <w:fldChar w:fldCharType="begin"/>
            </w:r>
            <w:r w:rsidR="000E3549" w:rsidRPr="000E3549">
              <w:rPr>
                <w:webHidden/>
              </w:rPr>
              <w:instrText xml:space="preserve"> PAGEREF _Toc495479566 \h </w:instrText>
            </w:r>
            <w:r w:rsidR="000E3549" w:rsidRPr="000E3549">
              <w:rPr>
                <w:webHidden/>
              </w:rPr>
            </w:r>
            <w:r w:rsidR="000E3549" w:rsidRPr="000E3549">
              <w:rPr>
                <w:webHidden/>
              </w:rPr>
              <w:fldChar w:fldCharType="separate"/>
            </w:r>
            <w:r w:rsidR="00171E52">
              <w:rPr>
                <w:webHidden/>
              </w:rPr>
              <w:t>37</w:t>
            </w:r>
            <w:r w:rsidR="000E3549" w:rsidRPr="000E3549">
              <w:rPr>
                <w:webHidden/>
              </w:rPr>
              <w:fldChar w:fldCharType="end"/>
            </w:r>
          </w:hyperlink>
        </w:p>
        <w:p w:rsidR="000E3549" w:rsidRPr="000E3549" w:rsidRDefault="006D7B67">
          <w:pPr>
            <w:pStyle w:val="TOC1"/>
            <w:rPr>
              <w:rFonts w:eastAsiaTheme="minorEastAsia" w:cstheme="minorBidi"/>
              <w:b w:val="0"/>
              <w:bdr w:val="none" w:sz="0" w:space="0" w:color="auto"/>
            </w:rPr>
          </w:pPr>
          <w:hyperlink w:anchor="_Toc495479567" w:history="1">
            <w:r w:rsidR="000E3549" w:rsidRPr="000E3549">
              <w:rPr>
                <w:rStyle w:val="Hyperlink"/>
              </w:rPr>
              <w:t>VIII.</w:t>
            </w:r>
            <w:r w:rsidR="000E3549" w:rsidRPr="000E3549">
              <w:rPr>
                <w:rFonts w:eastAsiaTheme="minorEastAsia" w:cstheme="minorBidi"/>
                <w:b w:val="0"/>
                <w:bdr w:val="none" w:sz="0" w:space="0" w:color="auto"/>
              </w:rPr>
              <w:tab/>
            </w:r>
            <w:r w:rsidR="000E3549" w:rsidRPr="000E3549">
              <w:rPr>
                <w:rStyle w:val="Hyperlink"/>
              </w:rPr>
              <w:t>RECOMENDACIONES</w:t>
            </w:r>
            <w:r w:rsidR="000E3549" w:rsidRPr="000E3549">
              <w:rPr>
                <w:webHidden/>
              </w:rPr>
              <w:tab/>
            </w:r>
            <w:r w:rsidR="000E3549" w:rsidRPr="000E3549">
              <w:rPr>
                <w:webHidden/>
              </w:rPr>
              <w:fldChar w:fldCharType="begin"/>
            </w:r>
            <w:r w:rsidR="000E3549" w:rsidRPr="000E3549">
              <w:rPr>
                <w:webHidden/>
              </w:rPr>
              <w:instrText xml:space="preserve"> PAGEREF _Toc495479567 \h </w:instrText>
            </w:r>
            <w:r w:rsidR="000E3549" w:rsidRPr="000E3549">
              <w:rPr>
                <w:webHidden/>
              </w:rPr>
            </w:r>
            <w:r w:rsidR="000E3549" w:rsidRPr="000E3549">
              <w:rPr>
                <w:webHidden/>
              </w:rPr>
              <w:fldChar w:fldCharType="separate"/>
            </w:r>
            <w:r w:rsidR="00171E52">
              <w:rPr>
                <w:webHidden/>
              </w:rPr>
              <w:t>37</w:t>
            </w:r>
            <w:r w:rsidR="000E3549" w:rsidRPr="000E3549">
              <w:rPr>
                <w:webHidden/>
              </w:rPr>
              <w:fldChar w:fldCharType="end"/>
            </w:r>
          </w:hyperlink>
        </w:p>
        <w:p w:rsidR="0092713D" w:rsidRPr="006E623C" w:rsidRDefault="009A3D68" w:rsidP="006E623C">
          <w:r w:rsidRPr="009A3D68">
            <w:rPr>
              <w:rFonts w:asciiTheme="majorHAnsi" w:hAnsiTheme="majorHAnsi"/>
              <w:b/>
              <w:bCs/>
              <w:noProof/>
              <w:sz w:val="20"/>
              <w:szCs w:val="20"/>
            </w:rPr>
            <w:fldChar w:fldCharType="end"/>
          </w:r>
        </w:p>
      </w:sdtContent>
    </w:sdt>
    <w:p w:rsidR="0092713D" w:rsidRDefault="0092713D" w:rsidP="00EE224E">
      <w:pPr>
        <w:rPr>
          <w:rFonts w:asciiTheme="majorHAnsi" w:eastAsia="Times New Roman" w:hAnsiTheme="majorHAnsi"/>
          <w:b/>
          <w:sz w:val="20"/>
          <w:szCs w:val="20"/>
          <w:bdr w:val="none" w:sz="0" w:space="0" w:color="auto"/>
          <w:lang w:val="es-CO"/>
        </w:rPr>
      </w:pPr>
    </w:p>
    <w:p w:rsidR="000E3549" w:rsidRDefault="000E3549"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0E3549" w:rsidRDefault="000E3549"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0E3549" w:rsidRDefault="000E3549"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0E3549" w:rsidRDefault="000E3549"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0E3549" w:rsidRDefault="000E3549"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0E3549" w:rsidRDefault="000E3549"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0E3549" w:rsidRDefault="000E3549"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0E3549" w:rsidRDefault="000E3549"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0E3549" w:rsidRDefault="000E3549"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0E3549" w:rsidRDefault="000E3549"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0E3549" w:rsidRDefault="000E3549"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0E3549" w:rsidRDefault="000E3549"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0E3549" w:rsidRDefault="000E3549"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0E3549" w:rsidRDefault="000E3549"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0E3549" w:rsidRDefault="000E3549"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0E3549" w:rsidRDefault="000E3549"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0E3549" w:rsidRDefault="000E3549"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0E3549" w:rsidRDefault="000E3549"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0E3549" w:rsidRDefault="000E3549" w:rsidP="00F73588">
      <w:pPr>
        <w:rPr>
          <w:rFonts w:asciiTheme="majorHAnsi" w:eastAsia="Times New Roman" w:hAnsiTheme="majorHAnsi"/>
          <w:b/>
          <w:sz w:val="20"/>
          <w:szCs w:val="20"/>
          <w:bdr w:val="none" w:sz="0" w:space="0" w:color="auto"/>
          <w:lang w:val="es-CO"/>
        </w:rPr>
      </w:pPr>
      <w:r>
        <w:rPr>
          <w:rFonts w:asciiTheme="majorHAnsi" w:eastAsia="Times New Roman" w:hAnsiTheme="majorHAnsi"/>
          <w:b/>
          <w:sz w:val="20"/>
          <w:szCs w:val="20"/>
          <w:bdr w:val="none" w:sz="0" w:space="0" w:color="auto"/>
          <w:lang w:val="es-CO"/>
        </w:rPr>
        <w:br w:type="page"/>
      </w:r>
    </w:p>
    <w:p w:rsidR="004B316C" w:rsidRPr="007F3D68" w:rsidRDefault="00B06C1C"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r w:rsidRPr="007F3D68">
        <w:rPr>
          <w:rFonts w:asciiTheme="majorHAnsi" w:eastAsia="Times New Roman" w:hAnsiTheme="majorHAnsi"/>
          <w:b/>
          <w:sz w:val="20"/>
          <w:szCs w:val="20"/>
          <w:bdr w:val="none" w:sz="0" w:space="0" w:color="auto"/>
          <w:lang w:val="es-CO"/>
        </w:rPr>
        <w:lastRenderedPageBreak/>
        <w:t xml:space="preserve">INFORME No. </w:t>
      </w:r>
      <w:r w:rsidR="00A5702A">
        <w:rPr>
          <w:rFonts w:asciiTheme="majorHAnsi" w:eastAsia="Times New Roman" w:hAnsiTheme="majorHAnsi"/>
          <w:b/>
          <w:sz w:val="20"/>
          <w:szCs w:val="20"/>
          <w:bdr w:val="none" w:sz="0" w:space="0" w:color="auto"/>
          <w:lang w:val="es-ES_tradnl"/>
        </w:rPr>
        <w:t>132</w:t>
      </w:r>
      <w:r w:rsidR="000A23C0" w:rsidRPr="007F3D68">
        <w:rPr>
          <w:rFonts w:asciiTheme="majorHAnsi" w:eastAsia="Times New Roman" w:hAnsiTheme="majorHAnsi"/>
          <w:b/>
          <w:sz w:val="20"/>
          <w:szCs w:val="20"/>
          <w:bdr w:val="none" w:sz="0" w:space="0" w:color="auto"/>
          <w:lang w:val="es-ES_tradnl"/>
        </w:rPr>
        <w:t>/17</w:t>
      </w:r>
    </w:p>
    <w:p w:rsidR="004B316C" w:rsidRPr="007F3D68" w:rsidRDefault="007014EB"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ES_tradnl"/>
        </w:rPr>
      </w:pPr>
      <w:r w:rsidRPr="007F3D68">
        <w:rPr>
          <w:rFonts w:asciiTheme="majorHAnsi" w:eastAsia="Times New Roman" w:hAnsiTheme="majorHAnsi"/>
          <w:b/>
          <w:sz w:val="20"/>
          <w:szCs w:val="20"/>
          <w:bdr w:val="none" w:sz="0" w:space="0" w:color="auto"/>
          <w:lang w:val="es-ES_tradnl"/>
        </w:rPr>
        <w:t>CASO</w:t>
      </w:r>
      <w:r w:rsidR="00100457" w:rsidRPr="007F3D68">
        <w:rPr>
          <w:rFonts w:asciiTheme="majorHAnsi" w:eastAsia="Times New Roman" w:hAnsiTheme="majorHAnsi"/>
          <w:b/>
          <w:sz w:val="20"/>
          <w:szCs w:val="20"/>
          <w:bdr w:val="none" w:sz="0" w:space="0" w:color="auto"/>
          <w:lang w:val="es-ES_tradnl"/>
        </w:rPr>
        <w:t xml:space="preserve"> 12.452</w:t>
      </w:r>
    </w:p>
    <w:p w:rsidR="004B316C" w:rsidRPr="007F3D68" w:rsidRDefault="006F1C37"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ES_tradnl"/>
        </w:rPr>
      </w:pPr>
      <w:r w:rsidRPr="007F3D68">
        <w:rPr>
          <w:rFonts w:asciiTheme="majorHAnsi" w:eastAsia="Times New Roman" w:hAnsiTheme="majorHAnsi"/>
          <w:sz w:val="20"/>
          <w:szCs w:val="20"/>
          <w:bdr w:val="none" w:sz="0" w:space="0" w:color="auto"/>
          <w:lang w:val="es-ES_tradnl"/>
        </w:rPr>
        <w:t xml:space="preserve">ADMISIBILIDAD Y </w:t>
      </w:r>
      <w:r w:rsidR="004B316C" w:rsidRPr="007F3D68">
        <w:rPr>
          <w:rFonts w:asciiTheme="majorHAnsi" w:eastAsia="Times New Roman" w:hAnsiTheme="majorHAnsi"/>
          <w:sz w:val="20"/>
          <w:szCs w:val="20"/>
          <w:bdr w:val="none" w:sz="0" w:space="0" w:color="auto"/>
          <w:lang w:val="es-ES_tradnl"/>
        </w:rPr>
        <w:t>FONDO</w:t>
      </w:r>
    </w:p>
    <w:p w:rsidR="007014EB" w:rsidRPr="007F3D68" w:rsidRDefault="007014EB" w:rsidP="007014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ES_tradnl"/>
        </w:rPr>
      </w:pPr>
      <w:r w:rsidRPr="007F3D68">
        <w:rPr>
          <w:rFonts w:asciiTheme="majorHAnsi" w:eastAsia="Times New Roman" w:hAnsiTheme="majorHAnsi"/>
          <w:sz w:val="20"/>
          <w:szCs w:val="20"/>
          <w:bdr w:val="none" w:sz="0" w:space="0" w:color="auto"/>
          <w:lang w:val="es-ES_tradnl"/>
        </w:rPr>
        <w:t>TIRSO ROMÁN VALENZUELA ÁVILA</w:t>
      </w:r>
      <w:r w:rsidR="006E623C" w:rsidRPr="007F3D68">
        <w:rPr>
          <w:rFonts w:asciiTheme="majorHAnsi" w:eastAsia="Times New Roman" w:hAnsiTheme="majorHAnsi"/>
          <w:sz w:val="20"/>
          <w:szCs w:val="20"/>
          <w:bdr w:val="none" w:sz="0" w:space="0" w:color="auto"/>
          <w:lang w:val="es-ES_tradnl"/>
        </w:rPr>
        <w:t xml:space="preserve"> Y FAMILIARES</w:t>
      </w:r>
    </w:p>
    <w:p w:rsidR="00B06C1C" w:rsidRPr="007F3D68" w:rsidRDefault="007014EB"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ES_tradnl"/>
        </w:rPr>
      </w:pPr>
      <w:r w:rsidRPr="007F3D68">
        <w:rPr>
          <w:rFonts w:asciiTheme="majorHAnsi" w:eastAsia="Times New Roman" w:hAnsiTheme="majorHAnsi"/>
          <w:sz w:val="20"/>
          <w:szCs w:val="20"/>
          <w:bdr w:val="none" w:sz="0" w:space="0" w:color="auto"/>
          <w:lang w:val="es-ES_tradnl"/>
        </w:rPr>
        <w:t>G</w:t>
      </w:r>
      <w:r w:rsidR="00B06E1C" w:rsidRPr="007F3D68">
        <w:rPr>
          <w:rFonts w:asciiTheme="majorHAnsi" w:eastAsia="Times New Roman" w:hAnsiTheme="majorHAnsi"/>
          <w:sz w:val="20"/>
          <w:szCs w:val="20"/>
          <w:bdr w:val="none" w:sz="0" w:space="0" w:color="auto"/>
          <w:lang w:val="es-ES_tradnl"/>
        </w:rPr>
        <w:t>UATEMALA</w:t>
      </w:r>
    </w:p>
    <w:p w:rsidR="004B316C" w:rsidRPr="007F3D68" w:rsidRDefault="00A5702A" w:rsidP="00B330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ES_tradnl"/>
        </w:rPr>
      </w:pPr>
      <w:r>
        <w:rPr>
          <w:rFonts w:asciiTheme="majorHAnsi" w:eastAsia="Times New Roman" w:hAnsiTheme="majorHAnsi"/>
          <w:sz w:val="20"/>
          <w:szCs w:val="20"/>
          <w:bdr w:val="none" w:sz="0" w:space="0" w:color="auto"/>
          <w:lang w:val="es-ES_tradnl"/>
        </w:rPr>
        <w:t>25</w:t>
      </w:r>
      <w:r w:rsidR="00B5326D" w:rsidRPr="007F3D68">
        <w:rPr>
          <w:rFonts w:asciiTheme="majorHAnsi" w:eastAsia="Times New Roman" w:hAnsiTheme="majorHAnsi"/>
          <w:sz w:val="20"/>
          <w:szCs w:val="20"/>
          <w:bdr w:val="none" w:sz="0" w:space="0" w:color="auto"/>
          <w:lang w:val="es-ES_tradnl"/>
        </w:rPr>
        <w:t xml:space="preserve"> DE </w:t>
      </w:r>
      <w:r>
        <w:rPr>
          <w:rFonts w:asciiTheme="majorHAnsi" w:eastAsia="Times New Roman" w:hAnsiTheme="majorHAnsi"/>
          <w:sz w:val="20"/>
          <w:szCs w:val="20"/>
          <w:bdr w:val="none" w:sz="0" w:space="0" w:color="auto"/>
          <w:lang w:val="es-ES_tradnl"/>
        </w:rPr>
        <w:t>OCTUBRE</w:t>
      </w:r>
      <w:r w:rsidR="000A23C0" w:rsidRPr="007F3D68">
        <w:rPr>
          <w:rFonts w:asciiTheme="majorHAnsi" w:eastAsia="Times New Roman" w:hAnsiTheme="majorHAnsi"/>
          <w:sz w:val="20"/>
          <w:szCs w:val="20"/>
          <w:bdr w:val="none" w:sz="0" w:space="0" w:color="auto"/>
          <w:lang w:val="es-ES_tradnl"/>
        </w:rPr>
        <w:t xml:space="preserve"> DE 2017</w:t>
      </w:r>
    </w:p>
    <w:p w:rsidR="004B316C" w:rsidRPr="007F3D68" w:rsidRDefault="004B316C" w:rsidP="004B31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_tradnl"/>
        </w:rPr>
      </w:pPr>
    </w:p>
    <w:p w:rsidR="000F536B" w:rsidRPr="007F3D68" w:rsidRDefault="00E40449" w:rsidP="0067281D">
      <w:pPr>
        <w:pStyle w:val="Heading1"/>
        <w:numPr>
          <w:ilvl w:val="0"/>
          <w:numId w:val="55"/>
        </w:numPr>
        <w:tabs>
          <w:tab w:val="clear" w:pos="1440"/>
          <w:tab w:val="left" w:pos="4050"/>
        </w:tabs>
      </w:pPr>
      <w:bookmarkStart w:id="4" w:name="_Toc370840743"/>
      <w:bookmarkStart w:id="5" w:name="_Toc370840839"/>
      <w:bookmarkStart w:id="6" w:name="_Toc423514405"/>
      <w:bookmarkStart w:id="7" w:name="_Toc433115981"/>
      <w:bookmarkStart w:id="8" w:name="_Toc444958124"/>
      <w:bookmarkStart w:id="9" w:name="_Toc475546035"/>
      <w:bookmarkStart w:id="10" w:name="_Toc495479527"/>
      <w:r w:rsidRPr="007F3D68">
        <w:t>RESUMEN</w:t>
      </w:r>
      <w:bookmarkEnd w:id="4"/>
      <w:bookmarkEnd w:id="5"/>
      <w:bookmarkEnd w:id="6"/>
      <w:bookmarkEnd w:id="7"/>
      <w:bookmarkEnd w:id="8"/>
      <w:bookmarkEnd w:id="9"/>
      <w:bookmarkEnd w:id="10"/>
    </w:p>
    <w:p w:rsidR="000F536B" w:rsidRPr="007F3D68" w:rsidRDefault="000F536B" w:rsidP="000F536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rsidR="00EE224E" w:rsidRPr="007F3D68" w:rsidRDefault="001339BA" w:rsidP="00BD45C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cs="Arial"/>
          <w:sz w:val="20"/>
          <w:szCs w:val="20"/>
          <w:lang w:val="es-ES"/>
        </w:rPr>
      </w:pPr>
      <w:r w:rsidRPr="007F3D68">
        <w:rPr>
          <w:rFonts w:asciiTheme="majorHAnsi" w:hAnsiTheme="majorHAnsi" w:cs="Arial"/>
          <w:sz w:val="20"/>
          <w:szCs w:val="20"/>
          <w:lang w:val="es-ES"/>
        </w:rPr>
        <w:t>El 5 de octubre de 2001</w:t>
      </w:r>
      <w:r w:rsidR="00593875" w:rsidRPr="007F3D68">
        <w:rPr>
          <w:rFonts w:asciiTheme="majorHAnsi" w:hAnsiTheme="majorHAnsi" w:cs="Arial"/>
          <w:sz w:val="20"/>
          <w:szCs w:val="20"/>
          <w:lang w:val="es-ES"/>
        </w:rPr>
        <w:t xml:space="preserve"> </w:t>
      </w:r>
      <w:r w:rsidR="005E21D4" w:rsidRPr="007F3D68">
        <w:rPr>
          <w:rFonts w:asciiTheme="majorHAnsi" w:hAnsiTheme="majorHAnsi" w:cs="Arial"/>
          <w:sz w:val="20"/>
          <w:szCs w:val="20"/>
          <w:lang w:val="es-ES"/>
        </w:rPr>
        <w:t>la Comisión Interamericana de Derechos Humanos (en adelante “la Comisión”</w:t>
      </w:r>
      <w:r w:rsidR="0046192F" w:rsidRPr="007F3D68">
        <w:rPr>
          <w:rFonts w:asciiTheme="majorHAnsi" w:hAnsiTheme="majorHAnsi" w:cs="Arial"/>
          <w:sz w:val="20"/>
          <w:szCs w:val="20"/>
          <w:lang w:val="es-ES"/>
        </w:rPr>
        <w:t>, “la Comisión Interamericana”</w:t>
      </w:r>
      <w:r w:rsidR="005E21D4" w:rsidRPr="007F3D68">
        <w:rPr>
          <w:rFonts w:asciiTheme="majorHAnsi" w:hAnsiTheme="majorHAnsi" w:cs="Arial"/>
          <w:sz w:val="20"/>
          <w:szCs w:val="20"/>
          <w:lang w:val="es-ES"/>
        </w:rPr>
        <w:t xml:space="preserve"> o “</w:t>
      </w:r>
      <w:r w:rsidR="0046192F" w:rsidRPr="007F3D68">
        <w:rPr>
          <w:rFonts w:asciiTheme="majorHAnsi" w:hAnsiTheme="majorHAnsi" w:cs="Arial"/>
          <w:sz w:val="20"/>
          <w:szCs w:val="20"/>
          <w:lang w:val="es-ES"/>
        </w:rPr>
        <w:t xml:space="preserve">la </w:t>
      </w:r>
      <w:r w:rsidR="005E21D4" w:rsidRPr="007F3D68">
        <w:rPr>
          <w:rFonts w:asciiTheme="majorHAnsi" w:hAnsiTheme="majorHAnsi" w:cs="Arial"/>
          <w:sz w:val="20"/>
          <w:szCs w:val="20"/>
          <w:lang w:val="es-ES"/>
        </w:rPr>
        <w:t xml:space="preserve">CIDH”) recibió </w:t>
      </w:r>
      <w:r w:rsidRPr="007F3D68">
        <w:rPr>
          <w:rFonts w:asciiTheme="majorHAnsi" w:hAnsiTheme="majorHAnsi" w:cs="Arial"/>
          <w:sz w:val="20"/>
          <w:szCs w:val="20"/>
          <w:lang w:val="es-ES"/>
        </w:rPr>
        <w:t>una petición presentada por el Instituto de la Defensa Pública Pe</w:t>
      </w:r>
      <w:r w:rsidR="0001417B" w:rsidRPr="007F3D68">
        <w:rPr>
          <w:rFonts w:asciiTheme="majorHAnsi" w:hAnsiTheme="majorHAnsi" w:cs="Arial"/>
          <w:sz w:val="20"/>
          <w:szCs w:val="20"/>
          <w:lang w:val="es-ES"/>
        </w:rPr>
        <w:t>nal de Guatemala (en adelante “</w:t>
      </w:r>
      <w:r w:rsidRPr="007F3D68">
        <w:rPr>
          <w:rFonts w:asciiTheme="majorHAnsi" w:hAnsiTheme="majorHAnsi" w:cs="Arial"/>
          <w:sz w:val="20"/>
          <w:szCs w:val="20"/>
          <w:lang w:val="es-ES"/>
        </w:rPr>
        <w:t>l</w:t>
      </w:r>
      <w:r w:rsidR="0001417B" w:rsidRPr="007F3D68">
        <w:rPr>
          <w:rFonts w:asciiTheme="majorHAnsi" w:hAnsiTheme="majorHAnsi" w:cs="Arial"/>
          <w:sz w:val="20"/>
          <w:szCs w:val="20"/>
          <w:lang w:val="es-ES"/>
        </w:rPr>
        <w:t>os</w:t>
      </w:r>
      <w:r w:rsidRPr="007F3D68">
        <w:rPr>
          <w:rFonts w:asciiTheme="majorHAnsi" w:hAnsiTheme="majorHAnsi" w:cs="Arial"/>
          <w:sz w:val="20"/>
          <w:szCs w:val="20"/>
          <w:lang w:val="es-ES"/>
        </w:rPr>
        <w:t xml:space="preserve"> peticionario</w:t>
      </w:r>
      <w:r w:rsidR="0001417B" w:rsidRPr="007F3D68">
        <w:rPr>
          <w:rFonts w:asciiTheme="majorHAnsi" w:hAnsiTheme="majorHAnsi" w:cs="Arial"/>
          <w:sz w:val="20"/>
          <w:szCs w:val="20"/>
          <w:lang w:val="es-ES"/>
        </w:rPr>
        <w:t>s</w:t>
      </w:r>
      <w:r w:rsidRPr="007F3D68">
        <w:rPr>
          <w:rFonts w:asciiTheme="majorHAnsi" w:hAnsiTheme="majorHAnsi" w:cs="Arial"/>
          <w:sz w:val="20"/>
          <w:szCs w:val="20"/>
          <w:lang w:val="es-ES"/>
        </w:rPr>
        <w:t xml:space="preserve">”) </w:t>
      </w:r>
      <w:r w:rsidR="00BD45C0" w:rsidRPr="007F3D68">
        <w:rPr>
          <w:rFonts w:asciiTheme="majorHAnsi" w:hAnsiTheme="majorHAnsi" w:cs="Arial"/>
          <w:sz w:val="20"/>
          <w:szCs w:val="20"/>
          <w:lang w:val="es-ES"/>
        </w:rPr>
        <w:t>en la cual se alega la responsabilidad de la República de Guatemala</w:t>
      </w:r>
      <w:r w:rsidRPr="007F3D68">
        <w:rPr>
          <w:rFonts w:asciiTheme="majorHAnsi" w:hAnsiTheme="majorHAnsi" w:cs="Arial"/>
          <w:sz w:val="20"/>
          <w:szCs w:val="20"/>
          <w:lang w:val="es-ES"/>
        </w:rPr>
        <w:t xml:space="preserve"> (en adelante “Guatemala”, </w:t>
      </w:r>
      <w:r w:rsidR="00012BD4" w:rsidRPr="007F3D68">
        <w:rPr>
          <w:rFonts w:asciiTheme="majorHAnsi" w:hAnsiTheme="majorHAnsi" w:cs="Arial"/>
          <w:sz w:val="20"/>
          <w:szCs w:val="20"/>
          <w:lang w:val="es-ES"/>
        </w:rPr>
        <w:t>“</w:t>
      </w:r>
      <w:r w:rsidRPr="007F3D68">
        <w:rPr>
          <w:rFonts w:asciiTheme="majorHAnsi" w:hAnsiTheme="majorHAnsi" w:cs="Arial"/>
          <w:sz w:val="20"/>
          <w:szCs w:val="20"/>
          <w:lang w:val="es-ES"/>
        </w:rPr>
        <w:t xml:space="preserve">el Estado” o </w:t>
      </w:r>
      <w:r w:rsidR="00012BD4" w:rsidRPr="007F3D68">
        <w:rPr>
          <w:rFonts w:asciiTheme="majorHAnsi" w:hAnsiTheme="majorHAnsi" w:cs="Arial"/>
          <w:sz w:val="20"/>
          <w:szCs w:val="20"/>
          <w:lang w:val="es-ES"/>
        </w:rPr>
        <w:t>“</w:t>
      </w:r>
      <w:r w:rsidRPr="007F3D68">
        <w:rPr>
          <w:rFonts w:asciiTheme="majorHAnsi" w:hAnsiTheme="majorHAnsi" w:cs="Arial"/>
          <w:sz w:val="20"/>
          <w:szCs w:val="20"/>
          <w:lang w:val="es-ES"/>
        </w:rPr>
        <w:t xml:space="preserve">el Estado guatemalteco”) </w:t>
      </w:r>
      <w:r w:rsidR="00BD45C0" w:rsidRPr="007F3D68">
        <w:rPr>
          <w:rFonts w:asciiTheme="majorHAnsi" w:hAnsiTheme="majorHAnsi" w:cs="Arial"/>
          <w:sz w:val="20"/>
          <w:szCs w:val="20"/>
          <w:lang w:val="es-ES"/>
        </w:rPr>
        <w:t>por la violación de varias disposiciones de la Convención Americana</w:t>
      </w:r>
      <w:r w:rsidR="00012BD4" w:rsidRPr="007F3D68">
        <w:rPr>
          <w:rFonts w:asciiTheme="majorHAnsi" w:hAnsiTheme="majorHAnsi" w:cs="Arial"/>
          <w:sz w:val="20"/>
          <w:szCs w:val="20"/>
          <w:lang w:val="es-ES"/>
        </w:rPr>
        <w:t xml:space="preserve"> sobre Derechos Humanos</w:t>
      </w:r>
      <w:r w:rsidR="00BD45C0" w:rsidRPr="007F3D68">
        <w:rPr>
          <w:rFonts w:asciiTheme="majorHAnsi" w:hAnsiTheme="majorHAnsi" w:cs="Arial"/>
          <w:sz w:val="20"/>
          <w:szCs w:val="20"/>
          <w:lang w:val="es-ES"/>
        </w:rPr>
        <w:t xml:space="preserve"> (</w:t>
      </w:r>
      <w:r w:rsidR="00BD45C0" w:rsidRPr="007F3D68">
        <w:rPr>
          <w:rFonts w:asciiTheme="majorHAnsi" w:eastAsia="Calibri" w:hAnsiTheme="majorHAnsi"/>
          <w:sz w:val="20"/>
          <w:szCs w:val="20"/>
          <w:lang w:val="es-VE"/>
        </w:rPr>
        <w:t>en adelante “la Convención” o “la Convención Americana”) en perjuicio de Tirso Román Valenzuela Ávila</w:t>
      </w:r>
      <w:r w:rsidR="009820EC" w:rsidRPr="007F3D68">
        <w:rPr>
          <w:rFonts w:asciiTheme="majorHAnsi" w:eastAsia="Calibri" w:hAnsiTheme="majorHAnsi"/>
          <w:sz w:val="20"/>
          <w:szCs w:val="20"/>
          <w:lang w:val="es-VE"/>
        </w:rPr>
        <w:t xml:space="preserve"> y sus familiares</w:t>
      </w:r>
      <w:r w:rsidR="00562587" w:rsidRPr="007F3D68">
        <w:rPr>
          <w:rFonts w:asciiTheme="majorHAnsi" w:eastAsia="Calibri" w:hAnsiTheme="majorHAnsi"/>
          <w:sz w:val="20"/>
          <w:szCs w:val="20"/>
          <w:lang w:val="es-VE"/>
        </w:rPr>
        <w:t>.</w:t>
      </w:r>
    </w:p>
    <w:p w:rsidR="00BD45C0" w:rsidRPr="007F3D68" w:rsidRDefault="00BD45C0" w:rsidP="00BD45C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s="Arial"/>
          <w:sz w:val="20"/>
          <w:szCs w:val="20"/>
          <w:lang w:val="es-ES"/>
        </w:rPr>
      </w:pPr>
    </w:p>
    <w:p w:rsidR="001339BA" w:rsidRPr="007F3D68" w:rsidRDefault="0001417B" w:rsidP="00BD45C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cs="Arial"/>
          <w:sz w:val="20"/>
          <w:szCs w:val="20"/>
          <w:lang w:val="es-ES"/>
        </w:rPr>
      </w:pPr>
      <w:r w:rsidRPr="007F3D68">
        <w:rPr>
          <w:rFonts w:asciiTheme="majorHAnsi" w:hAnsiTheme="majorHAnsi" w:cs="Arial"/>
          <w:sz w:val="20"/>
          <w:szCs w:val="20"/>
          <w:lang w:val="es-ES"/>
        </w:rPr>
        <w:t>Los  peticionarios</w:t>
      </w:r>
      <w:r w:rsidR="00BD45C0" w:rsidRPr="007F3D68">
        <w:rPr>
          <w:rFonts w:asciiTheme="majorHAnsi" w:hAnsiTheme="majorHAnsi" w:cs="Arial"/>
          <w:sz w:val="20"/>
          <w:szCs w:val="20"/>
          <w:lang w:val="es-ES"/>
        </w:rPr>
        <w:t xml:space="preserve"> denunciaron una serie de violaciones al debido proceso en el marco del proceso penal que condujo a la condena a la pena de muerte de la presunta víctima. Asimismo, alegaron que</w:t>
      </w:r>
      <w:r w:rsidR="00562587" w:rsidRPr="007F3D68">
        <w:rPr>
          <w:rFonts w:asciiTheme="majorHAnsi" w:hAnsiTheme="majorHAnsi" w:cs="Arial"/>
          <w:sz w:val="20"/>
          <w:szCs w:val="20"/>
          <w:lang w:val="es-ES"/>
        </w:rPr>
        <w:t xml:space="preserve"> el señor Valenzuela Ávila </w:t>
      </w:r>
      <w:r w:rsidR="00BD45C0" w:rsidRPr="007F3D68">
        <w:rPr>
          <w:rFonts w:asciiTheme="majorHAnsi" w:hAnsiTheme="majorHAnsi" w:cs="Arial"/>
          <w:sz w:val="20"/>
          <w:szCs w:val="20"/>
          <w:lang w:val="es-ES"/>
        </w:rPr>
        <w:t xml:space="preserve">sufrió torturas en diversos momentos mientras se encontraba privada de libertad. </w:t>
      </w:r>
      <w:r w:rsidR="00562587" w:rsidRPr="007F3D68">
        <w:rPr>
          <w:rFonts w:asciiTheme="majorHAnsi" w:hAnsiTheme="majorHAnsi" w:cs="Arial"/>
          <w:sz w:val="20"/>
          <w:szCs w:val="20"/>
          <w:lang w:val="es-ES"/>
        </w:rPr>
        <w:t>Además, d</w:t>
      </w:r>
      <w:r w:rsidR="001339BA" w:rsidRPr="007F3D68">
        <w:rPr>
          <w:rFonts w:asciiTheme="majorHAnsi" w:hAnsiTheme="majorHAnsi" w:cs="Arial"/>
          <w:sz w:val="20"/>
          <w:szCs w:val="20"/>
          <w:lang w:val="es-ES"/>
        </w:rPr>
        <w:t xml:space="preserve">enunciaron </w:t>
      </w:r>
      <w:r w:rsidR="00562587" w:rsidRPr="007F3D68">
        <w:rPr>
          <w:rFonts w:asciiTheme="majorHAnsi" w:hAnsiTheme="majorHAnsi" w:cs="Arial"/>
          <w:sz w:val="20"/>
          <w:szCs w:val="20"/>
          <w:lang w:val="es-ES"/>
        </w:rPr>
        <w:t xml:space="preserve">que la presunta víctima fue ejecutada </w:t>
      </w:r>
      <w:r w:rsidR="001339BA" w:rsidRPr="007F3D68">
        <w:rPr>
          <w:rFonts w:asciiTheme="majorHAnsi" w:hAnsiTheme="majorHAnsi" w:cs="Arial"/>
          <w:sz w:val="20"/>
          <w:szCs w:val="20"/>
          <w:lang w:val="es-ES"/>
        </w:rPr>
        <w:t>extrajudicial</w:t>
      </w:r>
      <w:r w:rsidR="00562587" w:rsidRPr="007F3D68">
        <w:rPr>
          <w:rFonts w:asciiTheme="majorHAnsi" w:hAnsiTheme="majorHAnsi" w:cs="Arial"/>
          <w:sz w:val="20"/>
          <w:szCs w:val="20"/>
          <w:lang w:val="es-ES"/>
        </w:rPr>
        <w:t>mente</w:t>
      </w:r>
      <w:r w:rsidR="001339BA" w:rsidRPr="007F3D68">
        <w:rPr>
          <w:rFonts w:asciiTheme="majorHAnsi" w:hAnsiTheme="majorHAnsi" w:cs="Arial"/>
          <w:sz w:val="20"/>
          <w:szCs w:val="20"/>
          <w:lang w:val="es-ES"/>
        </w:rPr>
        <w:t xml:space="preserve">, tras fugarse de prisión en el 2005. </w:t>
      </w:r>
    </w:p>
    <w:p w:rsidR="001339BA" w:rsidRPr="007F3D68" w:rsidRDefault="001339BA" w:rsidP="001339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ES"/>
        </w:rPr>
      </w:pPr>
    </w:p>
    <w:p w:rsidR="008A6BA9" w:rsidRPr="007F3D68" w:rsidRDefault="001339BA" w:rsidP="008A6BA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7F3D68">
        <w:rPr>
          <w:rFonts w:asciiTheme="majorHAnsi" w:eastAsia="Calibri" w:hAnsiTheme="majorHAnsi"/>
          <w:sz w:val="20"/>
          <w:szCs w:val="20"/>
          <w:lang w:val="es-VE"/>
        </w:rPr>
        <w:t xml:space="preserve">El Estado </w:t>
      </w:r>
      <w:r w:rsidR="00D76E90" w:rsidRPr="007F3D68">
        <w:rPr>
          <w:rFonts w:asciiTheme="majorHAnsi" w:eastAsia="Calibri" w:hAnsiTheme="majorHAnsi"/>
          <w:sz w:val="20"/>
          <w:szCs w:val="20"/>
          <w:lang w:val="es-VE"/>
        </w:rPr>
        <w:t>guatemalteco</w:t>
      </w:r>
      <w:r w:rsidR="006A39D3" w:rsidRPr="007F3D68">
        <w:rPr>
          <w:rFonts w:asciiTheme="majorHAnsi" w:eastAsia="Calibri" w:hAnsiTheme="majorHAnsi"/>
          <w:sz w:val="20"/>
          <w:szCs w:val="20"/>
          <w:lang w:val="es-VE"/>
        </w:rPr>
        <w:t xml:space="preserve"> </w:t>
      </w:r>
      <w:r w:rsidR="00D76E90" w:rsidRPr="007F3D68">
        <w:rPr>
          <w:rFonts w:asciiTheme="majorHAnsi" w:eastAsia="Calibri" w:hAnsiTheme="majorHAnsi"/>
          <w:sz w:val="20"/>
          <w:szCs w:val="20"/>
          <w:lang w:val="es-VE"/>
        </w:rPr>
        <w:t xml:space="preserve">argumentó que </w:t>
      </w:r>
      <w:r w:rsidR="00F76224" w:rsidRPr="007F3D68">
        <w:rPr>
          <w:rFonts w:asciiTheme="majorHAnsi" w:eastAsia="Calibri" w:hAnsiTheme="majorHAnsi"/>
          <w:sz w:val="20"/>
          <w:szCs w:val="20"/>
          <w:lang w:val="es-VE"/>
        </w:rPr>
        <w:t xml:space="preserve">la presunta víctima fue condenada a la pena de muerte </w:t>
      </w:r>
      <w:r w:rsidR="005878C3" w:rsidRPr="007F3D68">
        <w:rPr>
          <w:rFonts w:asciiTheme="majorHAnsi" w:eastAsia="Calibri" w:hAnsiTheme="majorHAnsi"/>
          <w:sz w:val="20"/>
          <w:szCs w:val="20"/>
          <w:lang w:val="es-VE"/>
        </w:rPr>
        <w:t xml:space="preserve">en cumplimiento de </w:t>
      </w:r>
      <w:r w:rsidR="00F76224" w:rsidRPr="007F3D68">
        <w:rPr>
          <w:rFonts w:asciiTheme="majorHAnsi" w:eastAsia="Calibri" w:hAnsiTheme="majorHAnsi"/>
          <w:sz w:val="20"/>
          <w:szCs w:val="20"/>
          <w:lang w:val="es-VE"/>
        </w:rPr>
        <w:t xml:space="preserve">todas las garantías de debido proceso. Asimismo, negó las denuncias de tortura y la supuesta ejecución extrajudicial de la presunta víctima luego de fugarse de prisión, indicando que su muerte se dio en el contexto de un enfrentamiento entre miembros del crimen organizado. </w:t>
      </w:r>
    </w:p>
    <w:p w:rsidR="008A6BA9" w:rsidRPr="007F3D68" w:rsidRDefault="008A6BA9" w:rsidP="008A6BA9">
      <w:pPr>
        <w:pStyle w:val="ListParagraph"/>
        <w:rPr>
          <w:rFonts w:asciiTheme="majorHAnsi" w:eastAsia="Calibri" w:hAnsiTheme="majorHAnsi"/>
          <w:sz w:val="20"/>
          <w:szCs w:val="20"/>
          <w:lang w:val="es-VE"/>
        </w:rPr>
      </w:pPr>
    </w:p>
    <w:p w:rsidR="00ED6FBD" w:rsidRPr="007F3D68" w:rsidRDefault="00D728F8" w:rsidP="00ED4C7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Calibri" w:hAnsiTheme="majorHAnsi"/>
          <w:sz w:val="20"/>
          <w:szCs w:val="20"/>
          <w:lang w:val="es-VE"/>
        </w:rPr>
      </w:pPr>
      <w:r w:rsidRPr="007F3D68">
        <w:rPr>
          <w:rFonts w:asciiTheme="majorHAnsi" w:eastAsia="Calibri" w:hAnsiTheme="majorHAnsi"/>
          <w:sz w:val="20"/>
          <w:szCs w:val="20"/>
          <w:lang w:val="es-VE"/>
        </w:rPr>
        <w:t xml:space="preserve">Tras analizar las posiciones de las partes, </w:t>
      </w:r>
      <w:r w:rsidR="00ED4C70" w:rsidRPr="007F3D68">
        <w:rPr>
          <w:rFonts w:asciiTheme="majorHAnsi" w:eastAsia="Calibri" w:hAnsiTheme="majorHAnsi"/>
          <w:sz w:val="20"/>
          <w:szCs w:val="20"/>
          <w:lang w:val="es-VE"/>
        </w:rPr>
        <w:t>l</w:t>
      </w:r>
      <w:r w:rsidR="00730FE2" w:rsidRPr="007F3D68">
        <w:rPr>
          <w:rFonts w:ascii="Cambria" w:hAnsi="Cambria"/>
          <w:sz w:val="20"/>
          <w:szCs w:val="20"/>
          <w:lang w:val="es-MX"/>
        </w:rPr>
        <w:t>a Comisión concluyó</w:t>
      </w:r>
      <w:r w:rsidR="00ED6FBD" w:rsidRPr="007F3D68">
        <w:rPr>
          <w:rFonts w:ascii="Cambria" w:hAnsi="Cambria"/>
          <w:sz w:val="20"/>
          <w:szCs w:val="20"/>
          <w:lang w:val="es-MX"/>
        </w:rPr>
        <w:t xml:space="preserve"> que el Estado de Guatemala es responsable por la violación de los derechos a la vida, a la integridad personal, a las garantías judiciales, al principio de legalidad y a la protección judicial establecidos en los artículos 4.1, 4.2, 5.1, 5.2, 8.1, 8.2 </w:t>
      </w:r>
      <w:r w:rsidR="00880B77" w:rsidRPr="007F3D68">
        <w:rPr>
          <w:rFonts w:ascii="Cambria" w:hAnsi="Cambria"/>
          <w:sz w:val="20"/>
          <w:szCs w:val="20"/>
          <w:lang w:val="es-MX"/>
        </w:rPr>
        <w:t xml:space="preserve">g), </w:t>
      </w:r>
      <w:r w:rsidR="00ED6FBD" w:rsidRPr="007F3D68">
        <w:rPr>
          <w:rFonts w:ascii="Cambria" w:hAnsi="Cambria"/>
          <w:sz w:val="20"/>
          <w:szCs w:val="20"/>
          <w:lang w:val="es-MX"/>
        </w:rPr>
        <w:t>h)</w:t>
      </w:r>
      <w:r w:rsidR="00F97C9B" w:rsidRPr="007F3D68">
        <w:rPr>
          <w:rFonts w:ascii="Cambria" w:hAnsi="Cambria"/>
          <w:sz w:val="20"/>
          <w:szCs w:val="20"/>
          <w:lang w:val="es-MX"/>
        </w:rPr>
        <w:t>,</w:t>
      </w:r>
      <w:r w:rsidR="00880B77" w:rsidRPr="007F3D68">
        <w:rPr>
          <w:rFonts w:ascii="Cambria" w:hAnsi="Cambria"/>
          <w:sz w:val="20"/>
          <w:szCs w:val="20"/>
          <w:lang w:val="es-MX"/>
        </w:rPr>
        <w:t xml:space="preserve"> 8.3,</w:t>
      </w:r>
      <w:r w:rsidR="00ED6FBD" w:rsidRPr="007F3D68">
        <w:rPr>
          <w:rFonts w:ascii="Cambria" w:hAnsi="Cambria"/>
          <w:sz w:val="20"/>
          <w:szCs w:val="20"/>
          <w:lang w:val="es-MX"/>
        </w:rPr>
        <w:t xml:space="preserve"> 9</w:t>
      </w:r>
      <w:r w:rsidR="00880B77" w:rsidRPr="007F3D68">
        <w:rPr>
          <w:rFonts w:ascii="Cambria" w:hAnsi="Cambria"/>
          <w:sz w:val="20"/>
          <w:szCs w:val="20"/>
          <w:lang w:val="es-MX"/>
        </w:rPr>
        <w:t xml:space="preserve">, </w:t>
      </w:r>
      <w:r w:rsidR="00880B77" w:rsidRPr="007E62A4">
        <w:rPr>
          <w:rFonts w:ascii="Cambria" w:hAnsi="Cambria"/>
          <w:sz w:val="20"/>
          <w:szCs w:val="20"/>
          <w:lang w:val="es-MX"/>
        </w:rPr>
        <w:t>11</w:t>
      </w:r>
      <w:r w:rsidR="00ED6FBD" w:rsidRPr="007E62A4">
        <w:rPr>
          <w:rFonts w:ascii="Cambria" w:hAnsi="Cambria"/>
          <w:sz w:val="20"/>
          <w:szCs w:val="20"/>
          <w:lang w:val="es-MX"/>
        </w:rPr>
        <w:t xml:space="preserve"> y 25.1 de la Convención Americana en relación con las obligaciones establecidas en los artículos 1.1 y 2 del mismo instrumento, en perjuicio de Tirso Román Valenzuela Ávila. La Comisión también concluy</w:t>
      </w:r>
      <w:r w:rsidR="00730FE2" w:rsidRPr="007E62A4">
        <w:rPr>
          <w:rFonts w:ascii="Cambria" w:hAnsi="Cambria"/>
          <w:sz w:val="20"/>
          <w:szCs w:val="20"/>
          <w:lang w:val="es-MX"/>
        </w:rPr>
        <w:t>ó</w:t>
      </w:r>
      <w:r w:rsidR="00ED6FBD" w:rsidRPr="007E62A4">
        <w:rPr>
          <w:rFonts w:ascii="Cambria" w:hAnsi="Cambria"/>
          <w:sz w:val="20"/>
          <w:szCs w:val="20"/>
          <w:lang w:val="es-MX"/>
        </w:rPr>
        <w:t xml:space="preserve"> que el Estado de Guatemala es responsable por la violación de los derechos a la integridad personal, garantías judiciales y protección judicial establecidos en los artículos 5.1, 8.1 y 25.1 de la Convención Americana en relación con las obligaciones establecidas en el artículo 1.1 del mismo instrumento, en perjuicio de los familiares de Tirso Román Valenzuela Ávila. Finalmente, la</w:t>
      </w:r>
      <w:r w:rsidR="00730FE2" w:rsidRPr="007E62A4">
        <w:rPr>
          <w:rFonts w:ascii="Cambria" w:hAnsi="Cambria"/>
          <w:sz w:val="20"/>
          <w:szCs w:val="20"/>
          <w:lang w:val="es-MX"/>
        </w:rPr>
        <w:t xml:space="preserve"> Comisión concluyó</w:t>
      </w:r>
      <w:r w:rsidR="00ED6FBD" w:rsidRPr="007E62A4">
        <w:rPr>
          <w:rFonts w:ascii="Cambria" w:hAnsi="Cambria"/>
          <w:sz w:val="20"/>
          <w:szCs w:val="20"/>
          <w:lang w:val="es-MX"/>
        </w:rPr>
        <w:t xml:space="preserve"> que el Estado de Guatemala violó l</w:t>
      </w:r>
      <w:r w:rsidR="00427F30" w:rsidRPr="007E62A4">
        <w:rPr>
          <w:rFonts w:ascii="Cambria" w:hAnsi="Cambria"/>
          <w:sz w:val="20"/>
          <w:szCs w:val="20"/>
          <w:lang w:val="es-MX"/>
        </w:rPr>
        <w:t xml:space="preserve">os artículos 1, 6, </w:t>
      </w:r>
      <w:r w:rsidR="00ED6FBD" w:rsidRPr="007E62A4">
        <w:rPr>
          <w:rFonts w:ascii="Cambria" w:hAnsi="Cambria"/>
          <w:sz w:val="20"/>
          <w:szCs w:val="20"/>
          <w:lang w:val="es-MX"/>
        </w:rPr>
        <w:t xml:space="preserve">8 </w:t>
      </w:r>
      <w:r w:rsidR="00427F30" w:rsidRPr="007E62A4">
        <w:rPr>
          <w:rFonts w:ascii="Cambria" w:hAnsi="Cambria"/>
          <w:sz w:val="20"/>
          <w:szCs w:val="20"/>
          <w:lang w:val="es-MX"/>
        </w:rPr>
        <w:t>y 10</w:t>
      </w:r>
      <w:r w:rsidR="00147FBF" w:rsidRPr="007F3D68">
        <w:rPr>
          <w:rFonts w:ascii="Cambria" w:hAnsi="Cambria"/>
          <w:sz w:val="20"/>
          <w:szCs w:val="20"/>
          <w:lang w:val="es-MX"/>
        </w:rPr>
        <w:t xml:space="preserve"> </w:t>
      </w:r>
      <w:r w:rsidR="00ED6FBD" w:rsidRPr="007F3D68">
        <w:rPr>
          <w:rFonts w:ascii="Cambria" w:hAnsi="Cambria"/>
          <w:sz w:val="20"/>
          <w:szCs w:val="20"/>
          <w:lang w:val="es-MX"/>
        </w:rPr>
        <w:t xml:space="preserve">de la Convención Interamericana para Prevenir y Sancionar la Tortura. </w:t>
      </w:r>
      <w:r w:rsidR="00E22EAD" w:rsidRPr="007F3D68">
        <w:rPr>
          <w:rFonts w:ascii="Cambria" w:hAnsi="Cambria"/>
          <w:sz w:val="20"/>
          <w:szCs w:val="20"/>
          <w:lang w:val="es-MX"/>
        </w:rPr>
        <w:t>La Comisión formuló las recomendaciones respectivas</w:t>
      </w:r>
      <w:r w:rsidR="003F6F0C" w:rsidRPr="007F3D68">
        <w:rPr>
          <w:rFonts w:ascii="Cambria" w:hAnsi="Cambria"/>
          <w:sz w:val="20"/>
          <w:szCs w:val="20"/>
          <w:lang w:val="es-MX"/>
        </w:rPr>
        <w:t>.</w:t>
      </w:r>
    </w:p>
    <w:p w:rsidR="008A6BA9" w:rsidRPr="007F3D68" w:rsidRDefault="008A6BA9" w:rsidP="008A6BA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67281D" w:rsidRPr="007F3D68" w:rsidRDefault="00E40449" w:rsidP="007014EB">
      <w:pPr>
        <w:pStyle w:val="Heading1"/>
        <w:numPr>
          <w:ilvl w:val="0"/>
          <w:numId w:val="55"/>
        </w:numPr>
        <w:tabs>
          <w:tab w:val="clear" w:pos="1440"/>
        </w:tabs>
      </w:pPr>
      <w:bookmarkStart w:id="11" w:name="_Toc370840744"/>
      <w:bookmarkStart w:id="12" w:name="_Toc370840840"/>
      <w:bookmarkStart w:id="13" w:name="_Toc423514406"/>
      <w:bookmarkStart w:id="14" w:name="_Toc433115982"/>
      <w:bookmarkStart w:id="15" w:name="_Toc444958125"/>
      <w:bookmarkStart w:id="16" w:name="_Toc475546036"/>
      <w:bookmarkStart w:id="17" w:name="_Toc495479528"/>
      <w:r w:rsidRPr="007F3D68">
        <w:t xml:space="preserve">TRÁMITE ANTE LA </w:t>
      </w:r>
      <w:bookmarkStart w:id="18" w:name="_Toc370840745"/>
      <w:bookmarkStart w:id="19" w:name="_Toc370840841"/>
      <w:bookmarkEnd w:id="11"/>
      <w:bookmarkEnd w:id="12"/>
      <w:r w:rsidRPr="007F3D68">
        <w:t>COMISIÓN</w:t>
      </w:r>
      <w:bookmarkEnd w:id="13"/>
      <w:bookmarkEnd w:id="14"/>
      <w:bookmarkEnd w:id="15"/>
      <w:bookmarkEnd w:id="16"/>
      <w:bookmarkEnd w:id="17"/>
    </w:p>
    <w:p w:rsidR="00405A3D" w:rsidRPr="007F3D68" w:rsidRDefault="00405A3D" w:rsidP="00405A3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b/>
          <w:sz w:val="20"/>
          <w:szCs w:val="20"/>
          <w:lang w:val="es-ES"/>
        </w:rPr>
      </w:pPr>
    </w:p>
    <w:p w:rsidR="00F25D69" w:rsidRPr="007F3D68" w:rsidRDefault="007014EB" w:rsidP="00405A3D">
      <w:pPr>
        <w:pStyle w:val="ListParagraph"/>
        <w:numPr>
          <w:ilvl w:val="0"/>
          <w:numId w:val="60"/>
        </w:numPr>
        <w:ind w:left="1440" w:hanging="720"/>
        <w:rPr>
          <w:rFonts w:asciiTheme="majorHAnsi" w:hAnsiTheme="majorHAnsi"/>
          <w:b/>
          <w:sz w:val="20"/>
          <w:szCs w:val="20"/>
          <w:lang w:val="es-ES"/>
        </w:rPr>
      </w:pPr>
      <w:r w:rsidRPr="007F3D68">
        <w:rPr>
          <w:rFonts w:asciiTheme="majorHAnsi" w:hAnsiTheme="majorHAnsi"/>
          <w:b/>
          <w:sz w:val="20"/>
          <w:szCs w:val="20"/>
          <w:lang w:val="es-ES"/>
        </w:rPr>
        <w:t xml:space="preserve">Trámite del caso desde el informe de admisibilidad </w:t>
      </w:r>
    </w:p>
    <w:p w:rsidR="00F25D69" w:rsidRPr="007F3D68" w:rsidRDefault="00F25D69" w:rsidP="00530ED5">
      <w:pPr>
        <w:rPr>
          <w:rFonts w:asciiTheme="majorHAnsi" w:hAnsiTheme="majorHAnsi"/>
          <w:sz w:val="20"/>
          <w:szCs w:val="20"/>
          <w:lang w:val="es-ES"/>
        </w:rPr>
      </w:pPr>
    </w:p>
    <w:p w:rsidR="00EA4FFC" w:rsidRPr="007F3D68" w:rsidRDefault="00C00CFE" w:rsidP="00EA4F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VE"/>
        </w:rPr>
      </w:pPr>
      <w:r w:rsidRPr="007F3D68">
        <w:rPr>
          <w:rFonts w:ascii="Cambria" w:hAnsi="Cambria"/>
          <w:sz w:val="20"/>
          <w:szCs w:val="20"/>
          <w:lang w:val="es-VE"/>
        </w:rPr>
        <w:t>El 5 de octubre de 2001</w:t>
      </w:r>
      <w:r w:rsidR="00EA4FFC" w:rsidRPr="007F3D68">
        <w:rPr>
          <w:rFonts w:ascii="Cambria" w:hAnsi="Cambria"/>
          <w:sz w:val="20"/>
          <w:szCs w:val="20"/>
          <w:lang w:val="es-VE"/>
        </w:rPr>
        <w:t xml:space="preserve"> la Comisión recibió la petición y la registró bajo el número</w:t>
      </w:r>
      <w:r w:rsidRPr="007F3D68">
        <w:rPr>
          <w:rFonts w:ascii="Cambria" w:hAnsi="Cambria"/>
          <w:sz w:val="20"/>
          <w:szCs w:val="20"/>
          <w:lang w:val="es-VE"/>
        </w:rPr>
        <w:t xml:space="preserve"> 723/</w:t>
      </w:r>
      <w:r w:rsidR="00A67672" w:rsidRPr="007F3D68">
        <w:rPr>
          <w:rFonts w:ascii="Cambria" w:hAnsi="Cambria"/>
          <w:sz w:val="20"/>
          <w:szCs w:val="20"/>
          <w:lang w:val="es-VE"/>
        </w:rPr>
        <w:t xml:space="preserve">01. </w:t>
      </w:r>
      <w:r w:rsidR="00EA4FFC" w:rsidRPr="007F3D68">
        <w:rPr>
          <w:rFonts w:ascii="Cambria" w:hAnsi="Cambria"/>
          <w:sz w:val="20"/>
          <w:szCs w:val="20"/>
          <w:lang w:val="es-VE"/>
        </w:rPr>
        <w:t>El trámite hasta la decisión sobre admisibilidad se encuentra explicado en detalle en el Informe No. 24/04 de 26 de febrero de 2004</w:t>
      </w:r>
      <w:r w:rsidR="00EA4FFC" w:rsidRPr="007F3D68">
        <w:rPr>
          <w:rStyle w:val="FootnoteReference"/>
          <w:rFonts w:asciiTheme="majorHAnsi" w:eastAsia="Calibri" w:hAnsiTheme="majorHAnsi"/>
          <w:sz w:val="20"/>
          <w:szCs w:val="20"/>
          <w:lang w:val="es-VE"/>
        </w:rPr>
        <w:footnoteReference w:id="2"/>
      </w:r>
      <w:r w:rsidR="00EA4FFC" w:rsidRPr="007F3D68">
        <w:rPr>
          <w:rFonts w:ascii="Cambria" w:hAnsi="Cambria"/>
          <w:sz w:val="20"/>
          <w:szCs w:val="20"/>
          <w:lang w:val="es-VE"/>
        </w:rPr>
        <w:t xml:space="preserve">. En dicho informe la CIDH declaró la petición admisible en cuanto a la posible violación de los derechos consagrados en los artículos 1.1, </w:t>
      </w:r>
      <w:r w:rsidR="00EA4FFC" w:rsidRPr="007F3D68">
        <w:rPr>
          <w:rFonts w:ascii="Cambria" w:hAnsi="Cambria"/>
          <w:sz w:val="20"/>
          <w:szCs w:val="20"/>
          <w:lang w:val="es-MX"/>
        </w:rPr>
        <w:t xml:space="preserve">5, 8 y 25 </w:t>
      </w:r>
      <w:r w:rsidR="00EA4FFC" w:rsidRPr="007F3D68">
        <w:rPr>
          <w:rFonts w:ascii="Cambria" w:hAnsi="Cambria"/>
          <w:sz w:val="20"/>
          <w:szCs w:val="20"/>
          <w:lang w:val="es-VE"/>
        </w:rPr>
        <w:t>de la Convención Americana y los artículos 1, 8 y 9 de la Convención Interamerican</w:t>
      </w:r>
      <w:r w:rsidR="006E623C" w:rsidRPr="007F3D68">
        <w:rPr>
          <w:rFonts w:ascii="Cambria" w:hAnsi="Cambria"/>
          <w:sz w:val="20"/>
          <w:szCs w:val="20"/>
          <w:lang w:val="es-VE"/>
        </w:rPr>
        <w:t>a para Prevenir y Sancionar la T</w:t>
      </w:r>
      <w:r w:rsidR="00EA4FFC" w:rsidRPr="007F3D68">
        <w:rPr>
          <w:rFonts w:ascii="Cambria" w:hAnsi="Cambria"/>
          <w:sz w:val="20"/>
          <w:szCs w:val="20"/>
          <w:lang w:val="es-VE"/>
        </w:rPr>
        <w:t>ortura.</w:t>
      </w:r>
    </w:p>
    <w:p w:rsidR="00445262" w:rsidRPr="007F3D68" w:rsidRDefault="00445262" w:rsidP="0044526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rsidR="00445262" w:rsidRPr="007F3D68" w:rsidRDefault="00445262" w:rsidP="00EA4F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VE"/>
        </w:rPr>
      </w:pPr>
      <w:r w:rsidRPr="007F3D68">
        <w:rPr>
          <w:rFonts w:ascii="Cambria" w:hAnsi="Cambria"/>
          <w:sz w:val="20"/>
          <w:szCs w:val="20"/>
          <w:lang w:val="es-VE"/>
        </w:rPr>
        <w:t>El informe de admisib</w:t>
      </w:r>
      <w:r w:rsidR="0056682E">
        <w:rPr>
          <w:rFonts w:ascii="Cambria" w:hAnsi="Cambria"/>
          <w:sz w:val="20"/>
          <w:szCs w:val="20"/>
          <w:lang w:val="es-VE"/>
        </w:rPr>
        <w:t>i</w:t>
      </w:r>
      <w:r w:rsidRPr="007F3D68">
        <w:rPr>
          <w:rFonts w:ascii="Cambria" w:hAnsi="Cambria"/>
          <w:sz w:val="20"/>
          <w:szCs w:val="20"/>
          <w:lang w:val="es-VE"/>
        </w:rPr>
        <w:t xml:space="preserve">lidad fue transmitido a los peticionarios el </w:t>
      </w:r>
      <w:r w:rsidR="001F1482" w:rsidRPr="007F3D68">
        <w:rPr>
          <w:rFonts w:ascii="Cambria" w:hAnsi="Cambria"/>
          <w:sz w:val="20"/>
          <w:szCs w:val="20"/>
          <w:lang w:val="es-VE"/>
        </w:rPr>
        <w:t>12 de marzo de 2004</w:t>
      </w:r>
      <w:r w:rsidRPr="007F3D68">
        <w:rPr>
          <w:rFonts w:ascii="Cambria" w:hAnsi="Cambria"/>
          <w:sz w:val="20"/>
          <w:szCs w:val="20"/>
          <w:lang w:val="es-VE"/>
        </w:rPr>
        <w:t xml:space="preserve">.  El 19 de julio de 2004 los peticionarios presentaron sus observaciones adicionales sobre el fondo, la cuales fueron </w:t>
      </w:r>
      <w:r w:rsidRPr="007F3D68">
        <w:rPr>
          <w:rFonts w:ascii="Cambria" w:hAnsi="Cambria"/>
          <w:sz w:val="20"/>
          <w:szCs w:val="20"/>
          <w:lang w:val="es-VE"/>
        </w:rPr>
        <w:lastRenderedPageBreak/>
        <w:t>trasladadas al Estado en la misma fecha,</w:t>
      </w:r>
      <w:r w:rsidR="0093271E" w:rsidRPr="007F3D68">
        <w:rPr>
          <w:rFonts w:ascii="Cambria" w:hAnsi="Cambria"/>
          <w:sz w:val="20"/>
          <w:szCs w:val="20"/>
          <w:lang w:val="es-VE"/>
        </w:rPr>
        <w:t xml:space="preserve"> </w:t>
      </w:r>
      <w:r w:rsidR="00E40742" w:rsidRPr="007F3D68">
        <w:rPr>
          <w:rFonts w:ascii="Cambria" w:hAnsi="Cambria"/>
          <w:sz w:val="20"/>
          <w:szCs w:val="20"/>
          <w:lang w:val="es-VE"/>
        </w:rPr>
        <w:t xml:space="preserve">por el plazo de dos meses. </w:t>
      </w:r>
      <w:r w:rsidRPr="007F3D68">
        <w:rPr>
          <w:rFonts w:ascii="Cambria" w:hAnsi="Cambria"/>
          <w:sz w:val="20"/>
          <w:szCs w:val="20"/>
          <w:lang w:val="es-VE"/>
        </w:rPr>
        <w:t>El Estado presentó sus observaciones sobre el fondo mediante comunicación de 27 de mayo de 2005.</w:t>
      </w:r>
    </w:p>
    <w:p w:rsidR="00445262" w:rsidRPr="007F3D68" w:rsidRDefault="00445262" w:rsidP="0044526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es-VE"/>
        </w:rPr>
      </w:pPr>
    </w:p>
    <w:p w:rsidR="00725AF5" w:rsidRPr="007F3D68" w:rsidRDefault="00445262" w:rsidP="0093271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VE"/>
        </w:rPr>
      </w:pPr>
      <w:r w:rsidRPr="007F3D68">
        <w:rPr>
          <w:rFonts w:ascii="Cambria" w:hAnsi="Cambria"/>
          <w:sz w:val="20"/>
          <w:szCs w:val="20"/>
          <w:lang w:val="es-VE"/>
        </w:rPr>
        <w:t>Con posterioridad, los peticionarios alegaron como hecho superviniente la violación del derecho a la vida de la presunta víctima derivado de su supuesta ejecu</w:t>
      </w:r>
      <w:r w:rsidR="00EC2F58" w:rsidRPr="007F3D68">
        <w:rPr>
          <w:rFonts w:ascii="Cambria" w:hAnsi="Cambria"/>
          <w:sz w:val="20"/>
          <w:szCs w:val="20"/>
          <w:lang w:val="es-VE"/>
        </w:rPr>
        <w:t>c</w:t>
      </w:r>
      <w:r w:rsidRPr="007F3D68">
        <w:rPr>
          <w:rFonts w:ascii="Cambria" w:hAnsi="Cambria"/>
          <w:sz w:val="20"/>
          <w:szCs w:val="20"/>
          <w:lang w:val="es-VE"/>
        </w:rPr>
        <w:t>ión extrajudicial, ocurrida el 8 de diciembre de 2006. En virtud de lo anterior, el 8 de diciembre de 2016 la CIDH concedió un plazo adicional de</w:t>
      </w:r>
      <w:r w:rsidR="006E623C" w:rsidRPr="007F3D68">
        <w:rPr>
          <w:rFonts w:ascii="Cambria" w:hAnsi="Cambria"/>
          <w:sz w:val="20"/>
          <w:szCs w:val="20"/>
          <w:lang w:val="es-VE"/>
        </w:rPr>
        <w:t xml:space="preserve"> </w:t>
      </w:r>
      <w:r w:rsidR="007F498F" w:rsidRPr="007F3D68">
        <w:rPr>
          <w:rFonts w:ascii="Cambria" w:hAnsi="Cambria"/>
          <w:sz w:val="20"/>
          <w:szCs w:val="20"/>
          <w:lang w:val="es-VE"/>
        </w:rPr>
        <w:t>cuatro</w:t>
      </w:r>
      <w:r w:rsidRPr="007F3D68">
        <w:rPr>
          <w:rFonts w:ascii="Cambria" w:hAnsi="Cambria"/>
          <w:sz w:val="20"/>
          <w:szCs w:val="20"/>
          <w:lang w:val="es-VE"/>
        </w:rPr>
        <w:t xml:space="preserve"> m</w:t>
      </w:r>
      <w:r w:rsidR="0093271E" w:rsidRPr="007F3D68">
        <w:rPr>
          <w:rFonts w:ascii="Cambria" w:hAnsi="Cambria"/>
          <w:sz w:val="20"/>
          <w:szCs w:val="20"/>
          <w:lang w:val="es-VE"/>
        </w:rPr>
        <w:t>eses al Estado para que present</w:t>
      </w:r>
      <w:r w:rsidR="00960C14" w:rsidRPr="007F3D68">
        <w:rPr>
          <w:rFonts w:ascii="Cambria" w:hAnsi="Cambria"/>
          <w:sz w:val="20"/>
          <w:szCs w:val="20"/>
          <w:lang w:val="es-VE"/>
        </w:rPr>
        <w:t>ara</w:t>
      </w:r>
      <w:r w:rsidRPr="007F3D68">
        <w:rPr>
          <w:rFonts w:ascii="Cambria" w:hAnsi="Cambria"/>
          <w:sz w:val="20"/>
          <w:szCs w:val="20"/>
          <w:lang w:val="es-VE"/>
        </w:rPr>
        <w:t xml:space="preserve"> sus observ</w:t>
      </w:r>
      <w:r w:rsidR="002C51E2" w:rsidRPr="007F3D68">
        <w:rPr>
          <w:rFonts w:ascii="Cambria" w:hAnsi="Cambria"/>
          <w:sz w:val="20"/>
          <w:szCs w:val="20"/>
          <w:lang w:val="es-VE"/>
        </w:rPr>
        <w:t xml:space="preserve">aciones sobre la admisibilidad </w:t>
      </w:r>
      <w:r w:rsidR="0093271E" w:rsidRPr="007F3D68">
        <w:rPr>
          <w:rFonts w:ascii="Cambria" w:hAnsi="Cambria"/>
          <w:sz w:val="20"/>
          <w:szCs w:val="20"/>
          <w:lang w:val="es-VE"/>
        </w:rPr>
        <w:t xml:space="preserve">y </w:t>
      </w:r>
      <w:r w:rsidR="002C51E2" w:rsidRPr="007F3D68">
        <w:rPr>
          <w:rFonts w:ascii="Cambria" w:hAnsi="Cambria"/>
          <w:sz w:val="20"/>
          <w:szCs w:val="20"/>
          <w:lang w:val="es-VE"/>
        </w:rPr>
        <w:t xml:space="preserve">fondo de dicho reclamo. </w:t>
      </w:r>
      <w:r w:rsidRPr="007F3D68">
        <w:rPr>
          <w:rFonts w:ascii="Cambria" w:hAnsi="Cambria"/>
          <w:sz w:val="20"/>
          <w:szCs w:val="20"/>
          <w:lang w:val="es-VE"/>
        </w:rPr>
        <w:t xml:space="preserve">El </w:t>
      </w:r>
      <w:r w:rsidR="003D1A7D" w:rsidRPr="007F3D68">
        <w:rPr>
          <w:rFonts w:ascii="Cambria" w:hAnsi="Cambria"/>
          <w:sz w:val="20"/>
          <w:szCs w:val="20"/>
          <w:lang w:val="es-VE"/>
        </w:rPr>
        <w:t>10</w:t>
      </w:r>
      <w:r w:rsidRPr="007F3D68">
        <w:rPr>
          <w:rFonts w:ascii="Cambria" w:hAnsi="Cambria"/>
          <w:sz w:val="20"/>
          <w:szCs w:val="20"/>
          <w:lang w:val="es-VE"/>
        </w:rPr>
        <w:t xml:space="preserve"> de </w:t>
      </w:r>
      <w:r w:rsidR="003D1A7D" w:rsidRPr="007F3D68">
        <w:rPr>
          <w:rFonts w:ascii="Cambria" w:hAnsi="Cambria"/>
          <w:sz w:val="20"/>
          <w:szCs w:val="20"/>
          <w:lang w:val="es-VE"/>
        </w:rPr>
        <w:t>abril de 2017</w:t>
      </w:r>
      <w:r w:rsidRPr="007F3D68">
        <w:rPr>
          <w:rFonts w:ascii="Cambria" w:hAnsi="Cambria"/>
          <w:sz w:val="20"/>
          <w:szCs w:val="20"/>
          <w:lang w:val="es-VE"/>
        </w:rPr>
        <w:t xml:space="preserve"> el Estado presentó sus observaciones adicionales </w:t>
      </w:r>
      <w:r w:rsidR="00C50FB1" w:rsidRPr="007F3D68">
        <w:rPr>
          <w:rFonts w:ascii="Cambria" w:hAnsi="Cambria"/>
          <w:sz w:val="20"/>
          <w:szCs w:val="20"/>
          <w:lang w:val="es-VE"/>
        </w:rPr>
        <w:t>al respecto</w:t>
      </w:r>
      <w:r w:rsidRPr="007F3D68">
        <w:rPr>
          <w:rFonts w:ascii="Cambria" w:hAnsi="Cambria"/>
          <w:sz w:val="20"/>
          <w:szCs w:val="20"/>
          <w:lang w:val="es-VE"/>
        </w:rPr>
        <w:t xml:space="preserve">. </w:t>
      </w:r>
    </w:p>
    <w:p w:rsidR="0093271E" w:rsidRPr="007F3D68" w:rsidRDefault="0093271E" w:rsidP="0093271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rsidR="00445262" w:rsidRPr="007F3D68" w:rsidRDefault="00445262" w:rsidP="00F25D6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cs="Univers"/>
          <w:sz w:val="20"/>
          <w:szCs w:val="20"/>
          <w:lang w:val="es-VE"/>
        </w:rPr>
      </w:pPr>
      <w:r w:rsidRPr="007F3D68">
        <w:rPr>
          <w:rFonts w:ascii="Cambria" w:hAnsi="Cambria" w:cs="Univers"/>
          <w:sz w:val="20"/>
          <w:szCs w:val="20"/>
          <w:lang w:val="es-VE"/>
        </w:rPr>
        <w:t>En el presente caso la Comisión se puso a disposición de</w:t>
      </w:r>
      <w:r w:rsidR="006E623C" w:rsidRPr="007F3D68">
        <w:rPr>
          <w:rFonts w:ascii="Cambria" w:hAnsi="Cambria" w:cs="Univers"/>
          <w:sz w:val="20"/>
          <w:szCs w:val="20"/>
          <w:lang w:val="es-VE"/>
        </w:rPr>
        <w:t xml:space="preserve"> las respectivas partes para iniciar el proc</w:t>
      </w:r>
      <w:r w:rsidRPr="007F3D68">
        <w:rPr>
          <w:rFonts w:ascii="Cambria" w:hAnsi="Cambria" w:cs="Univers"/>
          <w:sz w:val="20"/>
          <w:szCs w:val="20"/>
          <w:lang w:val="es-VE"/>
        </w:rPr>
        <w:t xml:space="preserve">edimiento de solución amistosa, sin que ambas partes manifestaran interés en el mismo. </w:t>
      </w:r>
    </w:p>
    <w:p w:rsidR="00445262" w:rsidRPr="007F3D68" w:rsidRDefault="00445262" w:rsidP="007C53A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b/>
          <w:sz w:val="20"/>
          <w:szCs w:val="20"/>
          <w:lang w:val="es-VE"/>
        </w:rPr>
      </w:pPr>
    </w:p>
    <w:p w:rsidR="000C0E5C" w:rsidRPr="007F3D68" w:rsidRDefault="009C3C33" w:rsidP="009C3C33">
      <w:pPr>
        <w:pStyle w:val="Heading1"/>
        <w:numPr>
          <w:ilvl w:val="0"/>
          <w:numId w:val="55"/>
        </w:numPr>
        <w:tabs>
          <w:tab w:val="clear" w:pos="1440"/>
        </w:tabs>
        <w:rPr>
          <w:lang w:val="es-VE"/>
        </w:rPr>
      </w:pPr>
      <w:bookmarkStart w:id="20" w:name="_Toc475546037"/>
      <w:bookmarkStart w:id="21" w:name="_Toc495479529"/>
      <w:bookmarkStart w:id="22" w:name="_Toc423514408"/>
      <w:bookmarkStart w:id="23" w:name="_Toc433115984"/>
      <w:bookmarkStart w:id="24" w:name="_Toc444958127"/>
      <w:bookmarkEnd w:id="18"/>
      <w:bookmarkEnd w:id="19"/>
      <w:r w:rsidRPr="007F3D68">
        <w:rPr>
          <w:lang w:val="es-VE"/>
        </w:rPr>
        <w:t>POSICIONES DE LAS PARTES</w:t>
      </w:r>
      <w:bookmarkEnd w:id="20"/>
      <w:bookmarkEnd w:id="21"/>
      <w:r w:rsidRPr="007F3D68">
        <w:rPr>
          <w:lang w:val="es-VE"/>
        </w:rPr>
        <w:t xml:space="preserve"> </w:t>
      </w:r>
    </w:p>
    <w:p w:rsidR="009C3C33" w:rsidRPr="007F3D68" w:rsidRDefault="009C3C33" w:rsidP="009C3C33">
      <w:pPr>
        <w:rPr>
          <w:lang w:val="es-ES_tradnl"/>
        </w:rPr>
      </w:pPr>
    </w:p>
    <w:p w:rsidR="00E40449" w:rsidRPr="007F3D68" w:rsidRDefault="00E40449" w:rsidP="005E081B">
      <w:pPr>
        <w:pStyle w:val="Heading2"/>
        <w:numPr>
          <w:ilvl w:val="0"/>
          <w:numId w:val="59"/>
        </w:numPr>
      </w:pPr>
      <w:bookmarkStart w:id="25" w:name="_Toc475546038"/>
      <w:bookmarkStart w:id="26" w:name="_Toc495479530"/>
      <w:r w:rsidRPr="007F3D68">
        <w:t>Posición d</w:t>
      </w:r>
      <w:bookmarkEnd w:id="22"/>
      <w:bookmarkEnd w:id="23"/>
      <w:bookmarkEnd w:id="24"/>
      <w:r w:rsidR="00FA084C" w:rsidRPr="007F3D68">
        <w:t>e</w:t>
      </w:r>
      <w:r w:rsidR="009C3C33" w:rsidRPr="007F3D68">
        <w:t xml:space="preserve"> los peticionarios</w:t>
      </w:r>
      <w:bookmarkEnd w:id="25"/>
      <w:bookmarkEnd w:id="26"/>
      <w:r w:rsidR="00FA084C" w:rsidRPr="007F3D68">
        <w:t xml:space="preserve"> </w:t>
      </w:r>
    </w:p>
    <w:p w:rsidR="006D6521" w:rsidRPr="007F3D68" w:rsidRDefault="006D6521" w:rsidP="006D652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A26639" w:rsidRPr="007F3D68" w:rsidRDefault="008D36CF" w:rsidP="00A2663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VE"/>
        </w:rPr>
      </w:pPr>
      <w:r w:rsidRPr="007F3D68">
        <w:rPr>
          <w:rFonts w:ascii="Cambria" w:hAnsi="Cambria"/>
          <w:sz w:val="20"/>
          <w:szCs w:val="20"/>
          <w:lang w:val="es-CO"/>
        </w:rPr>
        <w:t>L</w:t>
      </w:r>
      <w:r w:rsidR="00A26639" w:rsidRPr="007F3D68">
        <w:rPr>
          <w:rFonts w:ascii="Cambria" w:hAnsi="Cambria"/>
          <w:sz w:val="20"/>
          <w:szCs w:val="20"/>
          <w:lang w:val="es-CO"/>
        </w:rPr>
        <w:t>os peticionarios relataron que la presunta víctima fue detenida, torturada y luego sometida a proces</w:t>
      </w:r>
      <w:r w:rsidRPr="007F3D68">
        <w:rPr>
          <w:rFonts w:ascii="Cambria" w:hAnsi="Cambria"/>
          <w:sz w:val="20"/>
          <w:szCs w:val="20"/>
          <w:lang w:val="es-CO"/>
        </w:rPr>
        <w:t>o penal por el asesinato de una fiscal del Ministerio Público.</w:t>
      </w:r>
      <w:r w:rsidR="00A26639" w:rsidRPr="007F3D68">
        <w:rPr>
          <w:rFonts w:ascii="Cambria" w:hAnsi="Cambria"/>
          <w:sz w:val="20"/>
          <w:szCs w:val="20"/>
          <w:lang w:val="es-CO"/>
        </w:rPr>
        <w:t xml:space="preserve"> Indicaron que la presunta víctima fue condenada a muerte por medio de sentencia de 21 de octubre de 1999 por el Tribunal de Sentencia del </w:t>
      </w:r>
      <w:r w:rsidR="00E775F0" w:rsidRPr="007F3D68">
        <w:rPr>
          <w:rFonts w:ascii="Cambria" w:hAnsi="Cambria"/>
          <w:sz w:val="20"/>
          <w:szCs w:val="20"/>
          <w:lang w:val="es-CO"/>
        </w:rPr>
        <w:t>Departamento de Quetzaltenango.</w:t>
      </w:r>
      <w:r w:rsidR="00A26639" w:rsidRPr="007F3D68">
        <w:rPr>
          <w:rFonts w:ascii="Cambria" w:hAnsi="Cambria"/>
          <w:sz w:val="20"/>
          <w:szCs w:val="20"/>
          <w:lang w:val="es-CO"/>
        </w:rPr>
        <w:t xml:space="preserve"> Refirieron que el 22 de octubre de 2005 la presunta víctima se fugó de la cárcel “El infiernito” y fue ejecutada extrajudicialmente por </w:t>
      </w:r>
      <w:r w:rsidR="00B13B48" w:rsidRPr="007F3D68">
        <w:rPr>
          <w:rFonts w:ascii="Cambria" w:hAnsi="Cambria"/>
          <w:sz w:val="20"/>
          <w:szCs w:val="20"/>
          <w:lang w:val="es-CO"/>
        </w:rPr>
        <w:t xml:space="preserve">agentes del estado </w:t>
      </w:r>
      <w:r w:rsidR="00A26639" w:rsidRPr="007F3D68">
        <w:rPr>
          <w:rFonts w:ascii="Cambria" w:hAnsi="Cambria"/>
          <w:sz w:val="20"/>
          <w:szCs w:val="20"/>
          <w:lang w:val="es-CO"/>
        </w:rPr>
        <w:t>en el marco del operativo conocido como “Plan Gavilán”.</w:t>
      </w:r>
    </w:p>
    <w:p w:rsidR="008D36CF" w:rsidRPr="007F3D68" w:rsidRDefault="008D36CF" w:rsidP="008D36C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rsidR="008D36CF" w:rsidRPr="007F3D68" w:rsidRDefault="008D36CF" w:rsidP="008D36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VE"/>
        </w:rPr>
      </w:pPr>
      <w:r w:rsidRPr="007F3D68">
        <w:rPr>
          <w:rFonts w:ascii="Cambria" w:hAnsi="Cambria"/>
          <w:sz w:val="20"/>
          <w:szCs w:val="20"/>
          <w:lang w:val="es-ES_tradnl"/>
        </w:rPr>
        <w:t>El detalle sobre los hechos y procesos judiciales del caso será referido en el análisis fáctico de la Comisión, sobre la base de la información aportada por ambas partes. En esta sección se efectúa un resumen de los principales alegatos</w:t>
      </w:r>
      <w:r w:rsidR="00742AE9" w:rsidRPr="007F3D68">
        <w:rPr>
          <w:rFonts w:ascii="Cambria" w:hAnsi="Cambria"/>
          <w:sz w:val="20"/>
          <w:szCs w:val="20"/>
          <w:lang w:val="es-ES_tradnl"/>
        </w:rPr>
        <w:t xml:space="preserve"> de derecho</w:t>
      </w:r>
      <w:r w:rsidRPr="007F3D68">
        <w:rPr>
          <w:rFonts w:ascii="Cambria" w:hAnsi="Cambria"/>
          <w:sz w:val="20"/>
          <w:szCs w:val="20"/>
          <w:lang w:val="es-ES_tradnl"/>
        </w:rPr>
        <w:t xml:space="preserve"> planteados por los peticionarios.  </w:t>
      </w:r>
    </w:p>
    <w:p w:rsidR="008D36CF" w:rsidRPr="007F3D68" w:rsidRDefault="008D36CF" w:rsidP="008D36C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es-VE"/>
        </w:rPr>
      </w:pPr>
    </w:p>
    <w:p w:rsidR="008D36CF" w:rsidRPr="007F3D68" w:rsidRDefault="008D36CF" w:rsidP="008D36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CO"/>
        </w:rPr>
      </w:pPr>
      <w:r w:rsidRPr="007F3D68">
        <w:rPr>
          <w:rFonts w:ascii="Cambria" w:hAnsi="Cambria"/>
          <w:sz w:val="20"/>
          <w:szCs w:val="20"/>
          <w:lang w:val="es-ES_tradnl"/>
        </w:rPr>
        <w:t xml:space="preserve">Los peticionarios indicaron que </w:t>
      </w:r>
      <w:r w:rsidR="00C65EAD" w:rsidRPr="007F3D68">
        <w:rPr>
          <w:rFonts w:ascii="Cambria" w:hAnsi="Cambria"/>
          <w:sz w:val="20"/>
          <w:szCs w:val="20"/>
          <w:lang w:val="es-CO"/>
        </w:rPr>
        <w:t xml:space="preserve">el Estado violó el </w:t>
      </w:r>
      <w:r w:rsidR="00C65EAD" w:rsidRPr="007F3D68">
        <w:rPr>
          <w:rFonts w:ascii="Cambria" w:hAnsi="Cambria"/>
          <w:b/>
          <w:sz w:val="20"/>
          <w:szCs w:val="20"/>
          <w:lang w:val="es-CO"/>
        </w:rPr>
        <w:t>derecho a la libertad personal</w:t>
      </w:r>
      <w:r w:rsidR="00C65EAD" w:rsidRPr="007F3D68">
        <w:rPr>
          <w:rFonts w:ascii="Cambria" w:hAnsi="Cambria"/>
          <w:sz w:val="20"/>
          <w:szCs w:val="20"/>
          <w:lang w:val="es-CO"/>
        </w:rPr>
        <w:t xml:space="preserve"> </w:t>
      </w:r>
      <w:r w:rsidR="00A26639" w:rsidRPr="007F3D68">
        <w:rPr>
          <w:rFonts w:ascii="Cambria" w:hAnsi="Cambria"/>
          <w:sz w:val="20"/>
          <w:szCs w:val="20"/>
          <w:lang w:val="es-CO"/>
        </w:rPr>
        <w:t xml:space="preserve">porque la presunta víctima fue detenida sin orden de juez competente, sin encontrarse en flagrancia, </w:t>
      </w:r>
      <w:r w:rsidR="00B13B48" w:rsidRPr="007F3D68">
        <w:rPr>
          <w:rFonts w:ascii="Cambria" w:hAnsi="Cambria"/>
          <w:sz w:val="20"/>
          <w:szCs w:val="20"/>
          <w:lang w:val="es-CO"/>
        </w:rPr>
        <w:t xml:space="preserve">y adicionalmente que </w:t>
      </w:r>
      <w:r w:rsidR="00A26639" w:rsidRPr="007F3D68">
        <w:rPr>
          <w:rFonts w:ascii="Cambria" w:hAnsi="Cambria"/>
          <w:sz w:val="20"/>
          <w:szCs w:val="20"/>
          <w:lang w:val="es-CO"/>
        </w:rPr>
        <w:t xml:space="preserve">se le negó su derecho de contar con un abogado defensor en su detención y se le realizó </w:t>
      </w:r>
      <w:r w:rsidR="00C65EAD" w:rsidRPr="007F3D68">
        <w:rPr>
          <w:rFonts w:ascii="Cambria" w:hAnsi="Cambria"/>
          <w:sz w:val="20"/>
          <w:szCs w:val="20"/>
          <w:lang w:val="es-CO"/>
        </w:rPr>
        <w:t xml:space="preserve">un </w:t>
      </w:r>
      <w:r w:rsidR="00E711D2" w:rsidRPr="007F3D68">
        <w:rPr>
          <w:rFonts w:ascii="Cambria" w:hAnsi="Cambria"/>
          <w:sz w:val="20"/>
          <w:szCs w:val="20"/>
          <w:lang w:val="es-CO"/>
        </w:rPr>
        <w:t>“</w:t>
      </w:r>
      <w:r w:rsidR="00C65EAD" w:rsidRPr="007F3D68">
        <w:rPr>
          <w:rFonts w:ascii="Cambria" w:hAnsi="Cambria"/>
          <w:sz w:val="20"/>
          <w:szCs w:val="20"/>
          <w:lang w:val="es-CO"/>
        </w:rPr>
        <w:t>interrogatorio extrajudicial</w:t>
      </w:r>
      <w:r w:rsidR="00E711D2" w:rsidRPr="007F3D68">
        <w:rPr>
          <w:rFonts w:ascii="Cambria" w:hAnsi="Cambria"/>
          <w:sz w:val="20"/>
          <w:szCs w:val="20"/>
          <w:lang w:val="es-CO"/>
        </w:rPr>
        <w:t>”</w:t>
      </w:r>
      <w:r w:rsidR="00C65EAD" w:rsidRPr="007F3D68">
        <w:rPr>
          <w:rFonts w:ascii="Cambria" w:hAnsi="Cambria"/>
          <w:sz w:val="20"/>
          <w:szCs w:val="20"/>
          <w:lang w:val="es-CO"/>
        </w:rPr>
        <w:t xml:space="preserve">. </w:t>
      </w:r>
    </w:p>
    <w:p w:rsidR="008D36CF" w:rsidRPr="007F3D68" w:rsidRDefault="008D36CF" w:rsidP="008D36C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es-CO"/>
        </w:rPr>
      </w:pPr>
    </w:p>
    <w:p w:rsidR="003E1053" w:rsidRPr="007F3D68" w:rsidRDefault="00C65EAD" w:rsidP="008D36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CO"/>
        </w:rPr>
      </w:pPr>
      <w:r w:rsidRPr="007F3D68">
        <w:rPr>
          <w:rFonts w:ascii="Cambria" w:hAnsi="Cambria"/>
          <w:sz w:val="20"/>
          <w:szCs w:val="20"/>
          <w:lang w:val="es-CO"/>
        </w:rPr>
        <w:t xml:space="preserve">Argumentaron también la violación del </w:t>
      </w:r>
      <w:r w:rsidRPr="007F3D68">
        <w:rPr>
          <w:rFonts w:ascii="Cambria" w:hAnsi="Cambria"/>
          <w:b/>
          <w:sz w:val="20"/>
          <w:szCs w:val="20"/>
          <w:lang w:val="es-CO"/>
        </w:rPr>
        <w:t>derecho a la integridad personal y prohibición de tortura</w:t>
      </w:r>
      <w:r w:rsidRPr="007F3D68">
        <w:rPr>
          <w:rFonts w:ascii="Cambria" w:hAnsi="Cambria"/>
          <w:sz w:val="20"/>
          <w:szCs w:val="20"/>
          <w:lang w:val="es-CO"/>
        </w:rPr>
        <w:t>, porque la presunta víctima fue torturada en diversas ocasiones</w:t>
      </w:r>
      <w:r w:rsidR="00180C93" w:rsidRPr="007F3D68">
        <w:rPr>
          <w:rFonts w:ascii="Cambria" w:hAnsi="Cambria"/>
          <w:sz w:val="20"/>
          <w:szCs w:val="20"/>
          <w:lang w:val="es-CO"/>
        </w:rPr>
        <w:t>, concretamente</w:t>
      </w:r>
      <w:r w:rsidRPr="007F3D68">
        <w:rPr>
          <w:rFonts w:ascii="Cambria" w:hAnsi="Cambria"/>
          <w:sz w:val="20"/>
          <w:szCs w:val="20"/>
          <w:lang w:val="es-CO"/>
        </w:rPr>
        <w:t>:</w:t>
      </w:r>
      <w:r w:rsidR="00A26639" w:rsidRPr="007F3D68">
        <w:rPr>
          <w:rFonts w:ascii="Cambria" w:hAnsi="Cambria"/>
          <w:sz w:val="20"/>
          <w:szCs w:val="20"/>
          <w:lang w:val="es-CO"/>
        </w:rPr>
        <w:t xml:space="preserve"> </w:t>
      </w:r>
      <w:r w:rsidRPr="007F3D68">
        <w:rPr>
          <w:rFonts w:ascii="Cambria" w:hAnsi="Cambria"/>
          <w:sz w:val="20"/>
          <w:szCs w:val="20"/>
          <w:lang w:val="es-CO"/>
        </w:rPr>
        <w:t xml:space="preserve">a. </w:t>
      </w:r>
      <w:r w:rsidR="00A26639" w:rsidRPr="007F3D68">
        <w:rPr>
          <w:rFonts w:ascii="Cambria" w:hAnsi="Cambria"/>
          <w:sz w:val="20"/>
          <w:szCs w:val="20"/>
          <w:lang w:val="es-CO"/>
        </w:rPr>
        <w:t>al momento de la detención</w:t>
      </w:r>
      <w:r w:rsidR="002C64EE" w:rsidRPr="007F3D68">
        <w:rPr>
          <w:rFonts w:ascii="Cambria" w:hAnsi="Cambria"/>
          <w:sz w:val="20"/>
          <w:szCs w:val="20"/>
          <w:lang w:val="es-CO"/>
        </w:rPr>
        <w:t xml:space="preserve"> fue asfixiado </w:t>
      </w:r>
      <w:r w:rsidR="003A54A9" w:rsidRPr="007F3D68">
        <w:rPr>
          <w:rFonts w:ascii="Cambria" w:hAnsi="Cambria"/>
          <w:sz w:val="20"/>
          <w:szCs w:val="20"/>
          <w:lang w:val="es-CO"/>
        </w:rPr>
        <w:t xml:space="preserve">7 veces </w:t>
      </w:r>
      <w:r w:rsidR="002C64EE" w:rsidRPr="007F3D68">
        <w:rPr>
          <w:rFonts w:ascii="Cambria" w:hAnsi="Cambria"/>
          <w:sz w:val="20"/>
          <w:szCs w:val="20"/>
          <w:lang w:val="es-CO"/>
        </w:rPr>
        <w:t>con un veneno para</w:t>
      </w:r>
      <w:r w:rsidR="00A26639" w:rsidRPr="007F3D68">
        <w:rPr>
          <w:rFonts w:ascii="Cambria" w:hAnsi="Cambria"/>
          <w:sz w:val="20"/>
          <w:szCs w:val="20"/>
          <w:lang w:val="es-CO"/>
        </w:rPr>
        <w:t xml:space="preserve"> ratas y víctima de violación sexual para extraerle una confesión, b. el 10 de abril de 1999 por fuerzas de seguridad luego de se</w:t>
      </w:r>
      <w:r w:rsidR="00B13B48" w:rsidRPr="007F3D68">
        <w:rPr>
          <w:rFonts w:ascii="Cambria" w:hAnsi="Cambria"/>
          <w:sz w:val="20"/>
          <w:szCs w:val="20"/>
          <w:lang w:val="es-CO"/>
        </w:rPr>
        <w:t>r recapturado tras fugarse; c. e</w:t>
      </w:r>
      <w:r w:rsidR="00A26639" w:rsidRPr="007F3D68">
        <w:rPr>
          <w:rFonts w:ascii="Cambria" w:hAnsi="Cambria"/>
          <w:sz w:val="20"/>
          <w:szCs w:val="20"/>
          <w:lang w:val="es-CO"/>
        </w:rPr>
        <w:t>l 17 de junio de 2001 en la Comisaría de Escuintla lue</w:t>
      </w:r>
      <w:r w:rsidR="00B13B48" w:rsidRPr="007F3D68">
        <w:rPr>
          <w:rFonts w:ascii="Cambria" w:hAnsi="Cambria"/>
          <w:sz w:val="20"/>
          <w:szCs w:val="20"/>
          <w:lang w:val="es-CO"/>
        </w:rPr>
        <w:t>go fugarse por segunda vez; d. e</w:t>
      </w:r>
      <w:r w:rsidR="00A26639" w:rsidRPr="007F3D68">
        <w:rPr>
          <w:rFonts w:ascii="Cambria" w:hAnsi="Cambria"/>
          <w:sz w:val="20"/>
          <w:szCs w:val="20"/>
          <w:lang w:val="es-CO"/>
        </w:rPr>
        <w:t>l 18 de junio de 2001 en el Centro de Detención Preven</w:t>
      </w:r>
      <w:r w:rsidRPr="007F3D68">
        <w:rPr>
          <w:rFonts w:ascii="Cambria" w:hAnsi="Cambria"/>
          <w:sz w:val="20"/>
          <w:szCs w:val="20"/>
          <w:lang w:val="es-CO"/>
        </w:rPr>
        <w:t xml:space="preserve">tiva para hombres de la zona 18. </w:t>
      </w:r>
      <w:r w:rsidR="003E1053" w:rsidRPr="007F3D68">
        <w:rPr>
          <w:rFonts w:ascii="Cambria" w:hAnsi="Cambria"/>
          <w:sz w:val="20"/>
          <w:szCs w:val="20"/>
          <w:lang w:val="es-CO"/>
        </w:rPr>
        <w:t xml:space="preserve">Agregaron que el Estado no ha realizado una investigación seria sobre </w:t>
      </w:r>
      <w:r w:rsidR="00702501" w:rsidRPr="007F3D68">
        <w:rPr>
          <w:rFonts w:ascii="Cambria" w:hAnsi="Cambria"/>
          <w:sz w:val="20"/>
          <w:szCs w:val="20"/>
          <w:lang w:val="es-CO"/>
        </w:rPr>
        <w:t>estos</w:t>
      </w:r>
      <w:r w:rsidR="003E1053" w:rsidRPr="007F3D68">
        <w:rPr>
          <w:rFonts w:ascii="Cambria" w:hAnsi="Cambria"/>
          <w:sz w:val="20"/>
          <w:szCs w:val="20"/>
          <w:lang w:val="es-CO"/>
        </w:rPr>
        <w:t xml:space="preserve"> hechos </w:t>
      </w:r>
      <w:r w:rsidR="00702501" w:rsidRPr="007F3D68">
        <w:rPr>
          <w:rFonts w:ascii="Cambria" w:hAnsi="Cambria"/>
          <w:sz w:val="20"/>
          <w:szCs w:val="20"/>
          <w:lang w:val="es-CO"/>
        </w:rPr>
        <w:t xml:space="preserve">ni sobre </w:t>
      </w:r>
      <w:r w:rsidR="003E1053" w:rsidRPr="007F3D68">
        <w:rPr>
          <w:rFonts w:ascii="Cambria" w:hAnsi="Cambria"/>
          <w:sz w:val="20"/>
          <w:szCs w:val="20"/>
          <w:lang w:val="es-CO"/>
        </w:rPr>
        <w:t>la muerte de la presunta víctima</w:t>
      </w:r>
      <w:r w:rsidR="00106229" w:rsidRPr="007F3D68">
        <w:rPr>
          <w:rFonts w:ascii="Cambria" w:hAnsi="Cambria"/>
          <w:sz w:val="20"/>
          <w:szCs w:val="20"/>
          <w:lang w:val="es-CO"/>
        </w:rPr>
        <w:t xml:space="preserve">. Señalaron que se </w:t>
      </w:r>
      <w:r w:rsidR="003E1053" w:rsidRPr="007F3D68">
        <w:rPr>
          <w:rFonts w:ascii="Cambria" w:hAnsi="Cambria"/>
          <w:sz w:val="20"/>
          <w:szCs w:val="20"/>
          <w:lang w:val="es-CO"/>
        </w:rPr>
        <w:t>ha nega</w:t>
      </w:r>
      <w:r w:rsidR="00180C93" w:rsidRPr="007F3D68">
        <w:rPr>
          <w:rFonts w:ascii="Cambria" w:hAnsi="Cambria"/>
          <w:sz w:val="20"/>
          <w:szCs w:val="20"/>
          <w:lang w:val="es-CO"/>
        </w:rPr>
        <w:t>do a los familiares el derecho de</w:t>
      </w:r>
      <w:r w:rsidR="003E1053" w:rsidRPr="007F3D68">
        <w:rPr>
          <w:rFonts w:ascii="Cambria" w:hAnsi="Cambria"/>
          <w:sz w:val="20"/>
          <w:szCs w:val="20"/>
          <w:lang w:val="es-CO"/>
        </w:rPr>
        <w:t xml:space="preserve"> apersonarse dentro del proceso y obtener una reparación. </w:t>
      </w:r>
    </w:p>
    <w:p w:rsidR="003E1053" w:rsidRPr="007F3D68" w:rsidRDefault="003E1053" w:rsidP="003E105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rsidR="008D36CF" w:rsidRPr="007F3D68" w:rsidRDefault="00C65EAD" w:rsidP="003E105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CO"/>
        </w:rPr>
      </w:pPr>
      <w:r w:rsidRPr="007F3D68">
        <w:rPr>
          <w:rFonts w:ascii="Cambria" w:hAnsi="Cambria"/>
          <w:sz w:val="20"/>
          <w:szCs w:val="20"/>
          <w:lang w:val="es-CO"/>
        </w:rPr>
        <w:t xml:space="preserve">Refirieron que el Estado violó los derechos a las </w:t>
      </w:r>
      <w:r w:rsidRPr="007F3D68">
        <w:rPr>
          <w:rFonts w:ascii="Cambria" w:hAnsi="Cambria"/>
          <w:b/>
          <w:sz w:val="20"/>
          <w:szCs w:val="20"/>
          <w:lang w:val="es-CO"/>
        </w:rPr>
        <w:t>garantías judiciales y protección judicial</w:t>
      </w:r>
      <w:r w:rsidRPr="007F3D68">
        <w:rPr>
          <w:rFonts w:ascii="Cambria" w:hAnsi="Cambria"/>
          <w:sz w:val="20"/>
          <w:szCs w:val="20"/>
          <w:lang w:val="es-CO"/>
        </w:rPr>
        <w:t xml:space="preserve"> porque su condena a </w:t>
      </w:r>
      <w:r w:rsidR="00180C93" w:rsidRPr="007F3D68">
        <w:rPr>
          <w:rFonts w:ascii="Cambria" w:hAnsi="Cambria"/>
          <w:sz w:val="20"/>
          <w:szCs w:val="20"/>
          <w:lang w:val="es-CO"/>
        </w:rPr>
        <w:t xml:space="preserve">la </w:t>
      </w:r>
      <w:r w:rsidRPr="007F3D68">
        <w:rPr>
          <w:rFonts w:ascii="Cambria" w:hAnsi="Cambria"/>
          <w:sz w:val="20"/>
          <w:szCs w:val="20"/>
          <w:lang w:val="es-CO"/>
        </w:rPr>
        <w:t xml:space="preserve">pena de muerte se basó en prueba obtenida bajo tortura y existieron otras anomalías en el proceso. </w:t>
      </w:r>
    </w:p>
    <w:p w:rsidR="008D36CF" w:rsidRPr="007F3D68" w:rsidRDefault="008D36CF" w:rsidP="008D36C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es-CO"/>
        </w:rPr>
      </w:pPr>
    </w:p>
    <w:p w:rsidR="008D36CF" w:rsidRPr="007F3D68" w:rsidRDefault="00C65EAD" w:rsidP="003E105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CO"/>
        </w:rPr>
      </w:pPr>
      <w:r w:rsidRPr="007F3D68">
        <w:rPr>
          <w:rFonts w:ascii="Cambria" w:hAnsi="Cambria"/>
          <w:sz w:val="20"/>
          <w:szCs w:val="20"/>
          <w:lang w:val="es-CO"/>
        </w:rPr>
        <w:t xml:space="preserve">Sostuvieron que se violó el </w:t>
      </w:r>
      <w:r w:rsidRPr="007F3D68">
        <w:rPr>
          <w:rFonts w:ascii="Cambria" w:hAnsi="Cambria"/>
          <w:b/>
          <w:sz w:val="20"/>
          <w:szCs w:val="20"/>
          <w:lang w:val="es-CO"/>
        </w:rPr>
        <w:t>derecho a la vida</w:t>
      </w:r>
      <w:r w:rsidRPr="007F3D68">
        <w:rPr>
          <w:rFonts w:ascii="Cambria" w:hAnsi="Cambria"/>
          <w:sz w:val="20"/>
          <w:szCs w:val="20"/>
          <w:lang w:val="es-CO"/>
        </w:rPr>
        <w:t xml:space="preserve"> de la presunta víctima porque fue ejecutada extrajudicialmente. </w:t>
      </w:r>
    </w:p>
    <w:p w:rsidR="008D36CF" w:rsidRPr="007F3D68" w:rsidRDefault="008D36CF" w:rsidP="008D36C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es-CO"/>
        </w:rPr>
      </w:pPr>
    </w:p>
    <w:p w:rsidR="00A26639" w:rsidRDefault="003E1053" w:rsidP="003E105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CO"/>
        </w:rPr>
      </w:pPr>
      <w:r w:rsidRPr="007F3D68">
        <w:rPr>
          <w:rFonts w:ascii="Cambria" w:hAnsi="Cambria"/>
          <w:sz w:val="20"/>
          <w:szCs w:val="20"/>
          <w:lang w:val="es-CO"/>
        </w:rPr>
        <w:t xml:space="preserve">Finalmente, alegaron la violación del </w:t>
      </w:r>
      <w:r w:rsidRPr="007F3D68">
        <w:rPr>
          <w:rFonts w:ascii="Cambria" w:hAnsi="Cambria"/>
          <w:b/>
          <w:sz w:val="20"/>
          <w:szCs w:val="20"/>
          <w:lang w:val="es-CO"/>
        </w:rPr>
        <w:t>derecho a la integridad personal</w:t>
      </w:r>
      <w:r w:rsidRPr="007F3D68">
        <w:rPr>
          <w:rFonts w:ascii="Cambria" w:hAnsi="Cambria"/>
          <w:sz w:val="20"/>
          <w:szCs w:val="20"/>
          <w:lang w:val="es-CO"/>
        </w:rPr>
        <w:t xml:space="preserve"> en perjuicio de los familiares de la presunta víctima</w:t>
      </w:r>
      <w:r w:rsidR="00A26639" w:rsidRPr="007F3D68">
        <w:rPr>
          <w:rFonts w:ascii="Cambria" w:hAnsi="Cambria"/>
          <w:sz w:val="20"/>
          <w:szCs w:val="20"/>
          <w:lang w:val="es-CO"/>
        </w:rPr>
        <w:t xml:space="preserve">, porque han sido objeto de hostigamientos en su búsqueda por justicia y algunos han tenido que abandonar el país u ocultarse en virtud de amenazas en su contra para no comparecer dentro de la investigación por la muerte de la presunta víctima. </w:t>
      </w:r>
    </w:p>
    <w:p w:rsidR="00214A83" w:rsidRDefault="00214A83" w:rsidP="00214A83">
      <w:pPr>
        <w:pStyle w:val="ListParagraph"/>
        <w:rPr>
          <w:sz w:val="20"/>
          <w:szCs w:val="20"/>
          <w:lang w:val="es-CO"/>
        </w:rPr>
      </w:pPr>
    </w:p>
    <w:p w:rsidR="00214A83" w:rsidRPr="007F3D68" w:rsidRDefault="00214A83" w:rsidP="00214A8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hAnsi="Cambria"/>
          <w:sz w:val="20"/>
          <w:szCs w:val="20"/>
          <w:lang w:val="es-CO"/>
        </w:rPr>
      </w:pPr>
    </w:p>
    <w:p w:rsidR="005921BB" w:rsidRPr="007F3D68" w:rsidRDefault="005921BB" w:rsidP="006D652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E40449" w:rsidRPr="007F3D68" w:rsidRDefault="00E40449" w:rsidP="005E081B">
      <w:pPr>
        <w:pStyle w:val="Heading2"/>
        <w:numPr>
          <w:ilvl w:val="0"/>
          <w:numId w:val="59"/>
        </w:numPr>
      </w:pPr>
      <w:bookmarkStart w:id="27" w:name="_Toc370840747"/>
      <w:bookmarkStart w:id="28" w:name="_Toc370840843"/>
      <w:bookmarkStart w:id="29" w:name="_Toc423514409"/>
      <w:bookmarkStart w:id="30" w:name="_Toc433115985"/>
      <w:bookmarkStart w:id="31" w:name="_Toc444958128"/>
      <w:bookmarkStart w:id="32" w:name="_Toc475546039"/>
      <w:bookmarkStart w:id="33" w:name="_Toc495479531"/>
      <w:r w:rsidRPr="007F3D68">
        <w:lastRenderedPageBreak/>
        <w:t>Posición del Estado</w:t>
      </w:r>
      <w:bookmarkEnd w:id="27"/>
      <w:bookmarkEnd w:id="28"/>
      <w:bookmarkEnd w:id="29"/>
      <w:bookmarkEnd w:id="30"/>
      <w:bookmarkEnd w:id="31"/>
      <w:bookmarkEnd w:id="32"/>
      <w:bookmarkEnd w:id="33"/>
    </w:p>
    <w:p w:rsidR="0044096C" w:rsidRPr="007F3D68" w:rsidRDefault="0044096C" w:rsidP="00BE253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8D36CF" w:rsidRPr="007F3D68" w:rsidRDefault="00843E99" w:rsidP="008D36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CO"/>
        </w:rPr>
      </w:pPr>
      <w:r w:rsidRPr="007F3D68">
        <w:rPr>
          <w:rFonts w:ascii="Cambria" w:hAnsi="Cambria"/>
          <w:sz w:val="20"/>
          <w:szCs w:val="20"/>
          <w:lang w:val="es-CO"/>
        </w:rPr>
        <w:t>El Estado indicó en términos generales</w:t>
      </w:r>
      <w:r w:rsidR="009D260E" w:rsidRPr="007F3D68">
        <w:rPr>
          <w:rFonts w:ascii="Cambria" w:hAnsi="Cambria"/>
          <w:sz w:val="20"/>
          <w:szCs w:val="20"/>
          <w:lang w:val="es-CO"/>
        </w:rPr>
        <w:t>,</w:t>
      </w:r>
      <w:r w:rsidRPr="007F3D68">
        <w:rPr>
          <w:rFonts w:ascii="Cambria" w:hAnsi="Cambria"/>
          <w:sz w:val="20"/>
          <w:szCs w:val="20"/>
          <w:lang w:val="es-CO"/>
        </w:rPr>
        <w:t xml:space="preserve"> que su posición respecto a la pena de muerte es que esta </w:t>
      </w:r>
      <w:r w:rsidR="000A0CF5" w:rsidRPr="007F3D68">
        <w:rPr>
          <w:rFonts w:ascii="Cambria" w:hAnsi="Cambria"/>
          <w:sz w:val="20"/>
          <w:szCs w:val="20"/>
          <w:lang w:val="es-CO"/>
        </w:rPr>
        <w:t xml:space="preserve">se </w:t>
      </w:r>
      <w:r w:rsidRPr="007F3D68">
        <w:rPr>
          <w:rFonts w:ascii="Cambria" w:hAnsi="Cambria"/>
          <w:sz w:val="20"/>
          <w:szCs w:val="20"/>
          <w:lang w:val="es-CO"/>
        </w:rPr>
        <w:t>puede aplicar siempre que haya sido decretada luego de un proceso llevado a cabo en estricta observancia de todas la</w:t>
      </w:r>
      <w:r w:rsidR="000F2783" w:rsidRPr="007F3D68">
        <w:rPr>
          <w:rFonts w:ascii="Cambria" w:hAnsi="Cambria"/>
          <w:sz w:val="20"/>
          <w:szCs w:val="20"/>
          <w:lang w:val="es-CO"/>
        </w:rPr>
        <w:t>s garantías de debido proceso.</w:t>
      </w:r>
      <w:r w:rsidR="002C51E2" w:rsidRPr="007F3D68">
        <w:rPr>
          <w:rFonts w:ascii="Cambria" w:hAnsi="Cambria"/>
          <w:sz w:val="20"/>
          <w:szCs w:val="20"/>
          <w:lang w:val="es-CO"/>
        </w:rPr>
        <w:t xml:space="preserve"> Argumentó que la condena de la</w:t>
      </w:r>
      <w:r w:rsidR="008D36CF" w:rsidRPr="007F3D68">
        <w:rPr>
          <w:rFonts w:ascii="Cambria" w:hAnsi="Cambria"/>
          <w:sz w:val="20"/>
          <w:szCs w:val="20"/>
          <w:lang w:val="es-CO"/>
        </w:rPr>
        <w:t xml:space="preserve"> presunta víctima</w:t>
      </w:r>
      <w:r w:rsidRPr="007F3D68">
        <w:rPr>
          <w:rFonts w:ascii="Cambria" w:hAnsi="Cambria"/>
          <w:sz w:val="20"/>
          <w:szCs w:val="20"/>
          <w:lang w:val="es-CO"/>
        </w:rPr>
        <w:t xml:space="preserve"> </w:t>
      </w:r>
      <w:r w:rsidR="008D36CF" w:rsidRPr="007F3D68">
        <w:rPr>
          <w:rFonts w:ascii="Cambria" w:hAnsi="Cambria"/>
          <w:sz w:val="20"/>
          <w:szCs w:val="20"/>
          <w:lang w:val="es-CO"/>
        </w:rPr>
        <w:t xml:space="preserve">fue </w:t>
      </w:r>
      <w:r w:rsidR="00180C93" w:rsidRPr="007F3D68">
        <w:rPr>
          <w:rFonts w:ascii="Cambria" w:hAnsi="Cambria"/>
          <w:sz w:val="20"/>
          <w:szCs w:val="20"/>
          <w:lang w:val="es-CO"/>
        </w:rPr>
        <w:t>el resultado de procesos que</w:t>
      </w:r>
      <w:r w:rsidRPr="007F3D68">
        <w:rPr>
          <w:rFonts w:ascii="Cambria" w:hAnsi="Cambria"/>
          <w:sz w:val="20"/>
          <w:szCs w:val="20"/>
          <w:lang w:val="es-CO"/>
        </w:rPr>
        <w:t xml:space="preserve"> respetaron todas las </w:t>
      </w:r>
      <w:r w:rsidR="00FD0360" w:rsidRPr="007F3D68">
        <w:rPr>
          <w:rFonts w:ascii="Cambria" w:hAnsi="Cambria"/>
          <w:sz w:val="20"/>
          <w:szCs w:val="20"/>
          <w:lang w:val="es-CO"/>
        </w:rPr>
        <w:t>garantías</w:t>
      </w:r>
      <w:r w:rsidRPr="007F3D68">
        <w:rPr>
          <w:rFonts w:ascii="Cambria" w:hAnsi="Cambria"/>
          <w:sz w:val="20"/>
          <w:szCs w:val="20"/>
          <w:lang w:val="es-CO"/>
        </w:rPr>
        <w:t xml:space="preserve"> del debido proceso. </w:t>
      </w:r>
    </w:p>
    <w:p w:rsidR="008D36CF" w:rsidRPr="007F3D68" w:rsidRDefault="008D36CF" w:rsidP="008D36C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rsidR="00CB10F6" w:rsidRPr="007F3D68" w:rsidRDefault="008D36CF" w:rsidP="008D36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CO"/>
        </w:rPr>
      </w:pPr>
      <w:r w:rsidRPr="007F3D68">
        <w:rPr>
          <w:rFonts w:ascii="Cambria" w:hAnsi="Cambria"/>
          <w:sz w:val="20"/>
          <w:szCs w:val="20"/>
          <w:lang w:val="es-CO"/>
        </w:rPr>
        <w:t xml:space="preserve">En cuanto al alegato de ejecución extrajudicial, refirió que </w:t>
      </w:r>
      <w:r w:rsidR="00A26639" w:rsidRPr="007F3D68">
        <w:rPr>
          <w:rFonts w:ascii="Cambria" w:hAnsi="Cambria"/>
          <w:sz w:val="20"/>
          <w:szCs w:val="20"/>
          <w:lang w:val="es-CO"/>
        </w:rPr>
        <w:t xml:space="preserve">no existe política estatal de represión en los procesos de recaptura de las personas fugadas de los centros de detención </w:t>
      </w:r>
      <w:r w:rsidR="00CB10F6" w:rsidRPr="007F3D68">
        <w:rPr>
          <w:rFonts w:ascii="Cambria" w:hAnsi="Cambria"/>
          <w:sz w:val="20"/>
          <w:szCs w:val="20"/>
          <w:lang w:val="es-CO"/>
        </w:rPr>
        <w:t>y que en</w:t>
      </w:r>
      <w:r w:rsidR="002C51E2" w:rsidRPr="007F3D68">
        <w:rPr>
          <w:rFonts w:ascii="Cambria" w:hAnsi="Cambria"/>
          <w:sz w:val="20"/>
          <w:szCs w:val="20"/>
          <w:lang w:val="es-CO"/>
        </w:rPr>
        <w:t xml:space="preserve"> e</w:t>
      </w:r>
      <w:r w:rsidR="00CB10F6" w:rsidRPr="007F3D68">
        <w:rPr>
          <w:rFonts w:ascii="Cambria" w:hAnsi="Cambria"/>
          <w:sz w:val="20"/>
          <w:szCs w:val="20"/>
          <w:lang w:val="es-CO"/>
        </w:rPr>
        <w:t xml:space="preserve">l </w:t>
      </w:r>
      <w:r w:rsidR="002C51E2" w:rsidRPr="007F3D68">
        <w:rPr>
          <w:rFonts w:ascii="Cambria" w:hAnsi="Cambria"/>
          <w:sz w:val="20"/>
          <w:szCs w:val="20"/>
          <w:lang w:val="es-CO"/>
        </w:rPr>
        <w:t xml:space="preserve">presente </w:t>
      </w:r>
      <w:r w:rsidR="00CB10F6" w:rsidRPr="007F3D68">
        <w:rPr>
          <w:rFonts w:ascii="Cambria" w:hAnsi="Cambria"/>
          <w:sz w:val="20"/>
          <w:szCs w:val="20"/>
          <w:lang w:val="es-CO"/>
        </w:rPr>
        <w:t>caso las fuerzas de seguridad buscaron mecanismos para su recaptura en aras de la</w:t>
      </w:r>
      <w:r w:rsidR="00E40742" w:rsidRPr="007F3D68">
        <w:rPr>
          <w:rFonts w:ascii="Cambria" w:hAnsi="Cambria"/>
          <w:sz w:val="20"/>
          <w:szCs w:val="20"/>
          <w:lang w:val="es-CO"/>
        </w:rPr>
        <w:t xml:space="preserve"> protección del orden público. </w:t>
      </w:r>
      <w:r w:rsidR="00CB10F6" w:rsidRPr="007F3D68">
        <w:rPr>
          <w:rFonts w:ascii="Cambria" w:hAnsi="Cambria"/>
          <w:sz w:val="20"/>
          <w:szCs w:val="20"/>
          <w:lang w:val="es-CO"/>
        </w:rPr>
        <w:t>Añadió que su muerte no puede calificarse como una ejecución extrajudicial, en virtud de que los informes y archivos de investigación realizada por el Ministerio Público no indican tal señalamiento como un hecho probado.</w:t>
      </w:r>
    </w:p>
    <w:p w:rsidR="00CB10F6" w:rsidRPr="007F3D68" w:rsidRDefault="00CB10F6" w:rsidP="00CB10F6">
      <w:pPr>
        <w:pStyle w:val="ListParagraph"/>
        <w:rPr>
          <w:sz w:val="20"/>
          <w:szCs w:val="20"/>
          <w:lang w:val="es-CO"/>
        </w:rPr>
      </w:pPr>
    </w:p>
    <w:p w:rsidR="00CB10F6" w:rsidRPr="007F3D68" w:rsidRDefault="00A26639" w:rsidP="008D36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CO"/>
        </w:rPr>
      </w:pPr>
      <w:r w:rsidRPr="007F3D68">
        <w:rPr>
          <w:rFonts w:ascii="Cambria" w:hAnsi="Cambria"/>
          <w:sz w:val="20"/>
          <w:szCs w:val="20"/>
          <w:lang w:val="es-CO"/>
        </w:rPr>
        <w:t>Indic</w:t>
      </w:r>
      <w:r w:rsidR="007825A5" w:rsidRPr="007F3D68">
        <w:rPr>
          <w:rFonts w:ascii="Cambria" w:hAnsi="Cambria"/>
          <w:sz w:val="20"/>
          <w:szCs w:val="20"/>
          <w:lang w:val="es-CO"/>
        </w:rPr>
        <w:t>ó</w:t>
      </w:r>
      <w:r w:rsidRPr="007F3D68">
        <w:rPr>
          <w:rFonts w:ascii="Cambria" w:hAnsi="Cambria"/>
          <w:sz w:val="20"/>
          <w:szCs w:val="20"/>
          <w:lang w:val="es-CO"/>
        </w:rPr>
        <w:t xml:space="preserve"> que la investigación sobre la muerte de la presunta víctima se encuentra en marcha y se han realizado una serie de diligencias</w:t>
      </w:r>
      <w:r w:rsidR="008D36CF" w:rsidRPr="007F3D68">
        <w:rPr>
          <w:rFonts w:ascii="Cambria" w:hAnsi="Cambria"/>
          <w:sz w:val="20"/>
          <w:szCs w:val="20"/>
          <w:lang w:val="es-CO"/>
        </w:rPr>
        <w:t>,</w:t>
      </w:r>
      <w:r w:rsidRPr="007F3D68">
        <w:rPr>
          <w:rFonts w:ascii="Cambria" w:hAnsi="Cambria"/>
          <w:sz w:val="20"/>
          <w:szCs w:val="20"/>
          <w:lang w:val="es-CO"/>
        </w:rPr>
        <w:t xml:space="preserve"> tales como la individualización del propietario de la motocicleta utilizada en el crimen y la solicitud a la Dirección de la Policía del listado de armas asignadas a la Comisaría 31 en la época de los hechos, con el objeto de cotejar con las ojivas localizadas en la escena del crimen. </w:t>
      </w:r>
      <w:r w:rsidR="007825A5" w:rsidRPr="007F3D68">
        <w:rPr>
          <w:rFonts w:ascii="Cambria" w:hAnsi="Cambria"/>
          <w:sz w:val="20"/>
          <w:szCs w:val="20"/>
          <w:lang w:val="es-CO"/>
        </w:rPr>
        <w:t xml:space="preserve">Agregó </w:t>
      </w:r>
      <w:r w:rsidR="003B1E51" w:rsidRPr="007F3D68">
        <w:rPr>
          <w:rFonts w:ascii="Cambria" w:hAnsi="Cambria"/>
          <w:sz w:val="20"/>
          <w:szCs w:val="20"/>
          <w:lang w:val="es-CO"/>
        </w:rPr>
        <w:t xml:space="preserve">que los alegatos relacionados con la violación del derecho a la vida no deben ser tomados en cuenta porque no forman parte del reclamo original ante la CIDH. </w:t>
      </w:r>
      <w:r w:rsidR="00CB10F6" w:rsidRPr="007F3D68">
        <w:rPr>
          <w:rFonts w:ascii="Cambria" w:hAnsi="Cambria"/>
          <w:sz w:val="20"/>
          <w:szCs w:val="20"/>
          <w:lang w:val="es-CO"/>
        </w:rPr>
        <w:t xml:space="preserve"> </w:t>
      </w:r>
    </w:p>
    <w:p w:rsidR="00CB10F6" w:rsidRPr="007F3D68" w:rsidRDefault="00CB10F6" w:rsidP="00CB10F6">
      <w:pPr>
        <w:pStyle w:val="ListParagraph"/>
        <w:rPr>
          <w:sz w:val="20"/>
          <w:szCs w:val="20"/>
          <w:lang w:val="es-CO"/>
        </w:rPr>
      </w:pPr>
    </w:p>
    <w:p w:rsidR="00A26639" w:rsidRPr="007F3D68" w:rsidRDefault="00CB10F6" w:rsidP="00CB10F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CO"/>
        </w:rPr>
      </w:pPr>
      <w:r w:rsidRPr="007F3D68">
        <w:rPr>
          <w:rFonts w:ascii="Cambria" w:hAnsi="Cambria"/>
          <w:sz w:val="20"/>
          <w:szCs w:val="20"/>
          <w:lang w:val="es-CO"/>
        </w:rPr>
        <w:t xml:space="preserve">Finalmente argumentó que el alegato de ejecución extrajudicial resulta inadmisible por falta de agotamiento de los recursos internos porque aún se encuentra </w:t>
      </w:r>
      <w:r w:rsidR="004A63D5" w:rsidRPr="007F3D68">
        <w:rPr>
          <w:rFonts w:ascii="Cambria" w:hAnsi="Cambria"/>
          <w:sz w:val="20"/>
          <w:szCs w:val="20"/>
          <w:lang w:val="es-CO"/>
        </w:rPr>
        <w:t>en etapa de investigación</w:t>
      </w:r>
      <w:r w:rsidRPr="007F3D68">
        <w:rPr>
          <w:rFonts w:ascii="Cambria" w:hAnsi="Cambria"/>
          <w:sz w:val="20"/>
          <w:szCs w:val="20"/>
          <w:lang w:val="es-CO"/>
        </w:rPr>
        <w:t xml:space="preserve"> el proceso penal por la muerte de la presunta víctima</w:t>
      </w:r>
      <w:r w:rsidR="002C51E2" w:rsidRPr="007F3D68">
        <w:rPr>
          <w:rFonts w:ascii="Cambria" w:hAnsi="Cambria"/>
          <w:sz w:val="20"/>
          <w:szCs w:val="20"/>
          <w:lang w:val="es-CO"/>
        </w:rPr>
        <w:t>.</w:t>
      </w:r>
      <w:r w:rsidR="004A63D5" w:rsidRPr="007F3D68">
        <w:rPr>
          <w:rFonts w:ascii="Cambria" w:hAnsi="Cambria"/>
          <w:sz w:val="20"/>
          <w:szCs w:val="20"/>
          <w:lang w:val="es-CO"/>
        </w:rPr>
        <w:t xml:space="preserve"> </w:t>
      </w:r>
    </w:p>
    <w:p w:rsidR="00FD0360" w:rsidRPr="007F3D68" w:rsidRDefault="00FD0360" w:rsidP="009C3C33">
      <w:pPr>
        <w:jc w:val="both"/>
        <w:rPr>
          <w:rFonts w:ascii="Cambria" w:hAnsi="Cambria" w:cs="Calibri"/>
          <w:sz w:val="20"/>
          <w:szCs w:val="20"/>
          <w:lang w:val="es-ES_tradnl"/>
        </w:rPr>
      </w:pPr>
    </w:p>
    <w:p w:rsidR="00B13B48" w:rsidRPr="007F3D68" w:rsidRDefault="009C3C33" w:rsidP="004E102F">
      <w:pPr>
        <w:pStyle w:val="Heading1"/>
        <w:numPr>
          <w:ilvl w:val="0"/>
          <w:numId w:val="55"/>
        </w:numPr>
        <w:tabs>
          <w:tab w:val="clear" w:pos="1440"/>
        </w:tabs>
        <w:ind w:left="1260" w:hanging="540"/>
        <w:jc w:val="both"/>
        <w:rPr>
          <w:lang w:val="es-VE"/>
        </w:rPr>
      </w:pPr>
      <w:bookmarkStart w:id="34" w:name="_Toc413687815"/>
      <w:bookmarkStart w:id="35" w:name="_Toc447208867"/>
      <w:bookmarkStart w:id="36" w:name="_Toc447213173"/>
      <w:bookmarkStart w:id="37" w:name="_Toc475546040"/>
      <w:bookmarkStart w:id="38" w:name="_Toc495479532"/>
      <w:r w:rsidRPr="007F3D68">
        <w:rPr>
          <w:lang w:val="es-VE"/>
        </w:rPr>
        <w:t>ANÁLISIS DE A</w:t>
      </w:r>
      <w:r w:rsidR="00E66401" w:rsidRPr="007F3D68">
        <w:rPr>
          <w:lang w:val="es-VE"/>
        </w:rPr>
        <w:t>DMISIBILIDAD D</w:t>
      </w:r>
      <w:bookmarkEnd w:id="34"/>
      <w:bookmarkEnd w:id="35"/>
      <w:bookmarkEnd w:id="36"/>
      <w:r w:rsidR="008D36CF" w:rsidRPr="007F3D68">
        <w:rPr>
          <w:lang w:val="es-VE"/>
        </w:rPr>
        <w:t xml:space="preserve">EL </w:t>
      </w:r>
      <w:bookmarkEnd w:id="37"/>
      <w:r w:rsidR="001C66CF" w:rsidRPr="007F3D68">
        <w:rPr>
          <w:lang w:val="es-VE"/>
        </w:rPr>
        <w:t xml:space="preserve">ALEGATO RELACIONADO CON LA SUPUESTA EJECUCIÓN EXTRAJUDICIAL </w:t>
      </w:r>
      <w:r w:rsidR="00316487" w:rsidRPr="007F3D68">
        <w:rPr>
          <w:lang w:val="es-VE"/>
        </w:rPr>
        <w:t xml:space="preserve"> </w:t>
      </w:r>
      <w:r w:rsidR="00A04404" w:rsidRPr="007F3D68">
        <w:rPr>
          <w:lang w:val="es-VE"/>
        </w:rPr>
        <w:t>DE LA PRESUNTA VÍCTIMA</w:t>
      </w:r>
      <w:bookmarkEnd w:id="38"/>
      <w:r w:rsidR="00A04404" w:rsidRPr="007F3D68">
        <w:rPr>
          <w:lang w:val="es-VE"/>
        </w:rPr>
        <w:t xml:space="preserve"> </w:t>
      </w:r>
      <w:bookmarkStart w:id="39" w:name="_Toc413687816"/>
      <w:bookmarkStart w:id="40" w:name="_Toc447208868"/>
      <w:bookmarkStart w:id="41" w:name="_Toc447213174"/>
      <w:bookmarkStart w:id="42" w:name="_Toc475546041"/>
    </w:p>
    <w:p w:rsidR="004E102F" w:rsidRPr="007F3D68" w:rsidRDefault="004E102F" w:rsidP="004E102F">
      <w:pPr>
        <w:rPr>
          <w:lang w:val="es-VE"/>
        </w:rPr>
      </w:pPr>
    </w:p>
    <w:p w:rsidR="00B13B48" w:rsidRPr="007F3D68" w:rsidRDefault="00B13B48" w:rsidP="00B13B4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lang w:val="es-ES"/>
        </w:rPr>
      </w:pPr>
      <w:r w:rsidRPr="007F3D68">
        <w:rPr>
          <w:rFonts w:ascii="Cambria" w:hAnsi="Cambria"/>
          <w:sz w:val="20"/>
          <w:szCs w:val="20"/>
          <w:lang w:val="es-CO"/>
        </w:rPr>
        <w:t>Como se indicó, la CIDH adoptó su informe de admisibilidad 24/04 el 26 de febrero de 2004, y con posterioridad recibió información sobre la supuesta ejecución extrajudicial de la presunta víctima en 2006, y por ende, resulta necesario analizar la admisibilidad de los alegatos relacionados con ese hecho.</w:t>
      </w:r>
    </w:p>
    <w:p w:rsidR="00B13B48" w:rsidRPr="007F3D68" w:rsidRDefault="00B13B48" w:rsidP="00B13B48">
      <w:pPr>
        <w:rPr>
          <w:lang w:val="es-ES"/>
        </w:rPr>
      </w:pPr>
    </w:p>
    <w:p w:rsidR="009C3C33" w:rsidRPr="007F3D68" w:rsidRDefault="009C3C33" w:rsidP="007B70F7">
      <w:pPr>
        <w:pStyle w:val="Heading2"/>
        <w:keepNext w:val="0"/>
        <w:numPr>
          <w:ilvl w:val="0"/>
          <w:numId w:val="61"/>
        </w:numPr>
        <w:pBdr>
          <w:top w:val="nil"/>
          <w:left w:val="nil"/>
          <w:bottom w:val="nil"/>
          <w:right w:val="nil"/>
          <w:between w:val="nil"/>
          <w:bar w:val="nil"/>
        </w:pBdr>
        <w:ind w:left="1440" w:hanging="720"/>
        <w:rPr>
          <w:color w:val="000000"/>
          <w:lang w:val="es-ES"/>
        </w:rPr>
      </w:pPr>
      <w:bookmarkStart w:id="43" w:name="_Toc495479533"/>
      <w:r w:rsidRPr="007F3D68">
        <w:rPr>
          <w:lang w:val="es-ES"/>
        </w:rPr>
        <w:t xml:space="preserve">Competencia </w:t>
      </w:r>
      <w:proofErr w:type="spellStart"/>
      <w:r w:rsidRPr="007F3D68">
        <w:rPr>
          <w:i/>
          <w:lang w:val="es-ES"/>
        </w:rPr>
        <w:t>ratione</w:t>
      </w:r>
      <w:proofErr w:type="spellEnd"/>
      <w:r w:rsidRPr="007F3D68">
        <w:rPr>
          <w:i/>
        </w:rPr>
        <w:t xml:space="preserve"> </w:t>
      </w:r>
      <w:proofErr w:type="spellStart"/>
      <w:r w:rsidRPr="007F3D68">
        <w:rPr>
          <w:i/>
        </w:rPr>
        <w:t>materiae</w:t>
      </w:r>
      <w:proofErr w:type="spellEnd"/>
      <w:r w:rsidRPr="007F3D68">
        <w:t xml:space="preserve">, </w:t>
      </w:r>
      <w:proofErr w:type="spellStart"/>
      <w:r w:rsidRPr="007F3D68">
        <w:rPr>
          <w:i/>
        </w:rPr>
        <w:t>ratione</w:t>
      </w:r>
      <w:proofErr w:type="spellEnd"/>
      <w:r w:rsidRPr="007F3D68">
        <w:rPr>
          <w:i/>
        </w:rPr>
        <w:t xml:space="preserve"> </w:t>
      </w:r>
      <w:proofErr w:type="spellStart"/>
      <w:r w:rsidRPr="007F3D68">
        <w:rPr>
          <w:i/>
        </w:rPr>
        <w:t>personae</w:t>
      </w:r>
      <w:proofErr w:type="spellEnd"/>
      <w:r w:rsidRPr="007F3D68">
        <w:t xml:space="preserve">, </w:t>
      </w:r>
      <w:proofErr w:type="spellStart"/>
      <w:r w:rsidRPr="007F3D68">
        <w:rPr>
          <w:i/>
        </w:rPr>
        <w:t>ratione</w:t>
      </w:r>
      <w:proofErr w:type="spellEnd"/>
      <w:r w:rsidRPr="007F3D68">
        <w:rPr>
          <w:i/>
        </w:rPr>
        <w:t xml:space="preserve"> </w:t>
      </w:r>
      <w:proofErr w:type="spellStart"/>
      <w:r w:rsidRPr="007F3D68">
        <w:rPr>
          <w:i/>
        </w:rPr>
        <w:t>temporis</w:t>
      </w:r>
      <w:proofErr w:type="spellEnd"/>
      <w:r w:rsidRPr="007F3D68">
        <w:t xml:space="preserve"> y </w:t>
      </w:r>
      <w:proofErr w:type="spellStart"/>
      <w:r w:rsidRPr="007F3D68">
        <w:rPr>
          <w:i/>
        </w:rPr>
        <w:t>ratione</w:t>
      </w:r>
      <w:proofErr w:type="spellEnd"/>
      <w:r w:rsidRPr="007F3D68">
        <w:rPr>
          <w:i/>
        </w:rPr>
        <w:t xml:space="preserve"> </w:t>
      </w:r>
      <w:proofErr w:type="spellStart"/>
      <w:r w:rsidRPr="007F3D68">
        <w:rPr>
          <w:i/>
        </w:rPr>
        <w:t>loci</w:t>
      </w:r>
      <w:proofErr w:type="spellEnd"/>
      <w:r w:rsidRPr="007F3D68">
        <w:t xml:space="preserve"> de la  Comisión</w:t>
      </w:r>
      <w:bookmarkEnd w:id="39"/>
      <w:bookmarkEnd w:id="40"/>
      <w:bookmarkEnd w:id="41"/>
      <w:bookmarkEnd w:id="42"/>
      <w:bookmarkEnd w:id="43"/>
      <w:r w:rsidRPr="007F3D68">
        <w:rPr>
          <w:color w:val="000000"/>
          <w:lang w:val="es-ES"/>
        </w:rPr>
        <w:t xml:space="preserve"> </w:t>
      </w:r>
    </w:p>
    <w:p w:rsidR="009C3C33" w:rsidRPr="007F3D68" w:rsidRDefault="009C3C33" w:rsidP="0039344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FD0360" w:rsidRPr="007F3D68" w:rsidRDefault="009C3C33" w:rsidP="00FD036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CO"/>
        </w:rPr>
      </w:pPr>
      <w:r w:rsidRPr="007F3D68">
        <w:rPr>
          <w:rFonts w:ascii="Cambria" w:hAnsi="Cambria"/>
          <w:sz w:val="20"/>
          <w:szCs w:val="20"/>
          <w:lang w:val="es-CO"/>
        </w:rPr>
        <w:t xml:space="preserve">Los peticionarios se encuentran facultados por el artículo 44 de la Convención Americana para presentar denuncias. Asimismo, las presuntas víctimas son personas naturales que se encontraban bajo la jurisdicción del Estado </w:t>
      </w:r>
      <w:r w:rsidR="00002210" w:rsidRPr="007F3D68">
        <w:rPr>
          <w:rFonts w:ascii="Cambria" w:hAnsi="Cambria"/>
          <w:sz w:val="20"/>
          <w:szCs w:val="20"/>
          <w:lang w:val="es-CO"/>
        </w:rPr>
        <w:t>guatemalteco</w:t>
      </w:r>
      <w:r w:rsidRPr="007F3D68">
        <w:rPr>
          <w:rFonts w:ascii="Cambria" w:hAnsi="Cambria"/>
          <w:sz w:val="20"/>
          <w:szCs w:val="20"/>
          <w:lang w:val="es-CO"/>
        </w:rPr>
        <w:t xml:space="preserve"> a la fecha de los hechos aducidos. En consecuencia, la Comisión tiene competencia </w:t>
      </w:r>
      <w:r w:rsidRPr="007F3D68">
        <w:rPr>
          <w:rFonts w:ascii="Cambria" w:hAnsi="Cambria"/>
          <w:i/>
          <w:sz w:val="20"/>
          <w:szCs w:val="20"/>
          <w:lang w:val="es-CO"/>
        </w:rPr>
        <w:t>ratione personae</w:t>
      </w:r>
      <w:r w:rsidRPr="007F3D68">
        <w:rPr>
          <w:rFonts w:ascii="Cambria" w:hAnsi="Cambria"/>
          <w:sz w:val="20"/>
          <w:szCs w:val="20"/>
          <w:lang w:val="es-CO"/>
        </w:rPr>
        <w:t xml:space="preserve"> para examinar la petición. La Comisión tiene competencia </w:t>
      </w:r>
      <w:r w:rsidRPr="007F3D68">
        <w:rPr>
          <w:rFonts w:ascii="Cambria" w:hAnsi="Cambria"/>
          <w:i/>
          <w:sz w:val="20"/>
          <w:szCs w:val="20"/>
          <w:lang w:val="es-CO"/>
        </w:rPr>
        <w:t>ratione loci</w:t>
      </w:r>
      <w:r w:rsidRPr="007F3D68">
        <w:rPr>
          <w:rFonts w:ascii="Cambria" w:hAnsi="Cambria"/>
          <w:sz w:val="20"/>
          <w:szCs w:val="20"/>
          <w:lang w:val="es-CO"/>
        </w:rPr>
        <w:t xml:space="preserve"> para conocer la petición, por cuanto en ella se alegan violaciones de la Convención Americana que habrían tenido lugar dentro del territorio de un Estado parte de dicho tratado. La CIDH tiene competencia </w:t>
      </w:r>
      <w:r w:rsidRPr="007F3D68">
        <w:rPr>
          <w:rFonts w:ascii="Cambria" w:hAnsi="Cambria"/>
          <w:i/>
          <w:sz w:val="20"/>
          <w:szCs w:val="20"/>
          <w:lang w:val="es-CO"/>
        </w:rPr>
        <w:t>ratione materiae</w:t>
      </w:r>
      <w:r w:rsidRPr="007F3D68">
        <w:rPr>
          <w:rFonts w:ascii="Cambria" w:hAnsi="Cambria"/>
          <w:sz w:val="20"/>
          <w:szCs w:val="20"/>
          <w:lang w:val="es-CO"/>
        </w:rPr>
        <w:t xml:space="preserve"> debido a que la petición se refiere a presuntas violacio</w:t>
      </w:r>
      <w:r w:rsidR="00FD0360" w:rsidRPr="007F3D68">
        <w:rPr>
          <w:rFonts w:ascii="Cambria" w:hAnsi="Cambria"/>
          <w:sz w:val="20"/>
          <w:szCs w:val="20"/>
          <w:lang w:val="es-CO"/>
        </w:rPr>
        <w:t>nes de la Convención Americana.</w:t>
      </w:r>
    </w:p>
    <w:p w:rsidR="00FD0360" w:rsidRPr="007F3D68" w:rsidRDefault="00FD0360" w:rsidP="00FD036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rsidR="00C709D4" w:rsidRPr="007F3D68" w:rsidRDefault="003A7C0D" w:rsidP="00B13B4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CO"/>
        </w:rPr>
      </w:pPr>
      <w:r w:rsidRPr="007F3D68">
        <w:rPr>
          <w:rFonts w:ascii="Cambria" w:hAnsi="Cambria" w:cs="Calibri"/>
          <w:sz w:val="20"/>
          <w:szCs w:val="20"/>
          <w:lang w:val="es-MX"/>
        </w:rPr>
        <w:t xml:space="preserve"> Finalmente, l</w:t>
      </w:r>
      <w:r w:rsidRPr="007F3D68">
        <w:rPr>
          <w:rFonts w:ascii="Cambria" w:hAnsi="Cambria" w:cs="Calibri"/>
          <w:sz w:val="20"/>
          <w:szCs w:val="20"/>
          <w:lang w:val="es-VE"/>
        </w:rPr>
        <w:t xml:space="preserve">a Comisión también tiene competencia </w:t>
      </w:r>
      <w:r w:rsidRPr="007F3D68">
        <w:rPr>
          <w:rFonts w:ascii="Cambria" w:hAnsi="Cambria" w:cs="Calibri"/>
          <w:i/>
          <w:sz w:val="20"/>
          <w:szCs w:val="20"/>
          <w:lang w:val="es-VE"/>
        </w:rPr>
        <w:t>ratione temporis</w:t>
      </w:r>
      <w:r w:rsidR="00DA391E" w:rsidRPr="007F3D68">
        <w:rPr>
          <w:rFonts w:ascii="Cambria" w:hAnsi="Cambria" w:cs="Calibri"/>
          <w:i/>
          <w:sz w:val="20"/>
          <w:szCs w:val="20"/>
          <w:lang w:val="es-VE"/>
        </w:rPr>
        <w:t>,</w:t>
      </w:r>
      <w:r w:rsidR="00D37BBE" w:rsidRPr="007F3D68">
        <w:rPr>
          <w:rFonts w:ascii="Cambria" w:hAnsi="Cambria" w:cs="Calibri"/>
          <w:sz w:val="20"/>
          <w:szCs w:val="20"/>
          <w:lang w:val="es-VE"/>
        </w:rPr>
        <w:t xml:space="preserve"> pues Guatemala</w:t>
      </w:r>
      <w:r w:rsidRPr="007F3D68">
        <w:rPr>
          <w:rFonts w:ascii="Cambria" w:hAnsi="Cambria" w:cs="Calibri"/>
          <w:sz w:val="20"/>
          <w:szCs w:val="20"/>
          <w:lang w:val="es-VE"/>
        </w:rPr>
        <w:t xml:space="preserve"> ratificó la Convenc</w:t>
      </w:r>
      <w:r w:rsidR="00D37BBE" w:rsidRPr="007F3D68">
        <w:rPr>
          <w:rFonts w:ascii="Cambria" w:hAnsi="Cambria" w:cs="Calibri"/>
          <w:sz w:val="20"/>
          <w:szCs w:val="20"/>
          <w:lang w:val="es-VE"/>
        </w:rPr>
        <w:t>ión Americana el 2</w:t>
      </w:r>
      <w:r w:rsidR="006D7C4C" w:rsidRPr="007F3D68">
        <w:rPr>
          <w:rFonts w:ascii="Cambria" w:hAnsi="Cambria" w:cs="Calibri"/>
          <w:sz w:val="20"/>
          <w:szCs w:val="20"/>
          <w:lang w:val="es-VE"/>
        </w:rPr>
        <w:t>5</w:t>
      </w:r>
      <w:r w:rsidRPr="007F3D68">
        <w:rPr>
          <w:rFonts w:ascii="Cambria" w:hAnsi="Cambria" w:cs="Calibri"/>
          <w:sz w:val="20"/>
          <w:szCs w:val="20"/>
          <w:lang w:val="es-VE"/>
        </w:rPr>
        <w:t xml:space="preserve"> de </w:t>
      </w:r>
      <w:r w:rsidR="006D7C4C" w:rsidRPr="007F3D68">
        <w:rPr>
          <w:rFonts w:ascii="Cambria" w:hAnsi="Cambria" w:cs="Calibri"/>
          <w:sz w:val="20"/>
          <w:szCs w:val="20"/>
          <w:lang w:val="es-VE"/>
        </w:rPr>
        <w:t>mayo</w:t>
      </w:r>
      <w:r w:rsidR="000D1743" w:rsidRPr="007F3D68">
        <w:rPr>
          <w:rFonts w:ascii="Cambria" w:hAnsi="Cambria" w:cs="Calibri"/>
          <w:sz w:val="20"/>
          <w:szCs w:val="20"/>
          <w:lang w:val="es-VE"/>
        </w:rPr>
        <w:t xml:space="preserve"> de 1978</w:t>
      </w:r>
      <w:r w:rsidR="00C709D4" w:rsidRPr="007F3D68">
        <w:rPr>
          <w:rFonts w:ascii="Cambria" w:hAnsi="Cambria"/>
          <w:sz w:val="20"/>
          <w:szCs w:val="20"/>
          <w:lang w:val="es-CO"/>
        </w:rPr>
        <w:t>. Por lo tanto</w:t>
      </w:r>
      <w:r w:rsidR="00926B86" w:rsidRPr="007F3D68">
        <w:rPr>
          <w:rFonts w:ascii="Cambria" w:hAnsi="Cambria"/>
          <w:sz w:val="20"/>
          <w:szCs w:val="20"/>
          <w:lang w:val="es-CO"/>
        </w:rPr>
        <w:t>,</w:t>
      </w:r>
      <w:r w:rsidR="00C709D4" w:rsidRPr="007F3D68">
        <w:rPr>
          <w:rFonts w:ascii="Cambria" w:hAnsi="Cambria"/>
          <w:sz w:val="20"/>
          <w:szCs w:val="20"/>
          <w:lang w:val="es-CO"/>
        </w:rPr>
        <w:t xml:space="preserve"> la obligación de respetar y garantizar</w:t>
      </w:r>
      <w:r w:rsidR="000D1743" w:rsidRPr="007F3D68">
        <w:rPr>
          <w:rFonts w:ascii="Cambria" w:hAnsi="Cambria"/>
          <w:sz w:val="20"/>
          <w:szCs w:val="20"/>
          <w:lang w:val="es-CO"/>
        </w:rPr>
        <w:t xml:space="preserve"> los derechos establecidos en dicho tratado</w:t>
      </w:r>
      <w:r w:rsidR="00C709D4" w:rsidRPr="007F3D68">
        <w:rPr>
          <w:rFonts w:ascii="Cambria" w:hAnsi="Cambria"/>
          <w:sz w:val="20"/>
          <w:szCs w:val="20"/>
          <w:lang w:val="es-CO"/>
        </w:rPr>
        <w:t xml:space="preserve"> estaba en vigor para el Estado en la fecha </w:t>
      </w:r>
      <w:r w:rsidR="00926B86" w:rsidRPr="007F3D68">
        <w:rPr>
          <w:rFonts w:ascii="Cambria" w:hAnsi="Cambria"/>
          <w:sz w:val="20"/>
          <w:szCs w:val="20"/>
          <w:lang w:val="es-CO"/>
        </w:rPr>
        <w:t xml:space="preserve">en </w:t>
      </w:r>
      <w:r w:rsidR="00C709D4" w:rsidRPr="007F3D68">
        <w:rPr>
          <w:rFonts w:ascii="Cambria" w:hAnsi="Cambria"/>
          <w:sz w:val="20"/>
          <w:szCs w:val="20"/>
          <w:lang w:val="es-CO"/>
        </w:rPr>
        <w:t>que habrían ocurrido los hechos.</w:t>
      </w:r>
    </w:p>
    <w:p w:rsidR="00DC6667" w:rsidRPr="007F3D68" w:rsidRDefault="00DC6667" w:rsidP="0039344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9809FF" w:rsidRPr="007F3D68" w:rsidRDefault="00D37BBE" w:rsidP="007B70F7">
      <w:pPr>
        <w:pStyle w:val="Heading2"/>
        <w:keepNext w:val="0"/>
        <w:numPr>
          <w:ilvl w:val="0"/>
          <w:numId w:val="61"/>
        </w:numPr>
        <w:pBdr>
          <w:top w:val="nil"/>
          <w:left w:val="nil"/>
          <w:bottom w:val="nil"/>
          <w:right w:val="nil"/>
          <w:between w:val="nil"/>
          <w:bar w:val="nil"/>
        </w:pBdr>
        <w:ind w:left="1440" w:hanging="720"/>
        <w:rPr>
          <w:lang w:val="es-ES"/>
        </w:rPr>
      </w:pPr>
      <w:bookmarkStart w:id="44" w:name="_Toc413687817"/>
      <w:bookmarkStart w:id="45" w:name="_Toc447208869"/>
      <w:bookmarkStart w:id="46" w:name="_Toc447213175"/>
      <w:bookmarkStart w:id="47" w:name="_Toc475546042"/>
      <w:bookmarkStart w:id="48" w:name="_Toc495479534"/>
      <w:r w:rsidRPr="007F3D68">
        <w:rPr>
          <w:lang w:val="es-ES"/>
        </w:rPr>
        <w:t>Requisitos de admisibilidad</w:t>
      </w:r>
      <w:bookmarkEnd w:id="44"/>
      <w:bookmarkEnd w:id="45"/>
      <w:bookmarkEnd w:id="46"/>
      <w:bookmarkEnd w:id="47"/>
      <w:bookmarkEnd w:id="48"/>
    </w:p>
    <w:p w:rsidR="00DD3EF7" w:rsidRPr="007F3D68" w:rsidRDefault="00DD3EF7" w:rsidP="00DD3EF7">
      <w:pPr>
        <w:rPr>
          <w:lang w:val="es-ES"/>
        </w:rPr>
      </w:pPr>
    </w:p>
    <w:p w:rsidR="009809FF" w:rsidRPr="007F3D68" w:rsidRDefault="009809FF" w:rsidP="009809FF">
      <w:pPr>
        <w:pStyle w:val="Heading3"/>
        <w:keepNext w:val="0"/>
        <w:keepLines w:val="0"/>
        <w:numPr>
          <w:ilvl w:val="1"/>
          <w:numId w:val="55"/>
        </w:numPr>
        <w:tabs>
          <w:tab w:val="clear" w:pos="1800"/>
        </w:tabs>
        <w:spacing w:before="0"/>
        <w:ind w:left="1440" w:hanging="720"/>
        <w:jc w:val="both"/>
        <w:rPr>
          <w:rFonts w:ascii="Cambria" w:eastAsia="Times New Roman" w:hAnsi="Cambria" w:cs="Arial"/>
          <w:color w:val="auto"/>
          <w:sz w:val="20"/>
          <w:szCs w:val="20"/>
          <w:bdr w:val="none" w:sz="0" w:space="0" w:color="auto"/>
          <w:lang w:val="es-VE"/>
        </w:rPr>
      </w:pPr>
      <w:bookmarkStart w:id="49" w:name="_Toc413687818"/>
      <w:bookmarkStart w:id="50" w:name="_Toc447208870"/>
      <w:bookmarkStart w:id="51" w:name="_Toc447213176"/>
      <w:bookmarkStart w:id="52" w:name="_Toc475546043"/>
      <w:bookmarkStart w:id="53" w:name="_Toc495479535"/>
      <w:r w:rsidRPr="007F3D68">
        <w:rPr>
          <w:rFonts w:ascii="Cambria" w:eastAsia="Times New Roman" w:hAnsi="Cambria" w:cs="Arial"/>
          <w:color w:val="auto"/>
          <w:sz w:val="20"/>
          <w:szCs w:val="20"/>
          <w:bdr w:val="none" w:sz="0" w:space="0" w:color="auto"/>
          <w:lang w:val="es-VE"/>
        </w:rPr>
        <w:t>Agotamiento de los recursos internos</w:t>
      </w:r>
      <w:bookmarkEnd w:id="49"/>
      <w:bookmarkEnd w:id="50"/>
      <w:bookmarkEnd w:id="51"/>
      <w:bookmarkEnd w:id="52"/>
      <w:r w:rsidR="00170EC8" w:rsidRPr="007F3D68">
        <w:rPr>
          <w:rFonts w:ascii="Cambria" w:eastAsia="Times New Roman" w:hAnsi="Cambria" w:cs="Arial"/>
          <w:color w:val="auto"/>
          <w:sz w:val="20"/>
          <w:szCs w:val="20"/>
          <w:bdr w:val="none" w:sz="0" w:space="0" w:color="auto"/>
          <w:lang w:val="es-VE"/>
        </w:rPr>
        <w:t xml:space="preserve"> y plazo de presentación</w:t>
      </w:r>
      <w:bookmarkEnd w:id="53"/>
      <w:r w:rsidR="00170EC8" w:rsidRPr="007F3D68">
        <w:rPr>
          <w:rFonts w:ascii="Cambria" w:eastAsia="Times New Roman" w:hAnsi="Cambria" w:cs="Arial"/>
          <w:color w:val="auto"/>
          <w:sz w:val="20"/>
          <w:szCs w:val="20"/>
          <w:bdr w:val="none" w:sz="0" w:space="0" w:color="auto"/>
          <w:lang w:val="es-VE"/>
        </w:rPr>
        <w:t xml:space="preserve"> </w:t>
      </w:r>
    </w:p>
    <w:p w:rsidR="00B95EE0" w:rsidRPr="007F3D68" w:rsidRDefault="00B95EE0" w:rsidP="00B95EE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MX"/>
        </w:rPr>
      </w:pPr>
    </w:p>
    <w:p w:rsidR="004E102F" w:rsidRPr="007F3D68" w:rsidRDefault="00C9741F" w:rsidP="007F3D6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cs="Calibri"/>
          <w:sz w:val="20"/>
          <w:szCs w:val="20"/>
          <w:lang w:val="es-MX"/>
        </w:rPr>
      </w:pPr>
      <w:r w:rsidRPr="007F3D68">
        <w:rPr>
          <w:rFonts w:ascii="Cambria" w:hAnsi="Cambria" w:cs="Calibri"/>
          <w:sz w:val="20"/>
          <w:szCs w:val="20"/>
          <w:lang w:val="es-VE"/>
        </w:rPr>
        <w:t xml:space="preserve">La Comisión observa que </w:t>
      </w:r>
      <w:r w:rsidR="00316487" w:rsidRPr="007F3D68">
        <w:rPr>
          <w:rFonts w:ascii="Cambria" w:hAnsi="Cambria" w:cs="Calibri"/>
          <w:sz w:val="20"/>
          <w:szCs w:val="20"/>
          <w:lang w:val="es-VE"/>
        </w:rPr>
        <w:t>los peticionarios denunciaron la violación al derecho a la vida en virtud de su supuesta ejecución extrajudicial, ocurrida el</w:t>
      </w:r>
      <w:r w:rsidR="00DF077E" w:rsidRPr="007F3D68">
        <w:rPr>
          <w:rFonts w:ascii="Cambria" w:hAnsi="Cambria" w:cs="Calibri"/>
          <w:sz w:val="20"/>
          <w:szCs w:val="20"/>
          <w:lang w:val="es-VE"/>
        </w:rPr>
        <w:t xml:space="preserve"> 22 de octubre de</w:t>
      </w:r>
      <w:r w:rsidR="00316487" w:rsidRPr="007F3D68">
        <w:rPr>
          <w:rFonts w:ascii="Cambria" w:hAnsi="Cambria" w:cs="Calibri"/>
          <w:sz w:val="20"/>
          <w:szCs w:val="20"/>
          <w:lang w:val="es-VE"/>
        </w:rPr>
        <w:t xml:space="preserve"> </w:t>
      </w:r>
      <w:r w:rsidR="00E47E60" w:rsidRPr="007F3D68">
        <w:rPr>
          <w:rFonts w:ascii="Cambria" w:hAnsi="Cambria" w:cs="Calibri"/>
          <w:sz w:val="20"/>
          <w:szCs w:val="20"/>
          <w:lang w:val="es-VE"/>
        </w:rPr>
        <w:t>2005</w:t>
      </w:r>
      <w:r w:rsidR="0083217D" w:rsidRPr="007F3D68">
        <w:rPr>
          <w:rFonts w:ascii="Cambria" w:hAnsi="Cambria" w:cs="Calibri"/>
          <w:sz w:val="20"/>
          <w:szCs w:val="20"/>
          <w:lang w:val="es-VE"/>
        </w:rPr>
        <w:t>.</w:t>
      </w:r>
      <w:r w:rsidR="002133A4" w:rsidRPr="007F3D68">
        <w:rPr>
          <w:rFonts w:ascii="Cambria" w:hAnsi="Cambria" w:cs="Calibri"/>
          <w:sz w:val="20"/>
          <w:szCs w:val="20"/>
          <w:lang w:val="es-VE"/>
        </w:rPr>
        <w:t xml:space="preserve"> </w:t>
      </w:r>
      <w:r w:rsidR="00316487" w:rsidRPr="007F3D68">
        <w:rPr>
          <w:rFonts w:ascii="Cambria" w:hAnsi="Cambria" w:cs="Calibri"/>
          <w:sz w:val="20"/>
          <w:szCs w:val="20"/>
          <w:lang w:val="es-VE"/>
        </w:rPr>
        <w:t>El Estado negó que la presunta víctima hay</w:t>
      </w:r>
      <w:r w:rsidR="00B600F4" w:rsidRPr="007F3D68">
        <w:rPr>
          <w:rFonts w:ascii="Cambria" w:hAnsi="Cambria" w:cs="Calibri"/>
          <w:sz w:val="20"/>
          <w:szCs w:val="20"/>
          <w:lang w:val="es-VE"/>
        </w:rPr>
        <w:t>a</w:t>
      </w:r>
      <w:r w:rsidR="00316487" w:rsidRPr="007F3D68">
        <w:rPr>
          <w:rFonts w:ascii="Cambria" w:hAnsi="Cambria" w:cs="Calibri"/>
          <w:sz w:val="20"/>
          <w:szCs w:val="20"/>
          <w:lang w:val="es-VE"/>
        </w:rPr>
        <w:t xml:space="preserve"> sido ejecutada </w:t>
      </w:r>
      <w:r w:rsidR="00E47E60" w:rsidRPr="007F3D68">
        <w:rPr>
          <w:rFonts w:ascii="Cambria" w:hAnsi="Cambria" w:cs="Calibri"/>
          <w:sz w:val="20"/>
          <w:szCs w:val="20"/>
          <w:lang w:val="es-VE"/>
        </w:rPr>
        <w:t xml:space="preserve">extrajudicialmente, y alegó la falta de agotamiento de los recursos </w:t>
      </w:r>
      <w:r w:rsidR="00E47E60" w:rsidRPr="007F3D68">
        <w:rPr>
          <w:rFonts w:ascii="Cambria" w:hAnsi="Cambria" w:cs="Calibri"/>
          <w:sz w:val="20"/>
          <w:szCs w:val="20"/>
          <w:lang w:val="es-VE"/>
        </w:rPr>
        <w:lastRenderedPageBreak/>
        <w:t xml:space="preserve">internos ya que se encuentra en curso una investigación penal relacionada con la muerte de la presunta víctima. </w:t>
      </w:r>
    </w:p>
    <w:p w:rsidR="00E47E60" w:rsidRPr="007F3D68" w:rsidRDefault="00E47E60" w:rsidP="00E47E6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cs="Calibri"/>
          <w:sz w:val="20"/>
          <w:szCs w:val="20"/>
          <w:lang w:val="es-MX"/>
        </w:rPr>
      </w:pPr>
      <w:r w:rsidRPr="007F3D68">
        <w:rPr>
          <w:rFonts w:ascii="Cambria" w:hAnsi="Cambria" w:cs="Calibri"/>
          <w:sz w:val="20"/>
          <w:szCs w:val="20"/>
          <w:lang w:val="es-MX"/>
        </w:rPr>
        <w:t xml:space="preserve">La Comisión </w:t>
      </w:r>
      <w:r w:rsidR="0083217D" w:rsidRPr="007F3D68">
        <w:rPr>
          <w:rFonts w:ascii="Cambria" w:hAnsi="Cambria" w:cs="Calibri"/>
          <w:sz w:val="20"/>
          <w:szCs w:val="20"/>
          <w:lang w:val="es-MX"/>
        </w:rPr>
        <w:t>observa que transcurridos más de 11 años desde</w:t>
      </w:r>
      <w:r w:rsidR="00B600F4" w:rsidRPr="007F3D68">
        <w:rPr>
          <w:rFonts w:ascii="Cambria" w:hAnsi="Cambria" w:cs="Calibri"/>
          <w:sz w:val="20"/>
          <w:szCs w:val="20"/>
          <w:lang w:val="es-MX"/>
        </w:rPr>
        <w:t xml:space="preserve"> la alega</w:t>
      </w:r>
      <w:r w:rsidR="00055BEE" w:rsidRPr="007F3D68">
        <w:rPr>
          <w:rFonts w:ascii="Cambria" w:hAnsi="Cambria" w:cs="Calibri"/>
          <w:sz w:val="20"/>
          <w:szCs w:val="20"/>
          <w:lang w:val="es-MX"/>
        </w:rPr>
        <w:t>da ejecución extrajudicial el 8</w:t>
      </w:r>
      <w:r w:rsidR="00B600F4" w:rsidRPr="007F3D68">
        <w:rPr>
          <w:rFonts w:ascii="Cambria" w:hAnsi="Cambria" w:cs="Calibri"/>
          <w:sz w:val="20"/>
          <w:szCs w:val="20"/>
          <w:lang w:val="es-MX"/>
        </w:rPr>
        <w:t xml:space="preserve"> de </w:t>
      </w:r>
      <w:r w:rsidR="00055BEE" w:rsidRPr="007F3D68">
        <w:rPr>
          <w:rFonts w:ascii="Cambria" w:hAnsi="Cambria" w:cs="Calibri"/>
          <w:sz w:val="20"/>
          <w:szCs w:val="20"/>
          <w:lang w:val="es-MX"/>
        </w:rPr>
        <w:t>diciembre de 2006</w:t>
      </w:r>
      <w:r w:rsidR="00B600F4" w:rsidRPr="007F3D68">
        <w:rPr>
          <w:rFonts w:ascii="Cambria" w:hAnsi="Cambria" w:cs="Calibri"/>
          <w:sz w:val="20"/>
          <w:szCs w:val="20"/>
          <w:lang w:val="es-MX"/>
        </w:rPr>
        <w:t xml:space="preserve">, </w:t>
      </w:r>
      <w:r w:rsidR="0083217D" w:rsidRPr="007F3D68">
        <w:rPr>
          <w:rFonts w:ascii="Cambria" w:hAnsi="Cambria" w:cs="Calibri"/>
          <w:sz w:val="20"/>
          <w:szCs w:val="20"/>
          <w:lang w:val="es-MX"/>
        </w:rPr>
        <w:t>según información aportada por el Estado, la investigación continúa en “fase investigativa”</w:t>
      </w:r>
      <w:r w:rsidR="00B600F4" w:rsidRPr="007F3D68">
        <w:rPr>
          <w:rFonts w:ascii="Cambria" w:hAnsi="Cambria" w:cs="Calibri"/>
          <w:sz w:val="20"/>
          <w:szCs w:val="20"/>
          <w:lang w:val="es-MX"/>
        </w:rPr>
        <w:t xml:space="preserve">, por lo que no se han esclarecido judicialmente los hechos ni establecido las </w:t>
      </w:r>
      <w:r w:rsidR="00055BEE" w:rsidRPr="007F3D68">
        <w:rPr>
          <w:rFonts w:ascii="Cambria" w:hAnsi="Cambria" w:cs="Calibri"/>
          <w:sz w:val="20"/>
          <w:szCs w:val="20"/>
          <w:lang w:val="es-MX"/>
        </w:rPr>
        <w:t>posibles</w:t>
      </w:r>
      <w:r w:rsidR="00B600F4" w:rsidRPr="007F3D68">
        <w:rPr>
          <w:rFonts w:ascii="Cambria" w:hAnsi="Cambria" w:cs="Calibri"/>
          <w:sz w:val="20"/>
          <w:szCs w:val="20"/>
          <w:lang w:val="es-MX"/>
        </w:rPr>
        <w:t xml:space="preserve"> responsabilidades. </w:t>
      </w:r>
      <w:r w:rsidR="0083217D" w:rsidRPr="007F3D68">
        <w:rPr>
          <w:rFonts w:ascii="Cambria" w:hAnsi="Cambria" w:cs="Calibri"/>
          <w:sz w:val="20"/>
          <w:szCs w:val="20"/>
          <w:lang w:val="es-MX"/>
        </w:rPr>
        <w:t>Ante la duración de</w:t>
      </w:r>
      <w:r w:rsidR="00B600F4" w:rsidRPr="007F3D68">
        <w:rPr>
          <w:rFonts w:ascii="Cambria" w:hAnsi="Cambria" w:cs="Calibri"/>
          <w:sz w:val="20"/>
          <w:szCs w:val="20"/>
          <w:lang w:val="es-MX"/>
        </w:rPr>
        <w:t xml:space="preserve"> </w:t>
      </w:r>
      <w:r w:rsidR="0083217D" w:rsidRPr="007F3D68">
        <w:rPr>
          <w:rFonts w:ascii="Cambria" w:hAnsi="Cambria" w:cs="Calibri"/>
          <w:sz w:val="20"/>
          <w:szCs w:val="20"/>
          <w:lang w:val="es-MX"/>
        </w:rPr>
        <w:t>l</w:t>
      </w:r>
      <w:r w:rsidR="00B600F4" w:rsidRPr="007F3D68">
        <w:rPr>
          <w:rFonts w:ascii="Cambria" w:hAnsi="Cambria" w:cs="Calibri"/>
          <w:sz w:val="20"/>
          <w:szCs w:val="20"/>
          <w:lang w:val="es-MX"/>
        </w:rPr>
        <w:t xml:space="preserve">a investigación - que no ha sido justificada por el Estado - </w:t>
      </w:r>
      <w:r w:rsidR="0083217D" w:rsidRPr="007F3D68">
        <w:rPr>
          <w:rFonts w:ascii="Cambria" w:hAnsi="Cambria" w:cs="Calibri"/>
          <w:sz w:val="20"/>
          <w:szCs w:val="20"/>
          <w:lang w:val="es-MX"/>
        </w:rPr>
        <w:t xml:space="preserve">y tomando en cuenta  la obligación </w:t>
      </w:r>
      <w:r w:rsidR="00B600F4" w:rsidRPr="007F3D68">
        <w:rPr>
          <w:rFonts w:ascii="Cambria" w:hAnsi="Cambria" w:cs="Calibri"/>
          <w:sz w:val="20"/>
          <w:szCs w:val="20"/>
          <w:lang w:val="es-MX"/>
        </w:rPr>
        <w:t xml:space="preserve">estatal de investigar </w:t>
      </w:r>
      <w:r w:rsidR="0083217D" w:rsidRPr="007F3D68">
        <w:rPr>
          <w:rFonts w:ascii="Cambria" w:hAnsi="Cambria" w:cs="Calibri"/>
          <w:i/>
          <w:sz w:val="20"/>
          <w:szCs w:val="20"/>
          <w:lang w:val="es-MX"/>
        </w:rPr>
        <w:t xml:space="preserve">ex </w:t>
      </w:r>
      <w:proofErr w:type="spellStart"/>
      <w:r w:rsidR="0083217D" w:rsidRPr="007F3D68">
        <w:rPr>
          <w:rFonts w:ascii="Cambria" w:hAnsi="Cambria" w:cs="Calibri"/>
          <w:i/>
          <w:sz w:val="20"/>
          <w:szCs w:val="20"/>
          <w:lang w:val="es-MX"/>
        </w:rPr>
        <w:t>officio</w:t>
      </w:r>
      <w:proofErr w:type="spellEnd"/>
      <w:r w:rsidR="0083217D" w:rsidRPr="007F3D68">
        <w:rPr>
          <w:rFonts w:ascii="Cambria" w:hAnsi="Cambria" w:cs="Calibri"/>
          <w:sz w:val="20"/>
          <w:szCs w:val="20"/>
          <w:lang w:val="es-MX"/>
        </w:rPr>
        <w:t xml:space="preserve"> </w:t>
      </w:r>
      <w:r w:rsidR="00055BEE" w:rsidRPr="007F3D68">
        <w:rPr>
          <w:rFonts w:ascii="Cambria" w:hAnsi="Cambria" w:cs="Calibri"/>
          <w:sz w:val="20"/>
          <w:szCs w:val="20"/>
          <w:lang w:val="es-MX"/>
        </w:rPr>
        <w:t xml:space="preserve">presuntas </w:t>
      </w:r>
      <w:r w:rsidR="00B600F4" w:rsidRPr="007F3D68">
        <w:rPr>
          <w:rFonts w:ascii="Cambria" w:hAnsi="Cambria" w:cs="Calibri"/>
          <w:sz w:val="20"/>
          <w:szCs w:val="20"/>
          <w:lang w:val="es-MX"/>
        </w:rPr>
        <w:t>violaciones como las denunciadas</w:t>
      </w:r>
      <w:r w:rsidR="0083217D" w:rsidRPr="007F3D68">
        <w:rPr>
          <w:rFonts w:ascii="Cambria" w:hAnsi="Cambria" w:cs="Calibri"/>
          <w:sz w:val="20"/>
          <w:szCs w:val="20"/>
          <w:lang w:val="es-MX"/>
        </w:rPr>
        <w:t xml:space="preserve">, la CIDH considera que es aplicable la excepción al requisito de agotamiento prevista en el artículo 46.2.c de la Convención Americana. </w:t>
      </w:r>
    </w:p>
    <w:p w:rsidR="009E353E" w:rsidRPr="007F3D68" w:rsidRDefault="009E353E" w:rsidP="009E353E">
      <w:pPr>
        <w:pStyle w:val="ListParagraph"/>
        <w:rPr>
          <w:rFonts w:cs="Calibri"/>
          <w:sz w:val="20"/>
          <w:szCs w:val="20"/>
          <w:lang w:val="es-MX"/>
        </w:rPr>
      </w:pPr>
    </w:p>
    <w:p w:rsidR="009E353E" w:rsidRPr="007F3D68" w:rsidRDefault="009E353E" w:rsidP="009E353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cs="Calibri"/>
          <w:sz w:val="20"/>
          <w:szCs w:val="20"/>
          <w:lang w:val="es-VE"/>
        </w:rPr>
      </w:pPr>
      <w:r w:rsidRPr="007F3D68">
        <w:rPr>
          <w:rFonts w:ascii="Cambria" w:hAnsi="Cambria" w:cs="Calibri"/>
          <w:sz w:val="20"/>
          <w:szCs w:val="20"/>
          <w:lang w:val="es-MX"/>
        </w:rPr>
        <w:t>Por otra parte</w:t>
      </w:r>
      <w:r w:rsidR="00B600F4" w:rsidRPr="007F3D68">
        <w:rPr>
          <w:rFonts w:ascii="Cambria" w:hAnsi="Cambria" w:cs="Calibri"/>
          <w:sz w:val="20"/>
          <w:szCs w:val="20"/>
          <w:lang w:val="es-MX"/>
        </w:rPr>
        <w:t xml:space="preserve"> y en cuanto al plazo de presentación de la petición, </w:t>
      </w:r>
      <w:r w:rsidR="00B600F4" w:rsidRPr="007F3D68">
        <w:rPr>
          <w:rFonts w:asciiTheme="majorHAnsi" w:hAnsiTheme="majorHAnsi" w:cs="Calibri"/>
          <w:sz w:val="20"/>
          <w:szCs w:val="20"/>
          <w:lang w:val="es-VE"/>
        </w:rPr>
        <w:t>la Comisión recuerda que c</w:t>
      </w:r>
      <w:r w:rsidR="003316AF" w:rsidRPr="007F3D68">
        <w:rPr>
          <w:rFonts w:asciiTheme="majorHAnsi" w:hAnsiTheme="majorHAnsi" w:cs="Calibri"/>
          <w:sz w:val="20"/>
          <w:szCs w:val="20"/>
          <w:lang w:val="es-VE"/>
        </w:rPr>
        <w:t xml:space="preserve">onforme al artículo 32 del Reglamento de la Comisión en los casos en los cuales resulten aplicables las excepciones al previo agotamiento de los recursos internos, la petición deberá presentarse dentro de un plazo razonable  </w:t>
      </w:r>
    </w:p>
    <w:p w:rsidR="009E353E" w:rsidRPr="007F3D68" w:rsidRDefault="009E353E" w:rsidP="009E353E">
      <w:pPr>
        <w:pStyle w:val="ListParagraph"/>
        <w:rPr>
          <w:rFonts w:asciiTheme="majorHAnsi" w:hAnsiTheme="majorHAnsi" w:cs="Calibri"/>
          <w:sz w:val="20"/>
          <w:szCs w:val="20"/>
          <w:lang w:val="es-VE"/>
        </w:rPr>
      </w:pPr>
    </w:p>
    <w:p w:rsidR="007D2080" w:rsidRPr="007F3D68" w:rsidRDefault="009E353E" w:rsidP="00DD497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cs="Calibri"/>
          <w:sz w:val="20"/>
          <w:szCs w:val="20"/>
          <w:lang w:val="es-VE"/>
        </w:rPr>
      </w:pPr>
      <w:r w:rsidRPr="007F3D68">
        <w:rPr>
          <w:rFonts w:asciiTheme="majorHAnsi" w:hAnsiTheme="majorHAnsi" w:cs="Calibri"/>
          <w:sz w:val="20"/>
          <w:szCs w:val="20"/>
          <w:lang w:val="es-VE"/>
        </w:rPr>
        <w:t xml:space="preserve">En el presente caso, </w:t>
      </w:r>
      <w:r w:rsidR="00EC2F58" w:rsidRPr="007F3D68">
        <w:rPr>
          <w:rFonts w:asciiTheme="majorHAnsi" w:hAnsiTheme="majorHAnsi" w:cs="Calibri"/>
          <w:sz w:val="20"/>
          <w:szCs w:val="20"/>
          <w:lang w:val="es-VE"/>
        </w:rPr>
        <w:t>el alegato de ejecución extrajudicial constituye un hecho superviniente a la petición inicial</w:t>
      </w:r>
      <w:r w:rsidR="000D7174" w:rsidRPr="007F3D68">
        <w:rPr>
          <w:rFonts w:asciiTheme="majorHAnsi" w:hAnsiTheme="majorHAnsi" w:cs="Calibri"/>
          <w:sz w:val="20"/>
          <w:szCs w:val="20"/>
          <w:lang w:val="es-VE"/>
        </w:rPr>
        <w:t>, el cual fue debidamente informado a la Comisión al momento de su ocurrencia. En ese sentido, a la luz de las particularidades del caso, la Comisión considera que el requisito de presentación oportuna se encuentra satisfecho.</w:t>
      </w:r>
    </w:p>
    <w:p w:rsidR="00E6354B" w:rsidRPr="007F3D68" w:rsidRDefault="001335C7" w:rsidP="0039344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lang w:val="es-VE"/>
        </w:rPr>
      </w:pPr>
      <w:r w:rsidRPr="007F3D68">
        <w:rPr>
          <w:rFonts w:ascii="Cambria" w:hAnsi="Cambria" w:cs="Calibri"/>
          <w:sz w:val="20"/>
          <w:szCs w:val="20"/>
          <w:lang w:val="es-VE"/>
        </w:rPr>
        <w:t xml:space="preserve"> </w:t>
      </w:r>
    </w:p>
    <w:p w:rsidR="006D7C4C" w:rsidRPr="007F3D68" w:rsidRDefault="006D7C4C" w:rsidP="004E102F">
      <w:pPr>
        <w:pStyle w:val="Heading3"/>
        <w:keepNext w:val="0"/>
        <w:keepLines w:val="0"/>
        <w:numPr>
          <w:ilvl w:val="1"/>
          <w:numId w:val="55"/>
        </w:numPr>
        <w:tabs>
          <w:tab w:val="clear" w:pos="1800"/>
        </w:tabs>
        <w:spacing w:before="0"/>
        <w:ind w:left="1260" w:hanging="540"/>
        <w:jc w:val="both"/>
        <w:rPr>
          <w:rFonts w:ascii="Cambria" w:eastAsia="Times New Roman" w:hAnsi="Cambria" w:cs="Arial"/>
          <w:color w:val="auto"/>
          <w:sz w:val="20"/>
          <w:szCs w:val="20"/>
          <w:bdr w:val="none" w:sz="0" w:space="0" w:color="auto"/>
          <w:lang w:val="es-VE"/>
        </w:rPr>
      </w:pPr>
      <w:bookmarkStart w:id="54" w:name="_Toc413687820"/>
      <w:bookmarkStart w:id="55" w:name="_Toc447208872"/>
      <w:bookmarkStart w:id="56" w:name="_Toc447213178"/>
      <w:bookmarkStart w:id="57" w:name="_Toc475546045"/>
      <w:bookmarkStart w:id="58" w:name="_Toc495479536"/>
      <w:r w:rsidRPr="007F3D68">
        <w:rPr>
          <w:rFonts w:ascii="Cambria" w:eastAsia="Times New Roman" w:hAnsi="Cambria" w:cs="Arial"/>
          <w:color w:val="auto"/>
          <w:sz w:val="20"/>
          <w:szCs w:val="20"/>
          <w:bdr w:val="none" w:sz="0" w:space="0" w:color="auto"/>
          <w:lang w:val="es-VE"/>
        </w:rPr>
        <w:t>Duplicación de procedimientos y cosa juzgada internacional</w:t>
      </w:r>
      <w:bookmarkEnd w:id="54"/>
      <w:bookmarkEnd w:id="55"/>
      <w:bookmarkEnd w:id="56"/>
      <w:bookmarkEnd w:id="57"/>
      <w:bookmarkEnd w:id="58"/>
    </w:p>
    <w:p w:rsidR="006D7C4C" w:rsidRPr="007F3D68" w:rsidRDefault="006D7C4C" w:rsidP="006D7C4C">
      <w:pPr>
        <w:jc w:val="both"/>
        <w:rPr>
          <w:rFonts w:ascii="Cambria" w:hAnsi="Cambria" w:cs="Calibri"/>
          <w:sz w:val="20"/>
          <w:szCs w:val="20"/>
          <w:lang w:val="es-ES_tradnl"/>
        </w:rPr>
      </w:pPr>
    </w:p>
    <w:p w:rsidR="006D7C4C" w:rsidRPr="007F3D68" w:rsidRDefault="006D7C4C" w:rsidP="0011409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cs="Calibri"/>
          <w:sz w:val="20"/>
          <w:szCs w:val="20"/>
          <w:lang w:val="es-VE"/>
        </w:rPr>
      </w:pPr>
      <w:r w:rsidRPr="007F3D68">
        <w:rPr>
          <w:rFonts w:ascii="Cambria" w:hAnsi="Cambria" w:cs="Calibri"/>
          <w:sz w:val="20"/>
          <w:szCs w:val="20"/>
          <w:lang w:val="es-VE"/>
        </w:rPr>
        <w:t>El artículo 46.1.c) de la Convención dispone que la admisión de las peticiones está sujeta al requisito respecto a que la materia "no esté pendiente de otro procedimiento de arreglo internacional" y en el artículo 47.d) de la Convención se estipula que la Comisión no admitirá la petición que sea sustancialmente la reproducción de petición o comunicación anterior ya examinada por la Comisión o por otro organismo internacional. En el presente caso, las partes no han esgrimido la existencia de ninguna de esas dos circ</w:t>
      </w:r>
      <w:r w:rsidR="006D2D0D" w:rsidRPr="007F3D68">
        <w:rPr>
          <w:rFonts w:ascii="Cambria" w:hAnsi="Cambria" w:cs="Calibri"/>
          <w:sz w:val="20"/>
          <w:szCs w:val="20"/>
          <w:lang w:val="es-VE"/>
        </w:rPr>
        <w:t xml:space="preserve">unstancias, ni ellas se deducen </w:t>
      </w:r>
      <w:r w:rsidRPr="007F3D68">
        <w:rPr>
          <w:rFonts w:ascii="Cambria" w:hAnsi="Cambria" w:cs="Calibri"/>
          <w:sz w:val="20"/>
          <w:szCs w:val="20"/>
          <w:lang w:val="es-VE"/>
        </w:rPr>
        <w:t>del expediente.</w:t>
      </w:r>
    </w:p>
    <w:p w:rsidR="00D767FC" w:rsidRPr="007F3D68" w:rsidRDefault="00D767FC" w:rsidP="0039344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E370AD" w:rsidRPr="007F3D68" w:rsidRDefault="00F3449B" w:rsidP="004E102F">
      <w:pPr>
        <w:pStyle w:val="Heading3"/>
        <w:keepNext w:val="0"/>
        <w:keepLines w:val="0"/>
        <w:numPr>
          <w:ilvl w:val="1"/>
          <w:numId w:val="55"/>
        </w:numPr>
        <w:tabs>
          <w:tab w:val="clear" w:pos="1800"/>
        </w:tabs>
        <w:spacing w:before="0"/>
        <w:ind w:left="1260" w:hanging="540"/>
        <w:jc w:val="both"/>
        <w:rPr>
          <w:rFonts w:ascii="Cambria" w:eastAsia="Times New Roman" w:hAnsi="Cambria" w:cs="Arial"/>
          <w:color w:val="auto"/>
          <w:sz w:val="20"/>
          <w:szCs w:val="20"/>
          <w:bdr w:val="none" w:sz="0" w:space="0" w:color="auto"/>
          <w:lang w:val="es-VE"/>
        </w:rPr>
      </w:pPr>
      <w:bookmarkStart w:id="59" w:name="_Toc413687821"/>
      <w:bookmarkStart w:id="60" w:name="_Toc447208873"/>
      <w:bookmarkStart w:id="61" w:name="_Toc447213179"/>
      <w:bookmarkStart w:id="62" w:name="_Toc475546046"/>
      <w:bookmarkStart w:id="63" w:name="_Toc495479537"/>
      <w:r w:rsidRPr="007F3D68">
        <w:rPr>
          <w:rFonts w:ascii="Cambria" w:eastAsia="Times New Roman" w:hAnsi="Cambria" w:cs="Arial"/>
          <w:color w:val="auto"/>
          <w:sz w:val="20"/>
          <w:szCs w:val="20"/>
          <w:bdr w:val="none" w:sz="0" w:space="0" w:color="auto"/>
          <w:lang w:val="es-VE"/>
        </w:rPr>
        <w:t>Caracterización de los hechos alegados</w:t>
      </w:r>
      <w:bookmarkEnd w:id="59"/>
      <w:bookmarkEnd w:id="60"/>
      <w:bookmarkEnd w:id="61"/>
      <w:bookmarkEnd w:id="62"/>
      <w:bookmarkEnd w:id="63"/>
    </w:p>
    <w:p w:rsidR="00E370AD" w:rsidRPr="007F3D68" w:rsidRDefault="00E370AD" w:rsidP="00E370AD">
      <w:pPr>
        <w:rPr>
          <w:lang w:val="es-VE"/>
        </w:rPr>
      </w:pPr>
    </w:p>
    <w:p w:rsidR="00D37BBE" w:rsidRPr="007F3D68" w:rsidRDefault="006A4BE6" w:rsidP="0039344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cs="Calibri"/>
          <w:sz w:val="20"/>
          <w:szCs w:val="20"/>
          <w:lang w:val="es-VE"/>
        </w:rPr>
      </w:pPr>
      <w:r w:rsidRPr="007F3D68">
        <w:rPr>
          <w:rFonts w:ascii="Cambria" w:hAnsi="Cambria" w:cs="Calibri"/>
          <w:sz w:val="20"/>
          <w:szCs w:val="20"/>
          <w:lang w:val="es-VE"/>
        </w:rPr>
        <w:t xml:space="preserve">La Comisión considera que de resultar probados los hechos alegados por los </w:t>
      </w:r>
      <w:r w:rsidR="009B1A6B" w:rsidRPr="007F3D68">
        <w:rPr>
          <w:rFonts w:ascii="Cambria" w:hAnsi="Cambria" w:cs="Calibri"/>
          <w:sz w:val="20"/>
          <w:szCs w:val="20"/>
          <w:lang w:val="es-VE"/>
        </w:rPr>
        <w:t>peticionarios</w:t>
      </w:r>
      <w:r w:rsidR="00E64593" w:rsidRPr="007F3D68">
        <w:rPr>
          <w:rFonts w:ascii="Cambria" w:hAnsi="Cambria" w:cs="Calibri"/>
          <w:sz w:val="20"/>
          <w:szCs w:val="20"/>
          <w:lang w:val="es-VE"/>
        </w:rPr>
        <w:t xml:space="preserve"> sobre la alegada ejecución extrajudicial de la presunta víctima, los mismos</w:t>
      </w:r>
      <w:r w:rsidRPr="007F3D68">
        <w:rPr>
          <w:rFonts w:ascii="Cambria" w:hAnsi="Cambria" w:cs="Calibri"/>
          <w:sz w:val="20"/>
          <w:szCs w:val="20"/>
          <w:lang w:val="es-VE"/>
        </w:rPr>
        <w:t xml:space="preserve"> podrían constituir violac</w:t>
      </w:r>
      <w:r w:rsidR="002133A4" w:rsidRPr="007F3D68">
        <w:rPr>
          <w:rFonts w:ascii="Cambria" w:hAnsi="Cambria" w:cs="Calibri"/>
          <w:sz w:val="20"/>
          <w:szCs w:val="20"/>
          <w:lang w:val="es-VE"/>
        </w:rPr>
        <w:t>i</w:t>
      </w:r>
      <w:r w:rsidR="005A3D24" w:rsidRPr="007F3D68">
        <w:rPr>
          <w:rFonts w:ascii="Cambria" w:hAnsi="Cambria" w:cs="Calibri"/>
          <w:sz w:val="20"/>
          <w:szCs w:val="20"/>
          <w:lang w:val="es-VE"/>
        </w:rPr>
        <w:t>ones</w:t>
      </w:r>
      <w:r w:rsidR="002133A4" w:rsidRPr="007F3D68">
        <w:rPr>
          <w:rFonts w:ascii="Cambria" w:hAnsi="Cambria" w:cs="Calibri"/>
          <w:sz w:val="20"/>
          <w:szCs w:val="20"/>
          <w:lang w:val="es-VE"/>
        </w:rPr>
        <w:t xml:space="preserve"> de los derechos a la vida,</w:t>
      </w:r>
      <w:r w:rsidR="005A3D24" w:rsidRPr="007F3D68">
        <w:rPr>
          <w:rFonts w:ascii="Cambria" w:hAnsi="Cambria" w:cs="Calibri"/>
          <w:sz w:val="20"/>
          <w:szCs w:val="20"/>
          <w:lang w:val="es-VE"/>
        </w:rPr>
        <w:t xml:space="preserve"> a la integridad personal, a las </w:t>
      </w:r>
      <w:r w:rsidRPr="007F3D68">
        <w:rPr>
          <w:rFonts w:ascii="Cambria" w:hAnsi="Cambria" w:cs="Calibri"/>
          <w:sz w:val="20"/>
          <w:szCs w:val="20"/>
          <w:lang w:val="es-VE"/>
        </w:rPr>
        <w:t>garantías judiciales y</w:t>
      </w:r>
      <w:r w:rsidR="00C02C07" w:rsidRPr="007F3D68">
        <w:rPr>
          <w:rFonts w:ascii="Cambria" w:hAnsi="Cambria" w:cs="Calibri"/>
          <w:sz w:val="20"/>
          <w:szCs w:val="20"/>
          <w:lang w:val="es-VE"/>
        </w:rPr>
        <w:t xml:space="preserve"> a la </w:t>
      </w:r>
      <w:r w:rsidRPr="007F3D68">
        <w:rPr>
          <w:rFonts w:ascii="Cambria" w:hAnsi="Cambria" w:cs="Calibri"/>
          <w:sz w:val="20"/>
          <w:szCs w:val="20"/>
          <w:lang w:val="es-VE"/>
        </w:rPr>
        <w:t xml:space="preserve">protección judicial, previstos en </w:t>
      </w:r>
      <w:r w:rsidR="00E92B0C" w:rsidRPr="007F3D68">
        <w:rPr>
          <w:rFonts w:ascii="Cambria" w:hAnsi="Cambria" w:cs="Calibri"/>
          <w:sz w:val="20"/>
          <w:szCs w:val="20"/>
          <w:lang w:val="es-VE"/>
        </w:rPr>
        <w:t>los artículos 4,</w:t>
      </w:r>
      <w:r w:rsidR="00C02C07" w:rsidRPr="007F3D68">
        <w:rPr>
          <w:rFonts w:ascii="Cambria" w:hAnsi="Cambria" w:cs="Calibri"/>
          <w:sz w:val="20"/>
          <w:szCs w:val="20"/>
          <w:lang w:val="es-VE"/>
        </w:rPr>
        <w:t xml:space="preserve"> 5,</w:t>
      </w:r>
      <w:r w:rsidRPr="007F3D68">
        <w:rPr>
          <w:rFonts w:ascii="Cambria" w:hAnsi="Cambria" w:cs="Calibri"/>
          <w:sz w:val="20"/>
          <w:szCs w:val="20"/>
          <w:lang w:val="es-VE"/>
        </w:rPr>
        <w:t xml:space="preserve"> </w:t>
      </w:r>
      <w:r w:rsidR="0037187B" w:rsidRPr="007F3D68">
        <w:rPr>
          <w:rFonts w:ascii="Cambria" w:hAnsi="Cambria" w:cs="Calibri"/>
          <w:sz w:val="20"/>
          <w:szCs w:val="20"/>
          <w:lang w:val="es-VE"/>
        </w:rPr>
        <w:t>8</w:t>
      </w:r>
      <w:r w:rsidR="00E92B0C" w:rsidRPr="007F3D68">
        <w:rPr>
          <w:rFonts w:ascii="Cambria" w:hAnsi="Cambria" w:cs="Calibri"/>
          <w:sz w:val="20"/>
          <w:szCs w:val="20"/>
          <w:lang w:val="es-VE"/>
        </w:rPr>
        <w:t xml:space="preserve"> y 25 de la Convención Americana, en concordancia</w:t>
      </w:r>
      <w:r w:rsidRPr="007F3D68">
        <w:rPr>
          <w:rFonts w:ascii="Cambria" w:hAnsi="Cambria" w:cs="Calibri"/>
          <w:sz w:val="20"/>
          <w:szCs w:val="20"/>
          <w:lang w:val="es-VE"/>
        </w:rPr>
        <w:t xml:space="preserve"> con </w:t>
      </w:r>
      <w:r w:rsidR="00A64A4F" w:rsidRPr="007F3D68">
        <w:rPr>
          <w:rFonts w:ascii="Cambria" w:hAnsi="Cambria" w:cs="Calibri"/>
          <w:sz w:val="20"/>
          <w:szCs w:val="20"/>
          <w:lang w:val="es-VE"/>
        </w:rPr>
        <w:t xml:space="preserve">el </w:t>
      </w:r>
      <w:r w:rsidRPr="007F3D68">
        <w:rPr>
          <w:rFonts w:ascii="Cambria" w:hAnsi="Cambria" w:cs="Calibri"/>
          <w:sz w:val="20"/>
          <w:szCs w:val="20"/>
          <w:lang w:val="es-VE"/>
        </w:rPr>
        <w:t>artículo 1.1</w:t>
      </w:r>
      <w:r w:rsidR="00A64A4F" w:rsidRPr="007F3D68">
        <w:rPr>
          <w:rFonts w:ascii="Cambria" w:hAnsi="Cambria" w:cs="Calibri"/>
          <w:sz w:val="20"/>
          <w:szCs w:val="20"/>
          <w:lang w:val="es-VE"/>
        </w:rPr>
        <w:t xml:space="preserve"> de dicho tratado.</w:t>
      </w:r>
    </w:p>
    <w:p w:rsidR="002C51E2" w:rsidRPr="007F3D68" w:rsidRDefault="002C51E2" w:rsidP="0039344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lang w:val="es-VE"/>
        </w:rPr>
      </w:pPr>
    </w:p>
    <w:p w:rsidR="00E40449" w:rsidRPr="007F3D68" w:rsidRDefault="00E40449" w:rsidP="004E102F">
      <w:pPr>
        <w:pStyle w:val="Heading1"/>
        <w:numPr>
          <w:ilvl w:val="0"/>
          <w:numId w:val="55"/>
        </w:numPr>
        <w:tabs>
          <w:tab w:val="clear" w:pos="1440"/>
        </w:tabs>
        <w:ind w:left="1260" w:hanging="540"/>
      </w:pPr>
      <w:bookmarkStart w:id="64" w:name="_Toc370840748"/>
      <w:bookmarkStart w:id="65" w:name="_Toc370840844"/>
      <w:bookmarkStart w:id="66" w:name="_Toc423514410"/>
      <w:bookmarkStart w:id="67" w:name="_Toc433115986"/>
      <w:bookmarkStart w:id="68" w:name="_Toc444958129"/>
      <w:bookmarkStart w:id="69" w:name="_Toc475546047"/>
      <w:bookmarkStart w:id="70" w:name="_Toc495479538"/>
      <w:r w:rsidRPr="007F3D68">
        <w:t>HECHOS PROBADOS</w:t>
      </w:r>
      <w:bookmarkEnd w:id="64"/>
      <w:bookmarkEnd w:id="65"/>
      <w:bookmarkEnd w:id="66"/>
      <w:bookmarkEnd w:id="67"/>
      <w:bookmarkEnd w:id="68"/>
      <w:bookmarkEnd w:id="69"/>
      <w:bookmarkEnd w:id="70"/>
    </w:p>
    <w:p w:rsidR="00D803E6" w:rsidRPr="007F3D68" w:rsidRDefault="00D803E6" w:rsidP="003338C1">
      <w:pPr>
        <w:ind w:right="720"/>
        <w:jc w:val="both"/>
        <w:rPr>
          <w:rFonts w:asciiTheme="majorHAnsi" w:hAnsiTheme="majorHAnsi"/>
          <w:sz w:val="20"/>
          <w:szCs w:val="20"/>
          <w:lang w:val="es-VE"/>
        </w:rPr>
      </w:pPr>
    </w:p>
    <w:p w:rsidR="00D8463B" w:rsidRPr="007F3D68" w:rsidRDefault="00E356FD" w:rsidP="004E102F">
      <w:pPr>
        <w:pStyle w:val="Heading2"/>
        <w:numPr>
          <w:ilvl w:val="0"/>
          <w:numId w:val="74"/>
        </w:numPr>
        <w:ind w:left="1260" w:hanging="540"/>
      </w:pPr>
      <w:bookmarkStart w:id="71" w:name="_Toc495479539"/>
      <w:r w:rsidRPr="007F3D68">
        <w:t xml:space="preserve">La detención, alegatos de tortura y </w:t>
      </w:r>
      <w:r w:rsidR="00D803E6" w:rsidRPr="007F3D68">
        <w:t>proceso interno adelantado en contra de la presunta víctima</w:t>
      </w:r>
      <w:bookmarkEnd w:id="71"/>
      <w:r w:rsidR="00D803E6" w:rsidRPr="007F3D68">
        <w:t xml:space="preserve"> </w:t>
      </w:r>
    </w:p>
    <w:p w:rsidR="00D8463B" w:rsidRPr="007F3D68" w:rsidRDefault="00D8463B" w:rsidP="004E102F">
      <w:pPr>
        <w:pStyle w:val="Heading3"/>
        <w:numPr>
          <w:ilvl w:val="1"/>
          <w:numId w:val="55"/>
        </w:numPr>
        <w:tabs>
          <w:tab w:val="clear" w:pos="1800"/>
          <w:tab w:val="num" w:pos="1260"/>
        </w:tabs>
        <w:ind w:hanging="1080"/>
        <w:rPr>
          <w:b w:val="0"/>
          <w:color w:val="auto"/>
          <w:sz w:val="20"/>
          <w:szCs w:val="20"/>
          <w:lang w:val="es-VE"/>
        </w:rPr>
      </w:pPr>
      <w:bookmarkStart w:id="72" w:name="_Toc495479540"/>
      <w:r w:rsidRPr="007F3D68">
        <w:rPr>
          <w:color w:val="auto"/>
          <w:sz w:val="20"/>
          <w:szCs w:val="20"/>
          <w:lang w:val="es-VE"/>
        </w:rPr>
        <w:t>Dete</w:t>
      </w:r>
      <w:r w:rsidRPr="007F3D68">
        <w:rPr>
          <w:rStyle w:val="Heading3Char"/>
          <w:b/>
          <w:color w:val="auto"/>
          <w:sz w:val="20"/>
          <w:szCs w:val="20"/>
          <w:lang w:val="es-VE"/>
        </w:rPr>
        <w:t>nción y alegatos de tortura</w:t>
      </w:r>
      <w:bookmarkEnd w:id="72"/>
      <w:r w:rsidRPr="007F3D68">
        <w:rPr>
          <w:b w:val="0"/>
          <w:color w:val="auto"/>
          <w:sz w:val="20"/>
          <w:szCs w:val="20"/>
          <w:lang w:val="es-VE"/>
        </w:rPr>
        <w:t xml:space="preserve"> </w:t>
      </w:r>
    </w:p>
    <w:p w:rsidR="00D8463B" w:rsidRPr="007F3D68" w:rsidRDefault="00D8463B" w:rsidP="00D8463B">
      <w:pPr>
        <w:pBdr>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VE"/>
        </w:rPr>
      </w:pPr>
    </w:p>
    <w:p w:rsidR="00D8463B" w:rsidRPr="007F3D68" w:rsidRDefault="00D8463B" w:rsidP="008B5D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7F3D68">
        <w:rPr>
          <w:rFonts w:asciiTheme="majorHAnsi" w:hAnsiTheme="majorHAnsi"/>
          <w:sz w:val="20"/>
          <w:szCs w:val="20"/>
          <w:lang w:val="es-VE"/>
        </w:rPr>
        <w:t xml:space="preserve">La presunta víctima denunció que fue torturada por miembros de la policía </w:t>
      </w:r>
      <w:r w:rsidR="00E17EA4" w:rsidRPr="007F3D68">
        <w:rPr>
          <w:rFonts w:asciiTheme="majorHAnsi" w:hAnsiTheme="majorHAnsi"/>
          <w:sz w:val="20"/>
          <w:szCs w:val="20"/>
          <w:lang w:val="es-VE"/>
        </w:rPr>
        <w:t xml:space="preserve">al </w:t>
      </w:r>
      <w:r w:rsidRPr="007F3D68">
        <w:rPr>
          <w:rFonts w:asciiTheme="majorHAnsi" w:hAnsiTheme="majorHAnsi"/>
          <w:sz w:val="20"/>
          <w:szCs w:val="20"/>
          <w:lang w:val="es-VE"/>
        </w:rPr>
        <w:t xml:space="preserve">momento de </w:t>
      </w:r>
      <w:r w:rsidR="00197303" w:rsidRPr="007F3D68">
        <w:rPr>
          <w:rFonts w:asciiTheme="majorHAnsi" w:hAnsiTheme="majorHAnsi"/>
          <w:sz w:val="20"/>
          <w:szCs w:val="20"/>
          <w:lang w:val="es-VE"/>
        </w:rPr>
        <w:t xml:space="preserve">su detención </w:t>
      </w:r>
      <w:r w:rsidRPr="007F3D68">
        <w:rPr>
          <w:rFonts w:asciiTheme="majorHAnsi" w:hAnsiTheme="majorHAnsi"/>
          <w:sz w:val="20"/>
          <w:szCs w:val="20"/>
          <w:lang w:val="es-VE"/>
        </w:rPr>
        <w:t xml:space="preserve">el </w:t>
      </w:r>
      <w:r w:rsidRPr="007F3D68">
        <w:rPr>
          <w:rFonts w:ascii="Cambria" w:hAnsi="Cambria" w:cs="Calibri"/>
          <w:sz w:val="20"/>
          <w:szCs w:val="20"/>
          <w:lang w:val="es-VE"/>
        </w:rPr>
        <w:t>27</w:t>
      </w:r>
      <w:r w:rsidRPr="007F3D68">
        <w:rPr>
          <w:rFonts w:asciiTheme="majorHAnsi" w:hAnsiTheme="majorHAnsi"/>
          <w:sz w:val="20"/>
          <w:szCs w:val="20"/>
          <w:lang w:val="es-VE"/>
        </w:rPr>
        <w:t xml:space="preserve"> de mayo de 1998.</w:t>
      </w:r>
    </w:p>
    <w:p w:rsidR="00D8463B" w:rsidRPr="007F3D68" w:rsidRDefault="00D8463B" w:rsidP="00D8463B">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VE"/>
        </w:rPr>
      </w:pPr>
    </w:p>
    <w:p w:rsidR="00814BC2" w:rsidRPr="00214A83" w:rsidRDefault="00D8463B" w:rsidP="00814BC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7F3D68">
        <w:rPr>
          <w:rFonts w:asciiTheme="majorHAnsi" w:hAnsiTheme="majorHAnsi"/>
          <w:sz w:val="20"/>
          <w:szCs w:val="20"/>
          <w:lang w:val="es-VE"/>
        </w:rPr>
        <w:t xml:space="preserve">Según su </w:t>
      </w:r>
      <w:r w:rsidRPr="007F3D68">
        <w:rPr>
          <w:rFonts w:ascii="Cambria" w:hAnsi="Cambria"/>
          <w:sz w:val="20"/>
          <w:szCs w:val="20"/>
          <w:lang w:val="es-AR"/>
        </w:rPr>
        <w:t>testimonio</w:t>
      </w:r>
      <w:r w:rsidR="000D1743" w:rsidRPr="007F3D68">
        <w:rPr>
          <w:rFonts w:ascii="Cambria" w:hAnsi="Cambria"/>
          <w:sz w:val="20"/>
          <w:szCs w:val="20"/>
          <w:lang w:val="es-AR"/>
        </w:rPr>
        <w:t xml:space="preserve"> en el juicio,</w:t>
      </w:r>
      <w:r w:rsidRPr="007F3D68">
        <w:rPr>
          <w:rFonts w:asciiTheme="majorHAnsi" w:hAnsiTheme="majorHAnsi"/>
          <w:sz w:val="20"/>
          <w:szCs w:val="20"/>
          <w:lang w:val="es-VE"/>
        </w:rPr>
        <w:t xml:space="preserve"> en dicha fecha se conducía a bordo de una motocicleta y al llegar a su vivienda ubicada en la calle C-0-60 de la zona 1 de Quetzaltenango, vio que descendieron </w:t>
      </w:r>
      <w:r w:rsidR="00316F2E" w:rsidRPr="007F3D68">
        <w:rPr>
          <w:rFonts w:asciiTheme="majorHAnsi" w:hAnsiTheme="majorHAnsi"/>
          <w:sz w:val="20"/>
          <w:szCs w:val="20"/>
          <w:lang w:val="es-VE"/>
        </w:rPr>
        <w:t>cuatro</w:t>
      </w:r>
      <w:r w:rsidRPr="007F3D68">
        <w:rPr>
          <w:rFonts w:asciiTheme="majorHAnsi" w:hAnsiTheme="majorHAnsi"/>
          <w:sz w:val="20"/>
          <w:szCs w:val="20"/>
          <w:lang w:val="es-VE"/>
        </w:rPr>
        <w:t xml:space="preserve"> personas de un vehículo Toyota </w:t>
      </w:r>
      <w:proofErr w:type="spellStart"/>
      <w:r w:rsidRPr="007F3D68">
        <w:rPr>
          <w:rFonts w:asciiTheme="majorHAnsi" w:hAnsiTheme="majorHAnsi"/>
          <w:sz w:val="20"/>
          <w:szCs w:val="20"/>
          <w:lang w:val="es-VE"/>
        </w:rPr>
        <w:t>Tercel</w:t>
      </w:r>
      <w:proofErr w:type="spellEnd"/>
      <w:r w:rsidRPr="007F3D68">
        <w:rPr>
          <w:rFonts w:asciiTheme="majorHAnsi" w:hAnsiTheme="majorHAnsi"/>
          <w:sz w:val="20"/>
          <w:szCs w:val="20"/>
          <w:lang w:val="es-VE"/>
        </w:rPr>
        <w:t xml:space="preserve"> color verde y le golpearon en la nuca, lo tiraron al suelo y le golpearon en el abdomen y costillas. Indicó que luego lo subieron a golpes a la puerta trasera del vehículo, y abordo le vendaron los ojos y le pusieron grilletes en las manos. Agregó que lo llevaron a un camino de tierra, detuvieron el vehículo y lo arrastraron en una </w:t>
      </w:r>
      <w:r w:rsidR="000E1F49" w:rsidRPr="007F3D68">
        <w:rPr>
          <w:rFonts w:asciiTheme="majorHAnsi" w:hAnsiTheme="majorHAnsi"/>
          <w:sz w:val="20"/>
          <w:szCs w:val="20"/>
          <w:lang w:val="es-VE"/>
        </w:rPr>
        <w:t>“</w:t>
      </w:r>
      <w:r w:rsidRPr="007F3D68">
        <w:rPr>
          <w:rFonts w:asciiTheme="majorHAnsi" w:hAnsiTheme="majorHAnsi"/>
          <w:sz w:val="20"/>
          <w:szCs w:val="20"/>
          <w:lang w:val="es-VE"/>
        </w:rPr>
        <w:t>hondonada</w:t>
      </w:r>
      <w:r w:rsidR="000E1F49" w:rsidRPr="007F3D68">
        <w:rPr>
          <w:rFonts w:asciiTheme="majorHAnsi" w:hAnsiTheme="majorHAnsi"/>
          <w:sz w:val="20"/>
          <w:szCs w:val="20"/>
          <w:lang w:val="es-VE"/>
        </w:rPr>
        <w:t>”</w:t>
      </w:r>
      <w:r w:rsidRPr="007F3D68">
        <w:rPr>
          <w:rFonts w:asciiTheme="majorHAnsi" w:hAnsiTheme="majorHAnsi"/>
          <w:sz w:val="20"/>
          <w:szCs w:val="20"/>
          <w:lang w:val="es-VE"/>
        </w:rPr>
        <w:t xml:space="preserve"> y lo tiraron boca abajo</w:t>
      </w:r>
      <w:r w:rsidR="000D1743" w:rsidRPr="007F3D68">
        <w:rPr>
          <w:rStyle w:val="FootnoteReference"/>
          <w:rFonts w:asciiTheme="majorHAnsi" w:hAnsiTheme="majorHAnsi"/>
          <w:sz w:val="20"/>
          <w:szCs w:val="20"/>
          <w:lang w:val="es-VE"/>
        </w:rPr>
        <w:footnoteReference w:id="3"/>
      </w:r>
      <w:r w:rsidRPr="007F3D68">
        <w:rPr>
          <w:rFonts w:asciiTheme="majorHAnsi" w:hAnsiTheme="majorHAnsi"/>
          <w:sz w:val="20"/>
          <w:szCs w:val="20"/>
          <w:lang w:val="es-VE"/>
        </w:rPr>
        <w:t xml:space="preserve">. </w:t>
      </w:r>
    </w:p>
    <w:p w:rsidR="00814BC2" w:rsidRDefault="00814BC2" w:rsidP="00814BC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7F3D68">
        <w:rPr>
          <w:rFonts w:asciiTheme="majorHAnsi" w:hAnsiTheme="majorHAnsi"/>
          <w:sz w:val="20"/>
          <w:szCs w:val="20"/>
          <w:lang w:val="es-VE"/>
        </w:rPr>
        <w:lastRenderedPageBreak/>
        <w:t>En su descripción indicó que le decían lo siguiente:</w:t>
      </w:r>
    </w:p>
    <w:p w:rsidR="00214A83" w:rsidRPr="00FB1E9C" w:rsidRDefault="00214A83" w:rsidP="00214A8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Theme="majorHAnsi" w:hAnsiTheme="majorHAnsi"/>
          <w:sz w:val="20"/>
          <w:szCs w:val="20"/>
          <w:lang w:val="es-VE"/>
        </w:rPr>
      </w:pPr>
    </w:p>
    <w:p w:rsidR="00D8463B" w:rsidRPr="007F3D68" w:rsidRDefault="00D8463B" w:rsidP="00814BC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Theme="majorHAnsi" w:hAnsiTheme="majorHAnsi"/>
          <w:sz w:val="20"/>
          <w:szCs w:val="20"/>
          <w:lang w:val="es-VE"/>
        </w:rPr>
      </w:pPr>
      <w:r w:rsidRPr="007F3D68">
        <w:rPr>
          <w:rFonts w:asciiTheme="majorHAnsi" w:hAnsiTheme="majorHAnsi"/>
          <w:sz w:val="20"/>
          <w:szCs w:val="20"/>
          <w:lang w:val="es-VE"/>
        </w:rPr>
        <w:t>¿</w:t>
      </w:r>
      <w:proofErr w:type="gramStart"/>
      <w:r w:rsidRPr="007F3D68">
        <w:rPr>
          <w:rFonts w:asciiTheme="majorHAnsi" w:hAnsiTheme="majorHAnsi"/>
          <w:sz w:val="20"/>
          <w:szCs w:val="20"/>
          <w:lang w:val="es-VE"/>
        </w:rPr>
        <w:t>te</w:t>
      </w:r>
      <w:proofErr w:type="gramEnd"/>
      <w:r w:rsidRPr="007F3D68">
        <w:rPr>
          <w:rFonts w:asciiTheme="majorHAnsi" w:hAnsiTheme="majorHAnsi"/>
          <w:sz w:val="20"/>
          <w:szCs w:val="20"/>
          <w:lang w:val="es-VE"/>
        </w:rPr>
        <w:t xml:space="preserve"> </w:t>
      </w:r>
      <w:proofErr w:type="spellStart"/>
      <w:r w:rsidRPr="007F3D68">
        <w:rPr>
          <w:rFonts w:asciiTheme="majorHAnsi" w:hAnsiTheme="majorHAnsi"/>
          <w:sz w:val="20"/>
          <w:szCs w:val="20"/>
          <w:lang w:val="es-VE"/>
        </w:rPr>
        <w:t>acordas</w:t>
      </w:r>
      <w:proofErr w:type="spellEnd"/>
      <w:r w:rsidRPr="007F3D68">
        <w:rPr>
          <w:rFonts w:asciiTheme="majorHAnsi" w:hAnsiTheme="majorHAnsi"/>
          <w:sz w:val="20"/>
          <w:szCs w:val="20"/>
          <w:lang w:val="es-VE"/>
        </w:rPr>
        <w:t xml:space="preserve"> a quien vinieron a dejar aquí, hijo de la gran puta? (…) </w:t>
      </w:r>
      <w:proofErr w:type="spellStart"/>
      <w:r w:rsidRPr="007F3D68">
        <w:rPr>
          <w:rFonts w:asciiTheme="majorHAnsi" w:hAnsiTheme="majorHAnsi"/>
          <w:sz w:val="20"/>
          <w:szCs w:val="20"/>
          <w:lang w:val="es-VE"/>
        </w:rPr>
        <w:t>Candido</w:t>
      </w:r>
      <w:proofErr w:type="spellEnd"/>
      <w:r w:rsidRPr="007F3D68">
        <w:rPr>
          <w:rFonts w:asciiTheme="majorHAnsi" w:hAnsiTheme="majorHAnsi"/>
          <w:sz w:val="20"/>
          <w:szCs w:val="20"/>
          <w:lang w:val="es-VE"/>
        </w:rPr>
        <w:t xml:space="preserve"> Abigail; me preguntó ¿Vas a hablar o </w:t>
      </w:r>
      <w:proofErr w:type="spellStart"/>
      <w:r w:rsidRPr="007F3D68">
        <w:rPr>
          <w:rFonts w:asciiTheme="majorHAnsi" w:hAnsiTheme="majorHAnsi"/>
          <w:sz w:val="20"/>
          <w:szCs w:val="20"/>
          <w:lang w:val="es-VE"/>
        </w:rPr>
        <w:t>queres</w:t>
      </w:r>
      <w:proofErr w:type="spellEnd"/>
      <w:r w:rsidRPr="007F3D68">
        <w:rPr>
          <w:rFonts w:asciiTheme="majorHAnsi" w:hAnsiTheme="majorHAnsi"/>
          <w:sz w:val="20"/>
          <w:szCs w:val="20"/>
          <w:lang w:val="es-VE"/>
        </w:rPr>
        <w:t xml:space="preserve"> llevar verga? Vos ya </w:t>
      </w:r>
      <w:proofErr w:type="spellStart"/>
      <w:r w:rsidRPr="007F3D68">
        <w:rPr>
          <w:rFonts w:asciiTheme="majorHAnsi" w:hAnsiTheme="majorHAnsi"/>
          <w:sz w:val="20"/>
          <w:szCs w:val="20"/>
          <w:lang w:val="es-VE"/>
        </w:rPr>
        <w:t>sabés</w:t>
      </w:r>
      <w:proofErr w:type="spellEnd"/>
      <w:r w:rsidRPr="007F3D68">
        <w:rPr>
          <w:rFonts w:asciiTheme="majorHAnsi" w:hAnsiTheme="majorHAnsi"/>
          <w:sz w:val="20"/>
          <w:szCs w:val="20"/>
          <w:lang w:val="es-VE"/>
        </w:rPr>
        <w:t xml:space="preserve"> porqué te vamos a dar verga y ya me </w:t>
      </w:r>
      <w:proofErr w:type="spellStart"/>
      <w:r w:rsidRPr="007F3D68">
        <w:rPr>
          <w:rFonts w:asciiTheme="majorHAnsi" w:hAnsiTheme="majorHAnsi"/>
          <w:sz w:val="20"/>
          <w:szCs w:val="20"/>
          <w:lang w:val="es-VE"/>
        </w:rPr>
        <w:t>dí</w:t>
      </w:r>
      <w:proofErr w:type="spellEnd"/>
      <w:r w:rsidRPr="007F3D68">
        <w:rPr>
          <w:rFonts w:asciiTheme="majorHAnsi" w:hAnsiTheme="majorHAnsi"/>
          <w:sz w:val="20"/>
          <w:szCs w:val="20"/>
          <w:lang w:val="es-VE"/>
        </w:rPr>
        <w:t xml:space="preserve"> cuent</w:t>
      </w:r>
      <w:r w:rsidR="00615AFD" w:rsidRPr="007F3D68">
        <w:rPr>
          <w:rFonts w:asciiTheme="majorHAnsi" w:hAnsiTheme="majorHAnsi"/>
          <w:sz w:val="20"/>
          <w:szCs w:val="20"/>
          <w:lang w:val="es-VE"/>
        </w:rPr>
        <w:t>a</w:t>
      </w:r>
      <w:r w:rsidRPr="007F3D68">
        <w:rPr>
          <w:rFonts w:asciiTheme="majorHAnsi" w:hAnsiTheme="majorHAnsi"/>
          <w:sz w:val="20"/>
          <w:szCs w:val="20"/>
          <w:lang w:val="es-VE"/>
        </w:rPr>
        <w:t xml:space="preserve"> q</w:t>
      </w:r>
      <w:r w:rsidR="003A54A9" w:rsidRPr="007F3D68">
        <w:rPr>
          <w:rFonts w:asciiTheme="majorHAnsi" w:hAnsiTheme="majorHAnsi"/>
          <w:sz w:val="20"/>
          <w:szCs w:val="20"/>
          <w:lang w:val="es-VE"/>
        </w:rPr>
        <w:t xml:space="preserve">ue </w:t>
      </w:r>
      <w:proofErr w:type="spellStart"/>
      <w:r w:rsidR="003A54A9" w:rsidRPr="007F3D68">
        <w:rPr>
          <w:rFonts w:asciiTheme="majorHAnsi" w:hAnsiTheme="majorHAnsi"/>
          <w:sz w:val="20"/>
          <w:szCs w:val="20"/>
          <w:lang w:val="es-VE"/>
        </w:rPr>
        <w:t>sos</w:t>
      </w:r>
      <w:proofErr w:type="spellEnd"/>
      <w:r w:rsidR="003A54A9" w:rsidRPr="007F3D68">
        <w:rPr>
          <w:rFonts w:asciiTheme="majorHAnsi" w:hAnsiTheme="majorHAnsi"/>
          <w:sz w:val="20"/>
          <w:szCs w:val="20"/>
          <w:lang w:val="es-VE"/>
        </w:rPr>
        <w:t xml:space="preserve"> “</w:t>
      </w:r>
      <w:proofErr w:type="spellStart"/>
      <w:r w:rsidR="003A54A9" w:rsidRPr="007F3D68">
        <w:rPr>
          <w:rFonts w:asciiTheme="majorHAnsi" w:hAnsiTheme="majorHAnsi"/>
          <w:sz w:val="20"/>
          <w:szCs w:val="20"/>
          <w:lang w:val="es-VE"/>
        </w:rPr>
        <w:t>mañocito</w:t>
      </w:r>
      <w:proofErr w:type="spellEnd"/>
      <w:r w:rsidR="003A54A9" w:rsidRPr="007F3D68">
        <w:rPr>
          <w:rFonts w:asciiTheme="majorHAnsi" w:hAnsiTheme="majorHAnsi"/>
          <w:sz w:val="20"/>
          <w:szCs w:val="20"/>
          <w:lang w:val="es-VE"/>
        </w:rPr>
        <w:t xml:space="preserve"> con la capucha</w:t>
      </w:r>
      <w:r w:rsidRPr="007F3D68">
        <w:rPr>
          <w:rFonts w:asciiTheme="majorHAnsi" w:hAnsiTheme="majorHAnsi"/>
          <w:sz w:val="20"/>
          <w:szCs w:val="20"/>
          <w:lang w:val="es-VE"/>
        </w:rPr>
        <w:t>. Yo le respondí: No soy mañoso de ninguna clase entonces me golpeo las costillas con el puño, me sacó el aire y me pidió que le dijera a quienes conocía del álbum que me mostraron. Le respondí que a nadie y mi respuesta le molestó porque de nuevo me colocó el lienzo de hule en la cara com</w:t>
      </w:r>
      <w:r w:rsidR="003A54A9" w:rsidRPr="007F3D68">
        <w:rPr>
          <w:rFonts w:asciiTheme="majorHAnsi" w:hAnsiTheme="majorHAnsi"/>
          <w:sz w:val="20"/>
          <w:szCs w:val="20"/>
          <w:lang w:val="es-VE"/>
        </w:rPr>
        <w:t xml:space="preserve">o en siete </w:t>
      </w:r>
      <w:proofErr w:type="spellStart"/>
      <w:r w:rsidR="003A54A9" w:rsidRPr="007F3D68">
        <w:rPr>
          <w:rFonts w:asciiTheme="majorHAnsi" w:hAnsiTheme="majorHAnsi"/>
          <w:sz w:val="20"/>
          <w:szCs w:val="20"/>
          <w:lang w:val="es-VE"/>
        </w:rPr>
        <w:t>ocaciones</w:t>
      </w:r>
      <w:proofErr w:type="spellEnd"/>
      <w:r w:rsidR="003A54A9" w:rsidRPr="007F3D68">
        <w:rPr>
          <w:rFonts w:asciiTheme="majorHAnsi" w:hAnsiTheme="majorHAnsi"/>
          <w:sz w:val="20"/>
          <w:szCs w:val="20"/>
          <w:lang w:val="es-VE"/>
        </w:rPr>
        <w:t xml:space="preserve"> (sic) </w:t>
      </w:r>
      <w:proofErr w:type="gramStart"/>
      <w:r w:rsidR="003A54A9" w:rsidRPr="007F3D68">
        <w:rPr>
          <w:rFonts w:asciiTheme="majorHAnsi" w:hAnsiTheme="majorHAnsi"/>
          <w:sz w:val="20"/>
          <w:szCs w:val="20"/>
          <w:lang w:val="es-VE"/>
        </w:rPr>
        <w:t>más</w:t>
      </w:r>
      <w:r w:rsidRPr="007F3D68">
        <w:rPr>
          <w:rFonts w:asciiTheme="majorHAnsi" w:hAnsiTheme="majorHAnsi"/>
          <w:sz w:val="20"/>
          <w:szCs w:val="20"/>
          <w:lang w:val="es-VE"/>
        </w:rPr>
        <w:t>(</w:t>
      </w:r>
      <w:proofErr w:type="gramEnd"/>
      <w:r w:rsidRPr="007F3D68">
        <w:rPr>
          <w:rFonts w:asciiTheme="majorHAnsi" w:hAnsiTheme="majorHAnsi"/>
          <w:sz w:val="20"/>
          <w:szCs w:val="20"/>
          <w:lang w:val="es-VE"/>
        </w:rPr>
        <w:t>…)</w:t>
      </w:r>
      <w:r w:rsidR="00615AFD" w:rsidRPr="007F3D68">
        <w:rPr>
          <w:rFonts w:asciiTheme="majorHAnsi" w:hAnsiTheme="majorHAnsi"/>
          <w:sz w:val="20"/>
          <w:szCs w:val="20"/>
          <w:lang w:val="es-VE"/>
        </w:rPr>
        <w:t xml:space="preserve"> </w:t>
      </w:r>
      <w:r w:rsidRPr="007F3D68">
        <w:rPr>
          <w:rFonts w:asciiTheme="majorHAnsi" w:hAnsiTheme="majorHAnsi"/>
          <w:sz w:val="20"/>
          <w:szCs w:val="20"/>
          <w:lang w:val="es-VE"/>
        </w:rPr>
        <w:t>El proceso de asfixia con el hule tardaba entre 3</w:t>
      </w:r>
      <w:r w:rsidR="003A54A9" w:rsidRPr="007F3D68">
        <w:rPr>
          <w:rFonts w:asciiTheme="majorHAnsi" w:hAnsiTheme="majorHAnsi"/>
          <w:sz w:val="20"/>
          <w:szCs w:val="20"/>
          <w:lang w:val="es-VE"/>
        </w:rPr>
        <w:t xml:space="preserve">0 y 40 </w:t>
      </w:r>
      <w:proofErr w:type="spellStart"/>
      <w:r w:rsidR="003A54A9" w:rsidRPr="007F3D68">
        <w:rPr>
          <w:rFonts w:asciiTheme="majorHAnsi" w:hAnsiTheme="majorHAnsi"/>
          <w:sz w:val="20"/>
          <w:szCs w:val="20"/>
          <w:lang w:val="es-VE"/>
        </w:rPr>
        <w:t>seg</w:t>
      </w:r>
      <w:proofErr w:type="spellEnd"/>
      <w:r w:rsidR="003A54A9" w:rsidRPr="007F3D68">
        <w:rPr>
          <w:rFonts w:asciiTheme="majorHAnsi" w:hAnsiTheme="majorHAnsi"/>
          <w:sz w:val="20"/>
          <w:szCs w:val="20"/>
          <w:lang w:val="es-VE"/>
        </w:rPr>
        <w:t xml:space="preserve">. Uno de ellos dijo: </w:t>
      </w:r>
      <w:proofErr w:type="spellStart"/>
      <w:r w:rsidRPr="007F3D68">
        <w:rPr>
          <w:rFonts w:asciiTheme="majorHAnsi" w:hAnsiTheme="majorHAnsi"/>
          <w:sz w:val="20"/>
          <w:szCs w:val="20"/>
          <w:lang w:val="es-VE"/>
        </w:rPr>
        <w:t>Muchá</w:t>
      </w:r>
      <w:proofErr w:type="spellEnd"/>
      <w:r w:rsidRPr="007F3D68">
        <w:rPr>
          <w:rFonts w:asciiTheme="majorHAnsi" w:hAnsiTheme="majorHAnsi"/>
          <w:sz w:val="20"/>
          <w:szCs w:val="20"/>
          <w:lang w:val="es-VE"/>
        </w:rPr>
        <w:t xml:space="preserve"> este pisado está re</w:t>
      </w:r>
      <w:r w:rsidR="003A54A9" w:rsidRPr="007F3D68">
        <w:rPr>
          <w:rFonts w:asciiTheme="majorHAnsi" w:hAnsiTheme="majorHAnsi"/>
          <w:sz w:val="20"/>
          <w:szCs w:val="20"/>
          <w:lang w:val="es-VE"/>
        </w:rPr>
        <w:t xml:space="preserve">spirando, mejor traigan </w:t>
      </w:r>
      <w:proofErr w:type="spellStart"/>
      <w:r w:rsidR="003A54A9" w:rsidRPr="007F3D68">
        <w:rPr>
          <w:rFonts w:asciiTheme="majorHAnsi" w:hAnsiTheme="majorHAnsi"/>
          <w:sz w:val="20"/>
          <w:szCs w:val="20"/>
          <w:lang w:val="es-VE"/>
        </w:rPr>
        <w:t>gamezan</w:t>
      </w:r>
      <w:proofErr w:type="spellEnd"/>
      <w:r w:rsidRPr="007F3D68">
        <w:rPr>
          <w:rFonts w:asciiTheme="majorHAnsi" w:hAnsiTheme="majorHAnsi"/>
          <w:sz w:val="20"/>
          <w:szCs w:val="20"/>
          <w:lang w:val="es-VE"/>
        </w:rPr>
        <w:t xml:space="preserve"> (…) El que ordenó mi asfixia con </w:t>
      </w:r>
      <w:proofErr w:type="spellStart"/>
      <w:r w:rsidRPr="007F3D68">
        <w:rPr>
          <w:rFonts w:asciiTheme="majorHAnsi" w:hAnsiTheme="majorHAnsi"/>
          <w:sz w:val="20"/>
          <w:szCs w:val="20"/>
          <w:lang w:val="es-VE"/>
        </w:rPr>
        <w:t>gamezan</w:t>
      </w:r>
      <w:proofErr w:type="spellEnd"/>
      <w:r w:rsidRPr="007F3D68">
        <w:rPr>
          <w:rFonts w:asciiTheme="majorHAnsi" w:hAnsiTheme="majorHAnsi"/>
          <w:sz w:val="20"/>
          <w:szCs w:val="20"/>
          <w:lang w:val="es-VE"/>
        </w:rPr>
        <w:t xml:space="preserve">, me golpeó y me interrogó, lo conocí posteriormente como Milton Rodrigo </w:t>
      </w:r>
      <w:proofErr w:type="spellStart"/>
      <w:r w:rsidRPr="007F3D68">
        <w:rPr>
          <w:rFonts w:asciiTheme="majorHAnsi" w:hAnsiTheme="majorHAnsi"/>
          <w:sz w:val="20"/>
          <w:szCs w:val="20"/>
          <w:lang w:val="es-VE"/>
        </w:rPr>
        <w:t>C</w:t>
      </w:r>
      <w:r w:rsidR="00214A83">
        <w:rPr>
          <w:rFonts w:asciiTheme="majorHAnsi" w:hAnsiTheme="majorHAnsi"/>
          <w:sz w:val="20"/>
          <w:szCs w:val="20"/>
          <w:lang w:val="es-VE"/>
        </w:rPr>
        <w:t>hilel</w:t>
      </w:r>
      <w:proofErr w:type="spellEnd"/>
      <w:r w:rsidR="00214A83">
        <w:rPr>
          <w:rFonts w:asciiTheme="majorHAnsi" w:hAnsiTheme="majorHAnsi"/>
          <w:sz w:val="20"/>
          <w:szCs w:val="20"/>
          <w:lang w:val="es-VE"/>
        </w:rPr>
        <w:t xml:space="preserve"> Villeda (oficial del SIC)</w:t>
      </w:r>
      <w:r w:rsidRPr="007F3D68">
        <w:rPr>
          <w:rStyle w:val="FootnoteReference"/>
          <w:rFonts w:asciiTheme="majorHAnsi" w:hAnsiTheme="majorHAnsi"/>
          <w:sz w:val="20"/>
          <w:szCs w:val="20"/>
          <w:lang w:val="es-VE"/>
        </w:rPr>
        <w:footnoteReference w:id="4"/>
      </w:r>
      <w:r w:rsidRPr="007F3D68">
        <w:rPr>
          <w:rFonts w:asciiTheme="majorHAnsi" w:hAnsiTheme="majorHAnsi"/>
          <w:sz w:val="20"/>
          <w:szCs w:val="20"/>
          <w:lang w:val="es-VE"/>
        </w:rPr>
        <w:t>.</w:t>
      </w:r>
    </w:p>
    <w:p w:rsidR="00D8463B" w:rsidRPr="007F3D68" w:rsidRDefault="00D8463B" w:rsidP="00D8463B">
      <w:pPr>
        <w:pBdr>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VE"/>
        </w:rPr>
      </w:pPr>
    </w:p>
    <w:p w:rsidR="00D8463B" w:rsidRPr="007F3D68" w:rsidRDefault="00814BC2" w:rsidP="008B5D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7F3D68">
        <w:rPr>
          <w:rFonts w:asciiTheme="majorHAnsi" w:hAnsiTheme="majorHAnsi"/>
          <w:sz w:val="20"/>
          <w:szCs w:val="20"/>
          <w:lang w:val="es-VE"/>
        </w:rPr>
        <w:t xml:space="preserve">En el mismo relato durante el juicio, </w:t>
      </w:r>
      <w:r w:rsidR="00D8463B" w:rsidRPr="007F3D68">
        <w:rPr>
          <w:rFonts w:asciiTheme="majorHAnsi" w:hAnsiTheme="majorHAnsi"/>
          <w:sz w:val="20"/>
          <w:szCs w:val="20"/>
          <w:lang w:val="es-VE"/>
        </w:rPr>
        <w:t>denunció que con posterioridad lo subieron de nuevo al vehículo y lo llevaron a su propia casa en donde plantaron armas como evidencia en su contra y continuaron golpeándolo.</w:t>
      </w:r>
    </w:p>
    <w:p w:rsidR="00D8463B" w:rsidRPr="007F3D68" w:rsidRDefault="00D8463B" w:rsidP="00D8463B">
      <w:pPr>
        <w:pBdr>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VE"/>
        </w:rPr>
      </w:pPr>
    </w:p>
    <w:p w:rsidR="00D8463B" w:rsidRPr="007F3D68" w:rsidRDefault="00D8463B" w:rsidP="008B5D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7F3D68">
        <w:rPr>
          <w:rFonts w:asciiTheme="majorHAnsi" w:hAnsiTheme="majorHAnsi"/>
          <w:sz w:val="20"/>
          <w:szCs w:val="20"/>
          <w:lang w:val="es-VE"/>
        </w:rPr>
        <w:t xml:space="preserve">Según relató la </w:t>
      </w:r>
      <w:r w:rsidR="00F077A7" w:rsidRPr="007F3D68">
        <w:rPr>
          <w:rFonts w:asciiTheme="majorHAnsi" w:hAnsiTheme="majorHAnsi"/>
          <w:sz w:val="20"/>
          <w:szCs w:val="20"/>
          <w:lang w:val="es-VE"/>
        </w:rPr>
        <w:t xml:space="preserve">presunta </w:t>
      </w:r>
      <w:r w:rsidRPr="007F3D68">
        <w:rPr>
          <w:rFonts w:asciiTheme="majorHAnsi" w:hAnsiTheme="majorHAnsi"/>
          <w:sz w:val="20"/>
          <w:szCs w:val="20"/>
          <w:lang w:val="es-VE"/>
        </w:rPr>
        <w:t xml:space="preserve">víctima, </w:t>
      </w:r>
      <w:r w:rsidR="00615AFD" w:rsidRPr="007F3D68">
        <w:rPr>
          <w:rFonts w:asciiTheme="majorHAnsi" w:hAnsiTheme="majorHAnsi"/>
          <w:sz w:val="20"/>
          <w:szCs w:val="20"/>
          <w:lang w:val="es-VE"/>
        </w:rPr>
        <w:t xml:space="preserve">luego </w:t>
      </w:r>
      <w:r w:rsidRPr="007F3D68">
        <w:rPr>
          <w:rFonts w:asciiTheme="majorHAnsi" w:hAnsiTheme="majorHAnsi"/>
          <w:sz w:val="20"/>
          <w:szCs w:val="20"/>
          <w:lang w:val="es-VE"/>
        </w:rPr>
        <w:t>se lo llevaron nuevamente en un vehículo de color gris de cuatro puertas. Refirió que continuaron interrogándolo sobre algunos secuestros y luego lo hicieron bajar del vehículo</w:t>
      </w:r>
      <w:r w:rsidR="00615AFD" w:rsidRPr="007F3D68">
        <w:rPr>
          <w:rFonts w:asciiTheme="majorHAnsi" w:hAnsiTheme="majorHAnsi"/>
          <w:sz w:val="20"/>
          <w:szCs w:val="20"/>
          <w:lang w:val="es-VE"/>
        </w:rPr>
        <w:t xml:space="preserve">, siendo </w:t>
      </w:r>
      <w:r w:rsidRPr="007F3D68">
        <w:rPr>
          <w:rFonts w:asciiTheme="majorHAnsi" w:hAnsiTheme="majorHAnsi"/>
          <w:sz w:val="20"/>
          <w:szCs w:val="20"/>
          <w:lang w:val="es-VE"/>
        </w:rPr>
        <w:t>violado sexualmente.</w:t>
      </w:r>
      <w:r w:rsidR="00615AFD" w:rsidRPr="007F3D68">
        <w:rPr>
          <w:rFonts w:asciiTheme="majorHAnsi" w:hAnsiTheme="majorHAnsi"/>
          <w:sz w:val="20"/>
          <w:szCs w:val="20"/>
          <w:lang w:val="es-VE"/>
        </w:rPr>
        <w:t xml:space="preserve"> Describió la violación en los siguientes términos: </w:t>
      </w:r>
    </w:p>
    <w:p w:rsidR="00D8463B" w:rsidRPr="007F3D68" w:rsidRDefault="00D8463B" w:rsidP="00D8463B">
      <w:pPr>
        <w:pBdr>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20"/>
          <w:szCs w:val="20"/>
          <w:lang w:val="es-VE"/>
        </w:rPr>
      </w:pPr>
    </w:p>
    <w:p w:rsidR="00F077A7" w:rsidRPr="007F3D68" w:rsidRDefault="00615AFD" w:rsidP="00615AF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630"/>
        <w:jc w:val="both"/>
        <w:rPr>
          <w:rFonts w:asciiTheme="majorHAnsi" w:hAnsiTheme="majorHAnsi"/>
          <w:sz w:val="20"/>
          <w:szCs w:val="20"/>
          <w:lang w:val="es-VE"/>
        </w:rPr>
      </w:pPr>
      <w:r w:rsidRPr="007F3D68">
        <w:rPr>
          <w:rFonts w:asciiTheme="majorHAnsi" w:hAnsiTheme="majorHAnsi"/>
          <w:sz w:val="20"/>
          <w:szCs w:val="20"/>
          <w:lang w:val="es-VE"/>
        </w:rPr>
        <w:t xml:space="preserve">(…) </w:t>
      </w:r>
      <w:r w:rsidR="00D8463B" w:rsidRPr="007F3D68">
        <w:rPr>
          <w:rFonts w:asciiTheme="majorHAnsi" w:hAnsiTheme="majorHAnsi"/>
          <w:sz w:val="20"/>
          <w:szCs w:val="20"/>
          <w:lang w:val="es-VE"/>
        </w:rPr>
        <w:t xml:space="preserve">lo que quiero que me digas mira hijo de la gran puta conmigo te va </w:t>
      </w:r>
      <w:proofErr w:type="spellStart"/>
      <w:r w:rsidR="00D8463B" w:rsidRPr="007F3D68">
        <w:rPr>
          <w:rFonts w:asciiTheme="majorHAnsi" w:hAnsiTheme="majorHAnsi"/>
          <w:sz w:val="20"/>
          <w:szCs w:val="20"/>
          <w:lang w:val="es-VE"/>
        </w:rPr>
        <w:t>llebar</w:t>
      </w:r>
      <w:proofErr w:type="spellEnd"/>
      <w:r w:rsidR="00D8463B" w:rsidRPr="007F3D68">
        <w:rPr>
          <w:rFonts w:asciiTheme="majorHAnsi" w:hAnsiTheme="majorHAnsi"/>
          <w:sz w:val="20"/>
          <w:szCs w:val="20"/>
          <w:lang w:val="es-VE"/>
        </w:rPr>
        <w:t xml:space="preserve"> (sic) la gran puta de una bolsa negra saco un </w:t>
      </w:r>
      <w:proofErr w:type="spellStart"/>
      <w:r w:rsidR="00D8463B" w:rsidRPr="007F3D68">
        <w:rPr>
          <w:rFonts w:asciiTheme="majorHAnsi" w:hAnsiTheme="majorHAnsi"/>
          <w:sz w:val="20"/>
          <w:szCs w:val="20"/>
          <w:lang w:val="es-VE"/>
        </w:rPr>
        <w:t>baston</w:t>
      </w:r>
      <w:proofErr w:type="spellEnd"/>
      <w:r w:rsidR="00D8463B" w:rsidRPr="007F3D68">
        <w:rPr>
          <w:rFonts w:asciiTheme="majorHAnsi" w:hAnsiTheme="majorHAnsi"/>
          <w:sz w:val="20"/>
          <w:szCs w:val="20"/>
          <w:lang w:val="es-VE"/>
        </w:rPr>
        <w:t xml:space="preserve"> negro (…) vas hablar me bajaron mi </w:t>
      </w:r>
      <w:proofErr w:type="spellStart"/>
      <w:r w:rsidR="00D8463B" w:rsidRPr="007F3D68">
        <w:rPr>
          <w:rFonts w:asciiTheme="majorHAnsi" w:hAnsiTheme="majorHAnsi"/>
          <w:sz w:val="20"/>
          <w:szCs w:val="20"/>
          <w:lang w:val="es-VE"/>
        </w:rPr>
        <w:t>patalon</w:t>
      </w:r>
      <w:proofErr w:type="spellEnd"/>
      <w:r w:rsidR="00D8463B" w:rsidRPr="007F3D68">
        <w:rPr>
          <w:rFonts w:asciiTheme="majorHAnsi" w:hAnsiTheme="majorHAnsi"/>
          <w:sz w:val="20"/>
          <w:szCs w:val="20"/>
          <w:lang w:val="es-VE"/>
        </w:rPr>
        <w:t xml:space="preserve"> (sic) y el calzoncillo, encima de la rampa para quedar </w:t>
      </w:r>
      <w:proofErr w:type="spellStart"/>
      <w:r w:rsidR="00D8463B" w:rsidRPr="007F3D68">
        <w:rPr>
          <w:rFonts w:asciiTheme="majorHAnsi" w:hAnsiTheme="majorHAnsi"/>
          <w:sz w:val="20"/>
          <w:szCs w:val="20"/>
          <w:lang w:val="es-VE"/>
        </w:rPr>
        <w:t>incado</w:t>
      </w:r>
      <w:proofErr w:type="spellEnd"/>
      <w:r w:rsidR="00D8463B" w:rsidRPr="007F3D68">
        <w:rPr>
          <w:rFonts w:asciiTheme="majorHAnsi" w:hAnsiTheme="majorHAnsi"/>
          <w:sz w:val="20"/>
          <w:szCs w:val="20"/>
          <w:lang w:val="es-VE"/>
        </w:rPr>
        <w:t xml:space="preserve"> (sic) uno de ellos me empezó a sobar el </w:t>
      </w:r>
      <w:proofErr w:type="spellStart"/>
      <w:r w:rsidR="00D8463B" w:rsidRPr="007F3D68">
        <w:rPr>
          <w:rFonts w:asciiTheme="majorHAnsi" w:hAnsiTheme="majorHAnsi"/>
          <w:sz w:val="20"/>
          <w:szCs w:val="20"/>
          <w:lang w:val="es-VE"/>
        </w:rPr>
        <w:t>baston</w:t>
      </w:r>
      <w:proofErr w:type="spellEnd"/>
      <w:r w:rsidR="00D8463B" w:rsidRPr="007F3D68">
        <w:rPr>
          <w:rFonts w:asciiTheme="majorHAnsi" w:hAnsiTheme="majorHAnsi"/>
          <w:sz w:val="20"/>
          <w:szCs w:val="20"/>
          <w:lang w:val="es-VE"/>
        </w:rPr>
        <w:t xml:space="preserve"> el ano </w:t>
      </w:r>
      <w:proofErr w:type="spellStart"/>
      <w:r w:rsidR="00D8463B" w:rsidRPr="007F3D68">
        <w:rPr>
          <w:rFonts w:asciiTheme="majorHAnsi" w:hAnsiTheme="majorHAnsi"/>
          <w:sz w:val="20"/>
          <w:szCs w:val="20"/>
          <w:lang w:val="es-VE"/>
        </w:rPr>
        <w:t>queres</w:t>
      </w:r>
      <w:proofErr w:type="spellEnd"/>
      <w:r w:rsidR="00D8463B" w:rsidRPr="007F3D68">
        <w:rPr>
          <w:rFonts w:asciiTheme="majorHAnsi" w:hAnsiTheme="majorHAnsi"/>
          <w:sz w:val="20"/>
          <w:szCs w:val="20"/>
          <w:lang w:val="es-VE"/>
        </w:rPr>
        <w:t xml:space="preserve"> hablar, no tengo nada que hacer y me puse a llorar y no le conteste ninguna pregunta. Fue en ese momento en que me introdujo en el ano aproximadamente como quince segundos el </w:t>
      </w:r>
      <w:proofErr w:type="spellStart"/>
      <w:r w:rsidR="00D8463B" w:rsidRPr="007F3D68">
        <w:rPr>
          <w:rFonts w:asciiTheme="majorHAnsi" w:hAnsiTheme="majorHAnsi"/>
          <w:sz w:val="20"/>
          <w:szCs w:val="20"/>
          <w:lang w:val="es-VE"/>
        </w:rPr>
        <w:t>baston</w:t>
      </w:r>
      <w:proofErr w:type="spellEnd"/>
      <w:r w:rsidR="00D8463B" w:rsidRPr="007F3D68">
        <w:rPr>
          <w:rFonts w:asciiTheme="majorHAnsi" w:hAnsiTheme="majorHAnsi"/>
          <w:sz w:val="20"/>
          <w:szCs w:val="20"/>
          <w:lang w:val="es-VE"/>
        </w:rPr>
        <w:t xml:space="preserve"> con grasa, pero para mí fue una eternidad y lo </w:t>
      </w:r>
      <w:proofErr w:type="spellStart"/>
      <w:r w:rsidR="00D8463B" w:rsidRPr="007F3D68">
        <w:rPr>
          <w:rFonts w:asciiTheme="majorHAnsi" w:hAnsiTheme="majorHAnsi"/>
          <w:sz w:val="20"/>
          <w:szCs w:val="20"/>
          <w:lang w:val="es-VE"/>
        </w:rPr>
        <w:t>mobia</w:t>
      </w:r>
      <w:proofErr w:type="spellEnd"/>
      <w:r w:rsidR="00D8463B" w:rsidRPr="007F3D68">
        <w:rPr>
          <w:rFonts w:asciiTheme="majorHAnsi" w:hAnsiTheme="majorHAnsi"/>
          <w:sz w:val="20"/>
          <w:szCs w:val="20"/>
          <w:lang w:val="es-VE"/>
        </w:rPr>
        <w:t xml:space="preserve"> (sic) y lo saco por favor no me vallan (sic) a matar tengo hijos perdóneme la vida, si lo único que hago es puyarte el culo pero si no me decís si te voy a matar, empezó a quererme introducírmelo otra vez </w:t>
      </w:r>
      <w:proofErr w:type="spellStart"/>
      <w:r w:rsidR="00D8463B" w:rsidRPr="007F3D68">
        <w:rPr>
          <w:rFonts w:asciiTheme="majorHAnsi" w:hAnsiTheme="majorHAnsi"/>
          <w:sz w:val="20"/>
          <w:szCs w:val="20"/>
          <w:lang w:val="es-VE"/>
        </w:rPr>
        <w:t>empeze</w:t>
      </w:r>
      <w:proofErr w:type="spellEnd"/>
      <w:r w:rsidR="00D8463B" w:rsidRPr="007F3D68">
        <w:rPr>
          <w:rFonts w:asciiTheme="majorHAnsi" w:hAnsiTheme="majorHAnsi"/>
          <w:sz w:val="20"/>
          <w:szCs w:val="20"/>
          <w:lang w:val="es-VE"/>
        </w:rPr>
        <w:t xml:space="preserve"> (sic) a retorce</w:t>
      </w:r>
      <w:r w:rsidR="0067711D" w:rsidRPr="007F3D68">
        <w:rPr>
          <w:rFonts w:asciiTheme="majorHAnsi" w:hAnsiTheme="majorHAnsi"/>
          <w:sz w:val="20"/>
          <w:szCs w:val="20"/>
          <w:lang w:val="es-VE"/>
        </w:rPr>
        <w:t>r</w:t>
      </w:r>
      <w:r w:rsidR="00D8463B" w:rsidRPr="007F3D68">
        <w:rPr>
          <w:rFonts w:asciiTheme="majorHAnsi" w:hAnsiTheme="majorHAnsi"/>
          <w:sz w:val="20"/>
          <w:szCs w:val="20"/>
          <w:lang w:val="es-VE"/>
        </w:rPr>
        <w:t xml:space="preserve">me como el basto (sic) estaba </w:t>
      </w:r>
      <w:r w:rsidR="0067711D" w:rsidRPr="007F3D68">
        <w:rPr>
          <w:rFonts w:asciiTheme="majorHAnsi" w:hAnsiTheme="majorHAnsi"/>
          <w:sz w:val="20"/>
          <w:szCs w:val="20"/>
          <w:lang w:val="es-VE"/>
        </w:rPr>
        <w:t>manchado</w:t>
      </w:r>
      <w:r w:rsidR="00D8463B" w:rsidRPr="007F3D68">
        <w:rPr>
          <w:rFonts w:asciiTheme="majorHAnsi" w:hAnsiTheme="majorHAnsi"/>
          <w:sz w:val="20"/>
          <w:szCs w:val="20"/>
          <w:lang w:val="es-VE"/>
        </w:rPr>
        <w:t xml:space="preserve"> de </w:t>
      </w:r>
      <w:proofErr w:type="spellStart"/>
      <w:r w:rsidR="00D8463B" w:rsidRPr="007F3D68">
        <w:rPr>
          <w:rFonts w:asciiTheme="majorHAnsi" w:hAnsiTheme="majorHAnsi"/>
          <w:sz w:val="20"/>
          <w:szCs w:val="20"/>
          <w:lang w:val="es-VE"/>
        </w:rPr>
        <w:t>graza</w:t>
      </w:r>
      <w:proofErr w:type="spellEnd"/>
      <w:r w:rsidR="00D8463B" w:rsidRPr="007F3D68">
        <w:rPr>
          <w:rFonts w:asciiTheme="majorHAnsi" w:hAnsiTheme="majorHAnsi"/>
          <w:sz w:val="20"/>
          <w:szCs w:val="20"/>
          <w:lang w:val="es-VE"/>
        </w:rPr>
        <w:t xml:space="preserve"> (sic) no pudo meterlo por los movimientos, se cayó el bastón y me lastimó el testículo derecho yo grite en ese momento el pidió a otro agente de particular con la pieza de hule anda trae la capucha y le tapas la boca (…). </w:t>
      </w:r>
    </w:p>
    <w:p w:rsidR="00F077A7" w:rsidRPr="007F3D68" w:rsidRDefault="00F077A7" w:rsidP="00615AF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630"/>
        <w:jc w:val="both"/>
        <w:rPr>
          <w:rFonts w:asciiTheme="majorHAnsi" w:hAnsiTheme="majorHAnsi"/>
          <w:sz w:val="20"/>
          <w:szCs w:val="20"/>
          <w:lang w:val="es-VE"/>
        </w:rPr>
      </w:pPr>
    </w:p>
    <w:p w:rsidR="00D8463B" w:rsidRPr="007F3D68" w:rsidRDefault="00D8463B" w:rsidP="00F077A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7F3D68">
        <w:rPr>
          <w:rFonts w:asciiTheme="majorHAnsi" w:hAnsiTheme="majorHAnsi"/>
          <w:sz w:val="20"/>
          <w:szCs w:val="20"/>
          <w:lang w:val="es-VE"/>
        </w:rPr>
        <w:t>Indicó que hicieron esto varias veces hasta que se desmayó</w:t>
      </w:r>
      <w:r w:rsidR="00F077A7" w:rsidRPr="007F3D68">
        <w:rPr>
          <w:rFonts w:asciiTheme="majorHAnsi" w:hAnsiTheme="majorHAnsi"/>
          <w:sz w:val="20"/>
          <w:szCs w:val="20"/>
          <w:lang w:val="es-VE"/>
        </w:rPr>
        <w:t>, y que cuando despertó “</w:t>
      </w:r>
      <w:r w:rsidRPr="007F3D68">
        <w:rPr>
          <w:rFonts w:asciiTheme="majorHAnsi" w:hAnsiTheme="majorHAnsi"/>
          <w:sz w:val="20"/>
          <w:szCs w:val="20"/>
          <w:lang w:val="es-VE"/>
        </w:rPr>
        <w:t>estaba defecado</w:t>
      </w:r>
      <w:r w:rsidR="0067711D" w:rsidRPr="007F3D68">
        <w:rPr>
          <w:rFonts w:asciiTheme="majorHAnsi" w:hAnsiTheme="majorHAnsi"/>
          <w:sz w:val="20"/>
          <w:szCs w:val="20"/>
          <w:lang w:val="es-VE"/>
        </w:rPr>
        <w:t>”</w:t>
      </w:r>
      <w:r w:rsidRPr="007F3D68">
        <w:rPr>
          <w:rStyle w:val="FootnoteReference"/>
          <w:rFonts w:asciiTheme="majorHAnsi" w:hAnsiTheme="majorHAnsi"/>
          <w:sz w:val="20"/>
          <w:szCs w:val="20"/>
          <w:lang w:val="es-VE"/>
        </w:rPr>
        <w:footnoteReference w:id="5"/>
      </w:r>
      <w:r w:rsidRPr="007F3D68">
        <w:rPr>
          <w:rFonts w:asciiTheme="majorHAnsi" w:hAnsiTheme="majorHAnsi"/>
          <w:sz w:val="20"/>
          <w:szCs w:val="20"/>
          <w:lang w:val="es-VE"/>
        </w:rPr>
        <w:t xml:space="preserve">. </w:t>
      </w:r>
    </w:p>
    <w:p w:rsidR="00D8463B" w:rsidRPr="007F3D68" w:rsidRDefault="00D8463B" w:rsidP="00D8463B">
      <w:pPr>
        <w:pBdr>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20"/>
          <w:szCs w:val="20"/>
          <w:lang w:val="es-VE"/>
        </w:rPr>
      </w:pPr>
    </w:p>
    <w:p w:rsidR="00D8463B" w:rsidRPr="007F3D68" w:rsidRDefault="00D8463B" w:rsidP="008B5D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7F3D68">
        <w:rPr>
          <w:rFonts w:asciiTheme="majorHAnsi" w:hAnsiTheme="majorHAnsi"/>
          <w:sz w:val="20"/>
          <w:szCs w:val="20"/>
          <w:lang w:val="es-VE"/>
        </w:rPr>
        <w:t>La entonces conviviente de la presunta víctima declaró que el día de los hechos fue a buscar</w:t>
      </w:r>
      <w:r w:rsidR="0067711D" w:rsidRPr="007F3D68">
        <w:rPr>
          <w:rFonts w:asciiTheme="majorHAnsi" w:hAnsiTheme="majorHAnsi"/>
          <w:sz w:val="20"/>
          <w:szCs w:val="20"/>
          <w:lang w:val="es-VE"/>
        </w:rPr>
        <w:t>lo</w:t>
      </w:r>
      <w:r w:rsidRPr="007F3D68">
        <w:rPr>
          <w:rFonts w:asciiTheme="majorHAnsi" w:hAnsiTheme="majorHAnsi"/>
          <w:sz w:val="20"/>
          <w:szCs w:val="20"/>
          <w:lang w:val="es-VE"/>
        </w:rPr>
        <w:t xml:space="preserve"> a dos cuerpos de policía de Quetzaltenango pero no le dieron razón de él. Agregó que cuando regresó a su casa “(…)</w:t>
      </w:r>
      <w:r w:rsidR="0067711D" w:rsidRPr="007F3D68">
        <w:rPr>
          <w:rFonts w:asciiTheme="majorHAnsi" w:hAnsiTheme="majorHAnsi"/>
          <w:sz w:val="20"/>
          <w:szCs w:val="20"/>
          <w:lang w:val="es-VE"/>
        </w:rPr>
        <w:t xml:space="preserve"> </w:t>
      </w:r>
      <w:r w:rsidRPr="007F3D68">
        <w:rPr>
          <w:rFonts w:asciiTheme="majorHAnsi" w:hAnsiTheme="majorHAnsi"/>
          <w:sz w:val="20"/>
          <w:szCs w:val="20"/>
          <w:lang w:val="es-VE"/>
        </w:rPr>
        <w:t>ya lo habían traído, en ese momento sí lo vi. En la casa lo tenían engrilletado en la pila, ya en ese momento se veía desarreglado, con rasguños y respiración agitada. Hablé con él y me dijo: con todo lo que me hicieron ahorita de plano me van a matar”</w:t>
      </w:r>
      <w:r w:rsidRPr="007F3D68">
        <w:rPr>
          <w:rStyle w:val="FootnoteReference"/>
          <w:rFonts w:asciiTheme="majorHAnsi" w:hAnsiTheme="majorHAnsi"/>
          <w:sz w:val="20"/>
          <w:szCs w:val="20"/>
          <w:lang w:val="es-VE"/>
        </w:rPr>
        <w:footnoteReference w:id="6"/>
      </w:r>
      <w:r w:rsidRPr="007F3D68">
        <w:rPr>
          <w:rFonts w:asciiTheme="majorHAnsi" w:hAnsiTheme="majorHAnsi"/>
          <w:sz w:val="20"/>
          <w:szCs w:val="20"/>
          <w:lang w:val="es-VE"/>
        </w:rPr>
        <w:t xml:space="preserve">. </w:t>
      </w:r>
    </w:p>
    <w:p w:rsidR="00D8463B" w:rsidRPr="007F3D68" w:rsidRDefault="00D8463B" w:rsidP="00D8463B">
      <w:pPr>
        <w:pBdr>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20"/>
          <w:szCs w:val="20"/>
          <w:lang w:val="es-VE"/>
        </w:rPr>
      </w:pPr>
    </w:p>
    <w:p w:rsidR="00D8463B" w:rsidRPr="007F3D68" w:rsidRDefault="00D8463B" w:rsidP="008B5D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7F3D68">
        <w:rPr>
          <w:rFonts w:asciiTheme="majorHAnsi" w:hAnsiTheme="majorHAnsi"/>
          <w:sz w:val="20"/>
          <w:szCs w:val="20"/>
          <w:lang w:val="es-VE"/>
        </w:rPr>
        <w:t>Indicó que volvió a ver a la presunta víctima al visitarlo en la cárcel dos días después, y que allí Tirso Román</w:t>
      </w:r>
      <w:r w:rsidR="00F077A7" w:rsidRPr="007F3D68">
        <w:rPr>
          <w:rFonts w:asciiTheme="majorHAnsi" w:hAnsiTheme="majorHAnsi"/>
          <w:sz w:val="20"/>
          <w:szCs w:val="20"/>
          <w:lang w:val="es-VE"/>
        </w:rPr>
        <w:t xml:space="preserve"> Valenzuela Ávila</w:t>
      </w:r>
      <w:r w:rsidRPr="007F3D68">
        <w:rPr>
          <w:rFonts w:asciiTheme="majorHAnsi" w:hAnsiTheme="majorHAnsi"/>
          <w:sz w:val="20"/>
          <w:szCs w:val="20"/>
          <w:lang w:val="es-VE"/>
        </w:rPr>
        <w:t xml:space="preserve"> le contó que el día de la detención “(…) se lo llevaron a un cerro que está en </w:t>
      </w:r>
      <w:proofErr w:type="spellStart"/>
      <w:r w:rsidRPr="007F3D68">
        <w:rPr>
          <w:rFonts w:asciiTheme="majorHAnsi" w:hAnsiTheme="majorHAnsi"/>
          <w:sz w:val="20"/>
          <w:szCs w:val="20"/>
          <w:lang w:val="es-VE"/>
        </w:rPr>
        <w:t>Olintepeque</w:t>
      </w:r>
      <w:proofErr w:type="spellEnd"/>
      <w:r w:rsidRPr="007F3D68">
        <w:rPr>
          <w:rFonts w:asciiTheme="majorHAnsi" w:hAnsiTheme="majorHAnsi"/>
          <w:sz w:val="20"/>
          <w:szCs w:val="20"/>
          <w:lang w:val="es-VE"/>
        </w:rPr>
        <w:t xml:space="preserve"> cerca de Quetzaltenango, que fue tratado con mucha violencia, que le taparon la cara con una bolsa plástica con </w:t>
      </w:r>
      <w:proofErr w:type="spellStart"/>
      <w:r w:rsidRPr="007F3D68">
        <w:rPr>
          <w:rFonts w:asciiTheme="majorHAnsi" w:hAnsiTheme="majorHAnsi"/>
          <w:sz w:val="20"/>
          <w:szCs w:val="20"/>
          <w:lang w:val="es-VE"/>
        </w:rPr>
        <w:t>gamezán</w:t>
      </w:r>
      <w:proofErr w:type="spellEnd"/>
      <w:r w:rsidRPr="007F3D68">
        <w:rPr>
          <w:rFonts w:asciiTheme="majorHAnsi" w:hAnsiTheme="majorHAnsi"/>
          <w:sz w:val="20"/>
          <w:szCs w:val="20"/>
          <w:lang w:val="es-VE"/>
        </w:rPr>
        <w:t xml:space="preserve"> para ahogarlo, que lo patearon en las costillas, que le enseñaban fotos y le preguntaban cosas. En la cárcel vi que Tirso, estaba fumando, estaba nervioso, que no quería comer porque tenía problemas para defecar</w:t>
      </w:r>
      <w:r w:rsidR="0067711D" w:rsidRPr="007F3D68">
        <w:rPr>
          <w:rFonts w:asciiTheme="majorHAnsi" w:hAnsiTheme="majorHAnsi"/>
          <w:sz w:val="20"/>
          <w:szCs w:val="20"/>
          <w:lang w:val="es-VE"/>
        </w:rPr>
        <w:t xml:space="preserve"> (…) </w:t>
      </w:r>
      <w:r w:rsidRPr="007F3D68">
        <w:rPr>
          <w:rFonts w:asciiTheme="majorHAnsi" w:hAnsiTheme="majorHAnsi"/>
          <w:sz w:val="20"/>
          <w:szCs w:val="20"/>
          <w:lang w:val="es-VE"/>
        </w:rPr>
        <w:t>me contó que lo golpearon hasta confesar el crimen</w:t>
      </w:r>
      <w:r w:rsidR="000927B3" w:rsidRPr="007F3D68">
        <w:rPr>
          <w:rFonts w:asciiTheme="majorHAnsi" w:hAnsiTheme="majorHAnsi"/>
          <w:sz w:val="20"/>
          <w:szCs w:val="20"/>
          <w:lang w:val="es-VE"/>
        </w:rPr>
        <w:t>”</w:t>
      </w:r>
      <w:r w:rsidRPr="007F3D68">
        <w:rPr>
          <w:rStyle w:val="FootnoteReference"/>
          <w:rFonts w:asciiTheme="majorHAnsi" w:hAnsiTheme="majorHAnsi"/>
          <w:sz w:val="20"/>
          <w:szCs w:val="20"/>
          <w:lang w:val="es-VE"/>
        </w:rPr>
        <w:footnoteReference w:id="7"/>
      </w:r>
      <w:r w:rsidRPr="007F3D68">
        <w:rPr>
          <w:rFonts w:asciiTheme="majorHAnsi" w:hAnsiTheme="majorHAnsi"/>
          <w:sz w:val="20"/>
          <w:szCs w:val="20"/>
          <w:lang w:val="es-VE"/>
        </w:rPr>
        <w:t xml:space="preserve">. </w:t>
      </w:r>
    </w:p>
    <w:p w:rsidR="00D8463B" w:rsidRPr="007F3D68" w:rsidRDefault="00D8463B" w:rsidP="00D8463B">
      <w:pPr>
        <w:pBdr>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20"/>
          <w:szCs w:val="20"/>
          <w:lang w:val="es-VE"/>
        </w:rPr>
      </w:pPr>
    </w:p>
    <w:p w:rsidR="00D8463B" w:rsidRPr="007F3D68" w:rsidRDefault="00D8463B" w:rsidP="00F077A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7F3D68">
        <w:rPr>
          <w:rFonts w:asciiTheme="majorHAnsi" w:hAnsiTheme="majorHAnsi"/>
          <w:sz w:val="20"/>
          <w:szCs w:val="20"/>
          <w:lang w:val="es-VE"/>
        </w:rPr>
        <w:lastRenderedPageBreak/>
        <w:t>Por su parte dos personas privadas de libertad indicaron que pudieron ver el estado en el que se encontraba la presunta víctima tras ser ingresada a prisión.</w:t>
      </w:r>
      <w:r w:rsidR="00F077A7" w:rsidRPr="007F3D68">
        <w:rPr>
          <w:rFonts w:asciiTheme="majorHAnsi" w:hAnsiTheme="majorHAnsi"/>
          <w:sz w:val="20"/>
          <w:szCs w:val="20"/>
          <w:lang w:val="es-VE"/>
        </w:rPr>
        <w:t xml:space="preserve"> La primera, </w:t>
      </w:r>
      <w:r w:rsidRPr="007F3D68">
        <w:rPr>
          <w:rFonts w:asciiTheme="majorHAnsi" w:hAnsiTheme="majorHAnsi"/>
          <w:sz w:val="20"/>
          <w:szCs w:val="20"/>
          <w:lang w:val="es-VE"/>
        </w:rPr>
        <w:t>Santos Morales Ramos declaró que “me constan las torturas de que fue objeto el señor Tirs</w:t>
      </w:r>
      <w:r w:rsidR="00132C97" w:rsidRPr="007F3D68">
        <w:rPr>
          <w:rFonts w:asciiTheme="majorHAnsi" w:hAnsiTheme="majorHAnsi"/>
          <w:sz w:val="20"/>
          <w:szCs w:val="20"/>
          <w:lang w:val="es-VE"/>
        </w:rPr>
        <w:t>o</w:t>
      </w:r>
      <w:r w:rsidRPr="007F3D68">
        <w:rPr>
          <w:rFonts w:asciiTheme="majorHAnsi" w:hAnsiTheme="majorHAnsi"/>
          <w:sz w:val="20"/>
          <w:szCs w:val="20"/>
          <w:lang w:val="es-VE"/>
        </w:rPr>
        <w:t xml:space="preserve"> Román Valenzuela Ávila, quien fue ingresado el veintiocho de mayo de mil novecientos noventa y ocho a las tres de la mañana, el llego muy golpeado, del rostro, defecaba sangre, yo era uno de los que lo ayudaba para ir al baño, acostarlo y a movilizarse por el estado tan delicado en que llego, en ningún momento a pesar de estar tan golpeado recibió ayuda médica”</w:t>
      </w:r>
      <w:r w:rsidRPr="007F3D68">
        <w:rPr>
          <w:rStyle w:val="FootnoteReference"/>
          <w:rFonts w:asciiTheme="majorHAnsi" w:hAnsiTheme="majorHAnsi"/>
          <w:sz w:val="20"/>
          <w:szCs w:val="20"/>
          <w:lang w:val="es-VE"/>
        </w:rPr>
        <w:t xml:space="preserve"> </w:t>
      </w:r>
      <w:r w:rsidRPr="007F3D68">
        <w:rPr>
          <w:rStyle w:val="FootnoteReference"/>
          <w:rFonts w:asciiTheme="majorHAnsi" w:hAnsiTheme="majorHAnsi"/>
          <w:sz w:val="20"/>
          <w:szCs w:val="20"/>
          <w:lang w:val="es-VE"/>
        </w:rPr>
        <w:footnoteReference w:id="8"/>
      </w:r>
      <w:r w:rsidRPr="007F3D68">
        <w:rPr>
          <w:rFonts w:asciiTheme="majorHAnsi" w:hAnsiTheme="majorHAnsi"/>
          <w:sz w:val="20"/>
          <w:szCs w:val="20"/>
          <w:lang w:val="es-VE"/>
        </w:rPr>
        <w:t>.</w:t>
      </w:r>
    </w:p>
    <w:p w:rsidR="00D8463B" w:rsidRPr="007F3D68" w:rsidRDefault="00D8463B" w:rsidP="00D8463B">
      <w:pPr>
        <w:pBdr>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20"/>
          <w:szCs w:val="20"/>
          <w:lang w:val="es-VE"/>
        </w:rPr>
      </w:pPr>
    </w:p>
    <w:p w:rsidR="00F077A7" w:rsidRPr="007F3D68" w:rsidRDefault="00F077A7" w:rsidP="008B5D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7F3D68">
        <w:rPr>
          <w:rFonts w:asciiTheme="majorHAnsi" w:hAnsiTheme="majorHAnsi"/>
          <w:sz w:val="20"/>
          <w:szCs w:val="20"/>
          <w:lang w:val="es-VE"/>
        </w:rPr>
        <w:t>La segunda,</w:t>
      </w:r>
      <w:r w:rsidR="00D8463B" w:rsidRPr="007F3D68">
        <w:rPr>
          <w:rFonts w:asciiTheme="majorHAnsi" w:hAnsiTheme="majorHAnsi"/>
          <w:sz w:val="20"/>
          <w:szCs w:val="20"/>
          <w:lang w:val="es-VE"/>
        </w:rPr>
        <w:t xml:space="preserve"> Emeterio de Jesús </w:t>
      </w:r>
      <w:proofErr w:type="spellStart"/>
      <w:r w:rsidR="00D8463B" w:rsidRPr="007F3D68">
        <w:rPr>
          <w:rFonts w:asciiTheme="majorHAnsi" w:hAnsiTheme="majorHAnsi"/>
          <w:sz w:val="20"/>
          <w:szCs w:val="20"/>
          <w:lang w:val="es-VE"/>
        </w:rPr>
        <w:t>Morataya</w:t>
      </w:r>
      <w:proofErr w:type="spellEnd"/>
      <w:r w:rsidR="00D8463B" w:rsidRPr="007F3D68">
        <w:rPr>
          <w:rFonts w:asciiTheme="majorHAnsi" w:hAnsiTheme="majorHAnsi"/>
          <w:sz w:val="20"/>
          <w:szCs w:val="20"/>
          <w:lang w:val="es-VE"/>
        </w:rPr>
        <w:t xml:space="preserve"> </w:t>
      </w:r>
      <w:proofErr w:type="spellStart"/>
      <w:r w:rsidR="00D8463B" w:rsidRPr="007F3D68">
        <w:rPr>
          <w:rFonts w:asciiTheme="majorHAnsi" w:hAnsiTheme="majorHAnsi"/>
          <w:sz w:val="20"/>
          <w:szCs w:val="20"/>
          <w:lang w:val="es-VE"/>
        </w:rPr>
        <w:t>Mayén</w:t>
      </w:r>
      <w:proofErr w:type="spellEnd"/>
      <w:r w:rsidR="00D8463B" w:rsidRPr="007F3D68">
        <w:rPr>
          <w:rFonts w:asciiTheme="majorHAnsi" w:hAnsiTheme="majorHAnsi"/>
          <w:sz w:val="20"/>
          <w:szCs w:val="20"/>
          <w:lang w:val="es-VE"/>
        </w:rPr>
        <w:t xml:space="preserve"> declaró que</w:t>
      </w:r>
      <w:r w:rsidRPr="007F3D68">
        <w:rPr>
          <w:rFonts w:asciiTheme="majorHAnsi" w:hAnsiTheme="majorHAnsi"/>
          <w:sz w:val="20"/>
          <w:szCs w:val="20"/>
          <w:lang w:val="es-VE"/>
        </w:rPr>
        <w:t>:</w:t>
      </w:r>
      <w:r w:rsidR="00D8463B" w:rsidRPr="007F3D68">
        <w:rPr>
          <w:rFonts w:asciiTheme="majorHAnsi" w:hAnsiTheme="majorHAnsi"/>
          <w:sz w:val="20"/>
          <w:szCs w:val="20"/>
          <w:lang w:val="es-VE"/>
        </w:rPr>
        <w:t xml:space="preserve"> </w:t>
      </w:r>
    </w:p>
    <w:p w:rsidR="00F077A7" w:rsidRPr="007F3D68" w:rsidRDefault="00F077A7" w:rsidP="00F077A7">
      <w:pPr>
        <w:pStyle w:val="ListParagraph"/>
        <w:rPr>
          <w:rFonts w:asciiTheme="majorHAnsi" w:hAnsiTheme="majorHAnsi"/>
          <w:sz w:val="20"/>
          <w:szCs w:val="20"/>
          <w:lang w:val="es-VE"/>
        </w:rPr>
      </w:pPr>
    </w:p>
    <w:p w:rsidR="00D8463B" w:rsidRPr="007F3D68" w:rsidRDefault="00D8463B" w:rsidP="004E102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Theme="majorHAnsi" w:hAnsiTheme="majorHAnsi"/>
          <w:sz w:val="20"/>
          <w:szCs w:val="20"/>
          <w:lang w:val="es-VE"/>
        </w:rPr>
      </w:pPr>
      <w:r w:rsidRPr="007F3D68">
        <w:rPr>
          <w:rFonts w:asciiTheme="majorHAnsi" w:hAnsiTheme="majorHAnsi"/>
          <w:sz w:val="20"/>
          <w:szCs w:val="20"/>
          <w:lang w:val="es-VE"/>
        </w:rPr>
        <w:t>por encontrarme detenido me constan las torturas recibidas por el señor Tirso Román Ávila, que el pobre señor lleg</w:t>
      </w:r>
      <w:r w:rsidR="00780037" w:rsidRPr="007F3D68">
        <w:rPr>
          <w:rFonts w:asciiTheme="majorHAnsi" w:hAnsiTheme="majorHAnsi"/>
          <w:sz w:val="20"/>
          <w:szCs w:val="20"/>
          <w:lang w:val="es-VE"/>
        </w:rPr>
        <w:t>ó</w:t>
      </w:r>
      <w:r w:rsidRPr="007F3D68">
        <w:rPr>
          <w:rFonts w:asciiTheme="majorHAnsi" w:hAnsiTheme="majorHAnsi"/>
          <w:sz w:val="20"/>
          <w:szCs w:val="20"/>
          <w:lang w:val="es-VE"/>
        </w:rPr>
        <w:t xml:space="preserve"> como un día veintinueve de mayo de mil novecientos noventa y ocho, al segundo cuerpo de la Policía Nacional, en la ciudad de Quetzaltenango, el señor no podía ni sentarse al extremo que dormía parado porque defecaba sangre, iba desfigurado de la cara, con restos de poco bigote por que el resto se lo habían arrancado, abusaron de el por medio de un garrote que ellos cargan, que cargan la se</w:t>
      </w:r>
      <w:r w:rsidR="008269EE" w:rsidRPr="007F3D68">
        <w:rPr>
          <w:rFonts w:asciiTheme="majorHAnsi" w:hAnsiTheme="majorHAnsi"/>
          <w:sz w:val="20"/>
          <w:szCs w:val="20"/>
          <w:lang w:val="es-VE"/>
        </w:rPr>
        <w:t>guridad, o sea que abusaron de é</w:t>
      </w:r>
      <w:r w:rsidRPr="007F3D68">
        <w:rPr>
          <w:rFonts w:asciiTheme="majorHAnsi" w:hAnsiTheme="majorHAnsi"/>
          <w:sz w:val="20"/>
          <w:szCs w:val="20"/>
          <w:lang w:val="es-VE"/>
        </w:rPr>
        <w:t xml:space="preserve">l sexualmente y </w:t>
      </w:r>
      <w:r w:rsidR="00914334" w:rsidRPr="007F3D68">
        <w:rPr>
          <w:rFonts w:asciiTheme="majorHAnsi" w:hAnsiTheme="majorHAnsi"/>
          <w:sz w:val="20"/>
          <w:szCs w:val="20"/>
          <w:lang w:val="es-VE"/>
        </w:rPr>
        <w:t>él</w:t>
      </w:r>
      <w:r w:rsidRPr="007F3D68">
        <w:rPr>
          <w:rFonts w:asciiTheme="majorHAnsi" w:hAnsiTheme="majorHAnsi"/>
          <w:sz w:val="20"/>
          <w:szCs w:val="20"/>
          <w:lang w:val="es-VE"/>
        </w:rPr>
        <w:t xml:space="preserve"> iba derramando sangre, </w:t>
      </w:r>
      <w:r w:rsidR="00914334" w:rsidRPr="007F3D68">
        <w:rPr>
          <w:rFonts w:asciiTheme="majorHAnsi" w:hAnsiTheme="majorHAnsi"/>
          <w:sz w:val="20"/>
          <w:szCs w:val="20"/>
          <w:lang w:val="es-VE"/>
        </w:rPr>
        <w:t>él</w:t>
      </w:r>
      <w:r w:rsidRPr="007F3D68">
        <w:rPr>
          <w:rFonts w:asciiTheme="majorHAnsi" w:hAnsiTheme="majorHAnsi"/>
          <w:sz w:val="20"/>
          <w:szCs w:val="20"/>
          <w:lang w:val="es-VE"/>
        </w:rPr>
        <w:t xml:space="preserve"> contaba que se lo metieron por el recto por lo </w:t>
      </w:r>
      <w:r w:rsidR="003A54A9" w:rsidRPr="007F3D68">
        <w:rPr>
          <w:rFonts w:asciiTheme="majorHAnsi" w:hAnsiTheme="majorHAnsi"/>
          <w:sz w:val="20"/>
          <w:szCs w:val="20"/>
          <w:lang w:val="es-VE"/>
        </w:rPr>
        <w:t>que iba sumamente lastimado (…)</w:t>
      </w:r>
      <w:r w:rsidRPr="007F3D68">
        <w:rPr>
          <w:rStyle w:val="FootnoteReference"/>
          <w:rFonts w:asciiTheme="majorHAnsi" w:hAnsiTheme="majorHAnsi"/>
          <w:sz w:val="20"/>
          <w:szCs w:val="20"/>
          <w:lang w:val="es-VE"/>
        </w:rPr>
        <w:footnoteReference w:id="9"/>
      </w:r>
      <w:r w:rsidRPr="007F3D68">
        <w:rPr>
          <w:rFonts w:asciiTheme="majorHAnsi" w:hAnsiTheme="majorHAnsi"/>
          <w:sz w:val="20"/>
          <w:szCs w:val="20"/>
          <w:lang w:val="es-VE"/>
        </w:rPr>
        <w:t>.</w:t>
      </w:r>
    </w:p>
    <w:p w:rsidR="00D914A2" w:rsidRPr="007F3D68" w:rsidRDefault="00D914A2" w:rsidP="004E102F">
      <w:pPr>
        <w:pStyle w:val="Heading3"/>
        <w:numPr>
          <w:ilvl w:val="1"/>
          <w:numId w:val="55"/>
        </w:numPr>
        <w:tabs>
          <w:tab w:val="clear" w:pos="1800"/>
          <w:tab w:val="num" w:pos="1260"/>
        </w:tabs>
        <w:ind w:hanging="1080"/>
        <w:rPr>
          <w:color w:val="auto"/>
          <w:sz w:val="20"/>
          <w:szCs w:val="20"/>
          <w:lang w:val="es-VE"/>
        </w:rPr>
      </w:pPr>
      <w:bookmarkStart w:id="73" w:name="_Toc495479541"/>
      <w:r w:rsidRPr="007F3D68">
        <w:rPr>
          <w:color w:val="auto"/>
          <w:sz w:val="20"/>
          <w:szCs w:val="20"/>
          <w:lang w:val="es-VE"/>
        </w:rPr>
        <w:t>Alegada tortura en momentos posteriores a la detención</w:t>
      </w:r>
      <w:bookmarkEnd w:id="73"/>
      <w:r w:rsidRPr="007F3D68">
        <w:rPr>
          <w:color w:val="auto"/>
          <w:sz w:val="20"/>
          <w:szCs w:val="20"/>
          <w:lang w:val="es-VE"/>
        </w:rPr>
        <w:t xml:space="preserve"> </w:t>
      </w:r>
    </w:p>
    <w:p w:rsidR="00D914A2" w:rsidRPr="007F3D68" w:rsidRDefault="00D914A2" w:rsidP="001703E3">
      <w:pPr>
        <w:pBdr>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rsidR="00D914A2" w:rsidRPr="007F3D68" w:rsidRDefault="00D914A2" w:rsidP="00D914A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VE"/>
        </w:rPr>
      </w:pPr>
      <w:r w:rsidRPr="007F3D68">
        <w:rPr>
          <w:rFonts w:ascii="Cambria" w:hAnsi="Cambria"/>
          <w:sz w:val="20"/>
          <w:szCs w:val="20"/>
          <w:lang w:val="es-VE"/>
        </w:rPr>
        <w:t>Los peticionarios denunciaron que el señor Valenzuela Ávila fue torturado nuevamente el 10 de abril de 1999, tras ser recapturado después de su primera fuga</w:t>
      </w:r>
      <w:r w:rsidR="001B0106" w:rsidRPr="007F3D68">
        <w:rPr>
          <w:rFonts w:ascii="Cambria" w:hAnsi="Cambria"/>
          <w:sz w:val="20"/>
          <w:szCs w:val="20"/>
          <w:lang w:val="es-VE"/>
        </w:rPr>
        <w:t xml:space="preserve"> en junio de 1998</w:t>
      </w:r>
      <w:r w:rsidRPr="007F3D68">
        <w:rPr>
          <w:rFonts w:ascii="Cambria" w:hAnsi="Cambria"/>
          <w:sz w:val="20"/>
          <w:szCs w:val="20"/>
          <w:lang w:val="es-VE"/>
        </w:rPr>
        <w:t>.</w:t>
      </w:r>
    </w:p>
    <w:p w:rsidR="00D914A2" w:rsidRPr="007F3D68" w:rsidRDefault="00D914A2" w:rsidP="009C796E">
      <w:pPr>
        <w:pBdr>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es-VE"/>
        </w:rPr>
      </w:pPr>
    </w:p>
    <w:p w:rsidR="00D914A2" w:rsidRPr="007F3D68" w:rsidRDefault="00D914A2" w:rsidP="00D914A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VE"/>
        </w:rPr>
      </w:pPr>
      <w:r w:rsidRPr="007F3D68">
        <w:rPr>
          <w:rFonts w:ascii="Cambria" w:hAnsi="Cambria"/>
          <w:sz w:val="20"/>
          <w:szCs w:val="20"/>
          <w:lang w:val="es-VE"/>
        </w:rPr>
        <w:t>El 8 de julio de 1999 el abogado defensor presentó un escrito ante el Juez de Primera Instancia Penal, Narcoactividad y Delitos contra el Ambiente, informando que su defendido fue objeto de malos tratos al momento de ser recapturado. Por ello, solicitó que “lo trasladen a un centro hospitalario y/o en su caso a que se lleve UN MEDICO ESPECIALISTA al centro donde guarda prisión preventiva, para que realice los exámenes correspondientes para proveerle el tratamiento médico que amerite”</w:t>
      </w:r>
      <w:r w:rsidRPr="007F3D68">
        <w:rPr>
          <w:rStyle w:val="FootnoteReference"/>
          <w:rFonts w:ascii="Cambria" w:hAnsi="Cambria"/>
          <w:sz w:val="20"/>
          <w:szCs w:val="20"/>
          <w:lang w:val="es-VE"/>
        </w:rPr>
        <w:footnoteReference w:id="10"/>
      </w:r>
      <w:r w:rsidRPr="007F3D68">
        <w:rPr>
          <w:rFonts w:ascii="Cambria" w:hAnsi="Cambria"/>
          <w:sz w:val="20"/>
          <w:szCs w:val="20"/>
          <w:lang w:val="es-VE"/>
        </w:rPr>
        <w:t xml:space="preserve">. </w:t>
      </w:r>
    </w:p>
    <w:p w:rsidR="00D914A2" w:rsidRPr="007F3D68" w:rsidRDefault="00D914A2" w:rsidP="00D914A2">
      <w:pPr>
        <w:pStyle w:val="ListParagraph"/>
        <w:rPr>
          <w:sz w:val="20"/>
          <w:szCs w:val="20"/>
          <w:lang w:val="es-VE"/>
        </w:rPr>
      </w:pPr>
    </w:p>
    <w:p w:rsidR="00D914A2" w:rsidRPr="007F3D68" w:rsidRDefault="00D914A2" w:rsidP="00D914A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VE"/>
        </w:rPr>
      </w:pPr>
      <w:r w:rsidRPr="007F3D68">
        <w:rPr>
          <w:rFonts w:ascii="Cambria" w:hAnsi="Cambria"/>
          <w:sz w:val="20"/>
          <w:szCs w:val="20"/>
          <w:lang w:val="es-VE"/>
        </w:rPr>
        <w:t xml:space="preserve">La Comisión no cuenta con información que indique que el Estado dio respuesta a esta solicitud. Tampoco consta en el expediente que las autoridades hubieran ordenado la realización de un examen médico al señor Valenzuela Ávila. </w:t>
      </w:r>
    </w:p>
    <w:p w:rsidR="00D914A2" w:rsidRPr="007F3D68" w:rsidRDefault="00D914A2" w:rsidP="00D914A2">
      <w:pPr>
        <w:pBdr>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rsidR="00D914A2" w:rsidRPr="007F3D68" w:rsidRDefault="00D914A2" w:rsidP="00D914A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VE"/>
        </w:rPr>
      </w:pPr>
      <w:r w:rsidRPr="007F3D68">
        <w:rPr>
          <w:rFonts w:ascii="Cambria" w:hAnsi="Cambria"/>
          <w:sz w:val="20"/>
          <w:szCs w:val="20"/>
          <w:lang w:val="es-VE"/>
        </w:rPr>
        <w:t>Según informaron las partes, el señor Valenzuela Ávila se volvió a fugar e</w:t>
      </w:r>
      <w:r w:rsidR="001B0106" w:rsidRPr="007F3D68">
        <w:rPr>
          <w:rFonts w:ascii="Cambria" w:hAnsi="Cambria"/>
          <w:sz w:val="20"/>
          <w:szCs w:val="20"/>
          <w:lang w:val="es-VE"/>
        </w:rPr>
        <w:t>n</w:t>
      </w:r>
      <w:r w:rsidRPr="007F3D68">
        <w:rPr>
          <w:rFonts w:ascii="Cambria" w:hAnsi="Cambria"/>
          <w:sz w:val="20"/>
          <w:szCs w:val="20"/>
          <w:lang w:val="es-VE"/>
        </w:rPr>
        <w:t xml:space="preserve"> junio de 2001. Los peticionarios denunciaron que fue nuevamente torturado luego de ser recapturado.</w:t>
      </w:r>
    </w:p>
    <w:p w:rsidR="00D914A2" w:rsidRPr="007F3D68" w:rsidRDefault="00D914A2" w:rsidP="00D914A2">
      <w:pPr>
        <w:pBdr>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es-VE"/>
        </w:rPr>
      </w:pPr>
    </w:p>
    <w:p w:rsidR="00D914A2" w:rsidRPr="007F3D68" w:rsidRDefault="00D914A2" w:rsidP="00056FA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VE"/>
        </w:rPr>
      </w:pPr>
      <w:r w:rsidRPr="007F3D68">
        <w:rPr>
          <w:rFonts w:ascii="Cambria" w:hAnsi="Cambria"/>
          <w:sz w:val="20"/>
          <w:szCs w:val="20"/>
          <w:lang w:val="es-VE"/>
        </w:rPr>
        <w:t>Al respecto, en una carta dirigida por la presunta víctima al abogado Enríquez Cabrera, el s</w:t>
      </w:r>
      <w:r w:rsidR="00056FA7" w:rsidRPr="007F3D68">
        <w:rPr>
          <w:rFonts w:ascii="Cambria" w:hAnsi="Cambria"/>
          <w:sz w:val="20"/>
          <w:szCs w:val="20"/>
          <w:lang w:val="es-VE"/>
        </w:rPr>
        <w:t>e</w:t>
      </w:r>
      <w:r w:rsidRPr="007F3D68">
        <w:rPr>
          <w:rFonts w:ascii="Cambria" w:hAnsi="Cambria"/>
          <w:sz w:val="20"/>
          <w:szCs w:val="20"/>
          <w:lang w:val="es-VE"/>
        </w:rPr>
        <w:t>ñor Valenzuela Avila le informó que sufrió torturas el 17, 18 y 19 de junio de 2001 por parte de agentes del Servicio de Investigación Criminal con autoridades del centro penal.</w:t>
      </w:r>
      <w:r w:rsidR="00056FA7" w:rsidRPr="007F3D68">
        <w:rPr>
          <w:rFonts w:ascii="Cambria" w:hAnsi="Cambria"/>
          <w:sz w:val="20"/>
          <w:szCs w:val="20"/>
          <w:lang w:val="es-VE"/>
        </w:rPr>
        <w:t xml:space="preserve"> </w:t>
      </w:r>
      <w:r w:rsidRPr="007F3D68">
        <w:rPr>
          <w:rFonts w:ascii="Cambria" w:hAnsi="Cambria"/>
          <w:sz w:val="20"/>
          <w:szCs w:val="20"/>
          <w:lang w:val="es-VE"/>
        </w:rPr>
        <w:t>Ref</w:t>
      </w:r>
      <w:r w:rsidR="00056FA7" w:rsidRPr="007F3D68">
        <w:rPr>
          <w:rFonts w:ascii="Cambria" w:hAnsi="Cambria"/>
          <w:sz w:val="20"/>
          <w:szCs w:val="20"/>
          <w:lang w:val="es-VE"/>
        </w:rPr>
        <w:t>irió que como consecuencia sufría</w:t>
      </w:r>
      <w:r w:rsidRPr="007F3D68">
        <w:rPr>
          <w:rFonts w:ascii="Cambria" w:hAnsi="Cambria"/>
          <w:sz w:val="20"/>
          <w:szCs w:val="20"/>
          <w:lang w:val="es-VE"/>
        </w:rPr>
        <w:t xml:space="preserve"> dolores intensos en la parte baja de la esp</w:t>
      </w:r>
      <w:r w:rsidR="00056FA7" w:rsidRPr="007F3D68">
        <w:rPr>
          <w:rFonts w:ascii="Cambria" w:hAnsi="Cambria"/>
          <w:sz w:val="20"/>
          <w:szCs w:val="20"/>
          <w:lang w:val="es-VE"/>
        </w:rPr>
        <w:t>alda. Indicó que llegó un médico supuestamente</w:t>
      </w:r>
      <w:r w:rsidRPr="007F3D68">
        <w:rPr>
          <w:rFonts w:ascii="Cambria" w:hAnsi="Cambria"/>
          <w:sz w:val="20"/>
          <w:szCs w:val="20"/>
          <w:lang w:val="es-VE"/>
        </w:rPr>
        <w:t xml:space="preserve"> </w:t>
      </w:r>
      <w:r w:rsidR="00056FA7" w:rsidRPr="007F3D68">
        <w:rPr>
          <w:rFonts w:ascii="Cambria" w:hAnsi="Cambria"/>
          <w:sz w:val="20"/>
          <w:szCs w:val="20"/>
          <w:lang w:val="es-VE"/>
        </w:rPr>
        <w:t>p</w:t>
      </w:r>
      <w:r w:rsidRPr="007F3D68">
        <w:rPr>
          <w:rFonts w:ascii="Cambria" w:hAnsi="Cambria"/>
          <w:sz w:val="20"/>
          <w:szCs w:val="20"/>
          <w:lang w:val="es-VE"/>
        </w:rPr>
        <w:t>a</w:t>
      </w:r>
      <w:r w:rsidR="00056FA7" w:rsidRPr="007F3D68">
        <w:rPr>
          <w:rFonts w:ascii="Cambria" w:hAnsi="Cambria"/>
          <w:sz w:val="20"/>
          <w:szCs w:val="20"/>
          <w:lang w:val="es-VE"/>
        </w:rPr>
        <w:t>ra</w:t>
      </w:r>
      <w:r w:rsidRPr="007F3D68">
        <w:rPr>
          <w:rFonts w:ascii="Cambria" w:hAnsi="Cambria"/>
          <w:sz w:val="20"/>
          <w:szCs w:val="20"/>
          <w:lang w:val="es-VE"/>
        </w:rPr>
        <w:t xml:space="preserve"> examinarlo pero no le hizo exámenes e hizo caso omiso “a mis golpes y torturas”. Le pidió a dicha persona asistencia médica en cualquier hospital nacional porque en sus palabras “llevo 4 días de estar en cama sin poderme movilizar </w:t>
      </w:r>
      <w:proofErr w:type="spellStart"/>
      <w:r w:rsidRPr="007F3D68">
        <w:rPr>
          <w:rFonts w:ascii="Cambria" w:hAnsi="Cambria"/>
          <w:sz w:val="20"/>
          <w:szCs w:val="20"/>
          <w:lang w:val="es-VE"/>
        </w:rPr>
        <w:t>devido</w:t>
      </w:r>
      <w:proofErr w:type="spellEnd"/>
      <w:r w:rsidRPr="007F3D68">
        <w:rPr>
          <w:rFonts w:ascii="Cambria" w:hAnsi="Cambria"/>
          <w:sz w:val="20"/>
          <w:szCs w:val="20"/>
          <w:lang w:val="es-VE"/>
        </w:rPr>
        <w:t xml:space="preserve"> (sic) al fuerte dolor en mi columna </w:t>
      </w:r>
      <w:proofErr w:type="spellStart"/>
      <w:r w:rsidRPr="007F3D68">
        <w:rPr>
          <w:rFonts w:ascii="Cambria" w:hAnsi="Cambria"/>
          <w:sz w:val="20"/>
          <w:szCs w:val="20"/>
          <w:lang w:val="es-VE"/>
        </w:rPr>
        <w:t>bertevral</w:t>
      </w:r>
      <w:proofErr w:type="spellEnd"/>
      <w:r w:rsidRPr="007F3D68">
        <w:rPr>
          <w:rFonts w:ascii="Cambria" w:hAnsi="Cambria"/>
          <w:sz w:val="20"/>
          <w:szCs w:val="20"/>
          <w:lang w:val="es-VE"/>
        </w:rPr>
        <w:t xml:space="preserve"> (sic)”</w:t>
      </w:r>
      <w:r w:rsidRPr="007F3D68">
        <w:rPr>
          <w:rStyle w:val="FootnoteReference"/>
          <w:rFonts w:ascii="Cambria" w:hAnsi="Cambria"/>
          <w:sz w:val="20"/>
          <w:szCs w:val="20"/>
          <w:lang w:val="es-VE"/>
        </w:rPr>
        <w:footnoteReference w:id="11"/>
      </w:r>
      <w:r w:rsidRPr="007F3D68">
        <w:rPr>
          <w:rFonts w:ascii="Cambria" w:hAnsi="Cambria"/>
          <w:sz w:val="20"/>
          <w:szCs w:val="20"/>
          <w:lang w:val="es-VE"/>
        </w:rPr>
        <w:t xml:space="preserve">. </w:t>
      </w:r>
    </w:p>
    <w:p w:rsidR="00D914A2" w:rsidRPr="007F3D68" w:rsidRDefault="00D914A2" w:rsidP="00D914A2">
      <w:pPr>
        <w:pBdr>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es-VE"/>
        </w:rPr>
      </w:pPr>
    </w:p>
    <w:p w:rsidR="00D914A2" w:rsidRDefault="00D914A2" w:rsidP="00D914A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VE"/>
        </w:rPr>
      </w:pPr>
      <w:r w:rsidRPr="007F3D68">
        <w:rPr>
          <w:rFonts w:ascii="Cambria" w:hAnsi="Cambria"/>
          <w:sz w:val="20"/>
          <w:szCs w:val="20"/>
          <w:lang w:val="es-VE"/>
        </w:rPr>
        <w:t xml:space="preserve">El 11 de julio de 2001 la presunta víctima interpuso un recurso de exhibición personal a su favor y en contra el Director de la Policía Nacional Civil, el Jefe del Departamento de Servicio de Investigación Criminal y el Director del Centro Preventivo para Hombres de la zona 18, alegando entre otras cosas que </w:t>
      </w:r>
      <w:r w:rsidRPr="007F3D68">
        <w:rPr>
          <w:rFonts w:ascii="Cambria" w:hAnsi="Cambria"/>
          <w:sz w:val="20"/>
          <w:szCs w:val="20"/>
          <w:lang w:val="es-VE"/>
        </w:rPr>
        <w:lastRenderedPageBreak/>
        <w:t>estaba siendo objeto de torturas y vejámenes en la prisión por lo que pidió una evaluación médica y q</w:t>
      </w:r>
      <w:r w:rsidR="00056FA7" w:rsidRPr="007F3D68">
        <w:rPr>
          <w:rFonts w:ascii="Cambria" w:hAnsi="Cambria"/>
          <w:sz w:val="20"/>
          <w:szCs w:val="20"/>
          <w:lang w:val="es-VE"/>
        </w:rPr>
        <w:t>ue se hagan cesar los vejámenes</w:t>
      </w:r>
      <w:r w:rsidRPr="007F3D68">
        <w:rPr>
          <w:rStyle w:val="FootnoteReference"/>
          <w:rFonts w:ascii="Cambria" w:hAnsi="Cambria"/>
          <w:sz w:val="20"/>
          <w:szCs w:val="20"/>
          <w:lang w:val="es-VE"/>
        </w:rPr>
        <w:footnoteReference w:id="12"/>
      </w:r>
      <w:r w:rsidRPr="007F3D68">
        <w:rPr>
          <w:rFonts w:ascii="Cambria" w:hAnsi="Cambria"/>
          <w:sz w:val="20"/>
          <w:szCs w:val="20"/>
          <w:lang w:val="es-VE"/>
        </w:rPr>
        <w:t>.</w:t>
      </w:r>
    </w:p>
    <w:p w:rsidR="00B41B3B" w:rsidRPr="00FB1E9C" w:rsidRDefault="00B41B3B" w:rsidP="00B41B3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es-VE"/>
        </w:rPr>
      </w:pPr>
    </w:p>
    <w:p w:rsidR="00D914A2" w:rsidRPr="007F3D68" w:rsidRDefault="00D914A2" w:rsidP="00D914A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VE"/>
        </w:rPr>
      </w:pPr>
      <w:r w:rsidRPr="007F3D68">
        <w:rPr>
          <w:rFonts w:ascii="Cambria" w:hAnsi="Cambria"/>
          <w:sz w:val="20"/>
          <w:szCs w:val="20"/>
          <w:lang w:val="es-VE"/>
        </w:rPr>
        <w:t>El 30 de julio de 2001 la Sala Tercera de la Corte de Apelaciones  resolvió sin lugar el recurso de exhibición personal, argumentando que en el caso “no concurren los presupuestos legales para su procedencia</w:t>
      </w:r>
      <w:r w:rsidR="00056FA7" w:rsidRPr="007F3D68">
        <w:rPr>
          <w:rFonts w:ascii="Cambria" w:hAnsi="Cambria"/>
          <w:sz w:val="20"/>
          <w:szCs w:val="20"/>
          <w:lang w:val="es-VE"/>
        </w:rPr>
        <w:t>”</w:t>
      </w:r>
      <w:r w:rsidRPr="007F3D68">
        <w:rPr>
          <w:rStyle w:val="FootnoteReference"/>
          <w:rFonts w:ascii="Cambria" w:hAnsi="Cambria"/>
          <w:sz w:val="20"/>
          <w:szCs w:val="20"/>
          <w:lang w:val="es-VE"/>
        </w:rPr>
        <w:footnoteReference w:id="13"/>
      </w:r>
      <w:r w:rsidRPr="007F3D68">
        <w:rPr>
          <w:rFonts w:ascii="Cambria" w:hAnsi="Cambria"/>
          <w:sz w:val="20"/>
          <w:szCs w:val="20"/>
          <w:lang w:val="es-VE"/>
        </w:rPr>
        <w:t xml:space="preserve">. </w:t>
      </w:r>
    </w:p>
    <w:p w:rsidR="00D914A2" w:rsidRPr="007F3D68" w:rsidRDefault="00D914A2" w:rsidP="00D914A2">
      <w:pPr>
        <w:pBdr>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es-VE"/>
        </w:rPr>
      </w:pPr>
    </w:p>
    <w:p w:rsidR="00D914A2" w:rsidRPr="007F3D68" w:rsidRDefault="00D914A2" w:rsidP="00D914A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VE"/>
        </w:rPr>
      </w:pPr>
      <w:r w:rsidRPr="007F3D68">
        <w:rPr>
          <w:rFonts w:ascii="Cambria" w:hAnsi="Cambria"/>
          <w:sz w:val="20"/>
          <w:szCs w:val="20"/>
          <w:lang w:val="es-VE"/>
        </w:rPr>
        <w:t xml:space="preserve">En relación con estos alegatos de tortura, el señor Pablo Arturo Ruiz </w:t>
      </w:r>
      <w:proofErr w:type="spellStart"/>
      <w:r w:rsidRPr="007F3D68">
        <w:rPr>
          <w:rFonts w:ascii="Cambria" w:hAnsi="Cambria"/>
          <w:sz w:val="20"/>
          <w:szCs w:val="20"/>
          <w:lang w:val="es-VE"/>
        </w:rPr>
        <w:t>Almengor</w:t>
      </w:r>
      <w:proofErr w:type="spellEnd"/>
      <w:r w:rsidRPr="007F3D68">
        <w:rPr>
          <w:rFonts w:ascii="Cambria" w:hAnsi="Cambria"/>
          <w:sz w:val="20"/>
          <w:szCs w:val="20"/>
          <w:lang w:val="es-VE"/>
        </w:rPr>
        <w:t>, cuya celda en la cárcel se encontraba próxima a la de la presunta víctima, declaró que luego de ser recapturados tras fugarse de la cárcel de máxima seguridad “El Infiernito”</w:t>
      </w:r>
      <w:r w:rsidR="00FD45B6" w:rsidRPr="007F3D68">
        <w:rPr>
          <w:rFonts w:ascii="Cambria" w:hAnsi="Cambria"/>
          <w:sz w:val="20"/>
          <w:szCs w:val="20"/>
          <w:lang w:val="es-VE"/>
        </w:rPr>
        <w:t xml:space="preserve"> en 2001</w:t>
      </w:r>
      <w:r w:rsidRPr="007F3D68">
        <w:rPr>
          <w:rFonts w:ascii="Cambria" w:hAnsi="Cambria"/>
          <w:sz w:val="20"/>
          <w:szCs w:val="20"/>
          <w:lang w:val="es-VE"/>
        </w:rPr>
        <w:t>, la presunta víctima fue golpeada en la prisión. Al respecto indicó que “estando el señor Tirso Román Valenzuela Ávila en su bartolina vinieron a sacarlo en repetidas oportunidades personas vestidas de particular se lo llevaban y regresaba el cada vez más golpeado”</w:t>
      </w:r>
      <w:r w:rsidRPr="007F3D68">
        <w:rPr>
          <w:rStyle w:val="FootnoteReference"/>
          <w:rFonts w:ascii="Cambria" w:hAnsi="Cambria"/>
          <w:sz w:val="20"/>
          <w:szCs w:val="20"/>
          <w:lang w:val="es-VE"/>
        </w:rPr>
        <w:footnoteReference w:id="14"/>
      </w:r>
      <w:r w:rsidRPr="007F3D68">
        <w:rPr>
          <w:rFonts w:ascii="Cambria" w:hAnsi="Cambria"/>
          <w:sz w:val="20"/>
          <w:szCs w:val="20"/>
          <w:lang w:val="es-VE"/>
        </w:rPr>
        <w:t>.</w:t>
      </w:r>
    </w:p>
    <w:p w:rsidR="00D914A2" w:rsidRPr="007F3D68" w:rsidRDefault="00D914A2" w:rsidP="00D914A2">
      <w:pPr>
        <w:pBdr>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rsidR="00D914A2" w:rsidRPr="007F3D68" w:rsidRDefault="00FD45B6" w:rsidP="00D914A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VE"/>
        </w:rPr>
      </w:pPr>
      <w:r w:rsidRPr="007F3D68">
        <w:rPr>
          <w:rFonts w:ascii="Cambria" w:hAnsi="Cambria"/>
          <w:sz w:val="20"/>
          <w:szCs w:val="20"/>
          <w:lang w:val="es-VE"/>
        </w:rPr>
        <w:t>Tras sentencia definitiva de 2004, a</w:t>
      </w:r>
      <w:r w:rsidR="00D914A2" w:rsidRPr="007F3D68">
        <w:rPr>
          <w:rFonts w:ascii="Cambria" w:hAnsi="Cambria"/>
          <w:sz w:val="20"/>
          <w:szCs w:val="20"/>
          <w:lang w:val="es-VE"/>
        </w:rPr>
        <w:t>mbas partes presentaron informes médicos realizados entre febrero y junio de 2005.</w:t>
      </w:r>
    </w:p>
    <w:p w:rsidR="00D914A2" w:rsidRPr="007F3D68" w:rsidRDefault="00D914A2" w:rsidP="00D914A2">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rsidR="00D914A2" w:rsidRPr="007F3D68" w:rsidRDefault="00D914A2" w:rsidP="00D914A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VE"/>
        </w:rPr>
      </w:pPr>
      <w:r w:rsidRPr="007F3D68">
        <w:rPr>
          <w:rFonts w:ascii="Cambria" w:hAnsi="Cambria"/>
          <w:sz w:val="20"/>
          <w:szCs w:val="20"/>
          <w:lang w:val="es-VE"/>
        </w:rPr>
        <w:t>El 25 de febrero de 2005 el médico Carlos Guillermo Quijada Sandoval, Coordinador de Servicios Médicos del Sistema Penitenciario efectuó un examen médico a la presunta víctima, e informó que le preguntó reiteradamente si ha sufrido agresión o maltrato en la prisión, a lo que esta contestó con negativa. Agregó que “el estado físico como mental del paciente no presenta ninguna evidencia de agresión o maltrato físico”</w:t>
      </w:r>
      <w:r w:rsidRPr="007F3D68">
        <w:rPr>
          <w:rStyle w:val="FootnoteReference"/>
          <w:rFonts w:ascii="Cambria" w:hAnsi="Cambria"/>
          <w:sz w:val="20"/>
          <w:szCs w:val="20"/>
          <w:lang w:val="es-VE"/>
        </w:rPr>
        <w:footnoteReference w:id="15"/>
      </w:r>
      <w:r w:rsidRPr="007F3D68">
        <w:rPr>
          <w:rFonts w:ascii="Cambria" w:hAnsi="Cambria"/>
          <w:sz w:val="20"/>
          <w:szCs w:val="20"/>
          <w:lang w:val="es-VE"/>
        </w:rPr>
        <w:t xml:space="preserve">. </w:t>
      </w:r>
    </w:p>
    <w:p w:rsidR="00D914A2" w:rsidRPr="007F3D68" w:rsidRDefault="00D914A2" w:rsidP="00D914A2">
      <w:pPr>
        <w:pBdr>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es-VE"/>
        </w:rPr>
      </w:pPr>
    </w:p>
    <w:p w:rsidR="008E7F97" w:rsidRPr="007F3D68" w:rsidRDefault="00D914A2" w:rsidP="00D914A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VE"/>
        </w:rPr>
      </w:pPr>
      <w:r w:rsidRPr="007F3D68">
        <w:rPr>
          <w:rFonts w:ascii="Cambria" w:hAnsi="Cambria"/>
          <w:sz w:val="20"/>
          <w:szCs w:val="20"/>
          <w:lang w:val="es-VE"/>
        </w:rPr>
        <w:t xml:space="preserve">Por su parte, el 15 de junio de 2005 la Dra. Edna Karina </w:t>
      </w:r>
      <w:proofErr w:type="spellStart"/>
      <w:r w:rsidRPr="007F3D68">
        <w:rPr>
          <w:rFonts w:ascii="Cambria" w:hAnsi="Cambria"/>
          <w:sz w:val="20"/>
          <w:szCs w:val="20"/>
          <w:lang w:val="es-VE"/>
        </w:rPr>
        <w:t>Vaquerano</w:t>
      </w:r>
      <w:proofErr w:type="spellEnd"/>
      <w:r w:rsidRPr="007F3D68">
        <w:rPr>
          <w:rFonts w:ascii="Cambria" w:hAnsi="Cambria"/>
          <w:sz w:val="20"/>
          <w:szCs w:val="20"/>
          <w:lang w:val="es-VE"/>
        </w:rPr>
        <w:t xml:space="preserve"> Martínez, emitió un informe de un examen médico realizado a la presunta víctima en la misma fecha. En dicho informe concluyó que la presunta víctima “presenta un examen mental acorde a una persona que ha vivido tortura, malos tratos y violencia. Razón por la cual debe de llevar un proceso psicoterapéutico que provea las herramientas de fortalecimiento y resolución en este aspecto de su vida”</w:t>
      </w:r>
      <w:r w:rsidRPr="007F3D68">
        <w:rPr>
          <w:rStyle w:val="FootnoteReference"/>
          <w:rFonts w:ascii="Cambria" w:hAnsi="Cambria"/>
          <w:sz w:val="20"/>
          <w:szCs w:val="20"/>
          <w:lang w:val="es-VE"/>
        </w:rPr>
        <w:footnoteReference w:id="16"/>
      </w:r>
      <w:r w:rsidRPr="007F3D68">
        <w:rPr>
          <w:rFonts w:ascii="Cambria" w:hAnsi="Cambria"/>
          <w:sz w:val="20"/>
          <w:szCs w:val="20"/>
          <w:lang w:val="es-VE"/>
        </w:rPr>
        <w:t>. En dicho informe también documentó por medio de fotografías que la presunta víctima presenta al menos seis cicatrices de viejas heridas</w:t>
      </w:r>
      <w:r w:rsidR="008E7F97" w:rsidRPr="007F3D68">
        <w:rPr>
          <w:rFonts w:ascii="Cambria" w:hAnsi="Cambria"/>
          <w:sz w:val="20"/>
          <w:szCs w:val="20"/>
          <w:lang w:val="es-VE"/>
        </w:rPr>
        <w:t>: 1. Cicatriz en área de cuello de quemaduras; 2. Cicatrices en espalda; 3. Cicatriz en muñeca resultante de un intento de introducción de varilla; 4. Cicatriz de perforación de la colocación de sello de agua por problemas pulmonares secundarios a los disparos recibidos; 5. Cicatriz de sello de agua lado izquierdo, 6. Orificio de salida de impacto de bala recibido</w:t>
      </w:r>
      <w:r w:rsidR="008E7F97" w:rsidRPr="007F3D68">
        <w:rPr>
          <w:rStyle w:val="FootnoteReference"/>
          <w:rFonts w:ascii="Cambria" w:hAnsi="Cambria"/>
          <w:sz w:val="20"/>
          <w:szCs w:val="20"/>
          <w:lang w:val="es-VE"/>
        </w:rPr>
        <w:footnoteReference w:id="17"/>
      </w:r>
      <w:r w:rsidR="008E7F97" w:rsidRPr="007F3D68">
        <w:rPr>
          <w:rFonts w:ascii="Cambria" w:hAnsi="Cambria"/>
          <w:sz w:val="20"/>
          <w:szCs w:val="20"/>
          <w:lang w:val="es-VE"/>
        </w:rPr>
        <w:t>.</w:t>
      </w:r>
    </w:p>
    <w:p w:rsidR="008E7F97" w:rsidRPr="007F3D68" w:rsidRDefault="008E7F97" w:rsidP="00D914A2">
      <w:pPr>
        <w:pBdr>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es-VE"/>
        </w:rPr>
      </w:pPr>
    </w:p>
    <w:p w:rsidR="00D914A2" w:rsidRPr="007F3D68" w:rsidRDefault="00D914A2" w:rsidP="00D914A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VE"/>
        </w:rPr>
      </w:pPr>
      <w:r w:rsidRPr="007F3D68">
        <w:rPr>
          <w:rFonts w:ascii="Cambria" w:hAnsi="Cambria"/>
          <w:sz w:val="20"/>
          <w:szCs w:val="20"/>
          <w:lang w:val="es-VE"/>
        </w:rPr>
        <w:t>Los peticionarios también presentaron un peritaje psicológico emitido por el Dr. Juan Cristóbal Aldana Alfaro, en el que este concluyó que “Tirso muestra las características de una persona torturada tanto desde el punto de vista físico y psicológico”. Agregó que en el orden físico Tirso exhibe una serie de cicatrices, por lo que se recomienda “que se debe practicar una evaluación médica especializada en tortura para verificar el origen de dichas cicatrices y lesiones”</w:t>
      </w:r>
      <w:r w:rsidRPr="007F3D68">
        <w:rPr>
          <w:rStyle w:val="FootnoteReference"/>
          <w:rFonts w:ascii="Cambria" w:hAnsi="Cambria"/>
          <w:sz w:val="20"/>
          <w:szCs w:val="20"/>
          <w:lang w:val="es-VE"/>
        </w:rPr>
        <w:t xml:space="preserve"> </w:t>
      </w:r>
      <w:r w:rsidRPr="007F3D68">
        <w:rPr>
          <w:rStyle w:val="FootnoteReference"/>
          <w:rFonts w:ascii="Cambria" w:hAnsi="Cambria"/>
          <w:sz w:val="20"/>
          <w:szCs w:val="20"/>
          <w:lang w:val="es-VE"/>
        </w:rPr>
        <w:footnoteReference w:id="18"/>
      </w:r>
      <w:r w:rsidRPr="007F3D68">
        <w:rPr>
          <w:rFonts w:ascii="Cambria" w:hAnsi="Cambria"/>
          <w:sz w:val="20"/>
          <w:szCs w:val="20"/>
          <w:lang w:val="es-VE"/>
        </w:rPr>
        <w:t>.</w:t>
      </w:r>
    </w:p>
    <w:p w:rsidR="00D914A2" w:rsidRPr="007F3D68" w:rsidRDefault="00D914A2" w:rsidP="00D914A2">
      <w:pPr>
        <w:pBdr>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rsidR="00D914A2" w:rsidRPr="007F3D68" w:rsidRDefault="00D914A2" w:rsidP="00D914A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VE"/>
        </w:rPr>
      </w:pPr>
      <w:r w:rsidRPr="007F3D68">
        <w:rPr>
          <w:rFonts w:ascii="Cambria" w:hAnsi="Cambria"/>
          <w:sz w:val="20"/>
          <w:szCs w:val="20"/>
          <w:lang w:val="es-VE"/>
        </w:rPr>
        <w:t xml:space="preserve">Indicó que en cuanto a las secuelas psicológicas, “Tirso refiere cambios metabólicos y trastornos somáticos que han sido reseñados y disfunciones sexuales que son comunes a personas torturadas, especialmente que han sufrido tortura sexual o violación”. Agregó que otros efectos psicológicos “se extienden </w:t>
      </w:r>
      <w:r w:rsidRPr="007F3D68">
        <w:rPr>
          <w:rFonts w:ascii="Cambria" w:hAnsi="Cambria"/>
          <w:sz w:val="20"/>
          <w:szCs w:val="20"/>
          <w:lang w:val="es-VE"/>
        </w:rPr>
        <w:lastRenderedPageBreak/>
        <w:t>a su situación actual en el corredor de la muerte, como la depresión, sentimientos de culpa, confusión emocional y una ansiedad moderada por el distanciamiento de las visitas familiares”</w:t>
      </w:r>
      <w:r w:rsidRPr="007F3D68">
        <w:rPr>
          <w:rStyle w:val="FootnoteReference"/>
          <w:rFonts w:ascii="Cambria" w:hAnsi="Cambria"/>
          <w:sz w:val="20"/>
          <w:szCs w:val="20"/>
          <w:lang w:val="es-VE"/>
        </w:rPr>
        <w:footnoteReference w:id="19"/>
      </w:r>
      <w:r w:rsidRPr="007F3D68">
        <w:rPr>
          <w:rFonts w:ascii="Cambria" w:hAnsi="Cambria"/>
          <w:sz w:val="20"/>
          <w:szCs w:val="20"/>
          <w:lang w:val="es-VE"/>
        </w:rPr>
        <w:t>.</w:t>
      </w:r>
    </w:p>
    <w:p w:rsidR="00D914A2" w:rsidRPr="007F3D68" w:rsidRDefault="00D914A2" w:rsidP="00D914A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rsidR="001703E3" w:rsidRPr="007F3D68" w:rsidRDefault="00D914A2" w:rsidP="001703E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VE"/>
        </w:rPr>
      </w:pPr>
      <w:r w:rsidRPr="007F3D68">
        <w:rPr>
          <w:rFonts w:ascii="Cambria" w:hAnsi="Cambria"/>
          <w:sz w:val="20"/>
          <w:szCs w:val="20"/>
          <w:lang w:val="es-VE"/>
        </w:rPr>
        <w:t xml:space="preserve">La información disponible indica que el Estado no inició investigación alguna relacionada con las denuncias de tortura. </w:t>
      </w:r>
    </w:p>
    <w:p w:rsidR="008E7F97" w:rsidRPr="007F3D68" w:rsidRDefault="008E7F97" w:rsidP="008E7F9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rsidR="001703E3" w:rsidRPr="007F3D68" w:rsidRDefault="001703E3" w:rsidP="00FC650A">
      <w:pPr>
        <w:pStyle w:val="Heading2"/>
        <w:numPr>
          <w:ilvl w:val="0"/>
          <w:numId w:val="74"/>
        </w:numPr>
        <w:ind w:left="1260" w:hanging="540"/>
      </w:pPr>
      <w:bookmarkStart w:id="74" w:name="_Toc495479542"/>
      <w:r w:rsidRPr="007F3D68">
        <w:t>Proceso penal</w:t>
      </w:r>
      <w:bookmarkEnd w:id="74"/>
    </w:p>
    <w:p w:rsidR="000A1A51" w:rsidRPr="007F3D68" w:rsidRDefault="000A1A51" w:rsidP="00FC650A">
      <w:pPr>
        <w:pStyle w:val="Heading3"/>
        <w:numPr>
          <w:ilvl w:val="0"/>
          <w:numId w:val="75"/>
        </w:numPr>
        <w:tabs>
          <w:tab w:val="clear" w:pos="1800"/>
          <w:tab w:val="num" w:pos="1260"/>
        </w:tabs>
        <w:ind w:hanging="1080"/>
        <w:rPr>
          <w:color w:val="auto"/>
          <w:sz w:val="20"/>
          <w:szCs w:val="20"/>
          <w:lang w:val="es-VE"/>
        </w:rPr>
      </w:pPr>
      <w:bookmarkStart w:id="75" w:name="_Toc495479543"/>
      <w:r w:rsidRPr="007F3D68">
        <w:rPr>
          <w:color w:val="auto"/>
          <w:sz w:val="20"/>
          <w:szCs w:val="20"/>
          <w:lang w:val="es-VE"/>
        </w:rPr>
        <w:t>Acusación</w:t>
      </w:r>
      <w:bookmarkEnd w:id="75"/>
    </w:p>
    <w:p w:rsidR="000A1A51" w:rsidRPr="007F3D68" w:rsidRDefault="000A1A51" w:rsidP="000A1A51">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Theme="majorHAnsi" w:eastAsia="Times New Roman" w:hAnsiTheme="majorHAnsi" w:cs="Courier New"/>
          <w:i/>
          <w:color w:val="auto"/>
          <w:sz w:val="20"/>
          <w:szCs w:val="20"/>
          <w:bdr w:val="none" w:sz="0" w:space="0" w:color="auto"/>
          <w:lang w:val="es-ES"/>
        </w:rPr>
      </w:pPr>
    </w:p>
    <w:p w:rsidR="000A1A51" w:rsidRPr="007F3D68" w:rsidRDefault="000A1A51" w:rsidP="00FC650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7F3D68">
        <w:rPr>
          <w:rFonts w:asciiTheme="majorHAnsi" w:hAnsiTheme="majorHAnsi"/>
          <w:sz w:val="20"/>
          <w:szCs w:val="20"/>
          <w:lang w:val="es-VE"/>
        </w:rPr>
        <w:t>El 31 de mayo de 1999 el Ministerio Público formuló acusación en contra de Tirso Román Valenzuela Ávila por los delitos de tenencia ilegal de armas de fuego ofensivas, asesinato y lesiones, plagio o secuestro, evasión y</w:t>
      </w:r>
      <w:r w:rsidR="00373675" w:rsidRPr="007F3D68">
        <w:rPr>
          <w:rFonts w:asciiTheme="majorHAnsi" w:hAnsiTheme="majorHAnsi"/>
          <w:sz w:val="20"/>
          <w:szCs w:val="20"/>
          <w:lang w:val="es-VE"/>
        </w:rPr>
        <w:t xml:space="preserve"> uso público de nombre supuesto</w:t>
      </w:r>
      <w:r w:rsidRPr="007F3D68">
        <w:rPr>
          <w:rStyle w:val="FootnoteReference"/>
          <w:rFonts w:asciiTheme="majorHAnsi" w:hAnsiTheme="majorHAnsi"/>
          <w:sz w:val="20"/>
          <w:szCs w:val="20"/>
          <w:lang w:val="es-VE"/>
        </w:rPr>
        <w:footnoteReference w:id="20"/>
      </w:r>
      <w:r w:rsidRPr="007F3D68">
        <w:rPr>
          <w:rFonts w:asciiTheme="majorHAnsi" w:hAnsiTheme="majorHAnsi"/>
          <w:sz w:val="20"/>
          <w:szCs w:val="20"/>
          <w:lang w:val="es-VE"/>
        </w:rPr>
        <w:t>. El 2 de julio de 1999 el Juzgado de Primera Instancia Penal decretó el sobreseimiento en relación con el delito de lesiones y admitió la acusación respecto de los otros delitos enunciados en el párrafo anterior</w:t>
      </w:r>
      <w:r w:rsidRPr="007F3D68">
        <w:rPr>
          <w:rStyle w:val="FootnoteReference"/>
          <w:rFonts w:asciiTheme="majorHAnsi" w:hAnsiTheme="majorHAnsi"/>
          <w:sz w:val="20"/>
          <w:szCs w:val="20"/>
          <w:lang w:val="es-VE"/>
        </w:rPr>
        <w:footnoteReference w:id="21"/>
      </w:r>
      <w:r w:rsidRPr="007F3D68">
        <w:rPr>
          <w:rFonts w:asciiTheme="majorHAnsi" w:hAnsiTheme="majorHAnsi"/>
          <w:sz w:val="20"/>
          <w:szCs w:val="20"/>
          <w:lang w:val="es-VE"/>
        </w:rPr>
        <w:t xml:space="preserve">. </w:t>
      </w:r>
    </w:p>
    <w:p w:rsidR="000A1A51" w:rsidRPr="007F3D68" w:rsidRDefault="000A1A51" w:rsidP="00FC650A">
      <w:pPr>
        <w:pStyle w:val="Heading3"/>
        <w:numPr>
          <w:ilvl w:val="0"/>
          <w:numId w:val="75"/>
        </w:numPr>
        <w:tabs>
          <w:tab w:val="clear" w:pos="1800"/>
          <w:tab w:val="num" w:pos="1260"/>
        </w:tabs>
        <w:ind w:hanging="1080"/>
        <w:rPr>
          <w:color w:val="auto"/>
          <w:sz w:val="20"/>
          <w:szCs w:val="20"/>
          <w:lang w:val="es-VE"/>
        </w:rPr>
      </w:pPr>
      <w:bookmarkStart w:id="76" w:name="_Toc495479544"/>
      <w:r w:rsidRPr="007F3D68">
        <w:rPr>
          <w:color w:val="auto"/>
          <w:sz w:val="20"/>
          <w:szCs w:val="20"/>
          <w:lang w:val="es-VE"/>
        </w:rPr>
        <w:t>Sentencia condenatoria</w:t>
      </w:r>
      <w:bookmarkEnd w:id="76"/>
    </w:p>
    <w:p w:rsidR="000A1A51" w:rsidRPr="007F3D68" w:rsidRDefault="000A1A51" w:rsidP="000A1A51">
      <w:pPr>
        <w:rPr>
          <w:lang w:val="es-ES"/>
        </w:rPr>
      </w:pPr>
    </w:p>
    <w:p w:rsidR="000A1A51" w:rsidRPr="007F3D68" w:rsidRDefault="000A1A51" w:rsidP="000A1A5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7F3D68">
        <w:rPr>
          <w:rFonts w:asciiTheme="majorHAnsi" w:hAnsiTheme="majorHAnsi"/>
          <w:sz w:val="20"/>
          <w:szCs w:val="20"/>
          <w:lang w:val="es-VE"/>
        </w:rPr>
        <w:t>El 21 de octubre de 1999 el Tribunal de Sentencia del Departamento de Quetzaltenango dictó sentencia condenatoria en contra de la presunta víctima y otras personas</w:t>
      </w:r>
      <w:r w:rsidRPr="007F3D68">
        <w:rPr>
          <w:rStyle w:val="FootnoteReference"/>
          <w:rFonts w:asciiTheme="majorHAnsi" w:hAnsiTheme="majorHAnsi"/>
          <w:sz w:val="20"/>
          <w:szCs w:val="20"/>
          <w:lang w:val="es-VE"/>
        </w:rPr>
        <w:footnoteReference w:id="22"/>
      </w:r>
      <w:r w:rsidRPr="007F3D68">
        <w:rPr>
          <w:rFonts w:asciiTheme="majorHAnsi" w:hAnsiTheme="majorHAnsi"/>
          <w:sz w:val="20"/>
          <w:szCs w:val="20"/>
          <w:lang w:val="es-VE"/>
        </w:rPr>
        <w:t xml:space="preserve">. </w:t>
      </w:r>
    </w:p>
    <w:p w:rsidR="000A1A51" w:rsidRPr="007F3D68" w:rsidRDefault="000A1A51" w:rsidP="000A1A5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VE"/>
        </w:rPr>
      </w:pPr>
    </w:p>
    <w:p w:rsidR="00C21975" w:rsidRPr="007F3D68" w:rsidRDefault="000A1A51" w:rsidP="00C2197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7F3D68">
        <w:rPr>
          <w:rFonts w:asciiTheme="majorHAnsi" w:hAnsiTheme="majorHAnsi"/>
          <w:sz w:val="20"/>
          <w:szCs w:val="20"/>
          <w:lang w:val="es-VE"/>
        </w:rPr>
        <w:t>En dicha sentencia la presunta víctima fue absuelta por el delito de plagio o secuestro por falta de prueba</w:t>
      </w:r>
      <w:r w:rsidRPr="007F3D68">
        <w:rPr>
          <w:rStyle w:val="FootnoteReference"/>
          <w:rFonts w:asciiTheme="majorHAnsi" w:hAnsiTheme="majorHAnsi"/>
          <w:sz w:val="20"/>
          <w:szCs w:val="20"/>
          <w:lang w:val="es-VE"/>
        </w:rPr>
        <w:footnoteReference w:id="23"/>
      </w:r>
      <w:r w:rsidRPr="007F3D68">
        <w:rPr>
          <w:rFonts w:asciiTheme="majorHAnsi" w:hAnsiTheme="majorHAnsi"/>
          <w:sz w:val="20"/>
          <w:szCs w:val="20"/>
          <w:lang w:val="es-VE"/>
        </w:rPr>
        <w:t>. Asimismo, fue declarado responsable de</w:t>
      </w:r>
      <w:r w:rsidR="00401D09" w:rsidRPr="007F3D68">
        <w:rPr>
          <w:rFonts w:asciiTheme="majorHAnsi" w:hAnsiTheme="majorHAnsi"/>
          <w:sz w:val="20"/>
          <w:szCs w:val="20"/>
          <w:lang w:val="es-VE"/>
        </w:rPr>
        <w:t xml:space="preserve"> otros delitos. </w:t>
      </w:r>
      <w:r w:rsidR="00A37231" w:rsidRPr="007F3D68">
        <w:rPr>
          <w:rFonts w:asciiTheme="majorHAnsi" w:hAnsiTheme="majorHAnsi"/>
          <w:sz w:val="20"/>
          <w:szCs w:val="20"/>
          <w:lang w:val="es-VE"/>
        </w:rPr>
        <w:t xml:space="preserve">En lo relevante para el presente caso, </w:t>
      </w:r>
      <w:r w:rsidRPr="007F3D68">
        <w:rPr>
          <w:rFonts w:asciiTheme="majorHAnsi" w:hAnsiTheme="majorHAnsi"/>
          <w:sz w:val="20"/>
          <w:szCs w:val="20"/>
          <w:lang w:val="es-VE"/>
        </w:rPr>
        <w:t>fue condenado a la pena de muerte por el delito de asesinato por considerar el Tribunal que se configuraba el requisito de “peligrosidad</w:t>
      </w:r>
      <w:r w:rsidR="00015589" w:rsidRPr="007F3D68">
        <w:rPr>
          <w:rFonts w:asciiTheme="majorHAnsi" w:hAnsiTheme="majorHAnsi"/>
          <w:sz w:val="20"/>
          <w:szCs w:val="20"/>
          <w:lang w:val="es-VE"/>
        </w:rPr>
        <w:t xml:space="preserve"> social</w:t>
      </w:r>
      <w:r w:rsidRPr="007F3D68">
        <w:rPr>
          <w:rFonts w:asciiTheme="majorHAnsi" w:hAnsiTheme="majorHAnsi"/>
          <w:sz w:val="20"/>
          <w:szCs w:val="20"/>
          <w:lang w:val="es-VE"/>
        </w:rPr>
        <w:t>”</w:t>
      </w:r>
      <w:r w:rsidR="00C21975" w:rsidRPr="007F3D68">
        <w:rPr>
          <w:rFonts w:asciiTheme="majorHAnsi" w:hAnsiTheme="majorHAnsi"/>
          <w:sz w:val="20"/>
          <w:szCs w:val="20"/>
          <w:lang w:val="es-VE"/>
        </w:rPr>
        <w:t xml:space="preserve"> derivado de, entre otros elementos: </w:t>
      </w:r>
    </w:p>
    <w:p w:rsidR="00C21975" w:rsidRPr="007F3D68" w:rsidRDefault="00C21975" w:rsidP="00C2197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VE"/>
        </w:rPr>
      </w:pPr>
    </w:p>
    <w:p w:rsidR="000A1A51" w:rsidRPr="007F3D68" w:rsidRDefault="00C21975" w:rsidP="00C2197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630"/>
        <w:jc w:val="both"/>
        <w:rPr>
          <w:rFonts w:asciiTheme="majorHAnsi" w:hAnsiTheme="majorHAnsi"/>
          <w:sz w:val="20"/>
          <w:szCs w:val="20"/>
          <w:lang w:val="es-VE"/>
        </w:rPr>
      </w:pPr>
      <w:r w:rsidRPr="007F3D68">
        <w:rPr>
          <w:rFonts w:asciiTheme="majorHAnsi" w:hAnsiTheme="majorHAnsi"/>
          <w:sz w:val="20"/>
          <w:szCs w:val="20"/>
          <w:lang w:val="es-VE"/>
        </w:rPr>
        <w:t xml:space="preserve">(…) </w:t>
      </w:r>
      <w:r w:rsidR="000A1A51" w:rsidRPr="007F3D68">
        <w:rPr>
          <w:rFonts w:asciiTheme="majorHAnsi" w:hAnsiTheme="majorHAnsi"/>
          <w:sz w:val="20"/>
          <w:szCs w:val="20"/>
          <w:lang w:val="es-VE"/>
        </w:rPr>
        <w:t>que el victimario para cometer el hecho delictivo en contra de su víctima utilizó un arma de fuego calibre nueve milímetros y se transportó hasta el lugar del hecho en un vehículo que le permitió darle alcance, rebasarla y detenerla para conseguir su propósito; e) que el móvil del delito fue obviamente cobrar venganza o evitar que la víctima como una funcionaria del Ministerio Público capaz, diligente, honesta y responsable, investigara y descubriera la verdad en los distintos hechos delictivos que tenía a su cargo, para procurar las sanciones correspondientes; que se acreditaron antecedentes personales desfavorables del culpable dado los ingresos que ha tenido a prisión según el informe sobre antecedentes policiacos rendido por el jefe del Gabinete de Identificación de la Policía Nacional Civil; que el móvil de los delitos que se le atribuyen a excepción del asesinato lo constituyó el propósito de causar zozobra e intranquilidad en la sociedad y atentar contra la administración de justicia al pretender evadir la acción de la justicia en la evasión y uso público de nombre supuesto y dejar impune los delitos que se estiman acreditados en su contra, de lo que deviene que el impacto social de tales hechos es grave; que la intensidad del daño causado en cuanto a los delitos acreditados a excepción del uso público de nombre supuesto que se considera leve, es grave debido a que el evadirse del centro de detención, tener en su poder armas de tipo ofensivas y haber asesinado a una Fiscal del Ministerio Público, produce en la sociedad un alto impacto, así como intranquilidad y zozobra; Que no concurren circunstancias atenuantes que calificar y si las agravantes</w:t>
      </w:r>
      <w:r w:rsidR="00C01B6D" w:rsidRPr="007F3D68">
        <w:rPr>
          <w:rFonts w:asciiTheme="majorHAnsi" w:hAnsiTheme="majorHAnsi"/>
          <w:sz w:val="20"/>
          <w:szCs w:val="20"/>
          <w:lang w:val="es-VE"/>
        </w:rPr>
        <w:t xml:space="preserve"> </w:t>
      </w:r>
      <w:r w:rsidR="000A1A51" w:rsidRPr="007F3D68">
        <w:rPr>
          <w:rFonts w:asciiTheme="majorHAnsi" w:hAnsiTheme="majorHAnsi"/>
          <w:sz w:val="20"/>
          <w:szCs w:val="20"/>
          <w:lang w:val="es-VE"/>
        </w:rPr>
        <w:t>(…)</w:t>
      </w:r>
      <w:r w:rsidR="000A1A51" w:rsidRPr="007F3D68">
        <w:rPr>
          <w:rStyle w:val="FootnoteReference"/>
          <w:rFonts w:asciiTheme="majorHAnsi" w:hAnsiTheme="majorHAnsi"/>
          <w:sz w:val="20"/>
          <w:szCs w:val="20"/>
          <w:lang w:val="es-VE"/>
        </w:rPr>
        <w:footnoteReference w:id="24"/>
      </w:r>
      <w:r w:rsidR="000A1A51" w:rsidRPr="007F3D68">
        <w:rPr>
          <w:rFonts w:asciiTheme="majorHAnsi" w:hAnsiTheme="majorHAnsi"/>
          <w:sz w:val="20"/>
          <w:szCs w:val="20"/>
          <w:lang w:val="es-VE"/>
        </w:rPr>
        <w:t>.</w:t>
      </w:r>
    </w:p>
    <w:p w:rsidR="000A1A51" w:rsidRPr="007F3D68" w:rsidRDefault="000A1A51" w:rsidP="000A1A5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VE"/>
        </w:rPr>
      </w:pPr>
    </w:p>
    <w:p w:rsidR="000A1A51" w:rsidRPr="007F3D68" w:rsidRDefault="000A1A51" w:rsidP="00FC650A">
      <w:pPr>
        <w:pStyle w:val="Heading3"/>
        <w:numPr>
          <w:ilvl w:val="0"/>
          <w:numId w:val="75"/>
        </w:numPr>
        <w:tabs>
          <w:tab w:val="clear" w:pos="1800"/>
          <w:tab w:val="num" w:pos="1260"/>
        </w:tabs>
        <w:ind w:hanging="1080"/>
        <w:rPr>
          <w:color w:val="auto"/>
          <w:sz w:val="20"/>
          <w:szCs w:val="20"/>
          <w:lang w:val="es-VE"/>
        </w:rPr>
      </w:pPr>
      <w:bookmarkStart w:id="77" w:name="_Toc495479545"/>
      <w:r w:rsidRPr="007F3D68">
        <w:rPr>
          <w:color w:val="auto"/>
          <w:sz w:val="20"/>
          <w:szCs w:val="20"/>
          <w:lang w:val="es-VE"/>
        </w:rPr>
        <w:lastRenderedPageBreak/>
        <w:t>Recurso de apelación especial</w:t>
      </w:r>
      <w:bookmarkEnd w:id="77"/>
    </w:p>
    <w:p w:rsidR="000A1A51" w:rsidRPr="007F3D68" w:rsidRDefault="000A1A51" w:rsidP="000A1A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i/>
          <w:sz w:val="20"/>
          <w:szCs w:val="20"/>
          <w:bdr w:val="none" w:sz="0" w:space="0" w:color="auto"/>
          <w:lang w:val="es-ES"/>
        </w:rPr>
      </w:pPr>
    </w:p>
    <w:p w:rsidR="006E0C97" w:rsidRPr="007F3D68" w:rsidRDefault="000A1A51" w:rsidP="008E7F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7F3D68">
        <w:rPr>
          <w:rFonts w:asciiTheme="majorHAnsi" w:hAnsiTheme="majorHAnsi"/>
          <w:sz w:val="20"/>
          <w:szCs w:val="20"/>
          <w:lang w:val="es-VE"/>
        </w:rPr>
        <w:t>El 3 de noviembre de 1999 la presunta víctima interpuso recurso de apelación especial en contra de la sentencia del Tribunal de Sentencia del Departamento de Quetzaltenango</w:t>
      </w:r>
      <w:r w:rsidRPr="007F3D68">
        <w:rPr>
          <w:rStyle w:val="FootnoteReference"/>
          <w:rFonts w:asciiTheme="majorHAnsi" w:hAnsiTheme="majorHAnsi"/>
          <w:sz w:val="20"/>
          <w:szCs w:val="20"/>
          <w:lang w:val="es-VE"/>
        </w:rPr>
        <w:footnoteReference w:id="25"/>
      </w:r>
      <w:r w:rsidRPr="007F3D68">
        <w:rPr>
          <w:rFonts w:asciiTheme="majorHAnsi" w:hAnsiTheme="majorHAnsi"/>
          <w:sz w:val="20"/>
          <w:szCs w:val="20"/>
          <w:lang w:val="es-VE"/>
        </w:rPr>
        <w:t>.</w:t>
      </w:r>
    </w:p>
    <w:p w:rsidR="00FD45B6" w:rsidRPr="007F3D68" w:rsidRDefault="00FD45B6" w:rsidP="00FD45B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Theme="majorHAnsi" w:hAnsiTheme="majorHAnsi"/>
          <w:sz w:val="20"/>
          <w:szCs w:val="20"/>
          <w:lang w:val="es-VE"/>
        </w:rPr>
      </w:pPr>
    </w:p>
    <w:p w:rsidR="006E0C97" w:rsidRPr="007F3D68" w:rsidRDefault="00056FA7" w:rsidP="00FD45B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7F3D68">
        <w:rPr>
          <w:rFonts w:asciiTheme="majorHAnsi" w:hAnsiTheme="majorHAnsi"/>
          <w:sz w:val="20"/>
          <w:szCs w:val="20"/>
          <w:lang w:val="es-VE"/>
        </w:rPr>
        <w:t xml:space="preserve">En dicho recurso argumentó, entre los motivos de forma, la falta de motivación adecuada, refiriendo que el Tribunal se limitó a enumerar los medios de prueba producidos en el debate, sin indicar los razonamientos que inducen al tribunal a condenar o absolver. </w:t>
      </w:r>
      <w:r w:rsidR="00FD45B6" w:rsidRPr="007F3D68">
        <w:rPr>
          <w:rFonts w:asciiTheme="majorHAnsi" w:hAnsiTheme="majorHAnsi"/>
          <w:sz w:val="20"/>
          <w:szCs w:val="20"/>
          <w:lang w:val="es-VE"/>
        </w:rPr>
        <w:t xml:space="preserve"> </w:t>
      </w:r>
      <w:r w:rsidRPr="007F3D68">
        <w:rPr>
          <w:rFonts w:asciiTheme="majorHAnsi" w:hAnsiTheme="majorHAnsi"/>
          <w:sz w:val="20"/>
          <w:szCs w:val="20"/>
          <w:lang w:val="es-VE"/>
        </w:rPr>
        <w:t>Asimismo, alegó entre los motivos de fondo, que el tribunal aplicó erróneamente el último párrafo del artículo 132 (delito de asesinato) que establecía que se impondrá la pena de muerte en lugar del máximo de prisión por la comisión de dicho delito, cuando las circunstancia del hecho, y de la ocasión, la manera de realizarlo y los móviles determinantes revelaren una mayor y particular peligrosidad del agente.</w:t>
      </w:r>
      <w:r w:rsidR="00FD45B6" w:rsidRPr="007F3D68">
        <w:rPr>
          <w:rFonts w:asciiTheme="majorHAnsi" w:hAnsiTheme="majorHAnsi"/>
          <w:sz w:val="20"/>
          <w:szCs w:val="20"/>
          <w:lang w:val="es-VE"/>
        </w:rPr>
        <w:t xml:space="preserve"> Finalmente, indicó que </w:t>
      </w:r>
      <w:r w:rsidRPr="007F3D68">
        <w:rPr>
          <w:rFonts w:asciiTheme="majorHAnsi" w:hAnsiTheme="majorHAnsi"/>
          <w:sz w:val="20"/>
          <w:szCs w:val="20"/>
          <w:lang w:val="es-VE"/>
        </w:rPr>
        <w:t>el Tribunal utilizó índices de peligrosidad social, y no utilizó pruebas directas para determinar la peligrosidad social de la presunta víctima. Por ello, solicitó aplicarle la pena máxima de prisión a la presunta víctima, al no quedar demostrado que se trata un individuo que representa un peligro social</w:t>
      </w:r>
      <w:r w:rsidRPr="007F3D68">
        <w:rPr>
          <w:rStyle w:val="FootnoteReference"/>
          <w:rFonts w:asciiTheme="majorHAnsi" w:hAnsiTheme="majorHAnsi"/>
          <w:sz w:val="20"/>
          <w:szCs w:val="20"/>
          <w:lang w:val="es-VE"/>
        </w:rPr>
        <w:footnoteReference w:id="26"/>
      </w:r>
      <w:r w:rsidRPr="007F3D68">
        <w:rPr>
          <w:rFonts w:asciiTheme="majorHAnsi" w:hAnsiTheme="majorHAnsi"/>
          <w:sz w:val="20"/>
          <w:szCs w:val="20"/>
          <w:lang w:val="es-VE"/>
        </w:rPr>
        <w:t>.</w:t>
      </w:r>
    </w:p>
    <w:p w:rsidR="006E0C97" w:rsidRPr="007F3D68" w:rsidRDefault="006E0C97" w:rsidP="000A1A5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VE"/>
        </w:rPr>
      </w:pPr>
    </w:p>
    <w:p w:rsidR="000A1A51" w:rsidRPr="007F3D68" w:rsidRDefault="000A1A51" w:rsidP="00BE470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7F3D68">
        <w:rPr>
          <w:rFonts w:asciiTheme="majorHAnsi" w:hAnsiTheme="majorHAnsi"/>
          <w:sz w:val="20"/>
          <w:szCs w:val="20"/>
          <w:lang w:val="es-VE"/>
        </w:rPr>
        <w:t>El 7 de agosto de 2000 la Sala Séptima de la Corte de Apelaciones declaró sin lugar el recurso de apelación especial</w:t>
      </w:r>
      <w:r w:rsidRPr="007F3D68">
        <w:rPr>
          <w:rStyle w:val="FootnoteReference"/>
          <w:rFonts w:asciiTheme="majorHAnsi" w:hAnsiTheme="majorHAnsi"/>
          <w:sz w:val="20"/>
          <w:szCs w:val="20"/>
          <w:lang w:val="es-VE"/>
        </w:rPr>
        <w:footnoteReference w:id="27"/>
      </w:r>
      <w:r w:rsidRPr="007F3D68">
        <w:rPr>
          <w:rFonts w:asciiTheme="majorHAnsi" w:hAnsiTheme="majorHAnsi"/>
          <w:sz w:val="20"/>
          <w:szCs w:val="20"/>
          <w:lang w:val="es-VE"/>
        </w:rPr>
        <w:t>. Tras analizar cada uno de los sub-motivos alegados en el recurso de apelación especial, el Tribunal concluyó que el recurso es improcedente porque “adolece de deficiencias acerca de su formulación, invocación, de los vicios alegados como tales; así como la ausencia de una tesis inteligible con relación a los sub-motivos alegados”</w:t>
      </w:r>
      <w:r w:rsidRPr="007F3D68">
        <w:rPr>
          <w:rStyle w:val="FootnoteReference"/>
          <w:rFonts w:asciiTheme="majorHAnsi" w:hAnsiTheme="majorHAnsi"/>
          <w:sz w:val="20"/>
          <w:szCs w:val="20"/>
          <w:lang w:val="es-VE"/>
        </w:rPr>
        <w:footnoteReference w:id="28"/>
      </w:r>
      <w:r w:rsidRPr="007F3D68">
        <w:rPr>
          <w:rFonts w:asciiTheme="majorHAnsi" w:hAnsiTheme="majorHAnsi"/>
          <w:sz w:val="20"/>
          <w:szCs w:val="20"/>
          <w:lang w:val="es-VE"/>
        </w:rPr>
        <w:t xml:space="preserve">. </w:t>
      </w:r>
    </w:p>
    <w:p w:rsidR="00083BED" w:rsidRPr="007F3D68" w:rsidRDefault="00083BED" w:rsidP="00083BED">
      <w:pPr>
        <w:pStyle w:val="ListParagraph"/>
        <w:rPr>
          <w:rFonts w:asciiTheme="majorHAnsi" w:hAnsiTheme="majorHAnsi"/>
          <w:sz w:val="20"/>
          <w:szCs w:val="20"/>
          <w:lang w:val="es-VE"/>
        </w:rPr>
      </w:pPr>
    </w:p>
    <w:p w:rsidR="000516EB" w:rsidRPr="007F3D68" w:rsidRDefault="00083BED" w:rsidP="00BE470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7F3D68">
        <w:rPr>
          <w:rFonts w:asciiTheme="majorHAnsi" w:hAnsiTheme="majorHAnsi"/>
          <w:sz w:val="20"/>
          <w:szCs w:val="20"/>
          <w:lang w:val="es-VE"/>
        </w:rPr>
        <w:t>La Comisión nota que en algunos extremos de esta decisión</w:t>
      </w:r>
      <w:r w:rsidR="0090565D" w:rsidRPr="007F3D68">
        <w:rPr>
          <w:rFonts w:asciiTheme="majorHAnsi" w:hAnsiTheme="majorHAnsi"/>
          <w:sz w:val="20"/>
          <w:szCs w:val="20"/>
          <w:lang w:val="es-VE"/>
        </w:rPr>
        <w:t xml:space="preserve"> </w:t>
      </w:r>
      <w:r w:rsidR="004C1356" w:rsidRPr="007F3D68">
        <w:rPr>
          <w:rFonts w:asciiTheme="majorHAnsi" w:hAnsiTheme="majorHAnsi"/>
          <w:sz w:val="20"/>
          <w:szCs w:val="20"/>
          <w:lang w:val="es-VE"/>
        </w:rPr>
        <w:t>se hace referencia a que</w:t>
      </w:r>
      <w:r w:rsidR="0090565D" w:rsidRPr="007F3D68">
        <w:rPr>
          <w:rFonts w:asciiTheme="majorHAnsi" w:hAnsiTheme="majorHAnsi"/>
          <w:sz w:val="20"/>
          <w:szCs w:val="20"/>
          <w:lang w:val="es-VE"/>
        </w:rPr>
        <w:t xml:space="preserve"> los motivos resultan improcedentes, dado que </w:t>
      </w:r>
      <w:r w:rsidR="004C1356" w:rsidRPr="007F3D68">
        <w:rPr>
          <w:rFonts w:asciiTheme="majorHAnsi" w:hAnsiTheme="majorHAnsi"/>
          <w:sz w:val="20"/>
          <w:szCs w:val="20"/>
          <w:lang w:val="es-VE"/>
        </w:rPr>
        <w:t>en realidad</w:t>
      </w:r>
      <w:r w:rsidR="0090565D" w:rsidRPr="007F3D68">
        <w:rPr>
          <w:rFonts w:asciiTheme="majorHAnsi" w:hAnsiTheme="majorHAnsi"/>
          <w:sz w:val="20"/>
          <w:szCs w:val="20"/>
          <w:lang w:val="es-VE"/>
        </w:rPr>
        <w:t xml:space="preserve"> lo que</w:t>
      </w:r>
      <w:r w:rsidR="004C1356" w:rsidRPr="007F3D68">
        <w:rPr>
          <w:rFonts w:asciiTheme="majorHAnsi" w:hAnsiTheme="majorHAnsi"/>
          <w:sz w:val="20"/>
          <w:szCs w:val="20"/>
          <w:lang w:val="es-VE"/>
        </w:rPr>
        <w:t xml:space="preserve"> se impugna es el contenido de diversos elementos probatorios</w:t>
      </w:r>
      <w:r w:rsidR="0090565D" w:rsidRPr="007F3D68">
        <w:rPr>
          <w:rFonts w:asciiTheme="majorHAnsi" w:hAnsiTheme="majorHAnsi"/>
          <w:sz w:val="20"/>
          <w:szCs w:val="20"/>
          <w:lang w:val="es-VE"/>
        </w:rPr>
        <w:t xml:space="preserve">, incluidos testimonios y peritajes. </w:t>
      </w:r>
      <w:r w:rsidR="000516EB" w:rsidRPr="007F3D68">
        <w:rPr>
          <w:rFonts w:asciiTheme="majorHAnsi" w:hAnsiTheme="majorHAnsi"/>
          <w:sz w:val="20"/>
          <w:szCs w:val="20"/>
          <w:lang w:val="es-VE"/>
        </w:rPr>
        <w:t>A</w:t>
      </w:r>
      <w:r w:rsidR="0090565D" w:rsidRPr="007F3D68">
        <w:rPr>
          <w:rFonts w:asciiTheme="majorHAnsi" w:hAnsiTheme="majorHAnsi"/>
          <w:sz w:val="20"/>
          <w:szCs w:val="20"/>
          <w:lang w:val="es-VE"/>
        </w:rPr>
        <w:t xml:space="preserve">sí por ejemplo, se indica que </w:t>
      </w:r>
    </w:p>
    <w:p w:rsidR="000516EB" w:rsidRPr="007F3D68" w:rsidRDefault="000516EB" w:rsidP="000516EB">
      <w:pPr>
        <w:pStyle w:val="ListParagraph"/>
        <w:rPr>
          <w:rFonts w:asciiTheme="majorHAnsi" w:hAnsiTheme="majorHAnsi"/>
          <w:sz w:val="20"/>
          <w:szCs w:val="20"/>
          <w:lang w:val="es-VE"/>
        </w:rPr>
      </w:pPr>
    </w:p>
    <w:p w:rsidR="00083BED" w:rsidRPr="007F3D68" w:rsidRDefault="000516EB" w:rsidP="000516E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630"/>
        <w:jc w:val="both"/>
        <w:rPr>
          <w:rFonts w:asciiTheme="majorHAnsi" w:hAnsiTheme="majorHAnsi"/>
          <w:sz w:val="20"/>
          <w:szCs w:val="20"/>
          <w:lang w:val="es-VE"/>
        </w:rPr>
      </w:pPr>
      <w:r w:rsidRPr="007F3D68">
        <w:rPr>
          <w:rFonts w:asciiTheme="majorHAnsi" w:hAnsiTheme="majorHAnsi"/>
          <w:sz w:val="20"/>
          <w:szCs w:val="20"/>
          <w:lang w:val="es-VE"/>
        </w:rPr>
        <w:t xml:space="preserve">(…) </w:t>
      </w:r>
      <w:r w:rsidR="0090565D" w:rsidRPr="007F3D68">
        <w:rPr>
          <w:rFonts w:asciiTheme="majorHAnsi" w:hAnsiTheme="majorHAnsi"/>
          <w:sz w:val="20"/>
          <w:szCs w:val="20"/>
          <w:lang w:val="es-VE"/>
        </w:rPr>
        <w:t xml:space="preserve">las pretendidas argumentaciones respecto del </w:t>
      </w:r>
      <w:proofErr w:type="spellStart"/>
      <w:r w:rsidR="0090565D" w:rsidRPr="007F3D68">
        <w:rPr>
          <w:rFonts w:asciiTheme="majorHAnsi" w:hAnsiTheme="majorHAnsi"/>
          <w:sz w:val="20"/>
          <w:szCs w:val="20"/>
          <w:lang w:val="es-VE"/>
        </w:rPr>
        <w:t>submotivo</w:t>
      </w:r>
      <w:proofErr w:type="spellEnd"/>
      <w:r w:rsidR="0090565D" w:rsidRPr="007F3D68">
        <w:rPr>
          <w:rFonts w:asciiTheme="majorHAnsi" w:hAnsiTheme="majorHAnsi"/>
          <w:sz w:val="20"/>
          <w:szCs w:val="20"/>
          <w:lang w:val="es-VE"/>
        </w:rPr>
        <w:t xml:space="preserve"> expresado, no se</w:t>
      </w:r>
      <w:r w:rsidR="0037686A" w:rsidRPr="007F3D68">
        <w:rPr>
          <w:rFonts w:asciiTheme="majorHAnsi" w:hAnsiTheme="majorHAnsi"/>
          <w:sz w:val="20"/>
          <w:szCs w:val="20"/>
          <w:lang w:val="es-VE"/>
        </w:rPr>
        <w:t xml:space="preserve"> dirigen en sentido estricto y coherente, </w:t>
      </w:r>
      <w:r w:rsidR="00ED2D74" w:rsidRPr="007F3D68">
        <w:rPr>
          <w:rFonts w:asciiTheme="majorHAnsi" w:hAnsiTheme="majorHAnsi"/>
          <w:sz w:val="20"/>
          <w:szCs w:val="20"/>
          <w:lang w:val="es-VE"/>
        </w:rPr>
        <w:t xml:space="preserve">hacia los razonamientos de los juzgadores, sino, básicamente, hacia los medios probatorios, acerca de los cuales, </w:t>
      </w:r>
      <w:r w:rsidR="003E7B74" w:rsidRPr="007F3D68">
        <w:rPr>
          <w:rFonts w:asciiTheme="majorHAnsi" w:hAnsiTheme="majorHAnsi"/>
          <w:sz w:val="20"/>
          <w:szCs w:val="20"/>
          <w:lang w:val="es-VE"/>
        </w:rPr>
        <w:t>el apelante busca ligar su inconformidad; aspecto</w:t>
      </w:r>
      <w:r w:rsidR="00EF1767" w:rsidRPr="007F3D68">
        <w:rPr>
          <w:rFonts w:asciiTheme="majorHAnsi" w:hAnsiTheme="majorHAnsi"/>
          <w:sz w:val="20"/>
          <w:szCs w:val="20"/>
          <w:lang w:val="es-VE"/>
        </w:rPr>
        <w:t xml:space="preserve"> este último </w:t>
      </w:r>
      <w:proofErr w:type="spellStart"/>
      <w:r w:rsidR="00EF1767" w:rsidRPr="007F3D68">
        <w:rPr>
          <w:rFonts w:asciiTheme="majorHAnsi" w:hAnsiTheme="majorHAnsi"/>
          <w:sz w:val="20"/>
          <w:szCs w:val="20"/>
          <w:lang w:val="es-VE"/>
        </w:rPr>
        <w:t>corroborable</w:t>
      </w:r>
      <w:proofErr w:type="spellEnd"/>
      <w:r w:rsidR="00EF1767" w:rsidRPr="007F3D68">
        <w:rPr>
          <w:rFonts w:asciiTheme="majorHAnsi" w:hAnsiTheme="majorHAnsi"/>
          <w:sz w:val="20"/>
          <w:szCs w:val="20"/>
          <w:lang w:val="es-VE"/>
        </w:rPr>
        <w:t xml:space="preserve"> en los aspectos sólo esbozados o esquematizados de parte del inconforme, </w:t>
      </w:r>
      <w:r w:rsidR="00F31AC3" w:rsidRPr="007F3D68">
        <w:rPr>
          <w:rFonts w:asciiTheme="majorHAnsi" w:hAnsiTheme="majorHAnsi"/>
          <w:sz w:val="20"/>
          <w:szCs w:val="20"/>
          <w:lang w:val="es-VE"/>
        </w:rPr>
        <w:t>a saber, cuando critica la sentencia recurrida, de no ser expresa, clara, completa ni legítima, pues, aparte de ese se</w:t>
      </w:r>
      <w:r w:rsidR="00F4174E" w:rsidRPr="007F3D68">
        <w:rPr>
          <w:rFonts w:asciiTheme="majorHAnsi" w:hAnsiTheme="majorHAnsi"/>
          <w:sz w:val="20"/>
          <w:szCs w:val="20"/>
          <w:lang w:val="es-VE"/>
        </w:rPr>
        <w:t xml:space="preserve">ñalamiento, él se dedica en su exposición a cuestionar o poner en duda, el contenido mismo de dictámenes periciales, declaraciones testimoniales, respectivamente; pero en ningún momento, como se asentó anteriormente, a aplicar a su desfigurada motivación, en cuanto al razonamiento del Tribunal de Sentencia del departamento de Quetzaltenango. Por todo lo relacionado, el </w:t>
      </w:r>
      <w:proofErr w:type="spellStart"/>
      <w:r w:rsidR="00F4174E" w:rsidRPr="007F3D68">
        <w:rPr>
          <w:rFonts w:asciiTheme="majorHAnsi" w:hAnsiTheme="majorHAnsi"/>
          <w:sz w:val="20"/>
          <w:szCs w:val="20"/>
          <w:lang w:val="es-VE"/>
        </w:rPr>
        <w:t>submotivo</w:t>
      </w:r>
      <w:proofErr w:type="spellEnd"/>
      <w:r w:rsidR="00F4174E" w:rsidRPr="007F3D68">
        <w:rPr>
          <w:rFonts w:asciiTheme="majorHAnsi" w:hAnsiTheme="majorHAnsi"/>
          <w:sz w:val="20"/>
          <w:szCs w:val="20"/>
          <w:lang w:val="es-VE"/>
        </w:rPr>
        <w:t xml:space="preserve"> de forma invocado, tampoco puede ser acogido</w:t>
      </w:r>
      <w:r w:rsidRPr="007F3D68">
        <w:rPr>
          <w:rStyle w:val="FootnoteReference"/>
          <w:rFonts w:asciiTheme="majorHAnsi" w:hAnsiTheme="majorHAnsi"/>
          <w:sz w:val="20"/>
          <w:szCs w:val="20"/>
          <w:lang w:val="es-VE"/>
        </w:rPr>
        <w:footnoteReference w:id="29"/>
      </w:r>
      <w:r w:rsidR="00F4174E" w:rsidRPr="007F3D68">
        <w:rPr>
          <w:rFonts w:asciiTheme="majorHAnsi" w:hAnsiTheme="majorHAnsi"/>
          <w:sz w:val="20"/>
          <w:szCs w:val="20"/>
          <w:lang w:val="es-VE"/>
        </w:rPr>
        <w:t>.</w:t>
      </w:r>
      <w:r w:rsidR="003E7B74" w:rsidRPr="007F3D68">
        <w:rPr>
          <w:rFonts w:asciiTheme="majorHAnsi" w:hAnsiTheme="majorHAnsi"/>
          <w:sz w:val="20"/>
          <w:szCs w:val="20"/>
          <w:lang w:val="es-VE"/>
        </w:rPr>
        <w:t xml:space="preserve"> </w:t>
      </w:r>
    </w:p>
    <w:p w:rsidR="0090565D" w:rsidRPr="007F3D68" w:rsidRDefault="0090565D" w:rsidP="006E30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b/>
          <w:sz w:val="20"/>
          <w:szCs w:val="20"/>
          <w:bdr w:val="none" w:sz="0" w:space="0" w:color="auto"/>
          <w:lang w:val="es-VE"/>
        </w:rPr>
      </w:pPr>
    </w:p>
    <w:p w:rsidR="006E30B7" w:rsidRPr="007F3D68" w:rsidRDefault="006E30B7" w:rsidP="00FC650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cs="Courier New"/>
          <w:sz w:val="20"/>
          <w:szCs w:val="20"/>
          <w:bdr w:val="none" w:sz="0" w:space="0" w:color="auto"/>
          <w:lang w:val="es-VE"/>
        </w:rPr>
      </w:pPr>
      <w:r w:rsidRPr="007F3D68">
        <w:rPr>
          <w:rFonts w:asciiTheme="majorHAnsi" w:eastAsia="Times New Roman" w:hAnsiTheme="majorHAnsi" w:cs="Courier New"/>
          <w:sz w:val="20"/>
          <w:szCs w:val="20"/>
          <w:bdr w:val="none" w:sz="0" w:space="0" w:color="auto"/>
          <w:lang w:val="es-VE"/>
        </w:rPr>
        <w:t xml:space="preserve">Asimismo, en otro extremo se indica como fundamento de rechazo de otro de los argumentos que “el </w:t>
      </w:r>
      <w:proofErr w:type="spellStart"/>
      <w:r w:rsidRPr="007F3D68">
        <w:rPr>
          <w:rFonts w:asciiTheme="majorHAnsi" w:eastAsia="Times New Roman" w:hAnsiTheme="majorHAnsi" w:cs="Courier New"/>
          <w:sz w:val="20"/>
          <w:szCs w:val="20"/>
          <w:bdr w:val="none" w:sz="0" w:space="0" w:color="auto"/>
          <w:lang w:val="es-VE"/>
        </w:rPr>
        <w:t>interponente</w:t>
      </w:r>
      <w:proofErr w:type="spellEnd"/>
      <w:r w:rsidRPr="007F3D68">
        <w:rPr>
          <w:rFonts w:asciiTheme="majorHAnsi" w:eastAsia="Times New Roman" w:hAnsiTheme="majorHAnsi" w:cs="Courier New"/>
          <w:sz w:val="20"/>
          <w:szCs w:val="20"/>
          <w:bdr w:val="none" w:sz="0" w:space="0" w:color="auto"/>
          <w:lang w:val="es-VE"/>
        </w:rPr>
        <w:t xml:space="preserve"> tampoco logra elaborar una fundamentación y argumentación, </w:t>
      </w:r>
      <w:r w:rsidR="007151C2" w:rsidRPr="007F3D68">
        <w:rPr>
          <w:rFonts w:asciiTheme="majorHAnsi" w:eastAsia="Times New Roman" w:hAnsiTheme="majorHAnsi" w:cs="Courier New"/>
          <w:sz w:val="20"/>
          <w:szCs w:val="20"/>
          <w:bdr w:val="none" w:sz="0" w:space="0" w:color="auto"/>
          <w:lang w:val="es-VE"/>
        </w:rPr>
        <w:t>relevantes,</w:t>
      </w:r>
      <w:r w:rsidR="004A389A" w:rsidRPr="007F3D68">
        <w:rPr>
          <w:rFonts w:asciiTheme="majorHAnsi" w:eastAsia="Times New Roman" w:hAnsiTheme="majorHAnsi" w:cs="Courier New"/>
          <w:sz w:val="20"/>
          <w:szCs w:val="20"/>
          <w:bdr w:val="none" w:sz="0" w:space="0" w:color="auto"/>
          <w:lang w:val="es-VE"/>
        </w:rPr>
        <w:t xml:space="preserve"> con relación una supuesta falta de derivación del informe balístico, </w:t>
      </w:r>
      <w:r w:rsidR="007941F2" w:rsidRPr="007F3D68">
        <w:rPr>
          <w:rFonts w:asciiTheme="majorHAnsi" w:eastAsia="Times New Roman" w:hAnsiTheme="majorHAnsi" w:cs="Courier New"/>
          <w:sz w:val="20"/>
          <w:szCs w:val="20"/>
          <w:bdr w:val="none" w:sz="0" w:space="0" w:color="auto"/>
          <w:lang w:val="es-VE"/>
        </w:rPr>
        <w:t xml:space="preserve">incorporado como medio de prueba al debate; </w:t>
      </w:r>
      <w:r w:rsidR="00E05BD9" w:rsidRPr="007F3D68">
        <w:rPr>
          <w:rFonts w:asciiTheme="majorHAnsi" w:eastAsia="Times New Roman" w:hAnsiTheme="majorHAnsi" w:cs="Courier New"/>
          <w:sz w:val="20"/>
          <w:szCs w:val="20"/>
          <w:bdr w:val="none" w:sz="0" w:space="0" w:color="auto"/>
          <w:lang w:val="es-VE"/>
        </w:rPr>
        <w:t xml:space="preserve">pues, sus opiniones en ese sentido, </w:t>
      </w:r>
      <w:r w:rsidR="00962471" w:rsidRPr="007F3D68">
        <w:rPr>
          <w:rFonts w:asciiTheme="majorHAnsi" w:eastAsia="Times New Roman" w:hAnsiTheme="majorHAnsi" w:cs="Courier New"/>
          <w:sz w:val="20"/>
          <w:szCs w:val="20"/>
          <w:bdr w:val="none" w:sz="0" w:space="0" w:color="auto"/>
          <w:lang w:val="es-VE"/>
        </w:rPr>
        <w:t xml:space="preserve">como en el caso anterior, </w:t>
      </w:r>
      <w:r w:rsidR="003557B2" w:rsidRPr="007F3D68">
        <w:rPr>
          <w:rFonts w:asciiTheme="majorHAnsi" w:eastAsia="Times New Roman" w:hAnsiTheme="majorHAnsi" w:cs="Courier New"/>
          <w:sz w:val="20"/>
          <w:szCs w:val="20"/>
          <w:bdr w:val="none" w:sz="0" w:space="0" w:color="auto"/>
          <w:lang w:val="es-VE"/>
        </w:rPr>
        <w:t>se vierten acerca del informe mismo y en ningún momento, en cuanto al trabajo intelectivo valorativo de los integrantes del tribunal de sentencia (…)”</w:t>
      </w:r>
      <w:r w:rsidR="00AE5024" w:rsidRPr="007F3D68">
        <w:rPr>
          <w:rStyle w:val="FootnoteReference"/>
          <w:rFonts w:asciiTheme="majorHAnsi" w:hAnsiTheme="majorHAnsi"/>
          <w:sz w:val="20"/>
          <w:szCs w:val="20"/>
          <w:lang w:val="es-VE"/>
        </w:rPr>
        <w:footnoteReference w:id="30"/>
      </w:r>
      <w:r w:rsidR="003557B2" w:rsidRPr="007F3D68">
        <w:rPr>
          <w:rFonts w:asciiTheme="majorHAnsi" w:eastAsia="Times New Roman" w:hAnsiTheme="majorHAnsi" w:cs="Courier New"/>
          <w:sz w:val="20"/>
          <w:szCs w:val="20"/>
          <w:bdr w:val="none" w:sz="0" w:space="0" w:color="auto"/>
          <w:lang w:val="es-VE"/>
        </w:rPr>
        <w:t xml:space="preserve">. </w:t>
      </w:r>
      <w:r w:rsidR="007151C2" w:rsidRPr="007F3D68">
        <w:rPr>
          <w:rFonts w:asciiTheme="majorHAnsi" w:eastAsia="Times New Roman" w:hAnsiTheme="majorHAnsi" w:cs="Courier New"/>
          <w:sz w:val="20"/>
          <w:szCs w:val="20"/>
          <w:bdr w:val="none" w:sz="0" w:space="0" w:color="auto"/>
          <w:lang w:val="es-VE"/>
        </w:rPr>
        <w:t xml:space="preserve"> </w:t>
      </w:r>
    </w:p>
    <w:p w:rsidR="000A1A51" w:rsidRPr="007F3D68" w:rsidRDefault="000A1A51" w:rsidP="00FC650A">
      <w:pPr>
        <w:pStyle w:val="Heading3"/>
        <w:numPr>
          <w:ilvl w:val="0"/>
          <w:numId w:val="75"/>
        </w:numPr>
        <w:tabs>
          <w:tab w:val="clear" w:pos="1800"/>
          <w:tab w:val="num" w:pos="1260"/>
        </w:tabs>
        <w:ind w:hanging="1080"/>
        <w:rPr>
          <w:color w:val="auto"/>
          <w:sz w:val="20"/>
          <w:szCs w:val="20"/>
          <w:lang w:val="es-VE"/>
        </w:rPr>
      </w:pPr>
      <w:bookmarkStart w:id="78" w:name="_Toc495479546"/>
      <w:r w:rsidRPr="007F3D68">
        <w:rPr>
          <w:color w:val="auto"/>
          <w:sz w:val="20"/>
          <w:szCs w:val="20"/>
          <w:lang w:val="es-VE"/>
        </w:rPr>
        <w:lastRenderedPageBreak/>
        <w:t>Recurso</w:t>
      </w:r>
      <w:r w:rsidR="0052293F" w:rsidRPr="007F3D68">
        <w:rPr>
          <w:color w:val="auto"/>
          <w:sz w:val="20"/>
          <w:szCs w:val="20"/>
          <w:lang w:val="es-VE"/>
        </w:rPr>
        <w:t>s</w:t>
      </w:r>
      <w:r w:rsidRPr="007F3D68">
        <w:rPr>
          <w:color w:val="auto"/>
          <w:sz w:val="20"/>
          <w:szCs w:val="20"/>
          <w:lang w:val="es-VE"/>
        </w:rPr>
        <w:t xml:space="preserve"> de casación</w:t>
      </w:r>
      <w:r w:rsidR="0052293F" w:rsidRPr="007F3D68">
        <w:rPr>
          <w:color w:val="auto"/>
          <w:sz w:val="20"/>
          <w:szCs w:val="20"/>
          <w:lang w:val="es-VE"/>
        </w:rPr>
        <w:t xml:space="preserve"> y revisión</w:t>
      </w:r>
      <w:bookmarkEnd w:id="78"/>
    </w:p>
    <w:p w:rsidR="000A1A51" w:rsidRPr="007F3D68" w:rsidRDefault="000A1A51" w:rsidP="000A1A51">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Theme="majorHAnsi" w:eastAsia="Times New Roman" w:hAnsiTheme="majorHAnsi" w:cs="Courier New"/>
          <w:i/>
          <w:color w:val="auto"/>
          <w:sz w:val="20"/>
          <w:szCs w:val="20"/>
          <w:bdr w:val="none" w:sz="0" w:space="0" w:color="auto"/>
          <w:lang w:val="es-ES"/>
        </w:rPr>
      </w:pPr>
    </w:p>
    <w:p w:rsidR="000A1A51" w:rsidRPr="007F3D68" w:rsidRDefault="000A1A51" w:rsidP="00D86B7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VE"/>
        </w:rPr>
      </w:pPr>
      <w:r w:rsidRPr="007F3D68">
        <w:rPr>
          <w:rFonts w:asciiTheme="majorHAnsi" w:hAnsiTheme="majorHAnsi"/>
          <w:sz w:val="20"/>
          <w:szCs w:val="20"/>
          <w:lang w:val="es-VE"/>
        </w:rPr>
        <w:t xml:space="preserve">Con posterioridad la presunta víctima y los </w:t>
      </w:r>
      <w:proofErr w:type="spellStart"/>
      <w:r w:rsidRPr="007F3D68">
        <w:rPr>
          <w:rFonts w:asciiTheme="majorHAnsi" w:hAnsiTheme="majorHAnsi"/>
          <w:sz w:val="20"/>
          <w:szCs w:val="20"/>
          <w:lang w:val="es-VE"/>
        </w:rPr>
        <w:t>co</w:t>
      </w:r>
      <w:proofErr w:type="spellEnd"/>
      <w:r w:rsidRPr="007F3D68">
        <w:rPr>
          <w:rFonts w:asciiTheme="majorHAnsi" w:hAnsiTheme="majorHAnsi"/>
          <w:sz w:val="20"/>
          <w:szCs w:val="20"/>
          <w:lang w:val="es-VE"/>
        </w:rPr>
        <w:t>-procesados interpusieron recursos de casación</w:t>
      </w:r>
      <w:r w:rsidR="00D276C8" w:rsidRPr="007F3D68">
        <w:rPr>
          <w:rFonts w:asciiTheme="majorHAnsi" w:hAnsiTheme="majorHAnsi"/>
          <w:sz w:val="20"/>
          <w:szCs w:val="20"/>
          <w:lang w:val="es-VE"/>
        </w:rPr>
        <w:t>.</w:t>
      </w:r>
      <w:r w:rsidR="00D86B70" w:rsidRPr="007F3D68">
        <w:rPr>
          <w:rFonts w:asciiTheme="majorHAnsi" w:hAnsiTheme="majorHAnsi"/>
          <w:sz w:val="20"/>
          <w:szCs w:val="20"/>
          <w:lang w:val="es-VE"/>
        </w:rPr>
        <w:t xml:space="preserve"> </w:t>
      </w:r>
      <w:r w:rsidRPr="007F3D68">
        <w:rPr>
          <w:rFonts w:asciiTheme="majorHAnsi" w:hAnsiTheme="majorHAnsi"/>
          <w:sz w:val="20"/>
          <w:szCs w:val="20"/>
          <w:lang w:val="es-VE"/>
        </w:rPr>
        <w:t>El 1 de diciembre de 2000 la Cámara Penal de la Corte Suprema de Justicia declaró sin lugar los recursos interpuestos</w:t>
      </w:r>
      <w:r w:rsidRPr="007F3D68">
        <w:rPr>
          <w:rStyle w:val="FootnoteReference"/>
          <w:rFonts w:asciiTheme="majorHAnsi" w:hAnsiTheme="majorHAnsi"/>
          <w:sz w:val="20"/>
          <w:szCs w:val="20"/>
          <w:lang w:val="es-VE"/>
        </w:rPr>
        <w:footnoteReference w:id="31"/>
      </w:r>
      <w:r w:rsidRPr="007F3D68">
        <w:rPr>
          <w:rFonts w:asciiTheme="majorHAnsi" w:hAnsiTheme="majorHAnsi"/>
          <w:sz w:val="20"/>
          <w:szCs w:val="20"/>
          <w:lang w:val="es-VE"/>
        </w:rPr>
        <w:t>. Con posterioridad, la presunta víctima interpuso un recurso de revisión en contra de la sentencia dictada por el Tribunal de Sentencia del Departamento de Quetzaltenango.</w:t>
      </w:r>
      <w:r w:rsidR="00EF2CEA" w:rsidRPr="007F3D68">
        <w:rPr>
          <w:rFonts w:asciiTheme="majorHAnsi" w:hAnsiTheme="majorHAnsi"/>
          <w:sz w:val="20"/>
          <w:szCs w:val="20"/>
          <w:lang w:val="es-VE"/>
        </w:rPr>
        <w:t xml:space="preserve"> </w:t>
      </w:r>
      <w:r w:rsidRPr="007F3D68">
        <w:rPr>
          <w:rFonts w:asciiTheme="majorHAnsi" w:hAnsiTheme="majorHAnsi"/>
          <w:sz w:val="20"/>
          <w:szCs w:val="20"/>
          <w:lang w:val="es-VE"/>
        </w:rPr>
        <w:t>El 5 de julio de 2004 la Cámara Penal de la Corte Suprema de Justicia declaró sin lugar dicho recurso</w:t>
      </w:r>
      <w:r w:rsidRPr="007F3D68">
        <w:rPr>
          <w:rStyle w:val="FootnoteReference"/>
          <w:rFonts w:asciiTheme="majorHAnsi" w:hAnsiTheme="majorHAnsi"/>
          <w:sz w:val="20"/>
          <w:szCs w:val="20"/>
          <w:lang w:val="es-VE"/>
        </w:rPr>
        <w:footnoteReference w:id="32"/>
      </w:r>
      <w:r w:rsidRPr="007F3D68">
        <w:rPr>
          <w:rFonts w:asciiTheme="majorHAnsi" w:hAnsiTheme="majorHAnsi"/>
          <w:sz w:val="20"/>
          <w:szCs w:val="20"/>
          <w:lang w:val="es-VE"/>
        </w:rPr>
        <w:t>. En dicha decisión indicó que no procede la revisión porque las pruebas aportadas en el recurso no resultan elementos de prueba sobrevenidos después de la sentencia condenatoria</w:t>
      </w:r>
      <w:r w:rsidRPr="007F3D68">
        <w:rPr>
          <w:rStyle w:val="FootnoteReference"/>
          <w:rFonts w:asciiTheme="majorHAnsi" w:hAnsiTheme="majorHAnsi"/>
          <w:sz w:val="20"/>
          <w:szCs w:val="20"/>
          <w:lang w:val="es-VE"/>
        </w:rPr>
        <w:footnoteReference w:id="33"/>
      </w:r>
      <w:r w:rsidRPr="007F3D68">
        <w:rPr>
          <w:rFonts w:asciiTheme="majorHAnsi" w:hAnsiTheme="majorHAnsi"/>
          <w:sz w:val="20"/>
          <w:szCs w:val="20"/>
          <w:lang w:val="es-VE"/>
        </w:rPr>
        <w:t xml:space="preserve">. </w:t>
      </w:r>
    </w:p>
    <w:p w:rsidR="004D11E8" w:rsidRPr="007F3D68" w:rsidRDefault="004D11E8" w:rsidP="000A1A5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VE"/>
        </w:rPr>
      </w:pPr>
    </w:p>
    <w:p w:rsidR="001703E3" w:rsidRPr="007F3D68" w:rsidRDefault="001703E3" w:rsidP="00FC650A">
      <w:pPr>
        <w:pStyle w:val="Heading2"/>
        <w:numPr>
          <w:ilvl w:val="0"/>
          <w:numId w:val="74"/>
        </w:numPr>
        <w:ind w:left="1260" w:hanging="540"/>
        <w:rPr>
          <w:lang w:val="es-ES"/>
        </w:rPr>
      </w:pPr>
      <w:bookmarkStart w:id="79" w:name="_Toc495479547"/>
      <w:r w:rsidRPr="007F3D68">
        <w:rPr>
          <w:lang w:val="es-ES"/>
        </w:rPr>
        <w:t>El contexto de aplicación de la pena de muerte en Guatemala</w:t>
      </w:r>
      <w:bookmarkEnd w:id="79"/>
      <w:r w:rsidRPr="007F3D68">
        <w:rPr>
          <w:lang w:val="es-ES"/>
        </w:rPr>
        <w:t xml:space="preserve"> </w:t>
      </w:r>
    </w:p>
    <w:p w:rsidR="004D11E8" w:rsidRPr="007F3D68" w:rsidRDefault="004D11E8" w:rsidP="001703E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lang w:val="es-VE"/>
        </w:rPr>
      </w:pPr>
    </w:p>
    <w:p w:rsidR="004D11E8" w:rsidRPr="007F3D68" w:rsidRDefault="004D11E8" w:rsidP="004D11E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cs="Calibri"/>
          <w:sz w:val="20"/>
          <w:szCs w:val="20"/>
          <w:lang w:val="es-VE"/>
        </w:rPr>
      </w:pPr>
      <w:r w:rsidRPr="007F3D68">
        <w:rPr>
          <w:rFonts w:ascii="Cambria" w:hAnsi="Cambria" w:cs="Calibri"/>
          <w:sz w:val="20"/>
          <w:szCs w:val="20"/>
          <w:lang w:val="es-VE"/>
        </w:rPr>
        <w:t>A continuación la CIDH hará referencia al contexto y marco normativo aplicable al proceso penal recién descrito.</w:t>
      </w:r>
    </w:p>
    <w:p w:rsidR="004D11E8" w:rsidRPr="007F3D68" w:rsidRDefault="004D11E8" w:rsidP="004D11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hAnsi="Cambria" w:cs="Calibri"/>
          <w:sz w:val="20"/>
          <w:szCs w:val="20"/>
          <w:lang w:val="es-VE"/>
        </w:rPr>
      </w:pPr>
    </w:p>
    <w:p w:rsidR="004D11E8" w:rsidRPr="007F3D68" w:rsidRDefault="004D11E8" w:rsidP="004D11E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cs="Calibri"/>
          <w:sz w:val="20"/>
          <w:szCs w:val="20"/>
          <w:lang w:val="es-VE"/>
        </w:rPr>
      </w:pPr>
      <w:r w:rsidRPr="007F3D68">
        <w:rPr>
          <w:rFonts w:ascii="Cambria" w:hAnsi="Cambria" w:cs="Calibri"/>
          <w:sz w:val="20"/>
          <w:szCs w:val="20"/>
          <w:lang w:val="es-VE"/>
        </w:rPr>
        <w:t>La pena de muerte se encuentra prevista tanto en la Constitución, como en la legislación penal guatemalteca. El artículo 18 de la Constitución Política de 1985 establece:</w:t>
      </w:r>
    </w:p>
    <w:p w:rsidR="004D11E8" w:rsidRPr="007F3D68" w:rsidRDefault="004D11E8" w:rsidP="004D11E8">
      <w:pPr>
        <w:pStyle w:val="ListParagraph"/>
        <w:rPr>
          <w:rFonts w:cs="Calibri"/>
          <w:sz w:val="20"/>
          <w:szCs w:val="20"/>
          <w:lang w:val="es-VE"/>
        </w:rPr>
      </w:pPr>
    </w:p>
    <w:p w:rsidR="004D11E8" w:rsidRPr="007F3D68" w:rsidRDefault="004D11E8" w:rsidP="004D11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cs="Calibri"/>
          <w:sz w:val="20"/>
          <w:szCs w:val="20"/>
          <w:lang w:val="es-VE"/>
        </w:rPr>
      </w:pPr>
      <w:r w:rsidRPr="007F3D68">
        <w:rPr>
          <w:rFonts w:ascii="Cambria" w:hAnsi="Cambria" w:cs="Calibri"/>
          <w:sz w:val="20"/>
          <w:szCs w:val="20"/>
          <w:lang w:val="es-VE"/>
        </w:rPr>
        <w:t xml:space="preserve"> Pena de muerte. La pena de muerte no podrá imponerse en los siguientes casos: </w:t>
      </w:r>
    </w:p>
    <w:p w:rsidR="004D11E8" w:rsidRPr="007F3D68" w:rsidRDefault="004D11E8" w:rsidP="004D11E8">
      <w:pPr>
        <w:pStyle w:val="ListParagraph"/>
        <w:rPr>
          <w:rFonts w:cs="Calibri"/>
          <w:sz w:val="20"/>
          <w:szCs w:val="20"/>
          <w:lang w:val="es-VE"/>
        </w:rPr>
      </w:pPr>
    </w:p>
    <w:p w:rsidR="004D11E8" w:rsidRDefault="004D11E8" w:rsidP="004D11E8">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lang w:val="es-VE"/>
        </w:rPr>
      </w:pPr>
      <w:r w:rsidRPr="007F3D68">
        <w:rPr>
          <w:rFonts w:cs="Calibri"/>
          <w:sz w:val="20"/>
          <w:szCs w:val="20"/>
          <w:lang w:val="es-VE"/>
        </w:rPr>
        <w:t>Con fundamento en presunciones;</w:t>
      </w:r>
    </w:p>
    <w:p w:rsidR="00D86A15" w:rsidRPr="007F3D68" w:rsidRDefault="00D86A15" w:rsidP="004D11E8">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lang w:val="es-VE"/>
        </w:rPr>
      </w:pPr>
      <w:r>
        <w:rPr>
          <w:rFonts w:cs="Calibri"/>
          <w:sz w:val="20"/>
          <w:szCs w:val="20"/>
          <w:lang w:val="es-VE"/>
        </w:rPr>
        <w:t xml:space="preserve">A las mujeres; </w:t>
      </w:r>
    </w:p>
    <w:p w:rsidR="004D11E8" w:rsidRPr="007F3D68" w:rsidRDefault="004D11E8" w:rsidP="004D11E8">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lang w:val="es-VE"/>
        </w:rPr>
      </w:pPr>
      <w:r w:rsidRPr="007F3D68">
        <w:rPr>
          <w:rFonts w:cs="Calibri"/>
          <w:sz w:val="20"/>
          <w:szCs w:val="20"/>
          <w:lang w:val="es-VE"/>
        </w:rPr>
        <w:t>A los mayores de sesenta años;</w:t>
      </w:r>
    </w:p>
    <w:p w:rsidR="004D11E8" w:rsidRPr="007F3D68" w:rsidRDefault="004D11E8" w:rsidP="004D11E8">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lang w:val="es-VE"/>
        </w:rPr>
      </w:pPr>
      <w:r w:rsidRPr="007F3D68">
        <w:rPr>
          <w:rFonts w:cs="Calibri"/>
          <w:sz w:val="20"/>
          <w:szCs w:val="20"/>
          <w:lang w:val="es-VE"/>
        </w:rPr>
        <w:t>A los reos de delitos políticos y comunes conexos con los políticos; y</w:t>
      </w:r>
    </w:p>
    <w:p w:rsidR="004D11E8" w:rsidRPr="007F3D68" w:rsidRDefault="004D11E8" w:rsidP="004D11E8">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lang w:val="es-VE"/>
        </w:rPr>
      </w:pPr>
      <w:r w:rsidRPr="007F3D68">
        <w:rPr>
          <w:rFonts w:cs="Calibri"/>
          <w:sz w:val="20"/>
          <w:szCs w:val="20"/>
          <w:lang w:val="es-VE"/>
        </w:rPr>
        <w:t xml:space="preserve">A reos cuya extradición haya sido concedida bajo esa condición. </w:t>
      </w:r>
    </w:p>
    <w:p w:rsidR="004D11E8" w:rsidRPr="007F3D68" w:rsidRDefault="004D11E8" w:rsidP="004D11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VE"/>
        </w:rPr>
      </w:pPr>
    </w:p>
    <w:p w:rsidR="004D11E8" w:rsidRPr="007F3D68" w:rsidRDefault="004D11E8" w:rsidP="004D11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r w:rsidRPr="007F3D68">
        <w:rPr>
          <w:rFonts w:ascii="Cambria" w:hAnsi="Cambria" w:cs="Calibri"/>
          <w:sz w:val="20"/>
          <w:szCs w:val="20"/>
          <w:lang w:val="es-VE"/>
        </w:rPr>
        <w:t xml:space="preserve">Contra la sentencia </w:t>
      </w:r>
      <w:r w:rsidRPr="007F3D68">
        <w:rPr>
          <w:rFonts w:ascii="Cambria" w:hAnsi="Cambria"/>
          <w:sz w:val="20"/>
          <w:szCs w:val="20"/>
          <w:lang w:val="es-VE"/>
        </w:rPr>
        <w:t>que imponga la pena de muerte, serán admisibles todos los recursos legales pertinentes, inclusive el de casación; éste siempre será admitido para su trámite. La pena se ejecutará después de agotarse todos los recursos. El Congreso de la República podrá abolir la pena de muerte</w:t>
      </w:r>
      <w:r w:rsidRPr="007F3D68">
        <w:rPr>
          <w:rStyle w:val="FootnoteReference"/>
          <w:rFonts w:ascii="Cambria" w:hAnsi="Cambria"/>
          <w:sz w:val="20"/>
          <w:szCs w:val="20"/>
          <w:lang w:val="es-VE"/>
        </w:rPr>
        <w:footnoteReference w:id="34"/>
      </w:r>
      <w:r w:rsidRPr="007F3D68">
        <w:rPr>
          <w:rFonts w:ascii="Cambria" w:hAnsi="Cambria"/>
          <w:sz w:val="20"/>
          <w:szCs w:val="20"/>
          <w:lang w:val="es-VE"/>
        </w:rPr>
        <w:t>.</w:t>
      </w:r>
    </w:p>
    <w:p w:rsidR="004D11E8" w:rsidRPr="007F3D68" w:rsidRDefault="004D11E8" w:rsidP="004D11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lang w:val="es-VE"/>
        </w:rPr>
      </w:pPr>
    </w:p>
    <w:p w:rsidR="004D11E8" w:rsidRPr="007F3D68" w:rsidRDefault="004D11E8" w:rsidP="004D11E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cs="Calibri"/>
          <w:sz w:val="20"/>
          <w:szCs w:val="20"/>
          <w:lang w:val="es-VE"/>
        </w:rPr>
      </w:pPr>
      <w:r w:rsidRPr="007F3D68">
        <w:rPr>
          <w:rFonts w:ascii="Cambria" w:hAnsi="Cambria" w:cs="Calibri"/>
          <w:sz w:val="20"/>
          <w:szCs w:val="20"/>
          <w:lang w:val="es-VE"/>
        </w:rPr>
        <w:t>Asimismo, el Código Penal prevé en su artículo 43 que:</w:t>
      </w:r>
    </w:p>
    <w:p w:rsidR="004D11E8" w:rsidRPr="007F3D68" w:rsidRDefault="004D11E8" w:rsidP="004D11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VE"/>
        </w:rPr>
      </w:pPr>
    </w:p>
    <w:p w:rsidR="004D11E8" w:rsidRPr="007F3D68" w:rsidRDefault="004D11E8" w:rsidP="004D11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cs="Calibri"/>
          <w:sz w:val="20"/>
          <w:szCs w:val="20"/>
          <w:lang w:val="es-VE"/>
        </w:rPr>
      </w:pPr>
      <w:r w:rsidRPr="007F3D68">
        <w:rPr>
          <w:rFonts w:ascii="Cambria" w:hAnsi="Cambria" w:cs="Calibri"/>
          <w:sz w:val="20"/>
          <w:szCs w:val="20"/>
          <w:lang w:val="es-VE"/>
        </w:rPr>
        <w:t xml:space="preserve"> La pena de muerte, tiene carácter extraordinario y solo podrá aplicarse en los casos expresamente consignados en la ley y no se ejecutará, sino después de agotarse todos los recursos legales.</w:t>
      </w:r>
    </w:p>
    <w:p w:rsidR="004D11E8" w:rsidRPr="007F3D68" w:rsidRDefault="004D11E8" w:rsidP="004D11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VE"/>
        </w:rPr>
      </w:pPr>
    </w:p>
    <w:p w:rsidR="004D11E8" w:rsidRPr="007F3D68" w:rsidRDefault="004D11E8" w:rsidP="004D11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VE"/>
        </w:rPr>
      </w:pPr>
      <w:r w:rsidRPr="007F3D68">
        <w:rPr>
          <w:rFonts w:ascii="Cambria" w:hAnsi="Cambria" w:cs="Calibri"/>
          <w:sz w:val="20"/>
          <w:szCs w:val="20"/>
          <w:lang w:val="es-VE"/>
        </w:rPr>
        <w:t>No podrá imponerse la pena de muerte:</w:t>
      </w:r>
    </w:p>
    <w:p w:rsidR="004D11E8" w:rsidRPr="007F3D68" w:rsidRDefault="004D11E8" w:rsidP="004D11E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080"/>
        <w:jc w:val="both"/>
        <w:rPr>
          <w:rFonts w:cs="Calibri"/>
          <w:sz w:val="20"/>
          <w:szCs w:val="20"/>
          <w:lang w:val="es-VE"/>
        </w:rPr>
      </w:pPr>
    </w:p>
    <w:p w:rsidR="004D11E8" w:rsidRPr="007F3D68" w:rsidRDefault="004D11E8" w:rsidP="004D11E8">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lang w:val="es-VE"/>
        </w:rPr>
      </w:pPr>
      <w:r w:rsidRPr="007F3D68">
        <w:rPr>
          <w:rFonts w:cs="Calibri"/>
          <w:sz w:val="20"/>
          <w:szCs w:val="20"/>
          <w:lang w:val="es-VE"/>
        </w:rPr>
        <w:t>Por delitos políticos</w:t>
      </w:r>
    </w:p>
    <w:p w:rsidR="004D11E8" w:rsidRPr="007F3D68" w:rsidRDefault="004D11E8" w:rsidP="004D11E8">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lang w:val="es-VE"/>
        </w:rPr>
      </w:pPr>
      <w:r w:rsidRPr="007F3D68">
        <w:rPr>
          <w:rFonts w:cs="Calibri"/>
          <w:sz w:val="20"/>
          <w:szCs w:val="20"/>
          <w:lang w:val="es-VE"/>
        </w:rPr>
        <w:t>Cuando la condena se fundamente en presunciones</w:t>
      </w:r>
    </w:p>
    <w:p w:rsidR="004D11E8" w:rsidRPr="007F3D68" w:rsidRDefault="004D11E8" w:rsidP="004D11E8">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lang w:val="es-VE"/>
        </w:rPr>
      </w:pPr>
      <w:r w:rsidRPr="007F3D68">
        <w:rPr>
          <w:rFonts w:cs="Calibri"/>
          <w:sz w:val="20"/>
          <w:szCs w:val="20"/>
          <w:lang w:val="es-VE"/>
        </w:rPr>
        <w:t>A mujeres</w:t>
      </w:r>
    </w:p>
    <w:p w:rsidR="004D11E8" w:rsidRPr="007F3D68" w:rsidRDefault="004D11E8" w:rsidP="004D11E8">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lang w:val="es-VE"/>
        </w:rPr>
      </w:pPr>
      <w:r w:rsidRPr="007F3D68">
        <w:rPr>
          <w:rFonts w:cs="Calibri"/>
          <w:sz w:val="20"/>
          <w:szCs w:val="20"/>
          <w:lang w:val="es-VE"/>
        </w:rPr>
        <w:t>A varones mayores de setenta años</w:t>
      </w:r>
    </w:p>
    <w:p w:rsidR="004D11E8" w:rsidRPr="007F3D68" w:rsidRDefault="004D11E8" w:rsidP="004D11E8">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lang w:val="es-VE"/>
        </w:rPr>
      </w:pPr>
      <w:r w:rsidRPr="007F3D68">
        <w:rPr>
          <w:rFonts w:cs="Calibri"/>
          <w:sz w:val="20"/>
          <w:szCs w:val="20"/>
          <w:lang w:val="es-VE"/>
        </w:rPr>
        <w:t>A personas cuya extradición haya sido concedida bajo esa condición.</w:t>
      </w:r>
    </w:p>
    <w:p w:rsidR="004D11E8" w:rsidRPr="007F3D68" w:rsidRDefault="004D11E8" w:rsidP="004D11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VE"/>
        </w:rPr>
      </w:pPr>
    </w:p>
    <w:p w:rsidR="004D11E8" w:rsidRPr="007F3D68" w:rsidRDefault="004D11E8" w:rsidP="009D1E99">
      <w:pPr>
        <w:ind w:left="720" w:right="720"/>
        <w:rPr>
          <w:rFonts w:cs="Calibri"/>
          <w:sz w:val="20"/>
          <w:szCs w:val="20"/>
          <w:lang w:val="es-VE"/>
        </w:rPr>
      </w:pPr>
      <w:r w:rsidRPr="007F3D68">
        <w:rPr>
          <w:rFonts w:ascii="Cambria" w:hAnsi="Cambria" w:cs="Calibri"/>
          <w:sz w:val="20"/>
          <w:szCs w:val="20"/>
          <w:lang w:val="es-VE"/>
        </w:rPr>
        <w:t>En estos casos y siempre que la pena de muerte fuere conmutada por la de privación de libertad, se le aplicará prisión en su límite máximo</w:t>
      </w:r>
      <w:r w:rsidRPr="007F3D68">
        <w:rPr>
          <w:rStyle w:val="FootnoteReference"/>
          <w:rFonts w:ascii="Cambria" w:hAnsi="Cambria" w:cs="Calibri"/>
          <w:sz w:val="20"/>
          <w:szCs w:val="20"/>
          <w:lang w:val="es-VE"/>
        </w:rPr>
        <w:footnoteReference w:id="35"/>
      </w:r>
      <w:r w:rsidRPr="007F3D68">
        <w:rPr>
          <w:rFonts w:ascii="Cambria" w:hAnsi="Cambria" w:cs="Calibri"/>
          <w:sz w:val="20"/>
          <w:szCs w:val="20"/>
          <w:lang w:val="es-VE"/>
        </w:rPr>
        <w:t>.</w:t>
      </w:r>
    </w:p>
    <w:p w:rsidR="004D11E8" w:rsidRDefault="004D11E8" w:rsidP="00056FA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cs="Calibri"/>
          <w:sz w:val="20"/>
          <w:szCs w:val="20"/>
          <w:lang w:val="es-VE"/>
        </w:rPr>
      </w:pPr>
      <w:r w:rsidRPr="007F3D68">
        <w:rPr>
          <w:rFonts w:ascii="Cambria" w:hAnsi="Cambria" w:cs="Calibri"/>
          <w:sz w:val="20"/>
          <w:szCs w:val="20"/>
          <w:lang w:val="es-VE"/>
        </w:rPr>
        <w:lastRenderedPageBreak/>
        <w:t>El artículo 132 del Código Penal guatemalteco regulaba el tipo penal de asesinato en los siguientes términos:</w:t>
      </w:r>
    </w:p>
    <w:p w:rsidR="009D1E99" w:rsidRPr="007F3D68" w:rsidRDefault="009D1E99" w:rsidP="009D1E9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hAnsi="Cambria" w:cs="Calibri"/>
          <w:sz w:val="20"/>
          <w:szCs w:val="20"/>
          <w:lang w:val="es-VE"/>
        </w:rPr>
      </w:pPr>
    </w:p>
    <w:p w:rsidR="004D11E8" w:rsidRPr="007F3D68" w:rsidRDefault="004D11E8" w:rsidP="004D11E8">
      <w:pPr>
        <w:tabs>
          <w:tab w:val="left" w:pos="1440"/>
        </w:tabs>
        <w:ind w:left="720" w:right="630"/>
        <w:jc w:val="both"/>
        <w:rPr>
          <w:rFonts w:ascii="Cambria" w:hAnsi="Cambria" w:cs="Calibri"/>
          <w:sz w:val="20"/>
          <w:szCs w:val="20"/>
          <w:lang w:val="es-VE"/>
        </w:rPr>
      </w:pPr>
      <w:r w:rsidRPr="007F3D68">
        <w:rPr>
          <w:rFonts w:ascii="Cambria" w:hAnsi="Cambria" w:cs="Calibri"/>
          <w:sz w:val="20"/>
          <w:szCs w:val="20"/>
          <w:lang w:val="es-VE"/>
        </w:rPr>
        <w:t>Comete asesinato quién matare a una persona:</w:t>
      </w:r>
    </w:p>
    <w:p w:rsidR="004D11E8" w:rsidRPr="007F3D68" w:rsidRDefault="004D11E8" w:rsidP="004E102F">
      <w:pPr>
        <w:pStyle w:val="ListParagraph"/>
        <w:numPr>
          <w:ilvl w:val="0"/>
          <w:numId w:val="67"/>
        </w:numPr>
        <w:tabs>
          <w:tab w:val="left" w:pos="1440"/>
        </w:tabs>
        <w:ind w:right="630"/>
        <w:jc w:val="both"/>
        <w:rPr>
          <w:rFonts w:cs="Calibri"/>
          <w:sz w:val="20"/>
          <w:szCs w:val="20"/>
          <w:lang w:val="es-VE"/>
        </w:rPr>
      </w:pPr>
      <w:r w:rsidRPr="007F3D68">
        <w:rPr>
          <w:rFonts w:cs="Calibri"/>
          <w:sz w:val="20"/>
          <w:szCs w:val="20"/>
          <w:lang w:val="es-VE"/>
        </w:rPr>
        <w:t>Con alevosía.</w:t>
      </w:r>
    </w:p>
    <w:p w:rsidR="004D11E8" w:rsidRPr="007F3D68" w:rsidRDefault="004D11E8" w:rsidP="004E102F">
      <w:pPr>
        <w:pStyle w:val="ListParagraph"/>
        <w:numPr>
          <w:ilvl w:val="0"/>
          <w:numId w:val="67"/>
        </w:numPr>
        <w:tabs>
          <w:tab w:val="left" w:pos="1440"/>
        </w:tabs>
        <w:ind w:right="630"/>
        <w:jc w:val="both"/>
        <w:rPr>
          <w:rFonts w:cs="Calibri"/>
          <w:sz w:val="20"/>
          <w:szCs w:val="20"/>
          <w:lang w:val="pt-BR"/>
        </w:rPr>
      </w:pPr>
      <w:r w:rsidRPr="007F3D68">
        <w:rPr>
          <w:rFonts w:cs="Calibri"/>
          <w:sz w:val="20"/>
          <w:szCs w:val="20"/>
          <w:lang w:val="pt-BR"/>
        </w:rPr>
        <w:t>Por precio, recompensa o promesa.</w:t>
      </w:r>
    </w:p>
    <w:p w:rsidR="004D11E8" w:rsidRPr="007F3D68" w:rsidRDefault="004D11E8" w:rsidP="004E102F">
      <w:pPr>
        <w:pStyle w:val="ListParagraph"/>
        <w:numPr>
          <w:ilvl w:val="0"/>
          <w:numId w:val="67"/>
        </w:numPr>
        <w:tabs>
          <w:tab w:val="left" w:pos="1440"/>
        </w:tabs>
        <w:ind w:right="630"/>
        <w:jc w:val="both"/>
        <w:rPr>
          <w:rFonts w:cs="Calibri"/>
          <w:sz w:val="20"/>
          <w:szCs w:val="20"/>
          <w:lang w:val="es-VE"/>
        </w:rPr>
      </w:pPr>
      <w:r w:rsidRPr="007F3D68">
        <w:rPr>
          <w:rFonts w:cs="Calibri"/>
          <w:sz w:val="20"/>
          <w:szCs w:val="20"/>
          <w:lang w:val="es-VE"/>
        </w:rPr>
        <w:t>Por medio o con ocasión de inundación, incendio, veneno, explosión, desmoronamiento, derrumbe de edificio u otro artificio que pueda ocasionar gran estrago.</w:t>
      </w:r>
    </w:p>
    <w:p w:rsidR="004D11E8" w:rsidRPr="007F3D68" w:rsidRDefault="004D11E8" w:rsidP="004E102F">
      <w:pPr>
        <w:pStyle w:val="ListParagraph"/>
        <w:numPr>
          <w:ilvl w:val="0"/>
          <w:numId w:val="67"/>
        </w:numPr>
        <w:tabs>
          <w:tab w:val="left" w:pos="1440"/>
        </w:tabs>
        <w:ind w:right="630"/>
        <w:jc w:val="both"/>
        <w:rPr>
          <w:rFonts w:cs="Calibri"/>
          <w:sz w:val="20"/>
          <w:szCs w:val="20"/>
          <w:lang w:val="es-VE"/>
        </w:rPr>
      </w:pPr>
      <w:r w:rsidRPr="007F3D68">
        <w:rPr>
          <w:rFonts w:cs="Calibri"/>
          <w:sz w:val="20"/>
          <w:szCs w:val="20"/>
          <w:lang w:val="es-VE"/>
        </w:rPr>
        <w:t>Con premeditación conocida.</w:t>
      </w:r>
    </w:p>
    <w:p w:rsidR="004D11E8" w:rsidRPr="007F3D68" w:rsidRDefault="004D11E8" w:rsidP="004E102F">
      <w:pPr>
        <w:pStyle w:val="ListParagraph"/>
        <w:numPr>
          <w:ilvl w:val="0"/>
          <w:numId w:val="67"/>
        </w:numPr>
        <w:tabs>
          <w:tab w:val="left" w:pos="1440"/>
        </w:tabs>
        <w:ind w:right="630"/>
        <w:jc w:val="both"/>
        <w:rPr>
          <w:rFonts w:cs="Calibri"/>
          <w:sz w:val="20"/>
          <w:szCs w:val="20"/>
          <w:lang w:val="es-VE"/>
        </w:rPr>
      </w:pPr>
      <w:r w:rsidRPr="007F3D68">
        <w:rPr>
          <w:rFonts w:cs="Calibri"/>
          <w:sz w:val="20"/>
          <w:szCs w:val="20"/>
          <w:lang w:val="es-VE"/>
        </w:rPr>
        <w:t>Con ensañamiento.</w:t>
      </w:r>
    </w:p>
    <w:p w:rsidR="004D11E8" w:rsidRPr="007F3D68" w:rsidRDefault="004D11E8" w:rsidP="004E102F">
      <w:pPr>
        <w:pStyle w:val="ListParagraph"/>
        <w:numPr>
          <w:ilvl w:val="0"/>
          <w:numId w:val="67"/>
        </w:numPr>
        <w:tabs>
          <w:tab w:val="left" w:pos="1440"/>
        </w:tabs>
        <w:ind w:right="630"/>
        <w:jc w:val="both"/>
        <w:rPr>
          <w:rFonts w:cs="Calibri"/>
          <w:sz w:val="20"/>
          <w:szCs w:val="20"/>
          <w:lang w:val="es-VE"/>
        </w:rPr>
      </w:pPr>
      <w:r w:rsidRPr="007F3D68">
        <w:rPr>
          <w:rFonts w:cs="Calibri"/>
          <w:sz w:val="20"/>
          <w:szCs w:val="20"/>
          <w:lang w:val="es-VE"/>
        </w:rPr>
        <w:t>Con impulso de perversidad brutal.</w:t>
      </w:r>
    </w:p>
    <w:p w:rsidR="004D11E8" w:rsidRPr="007F3D68" w:rsidRDefault="004D11E8" w:rsidP="004E102F">
      <w:pPr>
        <w:pStyle w:val="ListParagraph"/>
        <w:numPr>
          <w:ilvl w:val="0"/>
          <w:numId w:val="67"/>
        </w:numPr>
        <w:tabs>
          <w:tab w:val="left" w:pos="1440"/>
        </w:tabs>
        <w:ind w:right="630"/>
        <w:jc w:val="both"/>
        <w:rPr>
          <w:rFonts w:cs="Calibri"/>
          <w:sz w:val="20"/>
          <w:szCs w:val="20"/>
          <w:lang w:val="es-VE"/>
        </w:rPr>
      </w:pPr>
      <w:r w:rsidRPr="007F3D68">
        <w:rPr>
          <w:rFonts w:cs="Calibri"/>
          <w:sz w:val="20"/>
          <w:szCs w:val="20"/>
          <w:lang w:val="es-VE"/>
        </w:rPr>
        <w:t xml:space="preserve">Para preparar, facilitar, consumar u ocultar otro delito o para asegurar sus resultados o la impunidad para sí o para sus coparticipes o por no haber obtenido el resultado que se hubiere propuesto al intentar otro hecho punible. </w:t>
      </w:r>
    </w:p>
    <w:p w:rsidR="004D11E8" w:rsidRPr="007F3D68" w:rsidRDefault="004D11E8" w:rsidP="004D11E8">
      <w:pPr>
        <w:pStyle w:val="ListParagraph"/>
        <w:tabs>
          <w:tab w:val="left" w:pos="1440"/>
        </w:tabs>
        <w:ind w:left="1080" w:right="630"/>
        <w:jc w:val="both"/>
        <w:rPr>
          <w:rFonts w:cs="Calibri"/>
          <w:sz w:val="20"/>
          <w:szCs w:val="20"/>
          <w:lang w:val="es-VE"/>
        </w:rPr>
      </w:pPr>
    </w:p>
    <w:p w:rsidR="004D11E8" w:rsidRPr="007F3D68" w:rsidRDefault="004D11E8" w:rsidP="001703E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630"/>
        <w:jc w:val="both"/>
        <w:rPr>
          <w:rFonts w:ascii="Cambria" w:hAnsi="Cambria" w:cs="Calibri"/>
          <w:sz w:val="20"/>
          <w:szCs w:val="20"/>
          <w:lang w:val="es-VE"/>
        </w:rPr>
      </w:pPr>
      <w:r w:rsidRPr="007F3D68">
        <w:rPr>
          <w:rFonts w:ascii="Cambria" w:hAnsi="Cambria" w:cs="Calibri"/>
          <w:sz w:val="20"/>
          <w:szCs w:val="20"/>
          <w:lang w:val="es-VE"/>
        </w:rPr>
        <w:t>Al reo de asesinato se le impondrá prisión de veinte a treinta años; sin embargo se impondrá la pena de muerte en lugar del máximo de prisión, si por las circunstancias del hecho y de la ocasión, la manera de realizarlo y los móviles determinantes, se revelare una mayor y particular peligrosidad del agente</w:t>
      </w:r>
      <w:r w:rsidRPr="007F3D68">
        <w:rPr>
          <w:rStyle w:val="FootnoteReference"/>
          <w:rFonts w:ascii="Cambria" w:hAnsi="Cambria" w:cs="Calibri"/>
          <w:sz w:val="20"/>
          <w:szCs w:val="20"/>
          <w:lang w:val="es-VE"/>
        </w:rPr>
        <w:footnoteReference w:id="36"/>
      </w:r>
      <w:r w:rsidRPr="007F3D68">
        <w:rPr>
          <w:rFonts w:ascii="Cambria" w:hAnsi="Cambria" w:cs="Calibri"/>
          <w:sz w:val="20"/>
          <w:szCs w:val="20"/>
          <w:lang w:val="es-VE"/>
        </w:rPr>
        <w:t>.</w:t>
      </w:r>
    </w:p>
    <w:p w:rsidR="0002317B" w:rsidRPr="007F3D68" w:rsidRDefault="0002317B" w:rsidP="001703E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630"/>
        <w:jc w:val="both"/>
        <w:rPr>
          <w:rFonts w:ascii="Cambria" w:hAnsi="Cambria" w:cs="Calibri"/>
          <w:sz w:val="20"/>
          <w:szCs w:val="20"/>
          <w:lang w:val="es-VE"/>
        </w:rPr>
      </w:pPr>
    </w:p>
    <w:p w:rsidR="004D11E8" w:rsidRPr="007F3D68" w:rsidRDefault="004D11E8" w:rsidP="004D11E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cs="Calibri"/>
          <w:sz w:val="20"/>
          <w:szCs w:val="20"/>
          <w:lang w:val="es-VE"/>
        </w:rPr>
      </w:pPr>
      <w:r w:rsidRPr="007F3D68">
        <w:rPr>
          <w:rFonts w:ascii="Cambria" w:hAnsi="Cambria" w:cs="Calibri"/>
          <w:sz w:val="20"/>
          <w:szCs w:val="20"/>
          <w:lang w:val="es-VE"/>
        </w:rPr>
        <w:t>A pesar de estar prevista en la legislación guatemalteca, según un informe de Amnistía Internacional, la pena de muerte rara vez se aplicó en Guatemala antes de los años noventa. Dicho informe refiere que en 1982 se llevaron a cabo 4 ejecuciones por pena de muerte, y otras 11 en 1983, en virtud del Decreto de Emergencia 46-82, promulgado durante el estado de sitio impuesto por Efraín Ríos Montt</w:t>
      </w:r>
      <w:r w:rsidRPr="007F3D68">
        <w:rPr>
          <w:rFonts w:ascii="Cambria" w:eastAsia="Times New Roman" w:hAnsi="Cambria" w:cs="Courier New"/>
          <w:sz w:val="20"/>
          <w:szCs w:val="20"/>
          <w:vertAlign w:val="superscript"/>
          <w:lang w:val="es-ES"/>
        </w:rPr>
        <w:footnoteReference w:id="37"/>
      </w:r>
      <w:r w:rsidRPr="007F3D68">
        <w:rPr>
          <w:rFonts w:ascii="Cambria" w:hAnsi="Cambria"/>
          <w:sz w:val="20"/>
          <w:szCs w:val="20"/>
          <w:lang w:val="es-VE"/>
        </w:rPr>
        <w:t>.</w:t>
      </w:r>
    </w:p>
    <w:p w:rsidR="004D11E8" w:rsidRPr="007F3D68" w:rsidRDefault="004D11E8" w:rsidP="004D11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s="Courier New"/>
          <w:sz w:val="20"/>
          <w:szCs w:val="20"/>
          <w:bdr w:val="none" w:sz="0" w:space="0" w:color="auto"/>
          <w:lang w:val="es-ES"/>
        </w:rPr>
      </w:pPr>
    </w:p>
    <w:p w:rsidR="004D11E8" w:rsidRPr="007F3D68" w:rsidRDefault="004D11E8" w:rsidP="004D11E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eastAsia="Times New Roman" w:hAnsi="Cambria" w:cs="Courier New"/>
          <w:sz w:val="20"/>
          <w:szCs w:val="20"/>
          <w:bdr w:val="none" w:sz="0" w:space="0" w:color="auto"/>
          <w:lang w:val="es-ES"/>
        </w:rPr>
      </w:pPr>
      <w:r w:rsidRPr="007F3D68">
        <w:rPr>
          <w:rFonts w:ascii="Cambria" w:hAnsi="Cambria" w:cs="Calibri"/>
          <w:sz w:val="20"/>
          <w:szCs w:val="20"/>
          <w:lang w:val="es-VE"/>
        </w:rPr>
        <w:t>Durante los años 90 el Estado guatemalteco volvió a aplicar la pena de muerte, primero por medio de fusilamiento, conforme al Decreto 234 del Congreso de la República, y luego a través de inyección letal</w:t>
      </w:r>
      <w:r w:rsidRPr="007F3D68">
        <w:rPr>
          <w:rStyle w:val="FootnoteReference"/>
          <w:rFonts w:ascii="Cambria" w:hAnsi="Cambria" w:cs="Calibri"/>
          <w:sz w:val="20"/>
          <w:szCs w:val="20"/>
          <w:lang w:val="es-VE"/>
        </w:rPr>
        <w:footnoteReference w:id="38"/>
      </w:r>
      <w:r w:rsidRPr="007F3D68">
        <w:rPr>
          <w:rFonts w:ascii="Cambria" w:hAnsi="Cambria" w:cs="Calibri"/>
          <w:sz w:val="20"/>
          <w:szCs w:val="20"/>
          <w:lang w:val="es-VE"/>
        </w:rPr>
        <w:t>, después que el Decreto 234 fue derogado por el Decreto 100-96 de noviembre de 1996 mediante al cual se estableció este nuevo método de ejecución, cuyo procedimiento fue regulado en el artículo 7 del mismo decreto</w:t>
      </w:r>
      <w:r w:rsidRPr="007F3D68">
        <w:rPr>
          <w:rStyle w:val="FootnoteReference"/>
          <w:rFonts w:ascii="Cambria" w:hAnsi="Cambria" w:cs="Calibri"/>
          <w:sz w:val="20"/>
          <w:szCs w:val="20"/>
          <w:lang w:val="es-VE"/>
        </w:rPr>
        <w:footnoteReference w:id="39"/>
      </w:r>
      <w:r w:rsidRPr="007F3D68">
        <w:rPr>
          <w:rFonts w:ascii="Cambria" w:hAnsi="Cambria" w:cs="Calibri"/>
          <w:sz w:val="20"/>
          <w:szCs w:val="20"/>
          <w:lang w:val="es-VE"/>
        </w:rPr>
        <w:t>.</w:t>
      </w:r>
    </w:p>
    <w:p w:rsidR="004D11E8" w:rsidRPr="007F3D68" w:rsidRDefault="004D11E8" w:rsidP="00FC650A">
      <w:pPr>
        <w:pStyle w:val="Heading3"/>
        <w:numPr>
          <w:ilvl w:val="0"/>
          <w:numId w:val="76"/>
        </w:numPr>
        <w:tabs>
          <w:tab w:val="clear" w:pos="1800"/>
          <w:tab w:val="num" w:pos="1260"/>
        </w:tabs>
        <w:ind w:hanging="1080"/>
        <w:rPr>
          <w:b w:val="0"/>
          <w:sz w:val="20"/>
          <w:szCs w:val="20"/>
          <w:lang w:val="es-VE"/>
        </w:rPr>
      </w:pPr>
      <w:bookmarkStart w:id="80" w:name="_Toc495479548"/>
      <w:r w:rsidRPr="007F3D68">
        <w:rPr>
          <w:color w:val="auto"/>
          <w:sz w:val="20"/>
          <w:szCs w:val="20"/>
          <w:lang w:val="es-VE"/>
        </w:rPr>
        <w:t>El recurso de gracia y la derogatoria del Decreto 159 de 1892</w:t>
      </w:r>
      <w:bookmarkEnd w:id="80"/>
      <w:r w:rsidRPr="007F3D68">
        <w:rPr>
          <w:color w:val="auto"/>
          <w:sz w:val="20"/>
          <w:szCs w:val="20"/>
          <w:lang w:val="es-VE"/>
        </w:rPr>
        <w:t xml:space="preserve"> </w:t>
      </w:r>
    </w:p>
    <w:p w:rsidR="004D11E8" w:rsidRPr="007F3D68" w:rsidRDefault="004D11E8" w:rsidP="004D11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s="Courier New"/>
          <w:sz w:val="20"/>
          <w:szCs w:val="20"/>
          <w:bdr w:val="none" w:sz="0" w:space="0" w:color="auto"/>
          <w:lang w:val="es-ES"/>
        </w:rPr>
      </w:pPr>
    </w:p>
    <w:p w:rsidR="004D11E8" w:rsidRPr="00CF2584" w:rsidRDefault="004D11E8" w:rsidP="004D11E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cs="Calibri"/>
          <w:sz w:val="20"/>
          <w:szCs w:val="20"/>
          <w:lang w:val="es-VE"/>
        </w:rPr>
      </w:pPr>
      <w:r w:rsidRPr="007F3D68">
        <w:rPr>
          <w:rFonts w:ascii="Cambria" w:eastAsia="Times New Roman" w:hAnsi="Cambria" w:cs="Courier New"/>
          <w:sz w:val="20"/>
          <w:szCs w:val="20"/>
          <w:lang w:val="es-ES"/>
        </w:rPr>
        <w:t xml:space="preserve">El último recurso disponible en la legislación guatemalteca, para impugnar la imposición de la pena de muerte al </w:t>
      </w:r>
      <w:r w:rsidRPr="007F3D68">
        <w:rPr>
          <w:rFonts w:ascii="Cambria" w:hAnsi="Cambria" w:cs="Calibri"/>
          <w:sz w:val="20"/>
          <w:szCs w:val="20"/>
          <w:lang w:val="es-VE"/>
        </w:rPr>
        <w:t>momento</w:t>
      </w:r>
      <w:r w:rsidRPr="007F3D68">
        <w:rPr>
          <w:rFonts w:ascii="Cambria" w:eastAsia="Times New Roman" w:hAnsi="Cambria" w:cs="Courier New"/>
          <w:sz w:val="20"/>
          <w:szCs w:val="20"/>
          <w:lang w:val="es-ES"/>
        </w:rPr>
        <w:t xml:space="preserve"> de los hechos del presente caso era el recurso de gracia, previsto en el Decreto 159 de la Asamblea Nacional Legislativa de 19 de abril de 1892. El recurso de gracia establecía la facultad del Presidente de la República de no aplicar la pena de muerte a un condenado, no obstante, en una decisión de amparo de la Corte de Constitucionalidad de 9 de agosto de 1996, se indicó que el Decreto 159 ya no se encontraba vigente, pero que permanecía vigente el recurso de gracia, aunque sin un procedimiento establecido. Al respecto determinó que el Decreto 159 estuvo vigente entre el 21 de abril de 1892 y el 22 de diciembre de 1944 y tuvo una nueva vigencia con modificaciones entre el 23 de diciembre de 1944 y 14 de marzo de 1945, día anterior a la fecha de vigencia de la Constitución de 1945. Por ello la Corte de Constitucionalidad concluyó que “el procedimiento establecido en el Decreto 159 de la Asamblea Nacional Legislativa, no está vigente”. Agregó que la solicitud de conmuta de la pena es un recurso admisible contra la sentencia que impone la pena de muerte y que el conocimiento de dicha solicitud corresponde al Presidente de </w:t>
      </w:r>
      <w:r w:rsidRPr="007F3D68">
        <w:rPr>
          <w:rFonts w:ascii="Cambria" w:eastAsia="Times New Roman" w:hAnsi="Cambria" w:cs="Courier New"/>
          <w:sz w:val="20"/>
          <w:szCs w:val="20"/>
          <w:lang w:val="es-ES"/>
        </w:rPr>
        <w:lastRenderedPageBreak/>
        <w:t>la República, cuya única obligación es resolver y notificar lo resuelto, sin que exista un procedimiento obligado al que deba sujetarse</w:t>
      </w:r>
      <w:r w:rsidRPr="007F3D68">
        <w:rPr>
          <w:rStyle w:val="FootnoteReference"/>
          <w:rFonts w:ascii="Cambria" w:eastAsia="Times New Roman" w:hAnsi="Cambria" w:cs="Courier New"/>
          <w:sz w:val="20"/>
          <w:szCs w:val="20"/>
          <w:lang w:val="es-ES"/>
        </w:rPr>
        <w:footnoteReference w:id="40"/>
      </w:r>
      <w:r w:rsidRPr="007F3D68">
        <w:rPr>
          <w:rFonts w:ascii="Cambria" w:eastAsia="Times New Roman" w:hAnsi="Cambria" w:cs="Courier New"/>
          <w:sz w:val="20"/>
          <w:szCs w:val="20"/>
          <w:lang w:val="es-ES"/>
        </w:rPr>
        <w:t>.</w:t>
      </w:r>
    </w:p>
    <w:p w:rsidR="00CF2584" w:rsidRPr="00FB1E9C" w:rsidRDefault="00CF2584" w:rsidP="00CF258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Style w:val="Emphasis"/>
          <w:rFonts w:ascii="Cambria" w:hAnsi="Cambria" w:cs="Calibri"/>
          <w:i w:val="0"/>
          <w:iCs w:val="0"/>
          <w:sz w:val="20"/>
          <w:szCs w:val="20"/>
          <w:lang w:val="es-VE"/>
        </w:rPr>
      </w:pPr>
    </w:p>
    <w:p w:rsidR="004D11E8" w:rsidRPr="007F3D68" w:rsidRDefault="004D11E8" w:rsidP="004D11E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eastAsia="Times New Roman" w:hAnsi="Cambria" w:cs="Courier New"/>
          <w:sz w:val="20"/>
          <w:szCs w:val="20"/>
          <w:lang w:val="es-VE"/>
        </w:rPr>
      </w:pPr>
      <w:r w:rsidRPr="007F3D68">
        <w:rPr>
          <w:rFonts w:ascii="Cambria" w:hAnsi="Cambria" w:cs="Calibri"/>
          <w:sz w:val="20"/>
          <w:szCs w:val="20"/>
          <w:lang w:val="es-VE"/>
        </w:rPr>
        <w:t>Con posterioridad, el 1 de junio de 2000 el Congreso de la República derogó formalmente el Decreto 159 de 1892 por considerar que no existe norma que “sirva de fundamento para que el Organismo Ejecutivo pueda conmutar la pena de muerte como establece el Decreto Número 159 de la Asamblea Nacional Legislativa de la República, al haberse derogado las constituciones anteriores (…)”</w:t>
      </w:r>
      <w:r w:rsidRPr="007F3D68">
        <w:rPr>
          <w:rStyle w:val="FootnoteReference"/>
          <w:rFonts w:ascii="Cambria" w:hAnsi="Cambria" w:cs="Calibri"/>
          <w:sz w:val="20"/>
          <w:szCs w:val="20"/>
          <w:lang w:val="es-VE"/>
        </w:rPr>
        <w:footnoteReference w:id="41"/>
      </w:r>
      <w:r w:rsidRPr="007F3D68">
        <w:rPr>
          <w:rFonts w:ascii="Cambria" w:hAnsi="Cambria" w:cs="Calibri"/>
          <w:sz w:val="20"/>
          <w:szCs w:val="20"/>
          <w:lang w:val="es-VE"/>
        </w:rPr>
        <w:t xml:space="preserve">. </w:t>
      </w:r>
    </w:p>
    <w:p w:rsidR="004D11E8" w:rsidRPr="007F3D68" w:rsidRDefault="004D11E8" w:rsidP="004D11E8">
      <w:pPr>
        <w:tabs>
          <w:tab w:val="left" w:pos="1440"/>
        </w:tabs>
        <w:jc w:val="both"/>
        <w:rPr>
          <w:rFonts w:ascii="Cambria" w:eastAsia="Times New Roman" w:hAnsi="Cambria" w:cs="Courier New"/>
          <w:sz w:val="20"/>
          <w:szCs w:val="20"/>
          <w:lang w:val="es-VE"/>
        </w:rPr>
      </w:pPr>
    </w:p>
    <w:p w:rsidR="004D11E8" w:rsidRPr="007F3D68" w:rsidRDefault="004D11E8" w:rsidP="00FC650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eastAsia="Times New Roman" w:hAnsi="Cambria" w:cs="Courier New"/>
          <w:sz w:val="20"/>
          <w:szCs w:val="20"/>
          <w:lang w:val="es-VE"/>
        </w:rPr>
      </w:pPr>
      <w:r w:rsidRPr="007F3D68">
        <w:rPr>
          <w:rFonts w:ascii="Cambria" w:eastAsia="Times New Roman" w:hAnsi="Cambria" w:cs="Courier New"/>
          <w:sz w:val="20"/>
          <w:szCs w:val="20"/>
          <w:lang w:val="es-VE"/>
        </w:rPr>
        <w:t xml:space="preserve">A partir de dicha fecha, es decir, hace más de 17 años, en Guatemala no se ha impuesto ni aplicado la pena de muerte. </w:t>
      </w:r>
    </w:p>
    <w:p w:rsidR="004D11E8" w:rsidRPr="007F3D68" w:rsidRDefault="004D11E8" w:rsidP="00FC650A">
      <w:pPr>
        <w:pStyle w:val="Heading3"/>
        <w:numPr>
          <w:ilvl w:val="0"/>
          <w:numId w:val="76"/>
        </w:numPr>
        <w:tabs>
          <w:tab w:val="clear" w:pos="1800"/>
          <w:tab w:val="num" w:pos="1260"/>
        </w:tabs>
        <w:ind w:hanging="1080"/>
        <w:rPr>
          <w:color w:val="auto"/>
          <w:sz w:val="20"/>
          <w:szCs w:val="20"/>
          <w:lang w:val="es-VE"/>
        </w:rPr>
      </w:pPr>
      <w:bookmarkStart w:id="81" w:name="_Toc495479549"/>
      <w:r w:rsidRPr="007F3D68">
        <w:rPr>
          <w:color w:val="auto"/>
          <w:sz w:val="20"/>
          <w:szCs w:val="20"/>
          <w:lang w:val="es-VE"/>
        </w:rPr>
        <w:t xml:space="preserve">Los casos Fermín Ramírez y </w:t>
      </w:r>
      <w:proofErr w:type="spellStart"/>
      <w:r w:rsidRPr="007F3D68">
        <w:rPr>
          <w:color w:val="auto"/>
          <w:sz w:val="20"/>
          <w:szCs w:val="20"/>
          <w:lang w:val="es-VE"/>
        </w:rPr>
        <w:t>Raxcacó</w:t>
      </w:r>
      <w:proofErr w:type="spellEnd"/>
      <w:r w:rsidRPr="007F3D68">
        <w:rPr>
          <w:color w:val="auto"/>
          <w:sz w:val="20"/>
          <w:szCs w:val="20"/>
          <w:lang w:val="es-VE"/>
        </w:rPr>
        <w:t xml:space="preserve"> Reyes vs. Guatemala conocidos por la Corte Interamericana de Derechos Humanos</w:t>
      </w:r>
      <w:bookmarkEnd w:id="81"/>
    </w:p>
    <w:p w:rsidR="004D11E8" w:rsidRPr="007F3D68" w:rsidRDefault="004D11E8" w:rsidP="004D11E8">
      <w:pPr>
        <w:rPr>
          <w:rFonts w:ascii="Cambria" w:hAnsi="Cambria"/>
          <w:i/>
          <w:sz w:val="20"/>
          <w:szCs w:val="20"/>
          <w:lang w:val="es-VE"/>
        </w:rPr>
      </w:pPr>
    </w:p>
    <w:p w:rsidR="004D11E8" w:rsidRPr="007F3D68" w:rsidRDefault="004D11E8" w:rsidP="004D11E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eastAsia="Times New Roman" w:hAnsi="Cambria" w:cs="Courier New"/>
          <w:sz w:val="20"/>
          <w:szCs w:val="20"/>
          <w:lang w:val="es-ES"/>
        </w:rPr>
      </w:pPr>
      <w:r w:rsidRPr="007F3D68">
        <w:rPr>
          <w:rFonts w:ascii="Cambria" w:eastAsia="Times New Roman" w:hAnsi="Cambria" w:cs="Courier New"/>
          <w:sz w:val="20"/>
          <w:szCs w:val="20"/>
          <w:lang w:val="es-ES"/>
        </w:rPr>
        <w:t xml:space="preserve">En 2005, la Corte Interamericana se pronunció sobre la pena de muerte en Guatemala y, particularmente, sobre la invocación de la peligrosidad para imponer la pena de muerte en el delito de asesinato, así como la falta de regulación del recurso de gracia. </w:t>
      </w:r>
    </w:p>
    <w:p w:rsidR="004D11E8" w:rsidRPr="007F3D68" w:rsidRDefault="004D11E8" w:rsidP="004D11E8">
      <w:pPr>
        <w:tabs>
          <w:tab w:val="left" w:pos="1440"/>
        </w:tabs>
        <w:ind w:left="720"/>
        <w:jc w:val="both"/>
        <w:rPr>
          <w:rFonts w:ascii="Cambria" w:eastAsia="Times New Roman" w:hAnsi="Cambria" w:cs="Courier New"/>
          <w:sz w:val="20"/>
          <w:szCs w:val="20"/>
          <w:lang w:val="es-ES"/>
        </w:rPr>
      </w:pPr>
    </w:p>
    <w:p w:rsidR="004D11E8" w:rsidRPr="007F3D68" w:rsidRDefault="004D11E8" w:rsidP="004D11E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eastAsia="Times New Roman" w:hAnsi="Cambria" w:cs="Courier New"/>
          <w:i/>
          <w:sz w:val="20"/>
          <w:szCs w:val="20"/>
          <w:lang w:val="es-ES"/>
        </w:rPr>
      </w:pPr>
      <w:r w:rsidRPr="007F3D68">
        <w:rPr>
          <w:rFonts w:ascii="Cambria" w:eastAsia="Times New Roman" w:hAnsi="Cambria" w:cs="Courier New"/>
          <w:sz w:val="20"/>
          <w:szCs w:val="20"/>
          <w:lang w:val="es-ES"/>
        </w:rPr>
        <w:t>El delito de asesinato, tipificado en el artículo 132 del Código Penal, establecía en la parte conducente que “al reo de asesinato se le impondrá prisión de veinte a treinta años, sin embargo se impondrá la pena de muerte en lugar del máximo de prisión, si por las circunstancias del hecho y de la ocasión, la manera de realizarlo y los móviles determinantes, se revelare una mayor y particular peligrosidad del agente”</w:t>
      </w:r>
      <w:r w:rsidRPr="007F3D68">
        <w:rPr>
          <w:rStyle w:val="FootnoteReference"/>
          <w:rFonts w:ascii="Cambria" w:eastAsia="Times New Roman" w:hAnsi="Cambria" w:cs="Courier New"/>
          <w:sz w:val="20"/>
          <w:szCs w:val="20"/>
          <w:lang w:val="es-ES"/>
        </w:rPr>
        <w:footnoteReference w:id="42"/>
      </w:r>
      <w:r w:rsidRPr="007F3D68">
        <w:rPr>
          <w:rFonts w:ascii="Cambria" w:eastAsia="Times New Roman" w:hAnsi="Cambria" w:cs="Courier New"/>
          <w:sz w:val="20"/>
          <w:szCs w:val="20"/>
          <w:lang w:val="es-ES"/>
        </w:rPr>
        <w:t>.</w:t>
      </w:r>
      <w:r w:rsidRPr="007F3D68">
        <w:rPr>
          <w:rFonts w:ascii="Cambria" w:eastAsia="Times New Roman" w:hAnsi="Cambria" w:cs="Courier New"/>
          <w:i/>
          <w:sz w:val="20"/>
          <w:szCs w:val="20"/>
          <w:lang w:val="es-ES"/>
        </w:rPr>
        <w:t xml:space="preserve"> </w:t>
      </w:r>
      <w:r w:rsidRPr="007F3D68">
        <w:rPr>
          <w:rFonts w:ascii="Cambria" w:eastAsia="Times New Roman" w:hAnsi="Cambria" w:cs="Courier New"/>
          <w:sz w:val="20"/>
          <w:szCs w:val="20"/>
          <w:lang w:val="es-ES"/>
        </w:rPr>
        <w:t>Por medio del Decreto 20-96 se modificó la pena de prisión para dicho delito, quedando entre 25 a 50 años</w:t>
      </w:r>
      <w:r w:rsidRPr="007F3D68">
        <w:rPr>
          <w:rStyle w:val="FootnoteReference"/>
          <w:rFonts w:ascii="Cambria" w:eastAsia="Times New Roman" w:hAnsi="Cambria" w:cs="Courier New"/>
          <w:sz w:val="20"/>
          <w:szCs w:val="20"/>
          <w:lang w:val="es-ES"/>
        </w:rPr>
        <w:footnoteReference w:id="43"/>
      </w:r>
      <w:r w:rsidRPr="007F3D68">
        <w:rPr>
          <w:rFonts w:ascii="Cambria" w:eastAsia="Times New Roman" w:hAnsi="Cambria" w:cs="Courier New"/>
          <w:sz w:val="20"/>
          <w:szCs w:val="20"/>
          <w:lang w:val="es-ES"/>
        </w:rPr>
        <w:t xml:space="preserve">. </w:t>
      </w:r>
    </w:p>
    <w:p w:rsidR="004D11E8" w:rsidRPr="007F3D68" w:rsidRDefault="004D11E8" w:rsidP="004D11E8">
      <w:pPr>
        <w:pStyle w:val="ListParagraph"/>
        <w:rPr>
          <w:rFonts w:eastAsia="Times New Roman" w:cs="Courier New"/>
          <w:i/>
          <w:color w:val="auto"/>
          <w:sz w:val="20"/>
          <w:szCs w:val="20"/>
          <w:bdr w:val="none" w:sz="0" w:space="0" w:color="auto"/>
          <w:lang w:val="es-ES"/>
        </w:rPr>
      </w:pPr>
    </w:p>
    <w:p w:rsidR="004D11E8" w:rsidRPr="007F3D68" w:rsidRDefault="004D11E8" w:rsidP="00FC650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VE"/>
        </w:rPr>
      </w:pPr>
      <w:r w:rsidRPr="007F3D68">
        <w:rPr>
          <w:rFonts w:ascii="Cambria" w:eastAsia="Times New Roman" w:hAnsi="Cambria" w:cs="Courier New"/>
          <w:sz w:val="20"/>
          <w:szCs w:val="20"/>
          <w:lang w:val="es-ES"/>
        </w:rPr>
        <w:t>En el caso Fermín Ramírez contra Guatemala, la Corte Interamericana analizó, entre otras cuestiones, el párrafo mencionado del delito de asesinato, e indicó que la invocación de la peligrosidad del agente “implica la apreciación del juzgador acerca de las probabilidades de que el imputado cometa hechos delictuosos en el futuro, es decir</w:t>
      </w:r>
      <w:r w:rsidRPr="007F3D68">
        <w:rPr>
          <w:rFonts w:ascii="Cambria" w:hAnsi="Cambria"/>
          <w:sz w:val="20"/>
          <w:szCs w:val="20"/>
          <w:lang w:val="es-VE"/>
        </w:rPr>
        <w:t>, agrega a la imputación por los hechos realizados, la previsión de hechos futuros que probablemente ocurrirán”. Consideró que dicha figura es incompatible con el principio de legalidad criminal y por lo tanto declaró que el Estado violó el artículo 9 de la Convención, en relación con el artículo 2 de la misma</w:t>
      </w:r>
      <w:r w:rsidRPr="007F3D68">
        <w:rPr>
          <w:rStyle w:val="FootnoteReference"/>
          <w:rFonts w:ascii="Cambria" w:hAnsi="Cambria"/>
          <w:sz w:val="20"/>
          <w:szCs w:val="20"/>
          <w:lang w:val="es-VE"/>
        </w:rPr>
        <w:footnoteReference w:id="44"/>
      </w:r>
      <w:r w:rsidRPr="007F3D68">
        <w:rPr>
          <w:rFonts w:ascii="Cambria" w:hAnsi="Cambria"/>
          <w:sz w:val="20"/>
          <w:szCs w:val="20"/>
          <w:lang w:val="es-VE"/>
        </w:rPr>
        <w:t>. En virtud de ello, ordenó al Estado guatemalteco la modificación de dicho artículo para suprimir la circunstancia agravante de peligrosidad del agente de un delito de asesinato</w:t>
      </w:r>
      <w:r w:rsidRPr="007F3D68">
        <w:rPr>
          <w:rStyle w:val="FootnoteReference"/>
          <w:rFonts w:ascii="Cambria" w:hAnsi="Cambria"/>
          <w:sz w:val="20"/>
          <w:szCs w:val="20"/>
          <w:lang w:val="es-VE"/>
        </w:rPr>
        <w:footnoteReference w:id="45"/>
      </w:r>
      <w:r w:rsidRPr="007F3D68">
        <w:rPr>
          <w:rFonts w:ascii="Cambria" w:hAnsi="Cambria"/>
          <w:sz w:val="20"/>
          <w:szCs w:val="20"/>
          <w:lang w:val="es-VE"/>
        </w:rPr>
        <w:t>.</w:t>
      </w:r>
    </w:p>
    <w:p w:rsidR="004D11E8" w:rsidRPr="007F3D68" w:rsidRDefault="004D11E8" w:rsidP="00FC650A">
      <w:pPr>
        <w:pStyle w:val="Heading3"/>
        <w:numPr>
          <w:ilvl w:val="0"/>
          <w:numId w:val="76"/>
        </w:numPr>
        <w:tabs>
          <w:tab w:val="clear" w:pos="1800"/>
          <w:tab w:val="num" w:pos="1260"/>
        </w:tabs>
        <w:ind w:hanging="1080"/>
        <w:rPr>
          <w:color w:val="auto"/>
          <w:sz w:val="20"/>
          <w:szCs w:val="20"/>
          <w:lang w:val="es-VE"/>
        </w:rPr>
      </w:pPr>
      <w:bookmarkStart w:id="82" w:name="_Toc495479550"/>
      <w:r w:rsidRPr="007F3D68">
        <w:rPr>
          <w:color w:val="auto"/>
          <w:sz w:val="20"/>
          <w:szCs w:val="20"/>
          <w:lang w:val="es-VE"/>
        </w:rPr>
        <w:t>La pena de muerte en Guatemala en la actualidad</w:t>
      </w:r>
      <w:bookmarkEnd w:id="82"/>
    </w:p>
    <w:p w:rsidR="004D11E8" w:rsidRPr="007F3D68" w:rsidRDefault="004D11E8" w:rsidP="001703E3">
      <w:pPr>
        <w:pStyle w:val="ListParagraph"/>
        <w:rPr>
          <w:rFonts w:cs="Calibri"/>
          <w:sz w:val="20"/>
          <w:szCs w:val="20"/>
          <w:lang w:val="es-VE"/>
        </w:rPr>
      </w:pPr>
    </w:p>
    <w:p w:rsidR="004D11E8" w:rsidRPr="00CF2584" w:rsidRDefault="004D11E8" w:rsidP="00CF258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cs="Calibri"/>
          <w:sz w:val="20"/>
          <w:szCs w:val="20"/>
          <w:lang w:val="es-VE"/>
        </w:rPr>
      </w:pPr>
      <w:r w:rsidRPr="007F3D68">
        <w:rPr>
          <w:rFonts w:ascii="Cambria" w:hAnsi="Cambria" w:cs="Calibri"/>
          <w:sz w:val="20"/>
          <w:szCs w:val="20"/>
          <w:lang w:val="es-VE"/>
        </w:rPr>
        <w:t xml:space="preserve">A partir de dichas decisiones, el Estado guatemalteco no ha impuesto ni aplicado la pena de muerte, ni regulado </w:t>
      </w:r>
      <w:r w:rsidRPr="007F3D68">
        <w:rPr>
          <w:rFonts w:ascii="Cambria" w:hAnsi="Cambria"/>
          <w:sz w:val="20"/>
          <w:szCs w:val="20"/>
          <w:lang w:val="es-VE"/>
        </w:rPr>
        <w:t>el</w:t>
      </w:r>
      <w:r w:rsidRPr="007F3D68">
        <w:rPr>
          <w:rFonts w:ascii="Cambria" w:hAnsi="Cambria" w:cs="Calibri"/>
          <w:sz w:val="20"/>
          <w:szCs w:val="20"/>
          <w:lang w:val="es-VE"/>
        </w:rPr>
        <w:t xml:space="preserve"> recurso de </w:t>
      </w:r>
      <w:r w:rsidRPr="007F3D68">
        <w:rPr>
          <w:rFonts w:ascii="Cambria" w:hAnsi="Cambria"/>
          <w:sz w:val="20"/>
          <w:szCs w:val="20"/>
          <w:lang w:val="es-VE"/>
        </w:rPr>
        <w:t>gracia</w:t>
      </w:r>
      <w:r w:rsidRPr="007F3D68">
        <w:rPr>
          <w:rFonts w:ascii="Cambria" w:hAnsi="Cambria" w:cs="Calibri"/>
          <w:sz w:val="20"/>
          <w:szCs w:val="20"/>
          <w:lang w:val="es-VE"/>
        </w:rPr>
        <w:t>, por lo que la Cámara Penal de la Corte Suprema de Justicia ha venido conmutando la pena de muerte por la máxima de prisión a quienes lo han solicitado</w:t>
      </w:r>
      <w:r w:rsidRPr="007F3D68">
        <w:rPr>
          <w:rStyle w:val="FootnoteReference"/>
          <w:rFonts w:ascii="Cambria" w:hAnsi="Cambria" w:cs="Calibri"/>
          <w:sz w:val="20"/>
          <w:szCs w:val="20"/>
          <w:lang w:val="es-VE"/>
        </w:rPr>
        <w:footnoteReference w:id="46"/>
      </w:r>
      <w:r w:rsidRPr="007F3D68">
        <w:rPr>
          <w:rFonts w:ascii="Cambria" w:hAnsi="Cambria" w:cs="Calibri"/>
          <w:sz w:val="20"/>
          <w:szCs w:val="20"/>
          <w:lang w:val="es-VE"/>
        </w:rPr>
        <w:t>.</w:t>
      </w:r>
    </w:p>
    <w:p w:rsidR="004D11E8" w:rsidRPr="007F3D68" w:rsidRDefault="004D11E8" w:rsidP="004D11E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cs="Calibri"/>
          <w:sz w:val="20"/>
          <w:szCs w:val="20"/>
          <w:lang w:val="es-VE"/>
        </w:rPr>
      </w:pPr>
      <w:r w:rsidRPr="007F3D68">
        <w:rPr>
          <w:rFonts w:ascii="Cambria" w:hAnsi="Cambria" w:cs="Calibri"/>
          <w:sz w:val="20"/>
          <w:szCs w:val="20"/>
          <w:lang w:val="es-VE"/>
        </w:rPr>
        <w:lastRenderedPageBreak/>
        <w:t xml:space="preserve">La pena de muerte continúa prevista para los siguientes delitos: </w:t>
      </w:r>
      <w:r w:rsidRPr="007F3D68">
        <w:rPr>
          <w:rFonts w:ascii="Cambria" w:hAnsi="Cambria"/>
          <w:sz w:val="20"/>
          <w:szCs w:val="20"/>
          <w:lang w:val="es-AR"/>
        </w:rPr>
        <w:t>1. Plagio o secuestro; 2. Parricidio; 3. Ejecución Extrajudicial; 4. Caso de muerte al Presidente o Vicepresidente de la República; 5. Delitos relacionados con narcotráfico en los que resulte la muerte de personas. En algunos de estos tipos penales se hace referencia a la peligrosidad del agente como elemento determinante para la imposición de la pena de muerte.</w:t>
      </w:r>
    </w:p>
    <w:p w:rsidR="004D11E8" w:rsidRPr="007F3D68" w:rsidRDefault="004D11E8" w:rsidP="004D11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lang w:val="es-VE"/>
        </w:rPr>
      </w:pPr>
      <w:r w:rsidRPr="007F3D68">
        <w:rPr>
          <w:rFonts w:ascii="Cambria" w:hAnsi="Cambria"/>
          <w:sz w:val="20"/>
          <w:szCs w:val="20"/>
          <w:lang w:val="es-AR"/>
        </w:rPr>
        <w:t xml:space="preserve"> </w:t>
      </w:r>
    </w:p>
    <w:p w:rsidR="004D11E8" w:rsidRPr="007F3D68" w:rsidRDefault="004D11E8" w:rsidP="004D11E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cs="Calibri"/>
          <w:sz w:val="20"/>
          <w:szCs w:val="20"/>
          <w:lang w:val="es-VE"/>
        </w:rPr>
      </w:pPr>
      <w:r w:rsidRPr="007F3D68">
        <w:rPr>
          <w:rFonts w:ascii="Cambria" w:hAnsi="Cambria"/>
          <w:sz w:val="20"/>
          <w:szCs w:val="20"/>
          <w:lang w:val="es-VE"/>
        </w:rPr>
        <w:t>El 12 de febrero de 2008 el Congreso guatemalteco emitió una ley mediante la cual restituyó al Presidente la facultad de perdonar la vida o confirmar la pena capital a los reos condenados a través del recurso de indulto</w:t>
      </w:r>
      <w:r w:rsidRPr="007F3D68">
        <w:rPr>
          <w:rStyle w:val="FootnoteReference"/>
          <w:rFonts w:ascii="Cambria" w:hAnsi="Cambria"/>
          <w:sz w:val="20"/>
          <w:szCs w:val="20"/>
          <w:lang w:val="es-VE"/>
        </w:rPr>
        <w:footnoteReference w:id="47"/>
      </w:r>
      <w:r w:rsidRPr="007F3D68">
        <w:rPr>
          <w:rFonts w:ascii="Cambria" w:hAnsi="Cambria"/>
          <w:sz w:val="20"/>
          <w:szCs w:val="20"/>
          <w:lang w:val="es-VE"/>
        </w:rPr>
        <w:t xml:space="preserve">. Sin </w:t>
      </w:r>
      <w:r w:rsidRPr="007F3D68">
        <w:rPr>
          <w:rFonts w:ascii="Cambria" w:hAnsi="Cambria" w:cs="Calibri"/>
          <w:sz w:val="20"/>
          <w:szCs w:val="20"/>
          <w:lang w:val="es-VE"/>
        </w:rPr>
        <w:t>embargo</w:t>
      </w:r>
      <w:r w:rsidRPr="007F3D68">
        <w:rPr>
          <w:rFonts w:ascii="Cambria" w:hAnsi="Cambria"/>
          <w:sz w:val="20"/>
          <w:szCs w:val="20"/>
          <w:lang w:val="es-VE"/>
        </w:rPr>
        <w:t xml:space="preserve"> en el mismo mes el entonces Presidente Alvaro Colom vetó la ley, argumentando que violaba los compromisos que tiene Guatemala como parte de la Convención Americana</w:t>
      </w:r>
      <w:r w:rsidRPr="007F3D68">
        <w:rPr>
          <w:rStyle w:val="FootnoteReference"/>
          <w:rFonts w:ascii="Cambria" w:hAnsi="Cambria"/>
          <w:sz w:val="20"/>
          <w:szCs w:val="20"/>
          <w:lang w:val="es-VE"/>
        </w:rPr>
        <w:footnoteReference w:id="48"/>
      </w:r>
      <w:r w:rsidRPr="007F3D68">
        <w:rPr>
          <w:rFonts w:ascii="Cambria" w:hAnsi="Cambria"/>
          <w:sz w:val="20"/>
          <w:szCs w:val="20"/>
          <w:lang w:val="es-VE"/>
        </w:rPr>
        <w:t>. En enero de 2012 el Presidente Alvaro Colom vetó nuevamente la restitución de la posibilidad del indulto presidencial para las personas condenadas a pena de muerte</w:t>
      </w:r>
      <w:r w:rsidRPr="007F3D68">
        <w:rPr>
          <w:rStyle w:val="FootnoteReference"/>
          <w:rFonts w:ascii="Cambria" w:hAnsi="Cambria"/>
          <w:sz w:val="20"/>
          <w:szCs w:val="20"/>
          <w:lang w:val="es-VE"/>
        </w:rPr>
        <w:footnoteReference w:id="49"/>
      </w:r>
      <w:r w:rsidRPr="007F3D68">
        <w:rPr>
          <w:rFonts w:ascii="Cambria" w:hAnsi="Cambria"/>
          <w:sz w:val="20"/>
          <w:szCs w:val="20"/>
          <w:lang w:val="es-VE"/>
        </w:rPr>
        <w:t>.</w:t>
      </w:r>
    </w:p>
    <w:p w:rsidR="004D11E8" w:rsidRPr="007F3D68" w:rsidRDefault="004D11E8" w:rsidP="004D11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lang w:val="es-VE"/>
        </w:rPr>
      </w:pPr>
    </w:p>
    <w:p w:rsidR="004D11E8" w:rsidRPr="007F3D68" w:rsidRDefault="004D11E8" w:rsidP="004D11E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AR"/>
        </w:rPr>
      </w:pPr>
      <w:r w:rsidRPr="007F3D68">
        <w:rPr>
          <w:rFonts w:ascii="Cambria" w:eastAsia="Times New Roman" w:hAnsi="Cambria" w:cs="Courier New"/>
          <w:sz w:val="20"/>
          <w:szCs w:val="20"/>
          <w:lang w:val="es-ES"/>
        </w:rPr>
        <w:t xml:space="preserve">El 11 de febrero de 2016 </w:t>
      </w:r>
      <w:r w:rsidRPr="007F3D68">
        <w:rPr>
          <w:rFonts w:ascii="Cambria" w:hAnsi="Cambria"/>
          <w:sz w:val="20"/>
          <w:szCs w:val="20"/>
          <w:lang w:val="es-AR"/>
        </w:rPr>
        <w:t>la Corte de Constitucionalidad declaró inconstitucional la frase que permitía aplicar la pena de muerte por el delito de asesinato. Dicha frase indicaba que “sin embargo se le aplicará la pena de muerte en lugar del máximo de prisión, si por las circunstancias del hecho y de la ocasión, la manera de realizarlo y los móviles determinantes, se revelare una mayor particular peligrosidad del agente. A quienes no se les aplique la pena de muerte por este delito, no podrá concedérseles rebaja de la pena por ninguna causa”. Si bien la Corte de Constitucionalidad únicamente se pronunció respecto del delito de asesinato, la misma frase declarada inconstitucional se encuentra presente en los delitos de parricidio, ejecución extrajudicial y caso de muerte al Presidente o Vicepresidente.</w:t>
      </w:r>
    </w:p>
    <w:p w:rsidR="004D11E8" w:rsidRPr="007F3D68" w:rsidRDefault="004D11E8" w:rsidP="004D11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cs="Courier New"/>
          <w:sz w:val="20"/>
          <w:szCs w:val="20"/>
          <w:lang w:val="es-ES"/>
        </w:rPr>
      </w:pPr>
    </w:p>
    <w:p w:rsidR="00EF2CEA" w:rsidRPr="007F3D68" w:rsidRDefault="004D11E8" w:rsidP="004E102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eastAsia="Times New Roman" w:hAnsi="Cambria" w:cs="Courier New"/>
          <w:sz w:val="20"/>
          <w:szCs w:val="20"/>
          <w:lang w:val="es-ES"/>
        </w:rPr>
      </w:pPr>
      <w:r w:rsidRPr="007F3D68">
        <w:rPr>
          <w:rFonts w:ascii="Cambria" w:eastAsia="Times New Roman" w:hAnsi="Cambria" w:cs="Courier New"/>
          <w:sz w:val="20"/>
          <w:szCs w:val="20"/>
          <w:lang w:val="es-ES"/>
        </w:rPr>
        <w:t xml:space="preserve">Según información de público conocimiento, en 2016 se presentaron en el Congreso de la República tanto iniciativas para reactivar como para abolir la pena de muerte. </w:t>
      </w:r>
      <w:r w:rsidRPr="007F3D68">
        <w:rPr>
          <w:rFonts w:ascii="Cambria" w:hAnsi="Cambria"/>
          <w:sz w:val="20"/>
          <w:szCs w:val="20"/>
          <w:lang w:val="es-AR"/>
        </w:rPr>
        <w:t>La iniciativa 5100, presentada el 6 de julio de 2016 pretende aprobar la ley de abolición de la pena de muerte. Asimismo, la iniciativa 4941 presentada el 4 de febrero de 2016 pretende reactivarla mediante la regulación del procedimiento para la aplicación del recurso de gracia</w:t>
      </w:r>
      <w:r w:rsidRPr="007F3D68">
        <w:rPr>
          <w:rStyle w:val="FootnoteReference"/>
          <w:rFonts w:ascii="Cambria" w:hAnsi="Cambria"/>
          <w:sz w:val="20"/>
          <w:szCs w:val="20"/>
          <w:lang w:val="es-AR"/>
        </w:rPr>
        <w:footnoteReference w:id="50"/>
      </w:r>
      <w:r w:rsidRPr="007F3D68">
        <w:rPr>
          <w:rFonts w:ascii="Cambria" w:hAnsi="Cambria"/>
          <w:sz w:val="20"/>
          <w:szCs w:val="20"/>
          <w:lang w:val="es-AR"/>
        </w:rPr>
        <w:t>.</w:t>
      </w:r>
    </w:p>
    <w:p w:rsidR="004E102F" w:rsidRPr="007F3D68" w:rsidRDefault="004E102F" w:rsidP="004E102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s="Courier New"/>
          <w:sz w:val="20"/>
          <w:szCs w:val="20"/>
          <w:lang w:val="es-ES"/>
        </w:rPr>
      </w:pPr>
    </w:p>
    <w:p w:rsidR="005039D8" w:rsidRPr="007F3D68" w:rsidRDefault="009C1046" w:rsidP="00FC650A">
      <w:pPr>
        <w:pStyle w:val="Heading2"/>
        <w:numPr>
          <w:ilvl w:val="0"/>
          <w:numId w:val="74"/>
        </w:numPr>
        <w:ind w:left="1260" w:hanging="540"/>
        <w:rPr>
          <w:b w:val="0"/>
          <w:lang w:val="es-VE"/>
        </w:rPr>
      </w:pPr>
      <w:bookmarkStart w:id="83" w:name="_Toc495479551"/>
      <w:r w:rsidRPr="007F3D68">
        <w:rPr>
          <w:lang w:val="es-VE"/>
        </w:rPr>
        <w:t xml:space="preserve">La muerte de la </w:t>
      </w:r>
      <w:r w:rsidR="00AF07D9" w:rsidRPr="007F3D68">
        <w:rPr>
          <w:lang w:val="es-VE"/>
        </w:rPr>
        <w:t xml:space="preserve">presunta víctima en el marco del </w:t>
      </w:r>
      <w:r w:rsidR="005039D8" w:rsidRPr="007F3D68">
        <w:rPr>
          <w:lang w:val="es-VE"/>
        </w:rPr>
        <w:t>Plan Gavilán</w:t>
      </w:r>
      <w:bookmarkEnd w:id="83"/>
      <w:r w:rsidR="005039D8" w:rsidRPr="007F3D68">
        <w:rPr>
          <w:lang w:val="es-VE"/>
        </w:rPr>
        <w:t xml:space="preserve"> </w:t>
      </w:r>
      <w:r w:rsidR="00AB667A" w:rsidRPr="007F3D68">
        <w:rPr>
          <w:rFonts w:ascii="Cambria" w:hAnsi="Cambria" w:cs="Calibri"/>
          <w:lang w:val="es-VE"/>
        </w:rPr>
        <w:tab/>
      </w:r>
    </w:p>
    <w:p w:rsidR="00AB667A" w:rsidRPr="007F3D68" w:rsidRDefault="00AB667A" w:rsidP="00AB667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Theme="majorHAnsi" w:hAnsiTheme="majorHAnsi"/>
          <w:sz w:val="20"/>
          <w:szCs w:val="20"/>
          <w:lang w:val="es-VE"/>
        </w:rPr>
      </w:pPr>
    </w:p>
    <w:p w:rsidR="00AB667A" w:rsidRPr="007F3D68" w:rsidRDefault="00AB667A" w:rsidP="00AB667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cs="Courier New"/>
          <w:sz w:val="20"/>
          <w:szCs w:val="20"/>
          <w:bdr w:val="none" w:sz="0" w:space="0" w:color="auto"/>
          <w:lang w:val="es-VE"/>
        </w:rPr>
      </w:pPr>
      <w:r w:rsidRPr="007F3D68">
        <w:rPr>
          <w:rFonts w:ascii="Cambria" w:eastAsia="Times New Roman" w:hAnsi="Cambria" w:cs="Courier New"/>
          <w:sz w:val="20"/>
          <w:szCs w:val="20"/>
          <w:lang w:val="es-ES"/>
        </w:rPr>
        <w:t>El</w:t>
      </w:r>
      <w:r w:rsidRPr="007F3D68">
        <w:rPr>
          <w:rFonts w:asciiTheme="majorHAnsi" w:hAnsiTheme="majorHAnsi"/>
          <w:sz w:val="20"/>
          <w:szCs w:val="20"/>
          <w:lang w:val="es-VE"/>
        </w:rPr>
        <w:t xml:space="preserve"> 22 de octubre de 2005, la presunta víctima junto con 18 personas más, se fugaron de la cárcel de máxima seguridad “El Infiernito</w:t>
      </w:r>
      <w:r w:rsidR="00FD45B6" w:rsidRPr="007F3D68">
        <w:rPr>
          <w:rFonts w:asciiTheme="majorHAnsi" w:hAnsiTheme="majorHAnsi"/>
          <w:sz w:val="20"/>
          <w:szCs w:val="20"/>
          <w:lang w:val="es-VE"/>
        </w:rPr>
        <w:t>”</w:t>
      </w:r>
      <w:r w:rsidRPr="007F3D68">
        <w:rPr>
          <w:rFonts w:asciiTheme="majorHAnsi" w:hAnsiTheme="majorHAnsi"/>
          <w:sz w:val="20"/>
          <w:szCs w:val="20"/>
          <w:lang w:val="es-VE"/>
        </w:rPr>
        <w:t xml:space="preserve"> quienes para tal fin cavaron un túnel de aproximadamente 120 metros de longitud desde el sector “A” hasta la malla electrizada de protección perimetral de las instalaciones. Según el Estado, los privados de libertad contaron con la complicidad de algunos elementos del sistema penitenciario</w:t>
      </w:r>
      <w:r w:rsidRPr="007F3D68">
        <w:rPr>
          <w:rFonts w:asciiTheme="majorHAnsi" w:hAnsiTheme="majorHAnsi"/>
          <w:sz w:val="20"/>
          <w:szCs w:val="20"/>
          <w:vertAlign w:val="superscript"/>
        </w:rPr>
        <w:footnoteReference w:id="51"/>
      </w:r>
      <w:r w:rsidRPr="007F3D68">
        <w:rPr>
          <w:rFonts w:asciiTheme="majorHAnsi" w:hAnsiTheme="majorHAnsi"/>
          <w:sz w:val="20"/>
          <w:szCs w:val="20"/>
          <w:lang w:val="es-VE"/>
        </w:rPr>
        <w:t>.</w:t>
      </w:r>
    </w:p>
    <w:p w:rsidR="00AB667A" w:rsidRPr="007F3D68" w:rsidRDefault="00AB667A" w:rsidP="00AB667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Theme="majorHAnsi" w:eastAsia="Times New Roman" w:hAnsiTheme="majorHAnsi" w:cs="Courier New"/>
          <w:sz w:val="20"/>
          <w:szCs w:val="20"/>
          <w:bdr w:val="none" w:sz="0" w:space="0" w:color="auto"/>
          <w:lang w:val="es-VE"/>
        </w:rPr>
      </w:pPr>
    </w:p>
    <w:p w:rsidR="00AB667A" w:rsidRPr="005935D2" w:rsidRDefault="00AB667A" w:rsidP="00AB667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cs="Courier New"/>
          <w:sz w:val="20"/>
          <w:szCs w:val="20"/>
          <w:bdr w:val="none" w:sz="0" w:space="0" w:color="auto"/>
          <w:lang w:val="es-VE"/>
        </w:rPr>
      </w:pPr>
      <w:r w:rsidRPr="007F3D68">
        <w:rPr>
          <w:rFonts w:asciiTheme="majorHAnsi" w:hAnsiTheme="majorHAnsi"/>
          <w:sz w:val="20"/>
          <w:szCs w:val="20"/>
          <w:lang w:val="es-VE"/>
        </w:rPr>
        <w:t>En la misma fecha, el Estado puso en marcha la “Operación Gavilán” con el objetivo de “desarrollar la búsqueda y recaptura de estos peligrosos delincuentes”. Dicho plan implicó la organización de ocho equipos de búsqueda, estuvo dirigido por el Comisario de la Policía Nacional Civil, Víctor Hugo Soto Diéguez y participaron 16 miembros de la policía. En cuanto al uso de la fuerza, la copia del plan indica que para el uso de las armas de fuego deben tenerse presentes las normas establecidas en el artículo 24 del Código Penal en vigencia, como causas de justificación: la legítima defensa, el estado de necesidad y el legítimo ejercicio de un derecho</w:t>
      </w:r>
      <w:r w:rsidRPr="007F3D68">
        <w:rPr>
          <w:rFonts w:asciiTheme="majorHAnsi" w:hAnsiTheme="majorHAnsi"/>
          <w:sz w:val="20"/>
          <w:szCs w:val="20"/>
          <w:vertAlign w:val="superscript"/>
          <w:lang w:val="es-VE"/>
        </w:rPr>
        <w:footnoteReference w:id="52"/>
      </w:r>
      <w:r w:rsidRPr="007F3D68">
        <w:rPr>
          <w:rFonts w:asciiTheme="majorHAnsi" w:hAnsiTheme="majorHAnsi"/>
          <w:sz w:val="20"/>
          <w:szCs w:val="20"/>
          <w:lang w:val="es-VE"/>
        </w:rPr>
        <w:t>.</w:t>
      </w:r>
    </w:p>
    <w:p w:rsidR="00AB667A" w:rsidRPr="007F3D68" w:rsidRDefault="00AB667A" w:rsidP="009A440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cs="Courier New"/>
          <w:sz w:val="20"/>
          <w:szCs w:val="20"/>
          <w:bdr w:val="none" w:sz="0" w:space="0" w:color="auto"/>
          <w:lang w:val="es-VE"/>
        </w:rPr>
      </w:pPr>
      <w:r w:rsidRPr="007F3D68">
        <w:rPr>
          <w:rFonts w:asciiTheme="majorHAnsi" w:hAnsiTheme="majorHAnsi"/>
          <w:sz w:val="20"/>
          <w:szCs w:val="20"/>
          <w:lang w:val="es-VE"/>
        </w:rPr>
        <w:lastRenderedPageBreak/>
        <w:t>Según informó el Estado en el marco de otro asunto, en dicho operativo se recapturó a nueve prófugos</w:t>
      </w:r>
      <w:r w:rsidRPr="007F3D68">
        <w:rPr>
          <w:rStyle w:val="FootnoteReference"/>
          <w:rFonts w:asciiTheme="majorHAnsi" w:hAnsiTheme="majorHAnsi"/>
          <w:sz w:val="20"/>
          <w:szCs w:val="20"/>
          <w:lang w:val="es-VE"/>
        </w:rPr>
        <w:footnoteReference w:id="53"/>
      </w:r>
      <w:r w:rsidRPr="007F3D68">
        <w:rPr>
          <w:rFonts w:asciiTheme="majorHAnsi" w:hAnsiTheme="majorHAnsi"/>
          <w:sz w:val="20"/>
          <w:szCs w:val="20"/>
          <w:lang w:val="es-VE"/>
        </w:rPr>
        <w:t>, quedando pendiente la recaptura de tres fugados y “por las circunstancias que se dieron en los operativos fallecieron 7 prófugos”</w:t>
      </w:r>
      <w:r w:rsidRPr="007F3D68">
        <w:rPr>
          <w:rStyle w:val="FootnoteReference"/>
          <w:rFonts w:asciiTheme="majorHAnsi" w:hAnsiTheme="majorHAnsi"/>
          <w:sz w:val="20"/>
          <w:szCs w:val="20"/>
          <w:lang w:val="es-VE"/>
        </w:rPr>
        <w:footnoteReference w:id="54"/>
      </w:r>
      <w:r w:rsidRPr="007F3D68">
        <w:rPr>
          <w:rFonts w:asciiTheme="majorHAnsi" w:hAnsiTheme="majorHAnsi"/>
          <w:sz w:val="20"/>
          <w:szCs w:val="20"/>
          <w:lang w:val="es-VE"/>
        </w:rPr>
        <w:t>.</w:t>
      </w:r>
      <w:r w:rsidRPr="007F3D68">
        <w:rPr>
          <w:rFonts w:asciiTheme="majorHAnsi" w:eastAsia="Times New Roman" w:hAnsiTheme="majorHAnsi" w:cs="Courier New"/>
          <w:sz w:val="20"/>
          <w:szCs w:val="20"/>
          <w:bdr w:val="none" w:sz="0" w:space="0" w:color="auto"/>
          <w:lang w:val="es-VE"/>
        </w:rPr>
        <w:t xml:space="preserve"> </w:t>
      </w:r>
    </w:p>
    <w:p w:rsidR="00AB667A" w:rsidRPr="007F3D68" w:rsidRDefault="00AB667A" w:rsidP="00AB667A">
      <w:pPr>
        <w:pStyle w:val="ListParagraph"/>
        <w:rPr>
          <w:rFonts w:asciiTheme="majorHAnsi" w:hAnsiTheme="majorHAnsi"/>
          <w:sz w:val="20"/>
          <w:szCs w:val="20"/>
          <w:lang w:val="es-VE"/>
        </w:rPr>
      </w:pPr>
    </w:p>
    <w:p w:rsidR="00AB667A" w:rsidRPr="007F3D68" w:rsidRDefault="00AB667A" w:rsidP="00AB667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cs="Courier New"/>
          <w:sz w:val="20"/>
          <w:szCs w:val="20"/>
          <w:bdr w:val="none" w:sz="0" w:space="0" w:color="auto"/>
          <w:lang w:val="es-VE"/>
        </w:rPr>
      </w:pPr>
      <w:r w:rsidRPr="007F3D68">
        <w:rPr>
          <w:rFonts w:asciiTheme="majorHAnsi" w:hAnsiTheme="majorHAnsi"/>
          <w:sz w:val="20"/>
          <w:szCs w:val="20"/>
          <w:lang w:val="es-VE"/>
        </w:rPr>
        <w:t>El 8 de diciembre de 2006 se encontró el cuerpo sin vida de Tirso Román Valenzuela Ávila en la ciudad de la Gomera, departamento de Escuintla</w:t>
      </w:r>
      <w:r w:rsidRPr="007F3D68">
        <w:rPr>
          <w:rStyle w:val="FootnoteReference"/>
          <w:rFonts w:asciiTheme="majorHAnsi" w:hAnsiTheme="majorHAnsi"/>
          <w:sz w:val="20"/>
          <w:szCs w:val="20"/>
          <w:lang w:val="es-VE"/>
        </w:rPr>
        <w:footnoteReference w:id="55"/>
      </w:r>
      <w:r w:rsidRPr="007F3D68">
        <w:rPr>
          <w:rFonts w:asciiTheme="majorHAnsi" w:hAnsiTheme="majorHAnsi"/>
          <w:sz w:val="20"/>
          <w:szCs w:val="20"/>
          <w:lang w:val="es-VE"/>
        </w:rPr>
        <w:t>.</w:t>
      </w:r>
      <w:bookmarkStart w:id="84" w:name="_Toc423514424"/>
      <w:bookmarkStart w:id="85" w:name="_Toc433115991"/>
      <w:bookmarkStart w:id="86" w:name="_Toc444958132"/>
      <w:bookmarkStart w:id="87" w:name="_Toc457824495"/>
      <w:r w:rsidR="00CC3DA8">
        <w:rPr>
          <w:rFonts w:asciiTheme="majorHAnsi" w:hAnsiTheme="majorHAnsi"/>
          <w:sz w:val="20"/>
          <w:szCs w:val="20"/>
          <w:lang w:val="es-VE"/>
        </w:rPr>
        <w:t xml:space="preserve"> </w:t>
      </w:r>
      <w:r w:rsidR="0001417B" w:rsidRPr="007F3D68">
        <w:rPr>
          <w:rFonts w:asciiTheme="majorHAnsi" w:hAnsiTheme="majorHAnsi"/>
          <w:sz w:val="20"/>
          <w:szCs w:val="20"/>
          <w:lang w:val="es-VE"/>
        </w:rPr>
        <w:t>Según denunciaron</w:t>
      </w:r>
      <w:r w:rsidR="00F50CA8" w:rsidRPr="007F3D68">
        <w:rPr>
          <w:rFonts w:asciiTheme="majorHAnsi" w:hAnsiTheme="majorHAnsi"/>
          <w:sz w:val="20"/>
          <w:szCs w:val="20"/>
          <w:lang w:val="es-VE"/>
        </w:rPr>
        <w:t xml:space="preserve"> </w:t>
      </w:r>
      <w:r w:rsidR="0001417B" w:rsidRPr="007F3D68">
        <w:rPr>
          <w:rFonts w:asciiTheme="majorHAnsi" w:hAnsiTheme="majorHAnsi"/>
          <w:sz w:val="20"/>
          <w:szCs w:val="20"/>
          <w:lang w:val="es-VE"/>
        </w:rPr>
        <w:t>los</w:t>
      </w:r>
      <w:r w:rsidR="00F50CA8" w:rsidRPr="007F3D68">
        <w:rPr>
          <w:rFonts w:asciiTheme="majorHAnsi" w:hAnsiTheme="majorHAnsi"/>
          <w:sz w:val="20"/>
          <w:szCs w:val="20"/>
          <w:lang w:val="es-VE"/>
        </w:rPr>
        <w:t xml:space="preserve"> peticionario</w:t>
      </w:r>
      <w:r w:rsidR="0001417B" w:rsidRPr="007F3D68">
        <w:rPr>
          <w:rFonts w:asciiTheme="majorHAnsi" w:hAnsiTheme="majorHAnsi"/>
          <w:sz w:val="20"/>
          <w:szCs w:val="20"/>
          <w:lang w:val="es-VE"/>
        </w:rPr>
        <w:t>s</w:t>
      </w:r>
      <w:r w:rsidR="00F50CA8" w:rsidRPr="007F3D68">
        <w:rPr>
          <w:rFonts w:asciiTheme="majorHAnsi" w:hAnsiTheme="majorHAnsi"/>
          <w:sz w:val="20"/>
          <w:szCs w:val="20"/>
          <w:lang w:val="es-VE"/>
        </w:rPr>
        <w:t>, la presunta víctima fue ejecutada extrajudi</w:t>
      </w:r>
      <w:r w:rsidR="0023335B" w:rsidRPr="007F3D68">
        <w:rPr>
          <w:rFonts w:asciiTheme="majorHAnsi" w:hAnsiTheme="majorHAnsi"/>
          <w:sz w:val="20"/>
          <w:szCs w:val="20"/>
          <w:lang w:val="es-VE"/>
        </w:rPr>
        <w:t>cialmente por miembros del Servicio de Investigación Criminal</w:t>
      </w:r>
      <w:r w:rsidR="00F50CA8" w:rsidRPr="007F3D68">
        <w:rPr>
          <w:rFonts w:asciiTheme="majorHAnsi" w:hAnsiTheme="majorHAnsi"/>
          <w:sz w:val="20"/>
          <w:szCs w:val="20"/>
          <w:lang w:val="es-VE"/>
        </w:rPr>
        <w:t>, en el marco del “Plan Gavilán”.</w:t>
      </w:r>
      <w:r w:rsidR="0001417B" w:rsidRPr="007F3D68">
        <w:rPr>
          <w:rFonts w:asciiTheme="majorHAnsi" w:hAnsiTheme="majorHAnsi"/>
          <w:sz w:val="20"/>
          <w:szCs w:val="20"/>
          <w:lang w:val="es-VE"/>
        </w:rPr>
        <w:t xml:space="preserve"> Los peticionarios refirieron que </w:t>
      </w:r>
      <w:r w:rsidR="00F50CA8" w:rsidRPr="007F3D68">
        <w:rPr>
          <w:rFonts w:asciiTheme="majorHAnsi" w:hAnsiTheme="majorHAnsi"/>
          <w:sz w:val="20"/>
          <w:szCs w:val="20"/>
          <w:lang w:val="es-VE"/>
        </w:rPr>
        <w:t xml:space="preserve">el cadáver de Tirso Román Valenzuela no fue entregado a los familiares. Según informaron, en la morgue de Santa Lucía </w:t>
      </w:r>
      <w:proofErr w:type="spellStart"/>
      <w:r w:rsidR="00F50CA8" w:rsidRPr="007F3D68">
        <w:rPr>
          <w:rFonts w:asciiTheme="majorHAnsi" w:hAnsiTheme="majorHAnsi"/>
          <w:sz w:val="20"/>
          <w:szCs w:val="20"/>
          <w:lang w:val="es-VE"/>
        </w:rPr>
        <w:t>Cotzumalguapa</w:t>
      </w:r>
      <w:proofErr w:type="spellEnd"/>
      <w:r w:rsidR="00F50CA8" w:rsidRPr="007F3D68">
        <w:rPr>
          <w:rFonts w:asciiTheme="majorHAnsi" w:hAnsiTheme="majorHAnsi"/>
          <w:sz w:val="20"/>
          <w:szCs w:val="20"/>
          <w:lang w:val="es-VE"/>
        </w:rPr>
        <w:t xml:space="preserve"> les indicaron que “no entregaban el cuerpo por el record delictivo que tenía y porque tenían que realizar otras investigaciones sobre su cadáver</w:t>
      </w:r>
      <w:r w:rsidR="00180466" w:rsidRPr="007F3D68">
        <w:rPr>
          <w:rFonts w:asciiTheme="majorHAnsi" w:hAnsiTheme="majorHAnsi"/>
          <w:sz w:val="20"/>
          <w:szCs w:val="20"/>
          <w:lang w:val="es-VE"/>
        </w:rPr>
        <w:t>”</w:t>
      </w:r>
      <w:r w:rsidR="00F50CA8" w:rsidRPr="007F3D68">
        <w:rPr>
          <w:rStyle w:val="FootnoteReference"/>
          <w:rFonts w:asciiTheme="majorHAnsi" w:hAnsiTheme="majorHAnsi"/>
          <w:sz w:val="20"/>
          <w:szCs w:val="20"/>
          <w:lang w:val="es-VE"/>
        </w:rPr>
        <w:footnoteReference w:id="56"/>
      </w:r>
      <w:r w:rsidR="00F50CA8" w:rsidRPr="007F3D68">
        <w:rPr>
          <w:rFonts w:asciiTheme="majorHAnsi" w:hAnsiTheme="majorHAnsi"/>
          <w:sz w:val="20"/>
          <w:szCs w:val="20"/>
          <w:lang w:val="es-VE"/>
        </w:rPr>
        <w:t xml:space="preserve">. </w:t>
      </w:r>
    </w:p>
    <w:p w:rsidR="00AB667A" w:rsidRPr="007F3D68" w:rsidRDefault="00AB667A" w:rsidP="00AB667A">
      <w:pPr>
        <w:pStyle w:val="ListParagraph"/>
        <w:rPr>
          <w:rFonts w:asciiTheme="majorHAnsi" w:hAnsiTheme="majorHAnsi"/>
          <w:sz w:val="20"/>
          <w:szCs w:val="20"/>
          <w:lang w:val="es-VE"/>
        </w:rPr>
      </w:pPr>
    </w:p>
    <w:p w:rsidR="0049399E" w:rsidRPr="007F3D68" w:rsidRDefault="00F50CA8" w:rsidP="0049399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cs="Courier New"/>
          <w:sz w:val="20"/>
          <w:szCs w:val="20"/>
          <w:bdr w:val="none" w:sz="0" w:space="0" w:color="auto"/>
          <w:lang w:val="es-VE"/>
        </w:rPr>
      </w:pPr>
      <w:r w:rsidRPr="007F3D68">
        <w:rPr>
          <w:rFonts w:asciiTheme="majorHAnsi" w:hAnsiTheme="majorHAnsi"/>
          <w:sz w:val="20"/>
          <w:szCs w:val="20"/>
          <w:lang w:val="es-VE"/>
        </w:rPr>
        <w:t>El Estado</w:t>
      </w:r>
      <w:r w:rsidR="00180466" w:rsidRPr="007F3D68">
        <w:rPr>
          <w:rFonts w:asciiTheme="majorHAnsi" w:hAnsiTheme="majorHAnsi"/>
          <w:sz w:val="20"/>
          <w:szCs w:val="20"/>
          <w:lang w:val="es-VE"/>
        </w:rPr>
        <w:t>,</w:t>
      </w:r>
      <w:r w:rsidRPr="007F3D68">
        <w:rPr>
          <w:rFonts w:asciiTheme="majorHAnsi" w:hAnsiTheme="majorHAnsi"/>
          <w:sz w:val="20"/>
          <w:szCs w:val="20"/>
          <w:lang w:val="es-VE"/>
        </w:rPr>
        <w:t xml:space="preserve"> por su parte, indicó que su principal objetivo es aclarar la</w:t>
      </w:r>
      <w:r w:rsidR="00AB667A" w:rsidRPr="007F3D68">
        <w:rPr>
          <w:rFonts w:asciiTheme="majorHAnsi" w:hAnsiTheme="majorHAnsi"/>
          <w:sz w:val="20"/>
          <w:szCs w:val="20"/>
          <w:lang w:val="es-VE"/>
        </w:rPr>
        <w:t>s circunstancias de la</w:t>
      </w:r>
      <w:r w:rsidRPr="007F3D68">
        <w:rPr>
          <w:rFonts w:asciiTheme="majorHAnsi" w:hAnsiTheme="majorHAnsi"/>
          <w:sz w:val="20"/>
          <w:szCs w:val="20"/>
          <w:lang w:val="es-VE"/>
        </w:rPr>
        <w:t xml:space="preserve"> muerte de</w:t>
      </w:r>
      <w:r w:rsidR="0075056B" w:rsidRPr="007F3D68">
        <w:rPr>
          <w:rFonts w:asciiTheme="majorHAnsi" w:hAnsiTheme="majorHAnsi"/>
          <w:sz w:val="20"/>
          <w:szCs w:val="20"/>
          <w:lang w:val="es-VE"/>
        </w:rPr>
        <w:t xml:space="preserve"> </w:t>
      </w:r>
      <w:r w:rsidR="0019712F" w:rsidRPr="007F3D68">
        <w:rPr>
          <w:rFonts w:asciiTheme="majorHAnsi" w:hAnsiTheme="majorHAnsi"/>
          <w:sz w:val="20"/>
          <w:szCs w:val="20"/>
          <w:lang w:val="es-VE"/>
        </w:rPr>
        <w:t>la presunta víctima</w:t>
      </w:r>
      <w:r w:rsidR="0075056B" w:rsidRPr="007F3D68">
        <w:rPr>
          <w:rFonts w:asciiTheme="majorHAnsi" w:hAnsiTheme="majorHAnsi"/>
          <w:sz w:val="20"/>
          <w:szCs w:val="20"/>
          <w:lang w:val="es-VE"/>
        </w:rPr>
        <w:t xml:space="preserve"> y en virtud de ello</w:t>
      </w:r>
      <w:r w:rsidRPr="007F3D68">
        <w:rPr>
          <w:rFonts w:asciiTheme="majorHAnsi" w:hAnsiTheme="majorHAnsi"/>
          <w:sz w:val="20"/>
          <w:szCs w:val="20"/>
          <w:lang w:val="es-VE"/>
        </w:rPr>
        <w:t xml:space="preserve"> realizó una serie de diligencias de investigación.</w:t>
      </w:r>
      <w:r w:rsidR="009D5F08" w:rsidRPr="007F3D68">
        <w:rPr>
          <w:rFonts w:asciiTheme="majorHAnsi" w:hAnsiTheme="majorHAnsi"/>
          <w:sz w:val="20"/>
          <w:szCs w:val="20"/>
          <w:lang w:val="es-VE"/>
        </w:rPr>
        <w:t xml:space="preserve"> </w:t>
      </w:r>
      <w:r w:rsidRPr="007F3D68">
        <w:rPr>
          <w:rFonts w:asciiTheme="majorHAnsi" w:hAnsiTheme="majorHAnsi"/>
          <w:sz w:val="20"/>
          <w:szCs w:val="20"/>
          <w:lang w:val="es-VE"/>
        </w:rPr>
        <w:t>En particular informó que el 2 de marzo de 2009 estableció quien es el propietario de la motocicleta ut</w:t>
      </w:r>
      <w:r w:rsidR="007120E3" w:rsidRPr="007F3D68">
        <w:rPr>
          <w:rFonts w:asciiTheme="majorHAnsi" w:hAnsiTheme="majorHAnsi"/>
          <w:sz w:val="20"/>
          <w:szCs w:val="20"/>
          <w:lang w:val="es-VE"/>
        </w:rPr>
        <w:t>ilizada en el hecho donde perdieron</w:t>
      </w:r>
      <w:r w:rsidRPr="007F3D68">
        <w:rPr>
          <w:rFonts w:asciiTheme="majorHAnsi" w:hAnsiTheme="majorHAnsi"/>
          <w:sz w:val="20"/>
          <w:szCs w:val="20"/>
          <w:lang w:val="es-VE"/>
        </w:rPr>
        <w:t xml:space="preserve"> la vida Tirso Román Valenzuela Ávila y Emilio Martínez Franco. Agregó que solicitó a la Dirección General de la Policía Nacional Civil la lista de los agentes de la Policía asignados a la Comisaría 31, la cual proveyó la información. </w:t>
      </w:r>
    </w:p>
    <w:p w:rsidR="0049399E" w:rsidRPr="007F3D68" w:rsidRDefault="0049399E" w:rsidP="0049399E">
      <w:pPr>
        <w:pStyle w:val="ListParagraph"/>
        <w:rPr>
          <w:rFonts w:asciiTheme="majorHAnsi" w:hAnsiTheme="majorHAnsi"/>
          <w:sz w:val="20"/>
          <w:szCs w:val="20"/>
          <w:lang w:val="es-VE"/>
        </w:rPr>
      </w:pPr>
    </w:p>
    <w:p w:rsidR="0049399E" w:rsidRPr="007F3D68" w:rsidRDefault="00FE2DE7" w:rsidP="0049399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cs="Courier New"/>
          <w:sz w:val="20"/>
          <w:szCs w:val="20"/>
          <w:bdr w:val="none" w:sz="0" w:space="0" w:color="auto"/>
          <w:lang w:val="es-VE"/>
        </w:rPr>
      </w:pPr>
      <w:r w:rsidRPr="007F3D68">
        <w:rPr>
          <w:rFonts w:asciiTheme="majorHAnsi" w:hAnsiTheme="majorHAnsi"/>
          <w:sz w:val="20"/>
          <w:szCs w:val="20"/>
          <w:lang w:val="es-VE"/>
        </w:rPr>
        <w:t xml:space="preserve">La Comisión toma nota que conforme información de público conocimiento el Estado guatemalteco realizó ciertas investigaciones penales para deducir responsabilidades derivadas de las consecuencias del operativo y la muerte de algunos privados de libertad que se fugaron de la cárcel “El Infiernito”. En particular, según información de público conocimiento el 8 de agosto de 2013, el Tribunal Primero de Mayor Riesgo B emitió sentencia condenatoria en contra de Víctor Manuel Ramos Molina y Axel Arnoldo Martínez </w:t>
      </w:r>
      <w:proofErr w:type="spellStart"/>
      <w:r w:rsidRPr="007F3D68">
        <w:rPr>
          <w:rFonts w:asciiTheme="majorHAnsi" w:hAnsiTheme="majorHAnsi"/>
          <w:sz w:val="20"/>
          <w:szCs w:val="20"/>
          <w:lang w:val="es-VE"/>
        </w:rPr>
        <w:t>Arreaza</w:t>
      </w:r>
      <w:proofErr w:type="spellEnd"/>
      <w:r w:rsidRPr="007F3D68">
        <w:rPr>
          <w:rFonts w:asciiTheme="majorHAnsi" w:hAnsiTheme="majorHAnsi"/>
          <w:sz w:val="20"/>
          <w:szCs w:val="20"/>
          <w:lang w:val="es-VE"/>
        </w:rPr>
        <w:t xml:space="preserve"> por la ejecución extrajudicial de Edwin Estuardo Santacruz, una de las personas fugadas de la cárcel “El infiernito”</w:t>
      </w:r>
      <w:r w:rsidRPr="007F3D68">
        <w:rPr>
          <w:rStyle w:val="FootnoteReference"/>
          <w:rFonts w:asciiTheme="majorHAnsi" w:hAnsiTheme="majorHAnsi"/>
          <w:sz w:val="20"/>
          <w:szCs w:val="20"/>
          <w:lang w:val="es-VE"/>
        </w:rPr>
        <w:footnoteReference w:id="57"/>
      </w:r>
      <w:r w:rsidRPr="007F3D68">
        <w:rPr>
          <w:rFonts w:asciiTheme="majorHAnsi" w:hAnsiTheme="majorHAnsi"/>
          <w:sz w:val="20"/>
          <w:szCs w:val="20"/>
          <w:lang w:val="es-VE"/>
        </w:rPr>
        <w:t>. En la misma fecha, condenó a 22 de años de cárcel por el delito de ejecución extrajudicial de reos en las cárceles de Pavón e Infiernito ocurridas entre 2005 y 2006, a Víctor Hugo Soto Diéguez, ex jefe de Investigación Criminal de la Policía Nacional Civil</w:t>
      </w:r>
      <w:r w:rsidRPr="007F3D68">
        <w:rPr>
          <w:rStyle w:val="FootnoteReference"/>
          <w:rFonts w:asciiTheme="majorHAnsi" w:hAnsiTheme="majorHAnsi"/>
          <w:sz w:val="20"/>
          <w:szCs w:val="20"/>
          <w:lang w:val="es-VE"/>
        </w:rPr>
        <w:footnoteReference w:id="58"/>
      </w:r>
      <w:r w:rsidRPr="007F3D68">
        <w:rPr>
          <w:rFonts w:asciiTheme="majorHAnsi" w:hAnsiTheme="majorHAnsi"/>
          <w:sz w:val="20"/>
          <w:szCs w:val="20"/>
          <w:lang w:val="es-VE"/>
        </w:rPr>
        <w:t xml:space="preserve"> .</w:t>
      </w:r>
      <w:r w:rsidR="00FD45B6" w:rsidRPr="007F3D68">
        <w:rPr>
          <w:rFonts w:asciiTheme="majorHAnsi" w:hAnsiTheme="majorHAnsi"/>
          <w:sz w:val="20"/>
          <w:szCs w:val="20"/>
          <w:lang w:val="es-VE"/>
        </w:rPr>
        <w:t xml:space="preserve"> De la información disponible</w:t>
      </w:r>
      <w:r w:rsidR="006C56CA" w:rsidRPr="007F3D68">
        <w:rPr>
          <w:rFonts w:asciiTheme="majorHAnsi" w:hAnsiTheme="majorHAnsi"/>
          <w:sz w:val="20"/>
          <w:szCs w:val="20"/>
          <w:lang w:val="es-VE"/>
        </w:rPr>
        <w:t>, la CIDH</w:t>
      </w:r>
      <w:r w:rsidR="00FD45B6" w:rsidRPr="007F3D68">
        <w:rPr>
          <w:rFonts w:asciiTheme="majorHAnsi" w:hAnsiTheme="majorHAnsi"/>
          <w:sz w:val="20"/>
          <w:szCs w:val="20"/>
          <w:lang w:val="es-VE"/>
        </w:rPr>
        <w:t xml:space="preserve"> entiende que Tirso Román Valenzuela no se encuentra dentro de los reos mencionados.</w:t>
      </w:r>
    </w:p>
    <w:p w:rsidR="0049399E" w:rsidRPr="007F3D68" w:rsidRDefault="0049399E" w:rsidP="0049399E">
      <w:pPr>
        <w:pStyle w:val="ListParagraph"/>
        <w:rPr>
          <w:rFonts w:asciiTheme="majorHAnsi" w:hAnsiTheme="majorHAnsi"/>
          <w:sz w:val="20"/>
          <w:szCs w:val="20"/>
          <w:lang w:val="es-VE"/>
        </w:rPr>
      </w:pPr>
    </w:p>
    <w:p w:rsidR="0049399E" w:rsidRPr="007F3D68" w:rsidRDefault="00FE2DE7" w:rsidP="0049399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cs="Courier New"/>
          <w:sz w:val="20"/>
          <w:szCs w:val="20"/>
          <w:bdr w:val="none" w:sz="0" w:space="0" w:color="auto"/>
          <w:lang w:val="es-VE"/>
        </w:rPr>
      </w:pPr>
      <w:r w:rsidRPr="007F3D68">
        <w:rPr>
          <w:rFonts w:asciiTheme="majorHAnsi" w:hAnsiTheme="majorHAnsi"/>
          <w:sz w:val="20"/>
          <w:szCs w:val="20"/>
          <w:lang w:val="es-VE"/>
        </w:rPr>
        <w:t>Según información de la Comisión Internacional contra la Impunidad en Guatemala, el Tribunal de Mayor Riesgo B se refirió a las muertes de los prófugos de la cárcel “El Infiernito” y señaló que “fue evidente la injerencia que hubo de las autoridades en las acciones realizadas para la ejecución extrajudicial de los prófugos” y agregó que “las investigaciones determinaron que se creó una estructura paralela dentro del Estado que tuvo el poder de ejecutar extrajudicialmente a quien ellos consideraban ‘lacras’ y enemigos de la sociedad”. Dicho Tribunal agregó que “este grupo utilizó todo el poder y la maquinaria del Estado para llevar a cabo su actuar delictivo, y al mismo tiempo lograr la impunidad de sus actos a sabiendas de que los mismos estaban fuera de la ley”</w:t>
      </w:r>
      <w:r w:rsidRPr="007F3D68">
        <w:rPr>
          <w:rStyle w:val="FootnoteReference"/>
          <w:rFonts w:asciiTheme="majorHAnsi" w:hAnsiTheme="majorHAnsi"/>
          <w:sz w:val="20"/>
          <w:szCs w:val="20"/>
          <w:lang w:val="es-VE"/>
        </w:rPr>
        <w:footnoteReference w:id="59"/>
      </w:r>
      <w:r w:rsidRPr="007F3D68">
        <w:rPr>
          <w:rFonts w:asciiTheme="majorHAnsi" w:hAnsiTheme="majorHAnsi"/>
          <w:sz w:val="20"/>
          <w:szCs w:val="20"/>
          <w:lang w:val="es-VE"/>
        </w:rPr>
        <w:t>.</w:t>
      </w:r>
      <w:r w:rsidRPr="007F3D68">
        <w:rPr>
          <w:rFonts w:asciiTheme="majorHAnsi" w:hAnsiTheme="majorHAnsi"/>
          <w:i/>
          <w:sz w:val="20"/>
          <w:szCs w:val="20"/>
          <w:lang w:val="es-VE"/>
        </w:rPr>
        <w:t xml:space="preserve"> </w:t>
      </w:r>
      <w:r w:rsidRPr="007F3D68">
        <w:rPr>
          <w:rFonts w:asciiTheme="majorHAnsi" w:hAnsiTheme="majorHAnsi"/>
          <w:sz w:val="20"/>
          <w:szCs w:val="20"/>
          <w:lang w:val="es-VE"/>
        </w:rPr>
        <w:t>También se encuentra sometido a proceso penal en España, por los hechos mencionados, el ex Ministro de Gobernación en el momento en que ocurrieron los hechos</w:t>
      </w:r>
      <w:r w:rsidRPr="007F3D68">
        <w:rPr>
          <w:rStyle w:val="FootnoteReference"/>
          <w:rFonts w:asciiTheme="majorHAnsi" w:hAnsiTheme="majorHAnsi"/>
          <w:sz w:val="20"/>
          <w:szCs w:val="20"/>
          <w:lang w:val="es-VE"/>
        </w:rPr>
        <w:footnoteReference w:id="60"/>
      </w:r>
      <w:r w:rsidRPr="007F3D68">
        <w:rPr>
          <w:rFonts w:asciiTheme="majorHAnsi" w:hAnsiTheme="majorHAnsi"/>
          <w:sz w:val="20"/>
          <w:szCs w:val="20"/>
          <w:lang w:val="es-VE"/>
        </w:rPr>
        <w:t xml:space="preserve">. </w:t>
      </w:r>
    </w:p>
    <w:p w:rsidR="0049399E" w:rsidRPr="007F3D68" w:rsidRDefault="0049399E" w:rsidP="0049399E">
      <w:pPr>
        <w:pStyle w:val="ListParagraph"/>
        <w:rPr>
          <w:rFonts w:asciiTheme="majorHAnsi" w:hAnsiTheme="majorHAnsi"/>
          <w:sz w:val="20"/>
          <w:szCs w:val="20"/>
          <w:lang w:val="es-VE"/>
        </w:rPr>
      </w:pPr>
    </w:p>
    <w:p w:rsidR="00FE2DE7" w:rsidRPr="007F3D68" w:rsidRDefault="00FE2DE7" w:rsidP="005F27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eastAsia="Times New Roman" w:hAnsiTheme="majorHAnsi" w:cs="Courier New"/>
          <w:sz w:val="20"/>
          <w:szCs w:val="20"/>
          <w:bdr w:val="none" w:sz="0" w:space="0" w:color="auto"/>
          <w:lang w:val="es-VE"/>
        </w:rPr>
      </w:pPr>
      <w:r w:rsidRPr="007F3D68">
        <w:rPr>
          <w:rFonts w:asciiTheme="majorHAnsi" w:hAnsiTheme="majorHAnsi"/>
          <w:sz w:val="20"/>
          <w:szCs w:val="20"/>
          <w:lang w:val="es-VE"/>
        </w:rPr>
        <w:t xml:space="preserve">La Comisión observa que en el mismo sentido, el Relator Especial sobre las ejecuciones extrajudiciales, sumarias o arbitrarias a propósito de su visita a Guatemala entre el 21 y el 25 de agosto de 2006, denunció la existencia de grupos dedicados a la limpieza social en la Policía Nacional Civil. En sus </w:t>
      </w:r>
      <w:r w:rsidRPr="007F3D68">
        <w:rPr>
          <w:rFonts w:asciiTheme="majorHAnsi" w:hAnsiTheme="majorHAnsi"/>
          <w:sz w:val="20"/>
          <w:szCs w:val="20"/>
          <w:lang w:val="es-VE"/>
        </w:rPr>
        <w:lastRenderedPageBreak/>
        <w:t>palabras: “la limpieza social es algo más que la actuación de unos pocos agentes corruptos” y agregó que todavía “siguen funcionando grupos dedicados a la limpieza social en la Policía Nacional Civil”</w:t>
      </w:r>
      <w:r w:rsidRPr="007F3D68">
        <w:rPr>
          <w:rStyle w:val="FootnoteReference"/>
          <w:rFonts w:asciiTheme="majorHAnsi" w:hAnsiTheme="majorHAnsi"/>
          <w:sz w:val="20"/>
          <w:szCs w:val="20"/>
          <w:lang w:val="es-VE"/>
        </w:rPr>
        <w:footnoteReference w:id="61"/>
      </w:r>
      <w:r w:rsidRPr="007F3D68">
        <w:rPr>
          <w:rFonts w:asciiTheme="majorHAnsi" w:hAnsiTheme="majorHAnsi"/>
          <w:sz w:val="20"/>
          <w:szCs w:val="20"/>
          <w:lang w:val="es-VE"/>
        </w:rPr>
        <w:t>. También refirió que “los incidentes de limpieza social no son investigados eficazmente, de modo que los datos oficiales no dan una idea de su prevalencia”</w:t>
      </w:r>
      <w:r w:rsidRPr="007F3D68">
        <w:rPr>
          <w:rStyle w:val="FootnoteReference"/>
          <w:rFonts w:asciiTheme="majorHAnsi" w:hAnsiTheme="majorHAnsi"/>
          <w:sz w:val="20"/>
          <w:szCs w:val="20"/>
          <w:lang w:val="es-VE"/>
        </w:rPr>
        <w:footnoteReference w:id="62"/>
      </w:r>
      <w:r w:rsidRPr="007F3D68">
        <w:rPr>
          <w:lang w:val="es-VE"/>
        </w:rPr>
        <w:t>.</w:t>
      </w:r>
      <w:r w:rsidRPr="007F3D68">
        <w:rPr>
          <w:i/>
          <w:lang w:val="es-VE"/>
        </w:rPr>
        <w:t xml:space="preserve"> </w:t>
      </w:r>
    </w:p>
    <w:p w:rsidR="004719E4" w:rsidRPr="007F3D68" w:rsidRDefault="004719E4" w:rsidP="004719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s="Courier New"/>
          <w:sz w:val="20"/>
          <w:szCs w:val="20"/>
          <w:bdr w:val="none" w:sz="0" w:space="0" w:color="auto"/>
          <w:lang w:val="es-VE"/>
        </w:rPr>
      </w:pPr>
    </w:p>
    <w:p w:rsidR="001D4C89" w:rsidRPr="007F3D68" w:rsidRDefault="001D4C89" w:rsidP="004719E4">
      <w:pPr>
        <w:pStyle w:val="Heading1"/>
        <w:numPr>
          <w:ilvl w:val="0"/>
          <w:numId w:val="55"/>
        </w:numPr>
        <w:tabs>
          <w:tab w:val="clear" w:pos="1440"/>
        </w:tabs>
        <w:ind w:left="1260" w:hanging="540"/>
      </w:pPr>
      <w:bookmarkStart w:id="88" w:name="_Toc475546054"/>
      <w:bookmarkStart w:id="89" w:name="_Toc495479552"/>
      <w:r w:rsidRPr="007F3D68">
        <w:t>ANALISIS DE DERECHO</w:t>
      </w:r>
      <w:bookmarkEnd w:id="84"/>
      <w:bookmarkEnd w:id="85"/>
      <w:bookmarkEnd w:id="86"/>
      <w:bookmarkEnd w:id="87"/>
      <w:bookmarkEnd w:id="88"/>
      <w:bookmarkEnd w:id="89"/>
      <w:r w:rsidRPr="007F3D68">
        <w:t xml:space="preserve"> </w:t>
      </w:r>
    </w:p>
    <w:p w:rsidR="00F236EB" w:rsidRPr="007F3D68" w:rsidRDefault="00F236EB" w:rsidP="005F27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jc w:val="both"/>
        <w:rPr>
          <w:rFonts w:asciiTheme="majorHAnsi" w:eastAsia="Times New Roman" w:hAnsiTheme="majorHAnsi" w:cs="Courier New"/>
          <w:color w:val="212121"/>
          <w:sz w:val="20"/>
          <w:szCs w:val="20"/>
          <w:bdr w:val="none" w:sz="0" w:space="0" w:color="auto"/>
          <w:lang w:val="es-ES"/>
        </w:rPr>
      </w:pPr>
    </w:p>
    <w:p w:rsidR="00E30B91" w:rsidRPr="007F3D68" w:rsidRDefault="0044020E" w:rsidP="0049399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rPr>
      </w:pPr>
      <w:r w:rsidRPr="007F3D68">
        <w:rPr>
          <w:rFonts w:asciiTheme="majorHAnsi" w:hAnsiTheme="majorHAnsi"/>
          <w:sz w:val="20"/>
          <w:szCs w:val="20"/>
          <w:lang w:val="es-ES"/>
        </w:rPr>
        <w:t xml:space="preserve">Tomando en cuenta los alegatos de las partes y los hechos probados, la Comisión efectuará su análisis de derecho de la siguiente forma: A. Derechos a la vida, </w:t>
      </w:r>
      <w:r w:rsidR="00620CFD" w:rsidRPr="007F3D68">
        <w:rPr>
          <w:rFonts w:asciiTheme="majorHAnsi" w:hAnsiTheme="majorHAnsi"/>
          <w:sz w:val="20"/>
          <w:szCs w:val="20"/>
          <w:lang w:val="es-ES"/>
        </w:rPr>
        <w:t>principio de</w:t>
      </w:r>
      <w:r w:rsidR="00A832E5" w:rsidRPr="007F3D68">
        <w:rPr>
          <w:rFonts w:asciiTheme="majorHAnsi" w:hAnsiTheme="majorHAnsi"/>
          <w:sz w:val="20"/>
          <w:szCs w:val="20"/>
          <w:lang w:val="es-ES"/>
        </w:rPr>
        <w:t xml:space="preserve"> legalidad</w:t>
      </w:r>
      <w:r w:rsidR="007C1C83" w:rsidRPr="007F3D68">
        <w:rPr>
          <w:rFonts w:asciiTheme="majorHAnsi" w:hAnsiTheme="majorHAnsi"/>
          <w:sz w:val="20"/>
          <w:szCs w:val="20"/>
          <w:lang w:val="es-ES"/>
        </w:rPr>
        <w:t>,</w:t>
      </w:r>
      <w:r w:rsidR="00620CFD" w:rsidRPr="007F3D68">
        <w:rPr>
          <w:rFonts w:asciiTheme="majorHAnsi" w:hAnsiTheme="majorHAnsi"/>
          <w:sz w:val="20"/>
          <w:szCs w:val="20"/>
          <w:lang w:val="es-ES"/>
        </w:rPr>
        <w:t xml:space="preserve"> </w:t>
      </w:r>
      <w:r w:rsidRPr="007F3D68">
        <w:rPr>
          <w:rFonts w:asciiTheme="majorHAnsi" w:hAnsiTheme="majorHAnsi"/>
          <w:sz w:val="20"/>
          <w:szCs w:val="20"/>
          <w:lang w:val="es-ES"/>
        </w:rPr>
        <w:t>garantías judiciales y protección judicial en el marco del proceso que culminó con la imposición de la pena de muerte; B. Derecho a la integridad personal con respecto al fenómeno del “corredor de la muerte” y disposiciones relevantes de la CIPST; C. Derechos a la integridad personal, garantías judiciales y protección judicial respecto de la detención y la</w:t>
      </w:r>
      <w:r w:rsidR="00165264" w:rsidRPr="007F3D68">
        <w:rPr>
          <w:rFonts w:asciiTheme="majorHAnsi" w:hAnsiTheme="majorHAnsi"/>
          <w:sz w:val="20"/>
          <w:szCs w:val="20"/>
          <w:lang w:val="es-ES"/>
        </w:rPr>
        <w:t>s</w:t>
      </w:r>
      <w:r w:rsidRPr="007F3D68">
        <w:rPr>
          <w:rFonts w:asciiTheme="majorHAnsi" w:hAnsiTheme="majorHAnsi"/>
          <w:sz w:val="20"/>
          <w:szCs w:val="20"/>
          <w:lang w:val="es-ES"/>
        </w:rPr>
        <w:t xml:space="preserve"> alegada</w:t>
      </w:r>
      <w:r w:rsidR="0027748E" w:rsidRPr="007F3D68">
        <w:rPr>
          <w:rFonts w:asciiTheme="majorHAnsi" w:hAnsiTheme="majorHAnsi"/>
          <w:sz w:val="20"/>
          <w:szCs w:val="20"/>
          <w:lang w:val="es-ES"/>
        </w:rPr>
        <w:t>s</w:t>
      </w:r>
      <w:r w:rsidRPr="007F3D68">
        <w:rPr>
          <w:rFonts w:asciiTheme="majorHAnsi" w:hAnsiTheme="majorHAnsi"/>
          <w:sz w:val="20"/>
          <w:szCs w:val="20"/>
          <w:lang w:val="es-ES"/>
        </w:rPr>
        <w:t xml:space="preserve"> tortura</w:t>
      </w:r>
      <w:r w:rsidR="0027748E" w:rsidRPr="007F3D68">
        <w:rPr>
          <w:rFonts w:asciiTheme="majorHAnsi" w:hAnsiTheme="majorHAnsi"/>
          <w:sz w:val="20"/>
          <w:szCs w:val="20"/>
          <w:lang w:val="es-ES"/>
        </w:rPr>
        <w:t>s</w:t>
      </w:r>
      <w:r w:rsidRPr="007F3D68">
        <w:rPr>
          <w:rFonts w:asciiTheme="majorHAnsi" w:hAnsiTheme="majorHAnsi"/>
          <w:sz w:val="20"/>
          <w:szCs w:val="20"/>
          <w:lang w:val="es-ES"/>
        </w:rPr>
        <w:t xml:space="preserve"> y disposiciones relevantes de la CIPST; y D. Derechos a la vida, garantías judiciales y protección judicial respecto de la muerte.</w:t>
      </w:r>
      <w:r w:rsidR="00E30B91" w:rsidRPr="007F3D68">
        <w:rPr>
          <w:rFonts w:asciiTheme="majorHAnsi" w:hAnsiTheme="majorHAnsi"/>
          <w:sz w:val="20"/>
          <w:szCs w:val="20"/>
          <w:lang w:val="es-ES"/>
        </w:rPr>
        <w:t xml:space="preserve"> </w:t>
      </w:r>
    </w:p>
    <w:p w:rsidR="00D85874" w:rsidRPr="007F3D68" w:rsidRDefault="00D85874" w:rsidP="002A1D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260"/>
          <w:tab w:val="left" w:pos="1440"/>
          <w:tab w:val="num" w:pos="2040"/>
        </w:tabs>
        <w:ind w:left="720"/>
        <w:jc w:val="both"/>
        <w:rPr>
          <w:rFonts w:asciiTheme="majorHAnsi" w:hAnsiTheme="majorHAnsi"/>
          <w:sz w:val="20"/>
          <w:szCs w:val="20"/>
          <w:lang w:val="es-ES"/>
        </w:rPr>
      </w:pPr>
    </w:p>
    <w:p w:rsidR="00B50994" w:rsidRPr="007F3D68" w:rsidRDefault="00B50994" w:rsidP="00292A1B">
      <w:pPr>
        <w:pStyle w:val="Heading2"/>
        <w:numPr>
          <w:ilvl w:val="0"/>
          <w:numId w:val="77"/>
        </w:numPr>
        <w:ind w:left="1260" w:hanging="540"/>
      </w:pPr>
      <w:bookmarkStart w:id="90" w:name="_Toc495479553"/>
      <w:r w:rsidRPr="007F3D68">
        <w:t>Derechos a la vida</w:t>
      </w:r>
      <w:r w:rsidRPr="007F3D68">
        <w:rPr>
          <w:rStyle w:val="FootnoteReference"/>
          <w:rFonts w:asciiTheme="majorHAnsi" w:hAnsiTheme="majorHAnsi"/>
          <w:b w:val="0"/>
          <w:sz w:val="20"/>
          <w:lang w:val="es-ES"/>
        </w:rPr>
        <w:footnoteReference w:id="63"/>
      </w:r>
      <w:r w:rsidRPr="007F3D68">
        <w:t xml:space="preserve">, </w:t>
      </w:r>
      <w:r w:rsidR="00BC19C3" w:rsidRPr="007F3D68">
        <w:rPr>
          <w:lang w:val="es-ES"/>
        </w:rPr>
        <w:t>principio de legalidad</w:t>
      </w:r>
      <w:r w:rsidR="00BC19C3" w:rsidRPr="007F3D68">
        <w:rPr>
          <w:rStyle w:val="FootnoteReference"/>
          <w:rFonts w:ascii="Cambria" w:hAnsi="Cambria"/>
          <w:b w:val="0"/>
          <w:sz w:val="20"/>
          <w:lang w:val="es-CO"/>
        </w:rPr>
        <w:footnoteReference w:id="64"/>
      </w:r>
      <w:r w:rsidR="00BC19C3" w:rsidRPr="007F3D68">
        <w:rPr>
          <w:lang w:val="es-ES"/>
        </w:rPr>
        <w:t xml:space="preserve">, </w:t>
      </w:r>
      <w:r w:rsidRPr="007F3D68">
        <w:t>garantías judiciales</w:t>
      </w:r>
      <w:r w:rsidRPr="007F3D68">
        <w:rPr>
          <w:rStyle w:val="FootnoteReference"/>
          <w:rFonts w:asciiTheme="majorHAnsi" w:hAnsiTheme="majorHAnsi"/>
          <w:b w:val="0"/>
          <w:sz w:val="20"/>
          <w:lang w:val="es-ES"/>
        </w:rPr>
        <w:footnoteReference w:id="65"/>
      </w:r>
      <w:r w:rsidRPr="007F3D68">
        <w:t xml:space="preserve"> y protección judicial</w:t>
      </w:r>
      <w:r w:rsidRPr="007F3D68">
        <w:rPr>
          <w:rStyle w:val="FootnoteReference"/>
          <w:rFonts w:asciiTheme="majorHAnsi" w:hAnsiTheme="majorHAnsi"/>
          <w:b w:val="0"/>
          <w:sz w:val="20"/>
          <w:lang w:val="es-ES"/>
        </w:rPr>
        <w:footnoteReference w:id="66"/>
      </w:r>
      <w:r w:rsidRPr="007F3D68">
        <w:t xml:space="preserve"> en el marco del proceso que culminó con la imposición de la pena de muerte</w:t>
      </w:r>
      <w:bookmarkEnd w:id="90"/>
    </w:p>
    <w:p w:rsidR="00190CDC" w:rsidRPr="007F3D68" w:rsidRDefault="00D85874" w:rsidP="00292A1B">
      <w:pPr>
        <w:pStyle w:val="Heading3"/>
        <w:numPr>
          <w:ilvl w:val="0"/>
          <w:numId w:val="78"/>
        </w:numPr>
        <w:tabs>
          <w:tab w:val="left" w:pos="1260"/>
        </w:tabs>
        <w:ind w:hanging="1080"/>
        <w:rPr>
          <w:color w:val="auto"/>
          <w:sz w:val="20"/>
          <w:szCs w:val="20"/>
          <w:lang w:val="es-CO"/>
        </w:rPr>
      </w:pPr>
      <w:bookmarkStart w:id="91" w:name="_Toc469319780"/>
      <w:bookmarkStart w:id="92" w:name="_Toc475546056"/>
      <w:bookmarkStart w:id="93" w:name="_Toc495479554"/>
      <w:r w:rsidRPr="007F3D68">
        <w:rPr>
          <w:color w:val="auto"/>
          <w:sz w:val="20"/>
          <w:szCs w:val="20"/>
          <w:lang w:val="es-CO"/>
        </w:rPr>
        <w:t xml:space="preserve">Consideraciones </w:t>
      </w:r>
      <w:r w:rsidR="00253FE8" w:rsidRPr="007F3D68">
        <w:rPr>
          <w:color w:val="auto"/>
          <w:sz w:val="20"/>
          <w:szCs w:val="20"/>
          <w:lang w:val="es-CO"/>
        </w:rPr>
        <w:t>generales</w:t>
      </w:r>
      <w:r w:rsidRPr="007F3D68">
        <w:rPr>
          <w:color w:val="auto"/>
          <w:sz w:val="20"/>
          <w:szCs w:val="20"/>
          <w:lang w:val="es-CO"/>
        </w:rPr>
        <w:t xml:space="preserve"> sobre el estándar de análisis en </w:t>
      </w:r>
      <w:r w:rsidRPr="007F3D68">
        <w:rPr>
          <w:color w:val="auto"/>
          <w:sz w:val="20"/>
          <w:szCs w:val="20"/>
          <w:lang w:val="es-DO"/>
        </w:rPr>
        <w:t>casos</w:t>
      </w:r>
      <w:r w:rsidRPr="007F3D68">
        <w:rPr>
          <w:color w:val="auto"/>
          <w:sz w:val="20"/>
          <w:szCs w:val="20"/>
          <w:lang w:val="es-CO"/>
        </w:rPr>
        <w:t xml:space="preserve"> de pena de muerte</w:t>
      </w:r>
      <w:bookmarkEnd w:id="91"/>
      <w:bookmarkEnd w:id="92"/>
      <w:bookmarkEnd w:id="93"/>
    </w:p>
    <w:p w:rsidR="00190CDC" w:rsidRPr="007F3D68" w:rsidRDefault="00190CDC" w:rsidP="00190CDC">
      <w:pPr>
        <w:rPr>
          <w:lang w:val="es-CO"/>
        </w:rPr>
      </w:pPr>
    </w:p>
    <w:p w:rsidR="00292A1B" w:rsidRPr="00FB1E9C" w:rsidRDefault="00C42F74" w:rsidP="00FB1E9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rPr>
      </w:pPr>
      <w:r w:rsidRPr="007F3D68">
        <w:rPr>
          <w:rFonts w:ascii="Cambria" w:hAnsi="Cambria"/>
          <w:sz w:val="20"/>
          <w:szCs w:val="20"/>
          <w:lang w:val="es-ES"/>
        </w:rPr>
        <w:t xml:space="preserve">La Comisión Interamericana considera pertinente reiterar sus pronunciamientos anteriores con respecto al escrutinio riguroso a ser utilizado en casos que </w:t>
      </w:r>
      <w:r w:rsidRPr="007F3D68">
        <w:rPr>
          <w:rFonts w:ascii="Cambria" w:hAnsi="Cambria"/>
          <w:bCs/>
          <w:sz w:val="20"/>
          <w:szCs w:val="20"/>
          <w:lang w:val="es-CO"/>
        </w:rPr>
        <w:t>involucran</w:t>
      </w:r>
      <w:r w:rsidRPr="007F3D68">
        <w:rPr>
          <w:rFonts w:ascii="Cambria" w:hAnsi="Cambria"/>
          <w:sz w:val="20"/>
          <w:szCs w:val="20"/>
          <w:lang w:val="es-ES"/>
        </w:rPr>
        <w:t xml:space="preserve"> la aplicación de la pena de muerte. El derecho a la vida es ampliamente reconocido como el derecho supremo de los seres humanos y como </w:t>
      </w:r>
      <w:proofErr w:type="spellStart"/>
      <w:r w:rsidRPr="007F3D68">
        <w:rPr>
          <w:rFonts w:ascii="Cambria" w:hAnsi="Cambria"/>
          <w:i/>
          <w:sz w:val="20"/>
          <w:szCs w:val="20"/>
          <w:lang w:val="es-ES"/>
        </w:rPr>
        <w:t>conditio</w:t>
      </w:r>
      <w:proofErr w:type="spellEnd"/>
      <w:r w:rsidRPr="007F3D68">
        <w:rPr>
          <w:rFonts w:ascii="Cambria" w:hAnsi="Cambria"/>
          <w:i/>
          <w:sz w:val="20"/>
          <w:szCs w:val="20"/>
          <w:lang w:val="es-ES"/>
        </w:rPr>
        <w:t xml:space="preserve"> sine qua non</w:t>
      </w:r>
      <w:r w:rsidRPr="007F3D68">
        <w:rPr>
          <w:rFonts w:ascii="Cambria" w:hAnsi="Cambria"/>
          <w:sz w:val="20"/>
          <w:szCs w:val="20"/>
          <w:lang w:val="es-ES"/>
        </w:rPr>
        <w:t xml:space="preserve"> para el goce de todos los demás derechos</w:t>
      </w:r>
      <w:r w:rsidRPr="007F3D68">
        <w:rPr>
          <w:rStyle w:val="FootnoteReference"/>
          <w:rFonts w:asciiTheme="majorHAnsi" w:hAnsiTheme="majorHAnsi"/>
          <w:sz w:val="20"/>
          <w:szCs w:val="20"/>
          <w:lang w:val="es-ES"/>
        </w:rPr>
        <w:footnoteReference w:id="67"/>
      </w:r>
      <w:r w:rsidRPr="007F3D68">
        <w:rPr>
          <w:rFonts w:ascii="Cambria" w:hAnsi="Cambria"/>
          <w:sz w:val="20"/>
          <w:szCs w:val="20"/>
          <w:lang w:val="es-ES"/>
        </w:rPr>
        <w:t>.</w:t>
      </w:r>
    </w:p>
    <w:p w:rsidR="00292A1B" w:rsidRPr="007F3D68" w:rsidRDefault="00C42F74" w:rsidP="00292A1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rPr>
      </w:pPr>
      <w:r w:rsidRPr="007F3D68">
        <w:rPr>
          <w:rFonts w:ascii="Cambria" w:hAnsi="Cambria"/>
          <w:sz w:val="20"/>
          <w:szCs w:val="20"/>
          <w:lang w:val="es-ES"/>
        </w:rPr>
        <w:lastRenderedPageBreak/>
        <w:t>Por ello es de particular importancia la obligación de la CIDH de asegurarse de que toda privación a la vida que pueda ocurrir por la aplicación de la pena de muerte no transgreda ninguna obligación consagrada en los instrumentos aplicables del sistema interamericano de derechos humanos</w:t>
      </w:r>
      <w:r w:rsidRPr="007F3D68">
        <w:rPr>
          <w:rStyle w:val="FootnoteReference"/>
          <w:rFonts w:ascii="Cambria" w:hAnsi="Cambria"/>
          <w:sz w:val="20"/>
          <w:szCs w:val="20"/>
        </w:rPr>
        <w:footnoteReference w:id="68"/>
      </w:r>
      <w:r w:rsidRPr="007F3D68">
        <w:rPr>
          <w:rFonts w:ascii="Cambria" w:hAnsi="Cambria"/>
          <w:sz w:val="20"/>
          <w:szCs w:val="20"/>
          <w:lang w:val="es-ES"/>
        </w:rPr>
        <w:t>. Este escrutinio riguroso es congruente con el enfoque restrictivo que adoptan otros organismos internacionales de derechos humanos cuando analizan casos que involucran la pena de muerte</w:t>
      </w:r>
      <w:r w:rsidRPr="007F3D68">
        <w:rPr>
          <w:rStyle w:val="FootnoteReference"/>
          <w:rFonts w:ascii="Cambria" w:hAnsi="Cambria"/>
          <w:sz w:val="20"/>
          <w:szCs w:val="20"/>
        </w:rPr>
        <w:footnoteReference w:id="69"/>
      </w:r>
      <w:r w:rsidRPr="007F3D68">
        <w:rPr>
          <w:rFonts w:ascii="Cambria" w:hAnsi="Cambria"/>
          <w:sz w:val="20"/>
          <w:szCs w:val="20"/>
          <w:lang w:val="es-ES"/>
        </w:rPr>
        <w:t xml:space="preserve"> y la Comisión Interamericana lo ha expresado y aplicado en casos anteriores de pena capital que se le han presentado</w:t>
      </w:r>
      <w:r w:rsidRPr="007F3D68">
        <w:rPr>
          <w:rStyle w:val="FootnoteReference"/>
          <w:rFonts w:ascii="Cambria" w:hAnsi="Cambria"/>
          <w:sz w:val="20"/>
          <w:szCs w:val="20"/>
        </w:rPr>
        <w:footnoteReference w:id="70"/>
      </w:r>
      <w:r w:rsidRPr="007F3D68">
        <w:rPr>
          <w:rFonts w:ascii="Cambria" w:hAnsi="Cambria"/>
          <w:sz w:val="20"/>
          <w:szCs w:val="20"/>
          <w:lang w:val="es-ES"/>
        </w:rPr>
        <w:t>.</w:t>
      </w:r>
    </w:p>
    <w:p w:rsidR="00292A1B" w:rsidRPr="007F3D68" w:rsidRDefault="00292A1B" w:rsidP="00292A1B">
      <w:pPr>
        <w:pStyle w:val="ListParagraph"/>
        <w:rPr>
          <w:sz w:val="20"/>
          <w:szCs w:val="20"/>
          <w:lang w:val="es-ES"/>
        </w:rPr>
      </w:pPr>
    </w:p>
    <w:p w:rsidR="00C42F74" w:rsidRPr="007F3D68" w:rsidRDefault="00C42F74" w:rsidP="00292A1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rPr>
      </w:pPr>
      <w:r w:rsidRPr="007F3D68">
        <w:rPr>
          <w:rFonts w:ascii="Cambria" w:hAnsi="Cambria"/>
          <w:sz w:val="20"/>
          <w:szCs w:val="20"/>
          <w:lang w:val="es-ES"/>
        </w:rPr>
        <w:t>Según ha explicado la Comisión Interamericana este estándar de revisión es consecuencia necesaria de la pena en cuestión y de las garantías del debido proceso legal relacionadas</w:t>
      </w:r>
      <w:r w:rsidRPr="007F3D68">
        <w:rPr>
          <w:rFonts w:asciiTheme="majorHAnsi" w:hAnsiTheme="majorHAnsi"/>
          <w:sz w:val="20"/>
          <w:szCs w:val="20"/>
          <w:vertAlign w:val="superscript"/>
          <w:lang w:val="es-ES"/>
        </w:rPr>
        <w:footnoteReference w:id="71"/>
      </w:r>
      <w:r w:rsidRPr="007F3D68">
        <w:rPr>
          <w:rFonts w:ascii="Cambria" w:hAnsi="Cambria"/>
          <w:sz w:val="20"/>
          <w:szCs w:val="20"/>
          <w:lang w:val="es-ES"/>
        </w:rPr>
        <w:t>. En palabras de la CIDH:</w:t>
      </w:r>
    </w:p>
    <w:p w:rsidR="00C42F74" w:rsidRPr="007F3D68" w:rsidRDefault="00C42F74" w:rsidP="00C42F74">
      <w:pPr>
        <w:ind w:left="720" w:right="720"/>
        <w:jc w:val="both"/>
        <w:rPr>
          <w:rFonts w:ascii="Cambria" w:hAnsi="Cambria" w:cs="Calibri"/>
          <w:sz w:val="20"/>
          <w:szCs w:val="20"/>
          <w:lang w:val="es-ES"/>
        </w:rPr>
      </w:pPr>
      <w:proofErr w:type="gramStart"/>
      <w:r w:rsidRPr="007F3D68">
        <w:rPr>
          <w:rFonts w:ascii="Cambria" w:hAnsi="Cambria" w:cs="Calibri"/>
          <w:sz w:val="20"/>
          <w:szCs w:val="20"/>
          <w:lang w:val="es-ES"/>
        </w:rPr>
        <w:t>debido</w:t>
      </w:r>
      <w:proofErr w:type="gramEnd"/>
      <w:r w:rsidRPr="007F3D68">
        <w:rPr>
          <w:rFonts w:ascii="Cambria" w:hAnsi="Cambria" w:cs="Calibri"/>
          <w:sz w:val="20"/>
          <w:szCs w:val="20"/>
          <w:lang w:val="es-ES"/>
        </w:rPr>
        <w:t xml:space="preserve"> en parte a su carácter irrevocable, la pena de muerte es una forma de castigo que se diferencia sustancialmente y en grado de otros medios de castigo, por lo cual reclama una certeza particularmente rigurosa en la determinación de la responsabilidad de una persona por un delito que comporta la pena de muerte</w:t>
      </w:r>
      <w:r w:rsidRPr="007F3D68">
        <w:rPr>
          <w:rStyle w:val="FootnoteReference"/>
          <w:rFonts w:ascii="Cambria" w:hAnsi="Cambria"/>
          <w:sz w:val="20"/>
          <w:szCs w:val="20"/>
        </w:rPr>
        <w:footnoteReference w:id="72"/>
      </w:r>
      <w:r w:rsidRPr="007F3D68">
        <w:rPr>
          <w:rFonts w:ascii="Cambria" w:hAnsi="Cambria" w:cs="Calibri"/>
          <w:sz w:val="20"/>
          <w:szCs w:val="20"/>
          <w:lang w:val="es-ES"/>
        </w:rPr>
        <w:t>.</w:t>
      </w:r>
    </w:p>
    <w:p w:rsidR="00C42F74" w:rsidRPr="007F3D68" w:rsidRDefault="00C42F74" w:rsidP="00C42F74">
      <w:pPr>
        <w:shd w:val="clear" w:color="auto" w:fill="FFFFFF"/>
        <w:tabs>
          <w:tab w:val="num" w:pos="720"/>
          <w:tab w:val="left" w:pos="1440"/>
          <w:tab w:val="num" w:pos="2040"/>
        </w:tabs>
        <w:jc w:val="center"/>
        <w:rPr>
          <w:rFonts w:ascii="Cambria" w:hAnsi="Cambria"/>
          <w:sz w:val="20"/>
          <w:szCs w:val="20"/>
          <w:lang w:val="es-ES"/>
        </w:rPr>
      </w:pPr>
    </w:p>
    <w:p w:rsidR="007C6F54" w:rsidRPr="007F3D68" w:rsidRDefault="00C42F74" w:rsidP="00292A1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rPr>
      </w:pPr>
      <w:r w:rsidRPr="007F3D68">
        <w:rPr>
          <w:rFonts w:ascii="Cambria" w:hAnsi="Cambria"/>
          <w:sz w:val="20"/>
          <w:szCs w:val="20"/>
          <w:lang w:val="es-ES"/>
        </w:rPr>
        <w:t xml:space="preserve">La Comisión Interamericana revisará, por lo tanto, las alegaciones de los peticionarios en el presente caso con un nivel de escrutinio riguroso para garantizar, en particular, que los derechos a la vida, a las garantías judiciales y a la protección judicial, entre otros estipulados en la Convención Americana, hayan sido respetados por el Estado. </w:t>
      </w:r>
      <w:r w:rsidR="00D85874" w:rsidRPr="007F3D68">
        <w:rPr>
          <w:rFonts w:ascii="Cambria" w:hAnsi="Cambria"/>
          <w:sz w:val="20"/>
          <w:szCs w:val="20"/>
          <w:lang w:val="es-ES"/>
        </w:rPr>
        <w:t xml:space="preserve"> </w:t>
      </w:r>
    </w:p>
    <w:p w:rsidR="00E63FB9" w:rsidRPr="007F3D68" w:rsidRDefault="00E63FB9" w:rsidP="00292A1B">
      <w:pPr>
        <w:pStyle w:val="Heading3"/>
        <w:numPr>
          <w:ilvl w:val="0"/>
          <w:numId w:val="78"/>
        </w:numPr>
        <w:tabs>
          <w:tab w:val="left" w:pos="1260"/>
        </w:tabs>
        <w:ind w:hanging="1080"/>
        <w:rPr>
          <w:color w:val="auto"/>
          <w:sz w:val="20"/>
          <w:szCs w:val="20"/>
          <w:lang w:val="es-CO"/>
        </w:rPr>
      </w:pPr>
      <w:bookmarkStart w:id="94" w:name="_Toc495479555"/>
      <w:r w:rsidRPr="007F3D68">
        <w:rPr>
          <w:color w:val="auto"/>
          <w:sz w:val="20"/>
          <w:szCs w:val="20"/>
          <w:lang w:val="es-CO"/>
        </w:rPr>
        <w:t>Sobre la aplicación del concepto de peligrosidad para imponer la pena de muerte</w:t>
      </w:r>
      <w:bookmarkEnd w:id="94"/>
    </w:p>
    <w:p w:rsidR="00BB695B" w:rsidRPr="007F3D68" w:rsidRDefault="00BB695B" w:rsidP="00BB69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s>
        <w:jc w:val="both"/>
        <w:rPr>
          <w:rFonts w:ascii="Tahoma" w:hAnsi="Tahoma" w:cs="Tahoma"/>
          <w:color w:val="000000"/>
          <w:sz w:val="18"/>
          <w:szCs w:val="18"/>
          <w:lang w:val="es-VE"/>
        </w:rPr>
      </w:pPr>
    </w:p>
    <w:p w:rsidR="00834C23" w:rsidRPr="007F3D68" w:rsidRDefault="007907F4" w:rsidP="00292A1B">
      <w:pPr>
        <w:pStyle w:val="ListParagraph"/>
        <w:numPr>
          <w:ilvl w:val="1"/>
          <w:numId w:val="7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70"/>
        </w:tabs>
        <w:ind w:left="1260" w:hanging="540"/>
        <w:jc w:val="both"/>
        <w:rPr>
          <w:rFonts w:asciiTheme="majorHAnsi" w:hAnsiTheme="majorHAnsi" w:cs="Tahoma"/>
          <w:b/>
          <w:sz w:val="20"/>
          <w:szCs w:val="20"/>
          <w:lang w:val="es-VE"/>
        </w:rPr>
      </w:pPr>
      <w:r w:rsidRPr="007F3D68">
        <w:rPr>
          <w:rFonts w:asciiTheme="majorHAnsi" w:hAnsiTheme="majorHAnsi" w:cs="Tahoma"/>
          <w:b/>
          <w:sz w:val="20"/>
          <w:szCs w:val="20"/>
          <w:lang w:val="es-VE"/>
        </w:rPr>
        <w:tab/>
      </w:r>
      <w:r w:rsidR="00BB695B" w:rsidRPr="007F3D68">
        <w:rPr>
          <w:rFonts w:asciiTheme="majorHAnsi" w:hAnsiTheme="majorHAnsi"/>
          <w:b/>
          <w:sz w:val="20"/>
          <w:szCs w:val="20"/>
          <w:lang w:val="es-ES"/>
        </w:rPr>
        <w:t>Consideraciones generales</w:t>
      </w:r>
    </w:p>
    <w:p w:rsidR="00834C23" w:rsidRPr="007F3D68" w:rsidRDefault="00834C23" w:rsidP="00715A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b/>
          <w:sz w:val="20"/>
          <w:szCs w:val="20"/>
          <w:lang w:val="es-ES"/>
        </w:rPr>
      </w:pPr>
    </w:p>
    <w:p w:rsidR="00292A1B" w:rsidRPr="007F3D68" w:rsidRDefault="000655ED" w:rsidP="00292A1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rPr>
      </w:pPr>
      <w:r w:rsidRPr="007F3D68">
        <w:rPr>
          <w:rFonts w:asciiTheme="majorHAnsi" w:hAnsiTheme="majorHAnsi"/>
          <w:sz w:val="20"/>
          <w:szCs w:val="20"/>
          <w:lang w:val="es-ES"/>
        </w:rPr>
        <w:t xml:space="preserve">Tanto la Comisión como la Corte Interamericana se han referido al concepto de peligrosidad como elemento para determinar la imposición de una pena y, particularmente, la pena de muerte. </w:t>
      </w:r>
    </w:p>
    <w:p w:rsidR="00292A1B" w:rsidRPr="007F3D68" w:rsidRDefault="00292A1B" w:rsidP="00292A1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Theme="majorHAnsi" w:hAnsiTheme="majorHAnsi"/>
          <w:sz w:val="20"/>
          <w:szCs w:val="20"/>
          <w:lang w:val="es-ES"/>
        </w:rPr>
      </w:pPr>
    </w:p>
    <w:p w:rsidR="000655ED" w:rsidRPr="007F3D68" w:rsidRDefault="000655ED" w:rsidP="00292A1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rPr>
      </w:pPr>
      <w:r w:rsidRPr="007F3D68">
        <w:rPr>
          <w:rFonts w:asciiTheme="majorHAnsi" w:hAnsiTheme="majorHAnsi"/>
          <w:sz w:val="20"/>
          <w:szCs w:val="20"/>
          <w:lang w:val="es-ES"/>
        </w:rPr>
        <w:t>En un caso relativo a la aplicación de la pena de muerte en el estado de Texas en Estados Unidos, el cual fue analizado bajo principios análogos de la Declaración Americana de los Derechos y Deberes del Hombre, la Comisión indicó que:</w:t>
      </w:r>
    </w:p>
    <w:p w:rsidR="000655ED" w:rsidRPr="007F3D68" w:rsidRDefault="000655ED" w:rsidP="000655ED">
      <w:pPr>
        <w:shd w:val="clear" w:color="auto" w:fill="FFFFFF"/>
        <w:tabs>
          <w:tab w:val="num" w:pos="1440"/>
          <w:tab w:val="num" w:pos="1800"/>
          <w:tab w:val="num" w:pos="2040"/>
        </w:tabs>
        <w:jc w:val="both"/>
        <w:rPr>
          <w:rFonts w:asciiTheme="majorHAnsi" w:hAnsiTheme="majorHAnsi"/>
          <w:b/>
          <w:sz w:val="20"/>
          <w:szCs w:val="20"/>
          <w:lang w:val="es-ES"/>
        </w:rPr>
      </w:pPr>
    </w:p>
    <w:p w:rsidR="000655ED" w:rsidRPr="007F3D68" w:rsidRDefault="000655ED" w:rsidP="000655ED">
      <w:pPr>
        <w:shd w:val="clear" w:color="auto" w:fill="FFFFFF"/>
        <w:tabs>
          <w:tab w:val="num" w:pos="1440"/>
          <w:tab w:val="num" w:pos="1800"/>
          <w:tab w:val="num" w:pos="2040"/>
        </w:tabs>
        <w:ind w:left="720" w:right="720"/>
        <w:jc w:val="both"/>
        <w:rPr>
          <w:rFonts w:asciiTheme="majorHAnsi" w:hAnsiTheme="majorHAnsi"/>
          <w:b/>
          <w:sz w:val="20"/>
          <w:szCs w:val="20"/>
          <w:lang w:val="es-ES"/>
        </w:rPr>
      </w:pPr>
      <w:r w:rsidRPr="007F3D68">
        <w:rPr>
          <w:rFonts w:asciiTheme="majorHAnsi" w:hAnsiTheme="majorHAnsi"/>
          <w:bCs/>
          <w:sz w:val="20"/>
          <w:szCs w:val="20"/>
          <w:lang w:val="es-CO"/>
        </w:rPr>
        <w:t xml:space="preserve">(…) el elemento de la peligrosidad futura otorga un alto grado de discrecionalidad al jurado para establecer la pena más grave posible, lo que puede resultar problemático al tratarse de la probabilidad de que un hecho futuro llegue a ocurrir, excediendo al delito efectivamente cometido por la persona en cuestión. En ese sentido, la Comisión considera que al tratarse de </w:t>
      </w:r>
      <w:r w:rsidRPr="007F3D68">
        <w:rPr>
          <w:rFonts w:asciiTheme="majorHAnsi" w:hAnsiTheme="majorHAnsi"/>
          <w:bCs/>
          <w:sz w:val="20"/>
          <w:szCs w:val="20"/>
          <w:lang w:val="es-CO"/>
        </w:rPr>
        <w:lastRenderedPageBreak/>
        <w:t xml:space="preserve">un criterio que requiere de una decisión subjetiva y especulativa por parte del jurado, su sola exigencia en la legislación interna del estado de Texas constituye un riesgo permanente de que se cometan violaciones a los derechos humanos en perjuicio de la persona condenada y, en consecuencia, </w:t>
      </w:r>
      <w:r w:rsidRPr="007F3D68">
        <w:rPr>
          <w:rFonts w:asciiTheme="majorHAnsi" w:hAnsiTheme="majorHAnsi" w:cs="Tahoma"/>
          <w:color w:val="000000"/>
          <w:sz w:val="20"/>
          <w:szCs w:val="20"/>
          <w:lang w:val="es-CO"/>
        </w:rPr>
        <w:t>se imponga la pena de muerte de manera arbitraria</w:t>
      </w:r>
      <w:r w:rsidRPr="007F3D68">
        <w:rPr>
          <w:rStyle w:val="FootnoteReference"/>
          <w:rFonts w:asciiTheme="majorHAnsi" w:hAnsiTheme="majorHAnsi"/>
          <w:sz w:val="20"/>
          <w:szCs w:val="20"/>
          <w:lang w:val="es-ES"/>
        </w:rPr>
        <w:footnoteReference w:id="73"/>
      </w:r>
      <w:r w:rsidRPr="007F3D68">
        <w:rPr>
          <w:rFonts w:asciiTheme="majorHAnsi" w:hAnsiTheme="majorHAnsi" w:cs="Tahoma"/>
          <w:color w:val="000000"/>
          <w:sz w:val="20"/>
          <w:szCs w:val="20"/>
          <w:lang w:val="es-CO"/>
        </w:rPr>
        <w:t>.</w:t>
      </w:r>
    </w:p>
    <w:p w:rsidR="000655ED" w:rsidRPr="007F3D68" w:rsidRDefault="000655ED" w:rsidP="000655ED">
      <w:pPr>
        <w:shd w:val="clear" w:color="auto" w:fill="FFFFFF"/>
        <w:tabs>
          <w:tab w:val="num" w:pos="1440"/>
          <w:tab w:val="num" w:pos="1800"/>
          <w:tab w:val="num" w:pos="2040"/>
        </w:tabs>
        <w:jc w:val="both"/>
        <w:rPr>
          <w:rFonts w:asciiTheme="majorHAnsi" w:hAnsiTheme="majorHAnsi"/>
          <w:b/>
          <w:sz w:val="20"/>
          <w:szCs w:val="20"/>
          <w:lang w:val="es-ES"/>
        </w:rPr>
      </w:pPr>
    </w:p>
    <w:p w:rsidR="000655ED" w:rsidRPr="007F3D68" w:rsidRDefault="000655ED" w:rsidP="00292A1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rPr>
      </w:pPr>
      <w:r w:rsidRPr="007F3D68">
        <w:rPr>
          <w:rFonts w:asciiTheme="majorHAnsi" w:hAnsiTheme="majorHAnsi"/>
          <w:bCs/>
          <w:sz w:val="20"/>
          <w:szCs w:val="20"/>
          <w:lang w:val="es-CO"/>
        </w:rPr>
        <w:t xml:space="preserve">El </w:t>
      </w:r>
      <w:r w:rsidRPr="007F3D68">
        <w:rPr>
          <w:rFonts w:asciiTheme="majorHAnsi" w:hAnsiTheme="majorHAnsi" w:cs="Georgia"/>
          <w:bCs/>
          <w:sz w:val="20"/>
          <w:szCs w:val="20"/>
          <w:lang w:val="es-CO"/>
        </w:rPr>
        <w:t xml:space="preserve">Comité de Derechos Humanos del Pacto Internacional de Derechos Civiles y Políticos también se ha referido en términos generales al concepto de peligrosidad futura y su uso en el ámbito de un proceso penal. </w:t>
      </w:r>
      <w:proofErr w:type="spellStart"/>
      <w:r w:rsidRPr="007F3D68">
        <w:rPr>
          <w:rFonts w:asciiTheme="majorHAnsi" w:hAnsiTheme="majorHAnsi" w:cs="Georgia"/>
          <w:bCs/>
          <w:sz w:val="20"/>
          <w:szCs w:val="20"/>
        </w:rPr>
        <w:t>Específicamente</w:t>
      </w:r>
      <w:proofErr w:type="spellEnd"/>
      <w:r w:rsidRPr="007F3D68">
        <w:rPr>
          <w:rFonts w:asciiTheme="majorHAnsi" w:hAnsiTheme="majorHAnsi" w:cs="Georgia"/>
          <w:bCs/>
          <w:sz w:val="20"/>
          <w:szCs w:val="20"/>
        </w:rPr>
        <w:t xml:space="preserve"> ha </w:t>
      </w:r>
      <w:proofErr w:type="spellStart"/>
      <w:r w:rsidRPr="007F3D68">
        <w:rPr>
          <w:rFonts w:asciiTheme="majorHAnsi" w:hAnsiTheme="majorHAnsi" w:cs="Georgia"/>
          <w:bCs/>
          <w:sz w:val="20"/>
          <w:szCs w:val="20"/>
        </w:rPr>
        <w:t>indicado</w:t>
      </w:r>
      <w:proofErr w:type="spellEnd"/>
      <w:r w:rsidRPr="007F3D68">
        <w:rPr>
          <w:rFonts w:asciiTheme="majorHAnsi" w:hAnsiTheme="majorHAnsi" w:cs="Georgia"/>
          <w:bCs/>
          <w:sz w:val="20"/>
          <w:szCs w:val="20"/>
        </w:rPr>
        <w:t xml:space="preserve"> que:</w:t>
      </w:r>
      <w:r w:rsidRPr="007F3D68">
        <w:rPr>
          <w:rFonts w:asciiTheme="majorHAnsi" w:hAnsiTheme="majorHAnsi"/>
          <w:sz w:val="20"/>
          <w:szCs w:val="20"/>
          <w:lang w:val="es-ES"/>
        </w:rPr>
        <w:t xml:space="preserve"> </w:t>
      </w:r>
    </w:p>
    <w:p w:rsidR="000655ED" w:rsidRPr="007F3D68" w:rsidRDefault="000655ED" w:rsidP="000655ED">
      <w:pPr>
        <w:tabs>
          <w:tab w:val="left" w:pos="0"/>
          <w:tab w:val="num" w:pos="1665"/>
          <w:tab w:val="num" w:pos="2040"/>
        </w:tabs>
        <w:jc w:val="both"/>
        <w:rPr>
          <w:rFonts w:asciiTheme="majorHAnsi" w:hAnsiTheme="majorHAnsi" w:cs="Times"/>
          <w:sz w:val="20"/>
          <w:szCs w:val="20"/>
        </w:rPr>
      </w:pPr>
    </w:p>
    <w:p w:rsidR="000655ED" w:rsidRPr="007F3D68" w:rsidRDefault="000655ED" w:rsidP="000655ED">
      <w:pPr>
        <w:ind w:left="720" w:right="720"/>
        <w:jc w:val="both"/>
        <w:rPr>
          <w:rFonts w:asciiTheme="majorHAnsi" w:hAnsiTheme="majorHAnsi" w:cs="Georgia"/>
          <w:sz w:val="20"/>
          <w:szCs w:val="20"/>
          <w:lang w:val="es-CO"/>
        </w:rPr>
      </w:pPr>
      <w:r w:rsidRPr="007F3D68">
        <w:rPr>
          <w:rFonts w:asciiTheme="majorHAnsi" w:hAnsiTheme="majorHAnsi" w:cs="Georgia"/>
          <w:sz w:val="20"/>
          <w:szCs w:val="20"/>
          <w:lang w:val="es-CO"/>
        </w:rPr>
        <w:t>El concepto de temible o previsible peligrosidad para la comunidad, aplicable al caso de personas que cometieron delitos en el pasado es inherentemente problemático. Se encuentra basado esencialmente en una opinión en vez de evidencia fáctica, aún si dicha evidencia consiste en la opinión de expertos psiquiatras. Pero la psiquiatría no es una ciencia exacta (…) por una parte se requiere a la Corte que tenga en cuenta la opinión de expertos psiquiatras sobre peligrosidad futura pero, por otra parte, se requiere que la Corte efectúe una determinación de hecho sobre peligrosidad. Si bien las Cortes son libres de aceptar o rechazar peritajes y están obligadas a considerar toda la evidencia disponible y relevante, la realidad es que las Cortes deben hacer una determinación de hecho del supuesto comportamiento futuro de una persona que cometió delitos en el pasado, comportamiento que podría o no materializarse</w:t>
      </w:r>
      <w:r w:rsidRPr="007F3D68">
        <w:rPr>
          <w:rStyle w:val="FootnoteReference"/>
          <w:rFonts w:asciiTheme="majorHAnsi" w:hAnsiTheme="majorHAnsi"/>
          <w:sz w:val="20"/>
          <w:szCs w:val="20"/>
        </w:rPr>
        <w:footnoteReference w:id="74"/>
      </w:r>
      <w:r w:rsidRPr="007F3D68">
        <w:rPr>
          <w:rFonts w:asciiTheme="majorHAnsi" w:hAnsiTheme="majorHAnsi" w:cs="Georgia"/>
          <w:sz w:val="20"/>
          <w:szCs w:val="20"/>
          <w:lang w:val="es-CO"/>
        </w:rPr>
        <w:t xml:space="preserve">. </w:t>
      </w:r>
    </w:p>
    <w:p w:rsidR="000655ED" w:rsidRPr="007F3D68" w:rsidRDefault="000655ED" w:rsidP="000655ED">
      <w:pPr>
        <w:shd w:val="clear" w:color="auto" w:fill="FFFFFF"/>
        <w:tabs>
          <w:tab w:val="num" w:pos="1080"/>
          <w:tab w:val="left" w:pos="1440"/>
          <w:tab w:val="num" w:pos="2040"/>
        </w:tabs>
        <w:jc w:val="both"/>
        <w:rPr>
          <w:rFonts w:asciiTheme="majorHAnsi" w:hAnsiTheme="majorHAnsi"/>
          <w:sz w:val="20"/>
          <w:szCs w:val="20"/>
          <w:lang w:val="es-ES"/>
        </w:rPr>
      </w:pPr>
    </w:p>
    <w:p w:rsidR="000655ED" w:rsidRPr="007F3D68" w:rsidRDefault="000655ED" w:rsidP="00292A1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i/>
          <w:sz w:val="20"/>
          <w:szCs w:val="20"/>
          <w:lang w:val="es-ES"/>
        </w:rPr>
      </w:pPr>
      <w:r w:rsidRPr="007F3D68">
        <w:rPr>
          <w:rFonts w:asciiTheme="majorHAnsi" w:hAnsiTheme="majorHAnsi"/>
          <w:sz w:val="20"/>
          <w:szCs w:val="20"/>
          <w:lang w:val="es-ES"/>
        </w:rPr>
        <w:t xml:space="preserve">Por su parte, la Corte Interamericana se ha referido a la invocación de la peligrosidad futura a la luz del principio de legalidad establecido en el artículo 9 de la Convención Americana. La Corte indicó que dicha invocación es grave y que </w:t>
      </w:r>
      <w:r w:rsidRPr="007F3D68">
        <w:rPr>
          <w:rFonts w:asciiTheme="majorHAnsi" w:hAnsiTheme="majorHAnsi"/>
          <w:i/>
          <w:sz w:val="20"/>
          <w:szCs w:val="20"/>
          <w:lang w:val="es-ES"/>
        </w:rPr>
        <w:t>“</w:t>
      </w:r>
      <w:r w:rsidRPr="007F3D68">
        <w:rPr>
          <w:rFonts w:asciiTheme="majorHAnsi" w:hAnsiTheme="majorHAnsi"/>
          <w:sz w:val="20"/>
          <w:szCs w:val="20"/>
          <w:lang w:val="es-ES"/>
        </w:rPr>
        <w:t xml:space="preserve">constituye claramente una expresión del ejercicio del </w:t>
      </w:r>
      <w:proofErr w:type="spellStart"/>
      <w:r w:rsidRPr="007F3D68">
        <w:rPr>
          <w:rFonts w:asciiTheme="majorHAnsi" w:hAnsiTheme="majorHAnsi"/>
          <w:i/>
          <w:sz w:val="20"/>
          <w:szCs w:val="20"/>
          <w:lang w:val="es-ES"/>
        </w:rPr>
        <w:t>ius</w:t>
      </w:r>
      <w:proofErr w:type="spellEnd"/>
      <w:r w:rsidRPr="007F3D68">
        <w:rPr>
          <w:rFonts w:asciiTheme="majorHAnsi" w:hAnsiTheme="majorHAnsi"/>
          <w:i/>
          <w:sz w:val="20"/>
          <w:szCs w:val="20"/>
          <w:lang w:val="es-ES"/>
        </w:rPr>
        <w:t xml:space="preserve"> </w:t>
      </w:r>
      <w:proofErr w:type="spellStart"/>
      <w:r w:rsidRPr="007F3D68">
        <w:rPr>
          <w:rFonts w:asciiTheme="majorHAnsi" w:hAnsiTheme="majorHAnsi"/>
          <w:i/>
          <w:sz w:val="20"/>
          <w:szCs w:val="20"/>
          <w:lang w:val="es-ES"/>
        </w:rPr>
        <w:t>puniendi</w:t>
      </w:r>
      <w:proofErr w:type="spellEnd"/>
      <w:r w:rsidRPr="007F3D68">
        <w:rPr>
          <w:rFonts w:asciiTheme="majorHAnsi" w:hAnsiTheme="majorHAnsi"/>
          <w:sz w:val="20"/>
          <w:szCs w:val="20"/>
          <w:lang w:val="es-ES"/>
        </w:rPr>
        <w:t xml:space="preserve"> estatal sobre la base de las características personales del agente y no del hecho cometido, es decir, sustituye el derecho penal de acto o de hecho, propio del sistema penal de una sociedad democrática, por el derecho penal de autor, que abre la puerta al autoritarismo precisamente en una materia en la que se hallan en juego los bienes jurídicos de mayor jerarquía”</w:t>
      </w:r>
      <w:r w:rsidRPr="007F3D68">
        <w:rPr>
          <w:rStyle w:val="FootnoteReference"/>
          <w:rFonts w:asciiTheme="majorHAnsi" w:hAnsiTheme="majorHAnsi"/>
          <w:sz w:val="20"/>
          <w:szCs w:val="20"/>
        </w:rPr>
        <w:footnoteReference w:id="75"/>
      </w:r>
      <w:r w:rsidRPr="007F3D68">
        <w:rPr>
          <w:rFonts w:asciiTheme="majorHAnsi" w:hAnsiTheme="majorHAnsi"/>
          <w:sz w:val="20"/>
          <w:szCs w:val="20"/>
          <w:lang w:val="es-ES"/>
        </w:rPr>
        <w:t xml:space="preserve">. </w:t>
      </w:r>
    </w:p>
    <w:p w:rsidR="000655ED" w:rsidRPr="007F3D68" w:rsidRDefault="000655ED" w:rsidP="000655ED">
      <w:pPr>
        <w:jc w:val="both"/>
        <w:rPr>
          <w:rFonts w:asciiTheme="majorHAnsi" w:hAnsiTheme="majorHAnsi"/>
          <w:sz w:val="20"/>
          <w:szCs w:val="20"/>
          <w:lang w:val="es-ES"/>
        </w:rPr>
      </w:pPr>
    </w:p>
    <w:p w:rsidR="000655ED" w:rsidRPr="007F3D68" w:rsidRDefault="000655ED" w:rsidP="00292A1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rPr>
      </w:pPr>
      <w:r w:rsidRPr="007F3D68">
        <w:rPr>
          <w:rFonts w:asciiTheme="majorHAnsi" w:hAnsiTheme="majorHAnsi"/>
          <w:sz w:val="20"/>
          <w:szCs w:val="20"/>
          <w:lang w:val="es-ES"/>
        </w:rPr>
        <w:t xml:space="preserve">Recientemente en el caso Pollo Rivera vs. Perú, la Corte Interamericana señaló que: </w:t>
      </w:r>
    </w:p>
    <w:p w:rsidR="000655ED" w:rsidRPr="007F3D68" w:rsidRDefault="000655ED" w:rsidP="000655ED">
      <w:pPr>
        <w:jc w:val="both"/>
        <w:rPr>
          <w:rFonts w:asciiTheme="majorHAnsi" w:hAnsiTheme="majorHAnsi"/>
          <w:sz w:val="20"/>
          <w:szCs w:val="20"/>
          <w:lang w:val="es-ES"/>
        </w:rPr>
      </w:pPr>
    </w:p>
    <w:p w:rsidR="000655ED" w:rsidRPr="007F3D68" w:rsidRDefault="000655ED" w:rsidP="000655ED">
      <w:pPr>
        <w:ind w:left="720" w:right="720"/>
        <w:jc w:val="both"/>
        <w:rPr>
          <w:rFonts w:asciiTheme="majorHAnsi" w:hAnsiTheme="majorHAnsi"/>
          <w:sz w:val="20"/>
          <w:szCs w:val="20"/>
          <w:lang w:val="es-MX"/>
        </w:rPr>
      </w:pPr>
      <w:r w:rsidRPr="007F3D68">
        <w:rPr>
          <w:rFonts w:asciiTheme="majorHAnsi" w:hAnsiTheme="majorHAnsi"/>
          <w:sz w:val="20"/>
          <w:szCs w:val="20"/>
          <w:lang w:val="es-MX"/>
        </w:rPr>
        <w:t>(…) el artículo 9 de la Convención Americana establece que “nadie puede ser condenado por acciones u omisiones”, es decir que sólo puede ser condenado por “actos”. El derecho penal de “acto” es una elemental garantía de todo derecho penal conforme a los derechos humanos. Precisamente, ante las aterradoras consecuencias del desconocimiento de esta premisa básica de los derechos humanos es que éstos comienzan su desarrollo a partir de 1948. El derecho penal conforme a todos los instrumentos de derechos humanos rechaza frontalmente el llamado “derecho penal de autor”, que considera a la conducta típica sólo como un signo o síntoma que permite detectar a una personalidad o carácter, ampliándose incluso a actos atípicos, siempre que se considere que cumplen la misma función de señalación subjetiva</w:t>
      </w:r>
      <w:r w:rsidRPr="007F3D68">
        <w:rPr>
          <w:rStyle w:val="FootnoteReference"/>
          <w:rFonts w:asciiTheme="majorHAnsi" w:hAnsiTheme="majorHAnsi"/>
          <w:sz w:val="20"/>
          <w:szCs w:val="20"/>
          <w:lang w:val="es-MX"/>
        </w:rPr>
        <w:footnoteReference w:id="76"/>
      </w:r>
      <w:r w:rsidRPr="007F3D68">
        <w:rPr>
          <w:rFonts w:asciiTheme="majorHAnsi" w:hAnsiTheme="majorHAnsi"/>
          <w:sz w:val="20"/>
          <w:szCs w:val="20"/>
          <w:lang w:val="es-MX"/>
        </w:rPr>
        <w:t>.</w:t>
      </w:r>
    </w:p>
    <w:p w:rsidR="000655ED" w:rsidRPr="007F3D68" w:rsidRDefault="000655ED" w:rsidP="000655ED">
      <w:pPr>
        <w:pStyle w:val="ListParagraph"/>
        <w:ind w:right="810"/>
        <w:rPr>
          <w:rFonts w:asciiTheme="majorHAnsi" w:hAnsiTheme="majorHAnsi"/>
          <w:sz w:val="20"/>
          <w:szCs w:val="20"/>
          <w:lang w:val="es-MX"/>
        </w:rPr>
      </w:pPr>
    </w:p>
    <w:p w:rsidR="000655ED" w:rsidRPr="007F3D68" w:rsidRDefault="000655ED" w:rsidP="000655ED">
      <w:pPr>
        <w:ind w:left="720" w:right="720"/>
        <w:jc w:val="both"/>
        <w:rPr>
          <w:rFonts w:asciiTheme="majorHAnsi" w:hAnsiTheme="majorHAnsi"/>
          <w:sz w:val="20"/>
          <w:szCs w:val="20"/>
          <w:lang w:val="es-VE"/>
        </w:rPr>
      </w:pPr>
      <w:r w:rsidRPr="007F3D68">
        <w:rPr>
          <w:rFonts w:asciiTheme="majorHAnsi" w:hAnsiTheme="majorHAnsi"/>
          <w:sz w:val="20"/>
          <w:szCs w:val="20"/>
          <w:lang w:val="es-MX"/>
        </w:rPr>
        <w:t>El derecho penal “de autor” ha seguido diferentes caminos, siendo uno de ellos el de la llamada “peligrosidad” (…)</w:t>
      </w:r>
      <w:r w:rsidRPr="007F3D68">
        <w:rPr>
          <w:rStyle w:val="FootnoteReference"/>
          <w:rFonts w:asciiTheme="majorHAnsi" w:hAnsiTheme="majorHAnsi"/>
          <w:sz w:val="20"/>
          <w:szCs w:val="20"/>
          <w:lang w:val="es-MX"/>
        </w:rPr>
        <w:footnoteReference w:id="77"/>
      </w:r>
      <w:r w:rsidRPr="007F3D68">
        <w:rPr>
          <w:rFonts w:asciiTheme="majorHAnsi" w:hAnsiTheme="majorHAnsi"/>
          <w:sz w:val="20"/>
          <w:szCs w:val="20"/>
          <w:lang w:val="es-MX"/>
        </w:rPr>
        <w:t>.</w:t>
      </w:r>
    </w:p>
    <w:p w:rsidR="000655ED" w:rsidRPr="007F3D68" w:rsidRDefault="000655ED" w:rsidP="000655ED">
      <w:pPr>
        <w:jc w:val="both"/>
        <w:rPr>
          <w:rFonts w:asciiTheme="majorHAnsi" w:hAnsiTheme="majorHAnsi"/>
          <w:sz w:val="20"/>
          <w:szCs w:val="20"/>
          <w:lang w:val="es-VE"/>
        </w:rPr>
      </w:pPr>
    </w:p>
    <w:p w:rsidR="008E793C" w:rsidRPr="00FB1E9C" w:rsidRDefault="000655ED" w:rsidP="00FB1E9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rPr>
      </w:pPr>
      <w:r w:rsidRPr="007F3D68">
        <w:rPr>
          <w:rFonts w:asciiTheme="majorHAnsi" w:hAnsiTheme="majorHAnsi"/>
          <w:sz w:val="20"/>
          <w:szCs w:val="20"/>
          <w:lang w:val="es-ES"/>
        </w:rPr>
        <w:t xml:space="preserve">Específicamente sobre la valoración de la peligrosidad, la Corte Interamericana señaló que: </w:t>
      </w:r>
    </w:p>
    <w:p w:rsidR="000655ED" w:rsidRPr="007F3D68" w:rsidRDefault="000655ED" w:rsidP="000655ED">
      <w:pPr>
        <w:ind w:left="720" w:right="720"/>
        <w:jc w:val="both"/>
        <w:rPr>
          <w:rFonts w:asciiTheme="majorHAnsi" w:hAnsiTheme="majorHAnsi"/>
          <w:sz w:val="20"/>
          <w:szCs w:val="20"/>
          <w:lang w:val="es-ES"/>
        </w:rPr>
      </w:pPr>
      <w:r w:rsidRPr="007F3D68">
        <w:rPr>
          <w:rFonts w:asciiTheme="majorHAnsi" w:hAnsiTheme="majorHAnsi"/>
          <w:sz w:val="20"/>
          <w:szCs w:val="20"/>
          <w:lang w:val="es-ES"/>
        </w:rPr>
        <w:lastRenderedPageBreak/>
        <w:t>(…) implica la apreciación del juzgador acerca de las probabilidades de que el imputado cometa hechos delictuosos en el futuro, es decir, agrega a la imputación por los hechos realizados, la previsión de hechos futuros que probablemente ocurrirán. Con esta base se despliega la función penal del Estado. En fin de cuentas, se sancionaría al individuo – con pena de muerte inclusive – no con apoyo en lo que ha hecho, sino en lo que es. Sobra ponderar las implicaciones, que son evidentes,</w:t>
      </w:r>
      <w:r w:rsidRPr="007F3D68">
        <w:rPr>
          <w:rFonts w:asciiTheme="majorHAnsi" w:hAnsiTheme="majorHAnsi"/>
          <w:b/>
          <w:sz w:val="20"/>
          <w:szCs w:val="20"/>
          <w:lang w:val="es-ES"/>
        </w:rPr>
        <w:t xml:space="preserve"> </w:t>
      </w:r>
      <w:r w:rsidRPr="007F3D68">
        <w:rPr>
          <w:rFonts w:asciiTheme="majorHAnsi" w:hAnsiTheme="majorHAnsi"/>
          <w:sz w:val="20"/>
          <w:szCs w:val="20"/>
          <w:lang w:val="es-ES"/>
        </w:rPr>
        <w:t>de este retorno al pasado, absolutamente inaceptable desde la perspectiva de los derechos humanos (…).</w:t>
      </w:r>
    </w:p>
    <w:p w:rsidR="000655ED" w:rsidRPr="007F3D68" w:rsidRDefault="000655ED" w:rsidP="000655ED">
      <w:pPr>
        <w:tabs>
          <w:tab w:val="left" w:pos="6010"/>
        </w:tabs>
        <w:ind w:left="720" w:right="720"/>
        <w:jc w:val="both"/>
        <w:rPr>
          <w:rFonts w:asciiTheme="majorHAnsi" w:hAnsiTheme="majorHAnsi"/>
          <w:sz w:val="20"/>
          <w:szCs w:val="20"/>
          <w:lang w:val="es-ES"/>
        </w:rPr>
      </w:pPr>
      <w:r w:rsidRPr="007F3D68">
        <w:rPr>
          <w:rFonts w:asciiTheme="majorHAnsi" w:hAnsiTheme="majorHAnsi"/>
          <w:sz w:val="20"/>
          <w:szCs w:val="20"/>
          <w:lang w:val="es-ES"/>
        </w:rPr>
        <w:tab/>
      </w:r>
    </w:p>
    <w:p w:rsidR="000655ED" w:rsidRPr="007F3D68" w:rsidRDefault="000655ED" w:rsidP="000655ED">
      <w:pPr>
        <w:ind w:left="720" w:right="720"/>
        <w:jc w:val="both"/>
        <w:rPr>
          <w:rFonts w:asciiTheme="majorHAnsi" w:hAnsiTheme="majorHAnsi"/>
          <w:sz w:val="20"/>
          <w:szCs w:val="20"/>
          <w:lang w:val="es-ES"/>
        </w:rPr>
      </w:pPr>
      <w:r w:rsidRPr="007F3D68">
        <w:rPr>
          <w:rFonts w:asciiTheme="majorHAnsi" w:hAnsiTheme="majorHAnsi"/>
          <w:sz w:val="20"/>
          <w:szCs w:val="20"/>
          <w:lang w:val="es-ES"/>
        </w:rPr>
        <w:t>(…) la introducción en el texto penal de la peligrosidad del agente como criterio para la calificación típica de los hechos y la aplicación de ciertas sanciones, es incompatible con el principio de legalidad criminal y, por ende, contrario a la Convención</w:t>
      </w:r>
      <w:r w:rsidRPr="007F3D68">
        <w:rPr>
          <w:rStyle w:val="FootnoteReference"/>
          <w:rFonts w:asciiTheme="majorHAnsi" w:hAnsiTheme="majorHAnsi"/>
          <w:sz w:val="20"/>
          <w:szCs w:val="20"/>
        </w:rPr>
        <w:footnoteReference w:id="78"/>
      </w:r>
      <w:r w:rsidRPr="007F3D68">
        <w:rPr>
          <w:rFonts w:asciiTheme="majorHAnsi" w:hAnsiTheme="majorHAnsi"/>
          <w:sz w:val="20"/>
          <w:szCs w:val="20"/>
          <w:lang w:val="es-ES"/>
        </w:rPr>
        <w:t xml:space="preserve">. </w:t>
      </w:r>
    </w:p>
    <w:p w:rsidR="00715A46" w:rsidRPr="007F3D68" w:rsidRDefault="00715A46" w:rsidP="00715A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b/>
          <w:sz w:val="20"/>
          <w:szCs w:val="20"/>
          <w:lang w:val="es-ES"/>
        </w:rPr>
      </w:pPr>
    </w:p>
    <w:p w:rsidR="0008231E" w:rsidRPr="007F3D68" w:rsidRDefault="00980623" w:rsidP="00292A1B">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s>
        <w:ind w:left="1260" w:hanging="540"/>
        <w:jc w:val="both"/>
        <w:rPr>
          <w:rFonts w:asciiTheme="majorHAnsi" w:hAnsiTheme="majorHAnsi" w:cs="Tahoma"/>
          <w:b/>
          <w:sz w:val="20"/>
          <w:szCs w:val="20"/>
          <w:lang w:val="es-VE"/>
        </w:rPr>
      </w:pPr>
      <w:r w:rsidRPr="007F3D68">
        <w:rPr>
          <w:rFonts w:asciiTheme="majorHAnsi" w:hAnsiTheme="majorHAnsi" w:cs="Tahoma"/>
          <w:b/>
          <w:sz w:val="20"/>
          <w:szCs w:val="20"/>
          <w:lang w:val="es-VE"/>
        </w:rPr>
        <w:t>Análisis del caso</w:t>
      </w:r>
    </w:p>
    <w:p w:rsidR="0008231E" w:rsidRPr="007F3D68" w:rsidRDefault="0008231E" w:rsidP="00980623">
      <w:pPr>
        <w:rPr>
          <w:sz w:val="20"/>
          <w:szCs w:val="20"/>
          <w:lang w:val="es-CL"/>
        </w:rPr>
      </w:pPr>
    </w:p>
    <w:p w:rsidR="00292A1B" w:rsidRPr="007F3D68" w:rsidRDefault="000655ED" w:rsidP="00292A1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rPr>
      </w:pPr>
      <w:r w:rsidRPr="007F3D68">
        <w:rPr>
          <w:rFonts w:asciiTheme="majorHAnsi" w:hAnsiTheme="majorHAnsi"/>
          <w:sz w:val="20"/>
          <w:szCs w:val="20"/>
          <w:lang w:val="es-ES"/>
        </w:rPr>
        <w:t xml:space="preserve">Como se describió en los hechos probados, con base en los estándares citados la Corte Interamericana declaró la incompatibilidad con la Convención Americana del artículo 132 del Código Penal guatemalteco que tipifica el asesinato y establece la pena de muerte sobre la base de la peligrosidad de la persona condenada. Concretamente, la Corte consideró que dicho artículo era violatorio del principio de legalidad en relación con el deber de adoptar disposiciones de derecho interno. </w:t>
      </w:r>
    </w:p>
    <w:p w:rsidR="00292A1B" w:rsidRPr="007F3D68" w:rsidRDefault="00292A1B" w:rsidP="00292A1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Theme="majorHAnsi" w:hAnsiTheme="majorHAnsi"/>
          <w:sz w:val="20"/>
          <w:szCs w:val="20"/>
          <w:lang w:val="es-ES"/>
        </w:rPr>
      </w:pPr>
    </w:p>
    <w:p w:rsidR="00916668" w:rsidRPr="007F3D68" w:rsidRDefault="000655ED" w:rsidP="00292A1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rPr>
      </w:pPr>
      <w:r w:rsidRPr="007F3D68">
        <w:rPr>
          <w:rFonts w:asciiTheme="majorHAnsi" w:hAnsiTheme="majorHAnsi"/>
          <w:sz w:val="20"/>
          <w:szCs w:val="20"/>
          <w:lang w:val="es-ES"/>
        </w:rPr>
        <w:t xml:space="preserve">En el presente caso, el señor </w:t>
      </w:r>
      <w:r w:rsidR="004E62B4" w:rsidRPr="007F3D68">
        <w:rPr>
          <w:rFonts w:asciiTheme="majorHAnsi" w:hAnsiTheme="majorHAnsi"/>
          <w:sz w:val="20"/>
          <w:szCs w:val="20"/>
          <w:lang w:val="es-ES"/>
        </w:rPr>
        <w:t>Valenzuela Ávila</w:t>
      </w:r>
      <w:r w:rsidR="00F5234A" w:rsidRPr="007F3D68">
        <w:rPr>
          <w:rFonts w:asciiTheme="majorHAnsi" w:hAnsiTheme="majorHAnsi"/>
          <w:sz w:val="20"/>
          <w:szCs w:val="20"/>
          <w:lang w:val="es-ES"/>
        </w:rPr>
        <w:t xml:space="preserve"> </w:t>
      </w:r>
      <w:r w:rsidRPr="007F3D68">
        <w:rPr>
          <w:rFonts w:asciiTheme="majorHAnsi" w:hAnsiTheme="majorHAnsi"/>
          <w:sz w:val="20"/>
          <w:szCs w:val="20"/>
          <w:lang w:val="es-ES"/>
        </w:rPr>
        <w:t xml:space="preserve">fue encontrado responsable penalmente por el </w:t>
      </w:r>
      <w:r w:rsidR="00B34D31">
        <w:rPr>
          <w:rFonts w:asciiTheme="majorHAnsi" w:hAnsiTheme="majorHAnsi"/>
          <w:sz w:val="20"/>
          <w:szCs w:val="20"/>
          <w:lang w:val="es-ES"/>
        </w:rPr>
        <w:t xml:space="preserve">delito de </w:t>
      </w:r>
      <w:r w:rsidRPr="007F3D68">
        <w:rPr>
          <w:rFonts w:asciiTheme="majorHAnsi" w:hAnsiTheme="majorHAnsi"/>
          <w:sz w:val="20"/>
          <w:szCs w:val="20"/>
          <w:lang w:val="es-ES"/>
        </w:rPr>
        <w:t xml:space="preserve">asesinato. </w:t>
      </w:r>
      <w:r w:rsidR="00F5234A" w:rsidRPr="007F3D68">
        <w:rPr>
          <w:rFonts w:asciiTheme="majorHAnsi" w:hAnsiTheme="majorHAnsi"/>
          <w:sz w:val="20"/>
          <w:szCs w:val="20"/>
          <w:lang w:val="es-ES"/>
        </w:rPr>
        <w:t>E</w:t>
      </w:r>
      <w:r w:rsidRPr="007F3D68">
        <w:rPr>
          <w:rFonts w:asciiTheme="majorHAnsi" w:hAnsiTheme="majorHAnsi"/>
          <w:sz w:val="20"/>
          <w:szCs w:val="20"/>
          <w:lang w:val="es-ES"/>
        </w:rPr>
        <w:t xml:space="preserve">n aplicación del artículo 132 del Código Penal que establecía textualmente el elemento de la peligrosidad como criterio para la imposición de la pena de muerte en caso de asesinato, el señor </w:t>
      </w:r>
      <w:r w:rsidR="00223356" w:rsidRPr="007F3D68">
        <w:rPr>
          <w:rFonts w:asciiTheme="majorHAnsi" w:hAnsiTheme="majorHAnsi"/>
          <w:sz w:val="20"/>
          <w:szCs w:val="20"/>
          <w:lang w:val="es-ES"/>
        </w:rPr>
        <w:t xml:space="preserve">Valenzuela Ávila </w:t>
      </w:r>
      <w:r w:rsidRPr="007F3D68">
        <w:rPr>
          <w:rFonts w:asciiTheme="majorHAnsi" w:hAnsiTheme="majorHAnsi"/>
          <w:sz w:val="20"/>
          <w:szCs w:val="20"/>
          <w:lang w:val="es-ES"/>
        </w:rPr>
        <w:t xml:space="preserve">fue condenado a dicha pena. </w:t>
      </w:r>
      <w:r w:rsidR="005A68B3" w:rsidRPr="007F3D68">
        <w:rPr>
          <w:rFonts w:asciiTheme="majorHAnsi" w:hAnsiTheme="majorHAnsi"/>
          <w:sz w:val="20"/>
          <w:szCs w:val="20"/>
          <w:lang w:val="es-ES"/>
        </w:rPr>
        <w:t xml:space="preserve">Como se indicó en la sección anterior, el uso de la noción de peligrosidad como el elemento determinante para imponer la pena de muerte, resulta en sí mismo una manifestación del derecho penal de autor, pues </w:t>
      </w:r>
      <w:r w:rsidR="00654E63" w:rsidRPr="007F3D68">
        <w:rPr>
          <w:rFonts w:asciiTheme="majorHAnsi" w:hAnsiTheme="majorHAnsi"/>
          <w:sz w:val="20"/>
          <w:szCs w:val="20"/>
          <w:lang w:val="es-ES"/>
        </w:rPr>
        <w:t xml:space="preserve">tal como estaba regulado en Guatemala, se establece una pena específica y más grave con base en las características personales del condenado y no con base en los actos por él cometidos. </w:t>
      </w:r>
    </w:p>
    <w:p w:rsidR="00916668" w:rsidRPr="007F3D68" w:rsidRDefault="00916668" w:rsidP="00916668">
      <w:pPr>
        <w:pStyle w:val="ListParagraph"/>
        <w:rPr>
          <w:rFonts w:asciiTheme="majorHAnsi" w:hAnsiTheme="majorHAnsi"/>
          <w:sz w:val="20"/>
          <w:szCs w:val="20"/>
          <w:lang w:val="es-ES"/>
        </w:rPr>
      </w:pPr>
    </w:p>
    <w:p w:rsidR="004C1607" w:rsidRPr="007F3D68" w:rsidRDefault="00916668" w:rsidP="004C160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rPr>
      </w:pPr>
      <w:r w:rsidRPr="007F3D68">
        <w:rPr>
          <w:rFonts w:asciiTheme="majorHAnsi" w:hAnsiTheme="majorHAnsi"/>
          <w:sz w:val="20"/>
          <w:szCs w:val="20"/>
          <w:lang w:val="es-ES"/>
        </w:rPr>
        <w:t>E</w:t>
      </w:r>
      <w:r w:rsidR="00654E63" w:rsidRPr="007F3D68">
        <w:rPr>
          <w:rFonts w:asciiTheme="majorHAnsi" w:hAnsiTheme="majorHAnsi"/>
          <w:sz w:val="20"/>
          <w:szCs w:val="20"/>
          <w:lang w:val="es-ES"/>
        </w:rPr>
        <w:t>n el presente caso, la autoridad judicial que impuso la pena de muerte, al momento de analizar la “peligrosidad social” hizo referencia</w:t>
      </w:r>
      <w:r w:rsidRPr="007F3D68">
        <w:rPr>
          <w:rFonts w:asciiTheme="majorHAnsi" w:hAnsiTheme="majorHAnsi"/>
          <w:sz w:val="20"/>
          <w:szCs w:val="20"/>
          <w:lang w:val="es-ES"/>
        </w:rPr>
        <w:t xml:space="preserve"> tanto a “antecedentes personales desfavorables del culpable”, como a </w:t>
      </w:r>
      <w:r w:rsidR="00654E63" w:rsidRPr="007F3D68">
        <w:rPr>
          <w:rFonts w:asciiTheme="majorHAnsi" w:hAnsiTheme="majorHAnsi"/>
          <w:sz w:val="20"/>
          <w:szCs w:val="20"/>
          <w:lang w:val="es-ES"/>
        </w:rPr>
        <w:t>las circunstanc</w:t>
      </w:r>
      <w:r w:rsidRPr="007F3D68">
        <w:rPr>
          <w:rFonts w:asciiTheme="majorHAnsi" w:hAnsiTheme="majorHAnsi"/>
          <w:sz w:val="20"/>
          <w:szCs w:val="20"/>
          <w:lang w:val="es-ES"/>
        </w:rPr>
        <w:t>ias en que se cometió el delito, así como comportamientos de la presunta víctima ya estando privada de libertad.</w:t>
      </w:r>
      <w:r w:rsidR="00DE238D" w:rsidRPr="007F3D68">
        <w:rPr>
          <w:rFonts w:asciiTheme="majorHAnsi" w:hAnsiTheme="majorHAnsi"/>
          <w:sz w:val="20"/>
          <w:szCs w:val="20"/>
          <w:lang w:val="es-ES"/>
        </w:rPr>
        <w:t xml:space="preserve"> Conforme a la legislación guatemalteca, el uso de estos elementos tuvo la finalidad </w:t>
      </w:r>
      <w:r w:rsidR="0024529F" w:rsidRPr="007F3D68">
        <w:rPr>
          <w:rFonts w:asciiTheme="majorHAnsi" w:hAnsiTheme="majorHAnsi"/>
          <w:sz w:val="20"/>
          <w:szCs w:val="20"/>
          <w:lang w:val="es-ES"/>
        </w:rPr>
        <w:t xml:space="preserve">desprender características personales del señor Valenzuela Ávila, para determinar su alto grado de peligrosidad social. </w:t>
      </w:r>
    </w:p>
    <w:p w:rsidR="004C1607" w:rsidRPr="007F3D68" w:rsidRDefault="004C1607" w:rsidP="004C1607">
      <w:pPr>
        <w:pStyle w:val="ListParagraph"/>
        <w:rPr>
          <w:rFonts w:asciiTheme="majorHAnsi" w:hAnsiTheme="majorHAnsi"/>
          <w:sz w:val="20"/>
          <w:szCs w:val="20"/>
          <w:lang w:val="es-ES"/>
        </w:rPr>
      </w:pPr>
    </w:p>
    <w:p w:rsidR="008315AB" w:rsidRPr="007F3D68" w:rsidRDefault="008315AB" w:rsidP="008315A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
        </w:rPr>
      </w:pPr>
      <w:r w:rsidRPr="007F3D68">
        <w:rPr>
          <w:rFonts w:ascii="Cambria" w:hAnsi="Cambria"/>
          <w:sz w:val="20"/>
          <w:szCs w:val="20"/>
          <w:lang w:val="es-ES"/>
        </w:rPr>
        <w:t xml:space="preserve">En cuanto a las referencias a las circunstancias en que se cometió el delito, la Comisión aclara que según el artículo 4 de la Convención Americana, la pena de muerte debe imponerse por los delitos más graves. De esta manera, el uso de circunstancias agravantes del delito para imponer dicha pena </w:t>
      </w:r>
      <w:r w:rsidR="006C56CA" w:rsidRPr="007F3D68">
        <w:rPr>
          <w:rFonts w:ascii="Cambria" w:hAnsi="Cambria"/>
          <w:sz w:val="20"/>
          <w:szCs w:val="20"/>
          <w:lang w:val="es-ES"/>
        </w:rPr>
        <w:t>no es inconsistente con la Convención</w:t>
      </w:r>
      <w:r w:rsidRPr="007F3D68">
        <w:rPr>
          <w:rFonts w:ascii="Cambria" w:hAnsi="Cambria"/>
          <w:sz w:val="20"/>
          <w:szCs w:val="20"/>
          <w:lang w:val="es-ES"/>
        </w:rPr>
        <w:t>. Si</w:t>
      </w:r>
      <w:r w:rsidR="00B34D31">
        <w:rPr>
          <w:rFonts w:ascii="Cambria" w:hAnsi="Cambria"/>
          <w:sz w:val="20"/>
          <w:szCs w:val="20"/>
          <w:lang w:val="es-ES"/>
        </w:rPr>
        <w:t xml:space="preserve">n embargo, </w:t>
      </w:r>
      <w:r w:rsidR="006C56CA" w:rsidRPr="007F3D68">
        <w:rPr>
          <w:rFonts w:ascii="Cambria" w:hAnsi="Cambria"/>
          <w:sz w:val="20"/>
          <w:szCs w:val="20"/>
          <w:lang w:val="es-ES"/>
        </w:rPr>
        <w:t>en el presente caso</w:t>
      </w:r>
      <w:r w:rsidRPr="007F3D68">
        <w:rPr>
          <w:rFonts w:ascii="Cambria" w:hAnsi="Cambria"/>
          <w:sz w:val="20"/>
          <w:szCs w:val="20"/>
          <w:lang w:val="es-ES"/>
        </w:rPr>
        <w:t xml:space="preserve">, conforme al tipo penal de asesinato, las referencias a las circunstancias en que se cometió el delito no tenían la finalidad de imponer la pena de muerte para castigar dichas circunstancias – lo cual hubiese sido contrario a la propia legislación penal - sino para desprender de dichas circunstancias, características personales del señor Valenzuela Ávila y justificar así su peligrosidad. En consecuencia, la noción de peligrosidad – en tanto manifestación del derecho penal de autor – resultó incompatible con principios esenciales en una sociedad democrática y, específicamente, con el principio de legalidad penal y de presunción de inocencia. </w:t>
      </w:r>
    </w:p>
    <w:p w:rsidR="00292A1B" w:rsidRPr="007F3D68" w:rsidRDefault="00292A1B" w:rsidP="00292A1B">
      <w:pPr>
        <w:pStyle w:val="ListParagraph"/>
        <w:rPr>
          <w:rFonts w:asciiTheme="majorHAnsi" w:hAnsiTheme="majorHAnsi"/>
          <w:sz w:val="20"/>
          <w:szCs w:val="20"/>
          <w:lang w:val="es-ES"/>
        </w:rPr>
      </w:pPr>
    </w:p>
    <w:p w:rsidR="00012301" w:rsidRPr="007F3D68" w:rsidRDefault="000655ED" w:rsidP="004F1A7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rPr>
      </w:pPr>
      <w:r w:rsidRPr="007F3D68">
        <w:rPr>
          <w:rFonts w:asciiTheme="majorHAnsi" w:hAnsiTheme="majorHAnsi"/>
          <w:sz w:val="20"/>
          <w:szCs w:val="20"/>
          <w:lang w:val="es-CL"/>
        </w:rPr>
        <w:t xml:space="preserve">En virtud de anteriores consideraciones, la Comisión concluye que el Estado de Guatemala es responsable por la violación del </w:t>
      </w:r>
      <w:r w:rsidRPr="007F3D68">
        <w:rPr>
          <w:rFonts w:asciiTheme="majorHAnsi" w:hAnsiTheme="majorHAnsi"/>
          <w:sz w:val="20"/>
          <w:szCs w:val="20"/>
          <w:lang w:val="es-ES"/>
        </w:rPr>
        <w:t>principio</w:t>
      </w:r>
      <w:r w:rsidRPr="007F3D68">
        <w:rPr>
          <w:rFonts w:asciiTheme="majorHAnsi" w:hAnsiTheme="majorHAnsi"/>
          <w:sz w:val="20"/>
          <w:szCs w:val="20"/>
          <w:lang w:val="es-CL"/>
        </w:rPr>
        <w:t xml:space="preserve"> de legalidad </w:t>
      </w:r>
      <w:r w:rsidR="007F10A3" w:rsidRPr="007F3D68">
        <w:rPr>
          <w:rFonts w:asciiTheme="majorHAnsi" w:hAnsiTheme="majorHAnsi"/>
          <w:sz w:val="20"/>
          <w:szCs w:val="20"/>
          <w:lang w:val="es-CL"/>
        </w:rPr>
        <w:t xml:space="preserve">y de presunción de inocencia </w:t>
      </w:r>
      <w:r w:rsidRPr="007F3D68">
        <w:rPr>
          <w:rFonts w:asciiTheme="majorHAnsi" w:hAnsiTheme="majorHAnsi"/>
          <w:sz w:val="20"/>
          <w:szCs w:val="20"/>
          <w:lang w:val="es-CL"/>
        </w:rPr>
        <w:t>establecido</w:t>
      </w:r>
      <w:r w:rsidR="007F10A3" w:rsidRPr="007F3D68">
        <w:rPr>
          <w:rFonts w:asciiTheme="majorHAnsi" w:hAnsiTheme="majorHAnsi"/>
          <w:sz w:val="20"/>
          <w:szCs w:val="20"/>
          <w:lang w:val="es-CL"/>
        </w:rPr>
        <w:t>s en los</w:t>
      </w:r>
      <w:r w:rsidRPr="007F3D68">
        <w:rPr>
          <w:rFonts w:asciiTheme="majorHAnsi" w:hAnsiTheme="majorHAnsi"/>
          <w:sz w:val="20"/>
          <w:szCs w:val="20"/>
          <w:lang w:val="es-CL"/>
        </w:rPr>
        <w:t xml:space="preserve"> artículo</w:t>
      </w:r>
      <w:r w:rsidR="007F10A3" w:rsidRPr="007F3D68">
        <w:rPr>
          <w:rFonts w:asciiTheme="majorHAnsi" w:hAnsiTheme="majorHAnsi"/>
          <w:sz w:val="20"/>
          <w:szCs w:val="20"/>
          <w:lang w:val="es-CL"/>
        </w:rPr>
        <w:t>s</w:t>
      </w:r>
      <w:r w:rsidRPr="007F3D68">
        <w:rPr>
          <w:rFonts w:asciiTheme="majorHAnsi" w:hAnsiTheme="majorHAnsi"/>
          <w:sz w:val="20"/>
          <w:szCs w:val="20"/>
          <w:lang w:val="es-CL"/>
        </w:rPr>
        <w:t xml:space="preserve"> 9</w:t>
      </w:r>
      <w:r w:rsidR="007F10A3" w:rsidRPr="007F3D68">
        <w:rPr>
          <w:rFonts w:asciiTheme="majorHAnsi" w:hAnsiTheme="majorHAnsi"/>
          <w:sz w:val="20"/>
          <w:szCs w:val="20"/>
          <w:lang w:val="es-CL"/>
        </w:rPr>
        <w:t xml:space="preserve"> y 8.2</w:t>
      </w:r>
      <w:r w:rsidRPr="007F3D68">
        <w:rPr>
          <w:rFonts w:asciiTheme="majorHAnsi" w:hAnsiTheme="majorHAnsi"/>
          <w:sz w:val="20"/>
          <w:szCs w:val="20"/>
          <w:lang w:val="es-CL"/>
        </w:rPr>
        <w:t xml:space="preserve"> de la Convención Americana en relación con las obligaciones establecidas en los artículos 1.1 y 2 del mismo instrumento, en perjuicio de </w:t>
      </w:r>
      <w:r w:rsidR="009C167A" w:rsidRPr="007F3D68">
        <w:rPr>
          <w:rFonts w:asciiTheme="majorHAnsi" w:hAnsiTheme="majorHAnsi"/>
          <w:sz w:val="20"/>
          <w:szCs w:val="20"/>
          <w:lang w:val="es-CL"/>
        </w:rPr>
        <w:t>Tirso Román Valenzuela Ávila</w:t>
      </w:r>
      <w:r w:rsidRPr="007F3D68">
        <w:rPr>
          <w:rFonts w:asciiTheme="majorHAnsi" w:hAnsiTheme="majorHAnsi"/>
          <w:sz w:val="20"/>
          <w:szCs w:val="20"/>
          <w:lang w:val="es-CL"/>
        </w:rPr>
        <w:t>.</w:t>
      </w:r>
    </w:p>
    <w:p w:rsidR="00391051" w:rsidRPr="007F3D68" w:rsidRDefault="00A93FDD" w:rsidP="008E793C">
      <w:pPr>
        <w:pStyle w:val="Heading3"/>
        <w:numPr>
          <w:ilvl w:val="0"/>
          <w:numId w:val="78"/>
        </w:numPr>
        <w:tabs>
          <w:tab w:val="left" w:pos="1260"/>
        </w:tabs>
        <w:ind w:hanging="1080"/>
        <w:rPr>
          <w:color w:val="auto"/>
          <w:sz w:val="20"/>
          <w:szCs w:val="20"/>
          <w:lang w:val="es-CO"/>
        </w:rPr>
      </w:pPr>
      <w:bookmarkStart w:id="95" w:name="_Toc495479556"/>
      <w:r w:rsidRPr="007F3D68">
        <w:rPr>
          <w:color w:val="auto"/>
          <w:sz w:val="20"/>
          <w:szCs w:val="20"/>
          <w:lang w:val="es-CO"/>
        </w:rPr>
        <w:lastRenderedPageBreak/>
        <w:t xml:space="preserve">Sobre el derecho </w:t>
      </w:r>
      <w:r w:rsidR="006E338A" w:rsidRPr="007F3D68">
        <w:rPr>
          <w:color w:val="auto"/>
          <w:sz w:val="20"/>
          <w:szCs w:val="20"/>
          <w:lang w:val="es-CO"/>
        </w:rPr>
        <w:t>a recurrir el fallo condenatorio</w:t>
      </w:r>
      <w:bookmarkEnd w:id="95"/>
    </w:p>
    <w:p w:rsidR="006E338A" w:rsidRPr="007F3D68" w:rsidRDefault="006E338A" w:rsidP="006E338A">
      <w:pPr>
        <w:rPr>
          <w:lang w:val="es-CO"/>
        </w:rPr>
      </w:pPr>
    </w:p>
    <w:p w:rsidR="004A2395" w:rsidRPr="007F3D68" w:rsidRDefault="004A2395" w:rsidP="00966F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rPr>
      </w:pPr>
      <w:r w:rsidRPr="007F3D68">
        <w:rPr>
          <w:rFonts w:asciiTheme="majorHAnsi" w:hAnsiTheme="majorHAnsi"/>
          <w:sz w:val="20"/>
          <w:szCs w:val="20"/>
          <w:lang w:val="es-VE"/>
        </w:rPr>
        <w:t xml:space="preserve">Un aspecto fundamental del derecho de defensa es la posibilidad de recurrir el fallo condenatorio ante juez o tribunal superior, reconocido en el artículo 8.2 h) de la </w:t>
      </w:r>
      <w:r w:rsidRPr="007F3D68">
        <w:rPr>
          <w:rFonts w:asciiTheme="majorHAnsi" w:hAnsiTheme="majorHAnsi"/>
          <w:sz w:val="20"/>
          <w:szCs w:val="20"/>
          <w:lang w:val="es-ES"/>
        </w:rPr>
        <w:t>Convención</w:t>
      </w:r>
      <w:r w:rsidRPr="007F3D68">
        <w:rPr>
          <w:rFonts w:asciiTheme="majorHAnsi" w:hAnsiTheme="majorHAnsi"/>
          <w:sz w:val="20"/>
          <w:szCs w:val="20"/>
          <w:lang w:val="es-VE"/>
        </w:rPr>
        <w:t xml:space="preserve"> Americana. A fin de que el recurso previsto en la legislación interna cumpla con esta garantía, dicho recurso: </w:t>
      </w:r>
    </w:p>
    <w:p w:rsidR="004A2395" w:rsidRPr="007F3D68" w:rsidRDefault="004A2395" w:rsidP="004A23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Theme="majorHAnsi" w:hAnsiTheme="majorHAnsi"/>
          <w:sz w:val="20"/>
          <w:szCs w:val="20"/>
          <w:lang w:val="es-CL"/>
        </w:rPr>
      </w:pPr>
    </w:p>
    <w:p w:rsidR="004A2395" w:rsidRPr="007F3D68" w:rsidRDefault="004A2395" w:rsidP="004A23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s>
        <w:ind w:left="720" w:right="720"/>
        <w:jc w:val="both"/>
        <w:rPr>
          <w:rFonts w:asciiTheme="majorHAnsi" w:hAnsiTheme="majorHAnsi"/>
          <w:sz w:val="20"/>
          <w:szCs w:val="20"/>
          <w:lang w:val="es-ES"/>
        </w:rPr>
      </w:pPr>
      <w:r w:rsidRPr="007F3D68">
        <w:rPr>
          <w:rFonts w:asciiTheme="majorHAnsi" w:hAnsiTheme="majorHAnsi"/>
          <w:sz w:val="20"/>
          <w:szCs w:val="20"/>
          <w:lang w:val="es-CL"/>
        </w:rPr>
        <w:t>(…) debe constituir un medio adecuado para procurar la corrección de una condena errónea. Ello requiere que pueda analizar las cuestiones fácticas, probatorias y jurídicas en que se basa la sentencia impugnada, puesto que en la actividad jurisdiccional existe una interdependencia entre las determinaciones fácticas y la aplicación del derecho de forma tal que una errónea determinación de los hechos implica una errada o indebida aplicación del derecho. Consecuentemente, las causales de procedencia del recurso deben posibilitar un control amplio de los aspectos impugnados de la sentencia condenatoria</w:t>
      </w:r>
      <w:r w:rsidRPr="007F3D68">
        <w:rPr>
          <w:rStyle w:val="FootnoteReference"/>
          <w:rFonts w:asciiTheme="majorHAnsi" w:hAnsiTheme="majorHAnsi"/>
          <w:sz w:val="20"/>
          <w:szCs w:val="20"/>
          <w:lang w:val="es-CL"/>
        </w:rPr>
        <w:footnoteReference w:id="79"/>
      </w:r>
      <w:r w:rsidRPr="007F3D68">
        <w:rPr>
          <w:rFonts w:asciiTheme="majorHAnsi" w:hAnsiTheme="majorHAnsi"/>
          <w:sz w:val="20"/>
          <w:szCs w:val="20"/>
          <w:lang w:val="es-CL"/>
        </w:rPr>
        <w:t xml:space="preserve">. </w:t>
      </w:r>
    </w:p>
    <w:p w:rsidR="004A2395" w:rsidRPr="007F3D68" w:rsidRDefault="004A2395" w:rsidP="004A23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535"/>
        </w:tabs>
        <w:jc w:val="both"/>
        <w:rPr>
          <w:rFonts w:asciiTheme="majorHAnsi" w:hAnsiTheme="majorHAnsi"/>
          <w:sz w:val="20"/>
          <w:szCs w:val="20"/>
          <w:lang w:val="es-CL"/>
        </w:rPr>
      </w:pPr>
      <w:r w:rsidRPr="007F3D68">
        <w:rPr>
          <w:rFonts w:asciiTheme="majorHAnsi" w:hAnsiTheme="majorHAnsi"/>
          <w:sz w:val="20"/>
          <w:szCs w:val="20"/>
          <w:lang w:val="es-CL"/>
        </w:rPr>
        <w:tab/>
      </w:r>
    </w:p>
    <w:p w:rsidR="008E793C" w:rsidRPr="007F3D68" w:rsidRDefault="004A2395" w:rsidP="008E7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rPr>
      </w:pPr>
      <w:r w:rsidRPr="007F3D68">
        <w:rPr>
          <w:rFonts w:asciiTheme="majorHAnsi" w:hAnsiTheme="majorHAnsi"/>
          <w:sz w:val="20"/>
          <w:szCs w:val="20"/>
          <w:lang w:val="es-CL"/>
        </w:rPr>
        <w:t>Por su parte, la CIDH ha indicado que “</w:t>
      </w:r>
      <w:r w:rsidRPr="007F3D68">
        <w:rPr>
          <w:rFonts w:asciiTheme="majorHAnsi" w:hAnsiTheme="majorHAnsi"/>
          <w:sz w:val="20"/>
          <w:szCs w:val="20"/>
          <w:lang w:val="es-CO"/>
        </w:rPr>
        <w:t xml:space="preserve">el derecho a recurrir no implica necesariamente </w:t>
      </w:r>
      <w:r w:rsidRPr="007F3D68">
        <w:rPr>
          <w:rFonts w:asciiTheme="majorHAnsi" w:hAnsiTheme="majorHAnsi"/>
          <w:sz w:val="20"/>
          <w:szCs w:val="20"/>
          <w:lang w:val="es-ES_tradnl"/>
        </w:rPr>
        <w:t xml:space="preserve">un nuevo juicio o una nueva “audiencia”, siempre que el tribunal que realiza la </w:t>
      </w:r>
      <w:r w:rsidRPr="007F3D68">
        <w:rPr>
          <w:rFonts w:asciiTheme="majorHAnsi" w:hAnsiTheme="majorHAnsi" w:cs="Times-Roman"/>
          <w:sz w:val="20"/>
          <w:szCs w:val="20"/>
          <w:lang w:val="es-ES_tradnl" w:bidi="en-US"/>
        </w:rPr>
        <w:t xml:space="preserve">revisión no esté impedido de </w:t>
      </w:r>
      <w:r w:rsidRPr="007F3D68">
        <w:rPr>
          <w:rFonts w:asciiTheme="majorHAnsi" w:hAnsiTheme="majorHAnsi"/>
          <w:sz w:val="20"/>
          <w:szCs w:val="20"/>
          <w:lang w:val="es-ES_tradnl"/>
        </w:rPr>
        <w:t>estudiar los hechos de la causa</w:t>
      </w:r>
      <w:r w:rsidRPr="007F3D68">
        <w:rPr>
          <w:rStyle w:val="FootnoteReference"/>
          <w:rFonts w:asciiTheme="majorHAnsi" w:hAnsiTheme="majorHAnsi"/>
          <w:sz w:val="20"/>
          <w:szCs w:val="20"/>
          <w:lang w:val="es-ES_tradnl"/>
        </w:rPr>
        <w:footnoteReference w:id="80"/>
      </w:r>
      <w:r w:rsidRPr="007F3D68">
        <w:rPr>
          <w:rFonts w:asciiTheme="majorHAnsi" w:hAnsiTheme="majorHAnsi"/>
          <w:sz w:val="20"/>
          <w:szCs w:val="20"/>
          <w:lang w:val="es-ES_tradnl"/>
        </w:rPr>
        <w:t xml:space="preserve">. Lo que exige la norma es la posibilidad de señalar y obtener respuesta sobre errores que hubiera podido </w:t>
      </w:r>
      <w:r w:rsidRPr="007F3D68">
        <w:rPr>
          <w:rFonts w:asciiTheme="majorHAnsi" w:hAnsiTheme="majorHAnsi"/>
          <w:sz w:val="20"/>
          <w:szCs w:val="20"/>
          <w:lang w:val="es-CL"/>
        </w:rPr>
        <w:t>cometer</w:t>
      </w:r>
      <w:r w:rsidRPr="007F3D68">
        <w:rPr>
          <w:rFonts w:asciiTheme="majorHAnsi" w:hAnsiTheme="majorHAnsi"/>
          <w:sz w:val="20"/>
          <w:szCs w:val="20"/>
          <w:lang w:val="es-ES_tradnl"/>
        </w:rPr>
        <w:t xml:space="preserve"> el juez o tribunal, sin excluir </w:t>
      </w:r>
      <w:r w:rsidRPr="007F3D68">
        <w:rPr>
          <w:rFonts w:asciiTheme="majorHAnsi" w:hAnsiTheme="majorHAnsi"/>
          <w:i/>
          <w:sz w:val="20"/>
          <w:szCs w:val="20"/>
          <w:lang w:val="es-ES_tradnl"/>
        </w:rPr>
        <w:t>a priori</w:t>
      </w:r>
      <w:r w:rsidRPr="007F3D68">
        <w:rPr>
          <w:rFonts w:asciiTheme="majorHAnsi" w:hAnsiTheme="majorHAnsi"/>
          <w:sz w:val="20"/>
          <w:szCs w:val="20"/>
          <w:lang w:val="es-ES_tradnl"/>
        </w:rPr>
        <w:t xml:space="preserve"> ciertas categorías como los hechos y la valoración y recepción de la prueba</w:t>
      </w:r>
      <w:r w:rsidRPr="007F3D68">
        <w:rPr>
          <w:rStyle w:val="FootnoteReference"/>
          <w:rFonts w:asciiTheme="majorHAnsi" w:hAnsiTheme="majorHAnsi"/>
          <w:sz w:val="20"/>
          <w:szCs w:val="20"/>
          <w:lang w:val="es-ES_tradnl"/>
        </w:rPr>
        <w:footnoteReference w:id="81"/>
      </w:r>
      <w:r w:rsidRPr="007F3D68">
        <w:rPr>
          <w:rFonts w:asciiTheme="majorHAnsi" w:hAnsiTheme="majorHAnsi"/>
          <w:sz w:val="20"/>
          <w:szCs w:val="20"/>
          <w:lang w:val="es-ES_tradnl"/>
        </w:rPr>
        <w:t>.</w:t>
      </w:r>
    </w:p>
    <w:p w:rsidR="008E793C" w:rsidRPr="007F3D68" w:rsidRDefault="008E793C" w:rsidP="008E79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Theme="majorHAnsi" w:hAnsiTheme="majorHAnsi"/>
          <w:sz w:val="20"/>
          <w:szCs w:val="20"/>
          <w:lang w:val="es-ES"/>
        </w:rPr>
      </w:pPr>
    </w:p>
    <w:p w:rsidR="008E793C" w:rsidRPr="007F3D68" w:rsidRDefault="00064A20" w:rsidP="008E7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rPr>
      </w:pPr>
      <w:r w:rsidRPr="007F3D68">
        <w:rPr>
          <w:rFonts w:asciiTheme="majorHAnsi" w:hAnsiTheme="majorHAnsi"/>
          <w:sz w:val="20"/>
          <w:szCs w:val="20"/>
          <w:lang w:val="es-CL"/>
        </w:rPr>
        <w:t>L</w:t>
      </w:r>
      <w:r w:rsidR="000E3B73" w:rsidRPr="007F3D68">
        <w:rPr>
          <w:rFonts w:asciiTheme="majorHAnsi" w:hAnsiTheme="majorHAnsi"/>
          <w:sz w:val="20"/>
          <w:szCs w:val="20"/>
          <w:lang w:val="es-CL"/>
        </w:rPr>
        <w:t xml:space="preserve">a Comisión recuerda que la </w:t>
      </w:r>
      <w:r w:rsidR="00170D7D" w:rsidRPr="007F3D68">
        <w:rPr>
          <w:rFonts w:asciiTheme="majorHAnsi" w:hAnsiTheme="majorHAnsi"/>
          <w:sz w:val="20"/>
          <w:szCs w:val="20"/>
          <w:lang w:val="es-CL"/>
        </w:rPr>
        <w:t xml:space="preserve">defensa de la </w:t>
      </w:r>
      <w:r w:rsidR="000E3B73" w:rsidRPr="007F3D68">
        <w:rPr>
          <w:rFonts w:asciiTheme="majorHAnsi" w:hAnsiTheme="majorHAnsi"/>
          <w:sz w:val="20"/>
          <w:szCs w:val="20"/>
          <w:lang w:val="es-CL"/>
        </w:rPr>
        <w:t xml:space="preserve">presunta víctima interpuso un recurso de apelación especial en contra de la sentencia que lo condenó a la pena de muerte, alegando, </w:t>
      </w:r>
      <w:r w:rsidR="00170D7D" w:rsidRPr="007F3D68">
        <w:rPr>
          <w:rFonts w:asciiTheme="majorHAnsi" w:hAnsiTheme="majorHAnsi"/>
          <w:sz w:val="20"/>
          <w:szCs w:val="20"/>
          <w:lang w:val="es-CL"/>
        </w:rPr>
        <w:t>vicios tanto de forma como de fondo. L</w:t>
      </w:r>
      <w:r w:rsidR="000E3B73" w:rsidRPr="007F3D68">
        <w:rPr>
          <w:rFonts w:asciiTheme="majorHAnsi" w:hAnsiTheme="majorHAnsi"/>
          <w:sz w:val="20"/>
          <w:szCs w:val="20"/>
          <w:lang w:val="es-CL"/>
        </w:rPr>
        <w:t>a Sala</w:t>
      </w:r>
      <w:r w:rsidR="00170D7D" w:rsidRPr="007F3D68">
        <w:rPr>
          <w:rFonts w:asciiTheme="majorHAnsi" w:hAnsiTheme="majorHAnsi"/>
          <w:sz w:val="20"/>
          <w:szCs w:val="20"/>
          <w:lang w:val="es-CL"/>
        </w:rPr>
        <w:t xml:space="preserve"> rechazó el recurso interpuesto </w:t>
      </w:r>
      <w:r w:rsidR="00267BAC" w:rsidRPr="007F3D68">
        <w:rPr>
          <w:rFonts w:asciiTheme="majorHAnsi" w:hAnsiTheme="majorHAnsi"/>
          <w:sz w:val="20"/>
          <w:szCs w:val="20"/>
          <w:lang w:val="es-CL"/>
        </w:rPr>
        <w:t>invocando deficiencias en la formulación de los car</w:t>
      </w:r>
      <w:r w:rsidR="000457C7" w:rsidRPr="007F3D68">
        <w:rPr>
          <w:rFonts w:asciiTheme="majorHAnsi" w:hAnsiTheme="majorHAnsi"/>
          <w:sz w:val="20"/>
          <w:szCs w:val="20"/>
          <w:lang w:val="es-CL"/>
        </w:rPr>
        <w:t>g</w:t>
      </w:r>
      <w:r w:rsidR="00267BAC" w:rsidRPr="007F3D68">
        <w:rPr>
          <w:rFonts w:asciiTheme="majorHAnsi" w:hAnsiTheme="majorHAnsi"/>
          <w:sz w:val="20"/>
          <w:szCs w:val="20"/>
          <w:lang w:val="es-CL"/>
        </w:rPr>
        <w:t>os. Asimismo, como se indicó en los hechos probados, en varias oportunidades la Sala hace referencia, como sustento de la improcedencia de lo alegado, a que lo que realmente pretende la defensa es cuestionar el contenido de diversos elementos probatorios, in</w:t>
      </w:r>
      <w:r w:rsidR="000457C7" w:rsidRPr="007F3D68">
        <w:rPr>
          <w:rFonts w:asciiTheme="majorHAnsi" w:hAnsiTheme="majorHAnsi"/>
          <w:sz w:val="20"/>
          <w:szCs w:val="20"/>
          <w:lang w:val="es-CL"/>
        </w:rPr>
        <w:t>cluyendo testimonios y pericias, así como la valoración de las mismas.</w:t>
      </w:r>
      <w:r w:rsidR="00267BAC" w:rsidRPr="007F3D68">
        <w:rPr>
          <w:rFonts w:asciiTheme="majorHAnsi" w:hAnsiTheme="majorHAnsi"/>
          <w:sz w:val="20"/>
          <w:szCs w:val="20"/>
          <w:lang w:val="es-CL"/>
        </w:rPr>
        <w:t xml:space="preserve"> </w:t>
      </w:r>
    </w:p>
    <w:p w:rsidR="008E793C" w:rsidRPr="007F3D68" w:rsidRDefault="008E793C" w:rsidP="008E793C">
      <w:pPr>
        <w:pStyle w:val="ListParagraph"/>
        <w:rPr>
          <w:rFonts w:asciiTheme="majorHAnsi" w:hAnsiTheme="majorHAnsi"/>
          <w:sz w:val="20"/>
          <w:szCs w:val="20"/>
          <w:lang w:val="es-CL"/>
        </w:rPr>
      </w:pPr>
    </w:p>
    <w:p w:rsidR="008E793C" w:rsidRPr="007F3D68" w:rsidRDefault="000E3B73" w:rsidP="008E7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rPr>
      </w:pPr>
      <w:r w:rsidRPr="007F3D68">
        <w:rPr>
          <w:rFonts w:asciiTheme="majorHAnsi" w:hAnsiTheme="majorHAnsi"/>
          <w:sz w:val="20"/>
          <w:szCs w:val="20"/>
          <w:lang w:val="es-CL"/>
        </w:rPr>
        <w:t>Conforme al artículo 419 del Código de Procedimiento Penal “(…) el recurso especial de apelación sólo podrá hacerse valer cuando la sentencia contenga cualquiera de los siguientes vicios: 1) De fondo: inobservancia, interpretación indebida o errónea aplicación de la ley. 2) De forma: Inobservancia o errónea aplicación de la ley que constituya un defecto del procedimiento. En este caso, el recurso sólo será admisible si el interesado ha reclamado oportunamente su subsanación o hecho protesta de anulación, salvo en los casos del artículo siguiente”.</w:t>
      </w:r>
      <w:r w:rsidR="000457C7" w:rsidRPr="007F3D68">
        <w:rPr>
          <w:rFonts w:asciiTheme="majorHAnsi" w:hAnsiTheme="majorHAnsi"/>
          <w:sz w:val="20"/>
          <w:szCs w:val="20"/>
          <w:lang w:val="es-ES"/>
        </w:rPr>
        <w:t xml:space="preserve"> </w:t>
      </w:r>
      <w:r w:rsidRPr="007F3D68">
        <w:rPr>
          <w:rFonts w:asciiTheme="majorHAnsi" w:hAnsiTheme="majorHAnsi"/>
          <w:sz w:val="20"/>
          <w:szCs w:val="20"/>
          <w:lang w:val="es-CL"/>
        </w:rPr>
        <w:t xml:space="preserve">Asimismo, el artículo 430 del mismo Código, al referirse a la sentencia de apelación especial, establecía el principio de intangibilidad de la prueba en los siguientes términos: “la sentencia no podrá en ningún caso hacer mérito de la prueba o de los hechos que se declaren probados conforme a las reglas de la sana crítica razonada. Únicamente podrá referirse a ellos para la aplicación de la ley substantiva cuando exista manifiesta contradicción en la sentencia recurrida”. </w:t>
      </w:r>
    </w:p>
    <w:p w:rsidR="008E793C" w:rsidRPr="007F3D68" w:rsidRDefault="008E793C" w:rsidP="008E793C">
      <w:pPr>
        <w:pStyle w:val="ListParagraph"/>
        <w:rPr>
          <w:rFonts w:asciiTheme="majorHAnsi" w:hAnsiTheme="majorHAnsi"/>
          <w:sz w:val="20"/>
          <w:szCs w:val="20"/>
          <w:lang w:val="es-CL"/>
        </w:rPr>
      </w:pPr>
    </w:p>
    <w:p w:rsidR="008E793C" w:rsidRPr="007F3D68" w:rsidRDefault="000E3B73" w:rsidP="008E7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rPr>
      </w:pPr>
      <w:r w:rsidRPr="007F3D68">
        <w:rPr>
          <w:rFonts w:asciiTheme="majorHAnsi" w:hAnsiTheme="majorHAnsi"/>
          <w:sz w:val="20"/>
          <w:szCs w:val="20"/>
          <w:lang w:val="es-CL"/>
        </w:rPr>
        <w:t>La Comisión recuerda que conforme a los estándares descritos, no se satisface el derecho al recurrir el fallo cuando están excluidas de verificación ciertas categorías como los hechos y la valoración de la prueba, como ocurrió en el presente caso. La Comisión observa que la manera en que decidió el tribunal de segunda instancia en el caso resulta de la propia forma en que está regulado el recurso de apelación, con motivos limitados a errores de derecho o de procedimiento, pero excluyendo del análisis, como regla general, la revisión de los hechos y la valoración de la prueba.</w:t>
      </w:r>
    </w:p>
    <w:p w:rsidR="008E793C" w:rsidRPr="007F3D68" w:rsidRDefault="008E793C" w:rsidP="008E793C">
      <w:pPr>
        <w:pStyle w:val="ListParagraph"/>
        <w:rPr>
          <w:rFonts w:asciiTheme="majorHAnsi" w:hAnsiTheme="majorHAnsi"/>
          <w:sz w:val="20"/>
          <w:szCs w:val="20"/>
          <w:lang w:val="es-CO"/>
        </w:rPr>
      </w:pPr>
    </w:p>
    <w:p w:rsidR="008E793C" w:rsidRPr="007F3D68" w:rsidRDefault="009A30A5" w:rsidP="008E79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rPr>
      </w:pPr>
      <w:r w:rsidRPr="007F3D68">
        <w:rPr>
          <w:rFonts w:asciiTheme="majorHAnsi" w:hAnsiTheme="majorHAnsi"/>
          <w:sz w:val="20"/>
          <w:szCs w:val="20"/>
          <w:lang w:val="es-CO"/>
        </w:rPr>
        <w:lastRenderedPageBreak/>
        <w:t>E</w:t>
      </w:r>
      <w:r w:rsidR="003363EF" w:rsidRPr="007F3D68">
        <w:rPr>
          <w:rFonts w:asciiTheme="majorHAnsi" w:hAnsiTheme="majorHAnsi"/>
          <w:sz w:val="20"/>
          <w:szCs w:val="20"/>
          <w:lang w:val="es-CO"/>
        </w:rPr>
        <w:t xml:space="preserve">l señor Valenzuela Ávila, además de no contar con la posibilidad de recurrir el fallo condenatorio conforme a las exigencias del artículo 8.2 h) de la Convención, </w:t>
      </w:r>
      <w:r w:rsidR="00896A8D" w:rsidRPr="007F3D68">
        <w:rPr>
          <w:rFonts w:asciiTheme="majorHAnsi" w:hAnsiTheme="majorHAnsi"/>
          <w:sz w:val="20"/>
          <w:szCs w:val="20"/>
          <w:lang w:val="es-CO"/>
        </w:rPr>
        <w:t xml:space="preserve">tampoco contó con un recurso efectivo, ni en apelación ni en casación, para impugnar la condena a muerte a la luz de los estándares de la Convención Americana. </w:t>
      </w:r>
    </w:p>
    <w:p w:rsidR="008E793C" w:rsidRPr="007F3D68" w:rsidRDefault="008E793C" w:rsidP="008E793C">
      <w:pPr>
        <w:pStyle w:val="ListParagraph"/>
        <w:rPr>
          <w:rFonts w:asciiTheme="majorHAnsi" w:hAnsiTheme="majorHAnsi"/>
          <w:sz w:val="20"/>
          <w:szCs w:val="20"/>
          <w:lang w:val="es-CL"/>
        </w:rPr>
      </w:pPr>
    </w:p>
    <w:p w:rsidR="00966FD8" w:rsidRPr="007F3D68" w:rsidRDefault="000757B2" w:rsidP="00966F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ES"/>
        </w:rPr>
      </w:pPr>
      <w:r w:rsidRPr="007F3D68">
        <w:rPr>
          <w:rFonts w:asciiTheme="majorHAnsi" w:hAnsiTheme="majorHAnsi"/>
          <w:sz w:val="20"/>
          <w:szCs w:val="20"/>
          <w:lang w:val="es-CL"/>
        </w:rPr>
        <w:t>En virtud de anteriores consideraciones, la Comisión concluye que el Estado de Guatemala es responsable por la violación del</w:t>
      </w:r>
      <w:r w:rsidR="00ED6A09" w:rsidRPr="007F3D68">
        <w:rPr>
          <w:rFonts w:asciiTheme="majorHAnsi" w:hAnsiTheme="majorHAnsi"/>
          <w:sz w:val="20"/>
          <w:szCs w:val="20"/>
          <w:lang w:val="es-CL"/>
        </w:rPr>
        <w:t xml:space="preserve"> derecho a recurrir el fallo</w:t>
      </w:r>
      <w:r w:rsidR="009A30A5" w:rsidRPr="007F3D68">
        <w:rPr>
          <w:rFonts w:asciiTheme="majorHAnsi" w:hAnsiTheme="majorHAnsi"/>
          <w:sz w:val="20"/>
          <w:szCs w:val="20"/>
          <w:lang w:val="es-CL"/>
        </w:rPr>
        <w:t xml:space="preserve"> y a la protección judicial,</w:t>
      </w:r>
      <w:r w:rsidR="00ED6A09" w:rsidRPr="007F3D68">
        <w:rPr>
          <w:rFonts w:asciiTheme="majorHAnsi" w:hAnsiTheme="majorHAnsi"/>
          <w:sz w:val="20"/>
          <w:szCs w:val="20"/>
          <w:lang w:val="es-CL"/>
        </w:rPr>
        <w:t xml:space="preserve"> establecido</w:t>
      </w:r>
      <w:r w:rsidR="009A30A5" w:rsidRPr="007F3D68">
        <w:rPr>
          <w:rFonts w:asciiTheme="majorHAnsi" w:hAnsiTheme="majorHAnsi"/>
          <w:sz w:val="20"/>
          <w:szCs w:val="20"/>
          <w:lang w:val="es-CL"/>
        </w:rPr>
        <w:t>s</w:t>
      </w:r>
      <w:r w:rsidR="00ED6A09" w:rsidRPr="007F3D68">
        <w:rPr>
          <w:rFonts w:asciiTheme="majorHAnsi" w:hAnsiTheme="majorHAnsi"/>
          <w:sz w:val="20"/>
          <w:szCs w:val="20"/>
          <w:lang w:val="es-CL"/>
        </w:rPr>
        <w:t xml:space="preserve"> en el artículo 8.2 h) </w:t>
      </w:r>
      <w:r w:rsidR="009A30A5" w:rsidRPr="007F3D68">
        <w:rPr>
          <w:rFonts w:asciiTheme="majorHAnsi" w:hAnsiTheme="majorHAnsi"/>
          <w:sz w:val="20"/>
          <w:szCs w:val="20"/>
          <w:lang w:val="es-CL"/>
        </w:rPr>
        <w:t xml:space="preserve">y 25.1 </w:t>
      </w:r>
      <w:r w:rsidR="00ED6A09" w:rsidRPr="007F3D68">
        <w:rPr>
          <w:rFonts w:asciiTheme="majorHAnsi" w:hAnsiTheme="majorHAnsi"/>
          <w:sz w:val="20"/>
          <w:szCs w:val="20"/>
          <w:lang w:val="es-CL"/>
        </w:rPr>
        <w:t xml:space="preserve">de la Convención Americana </w:t>
      </w:r>
      <w:r w:rsidRPr="007F3D68">
        <w:rPr>
          <w:rFonts w:asciiTheme="majorHAnsi" w:hAnsiTheme="majorHAnsi"/>
          <w:sz w:val="20"/>
          <w:szCs w:val="20"/>
          <w:lang w:val="es-CL"/>
        </w:rPr>
        <w:t>en relación con las obligaciones establecidas en los artículos 1.1 y 2 del mismo instrumento, en perjuicio de Tirso Román Valenzuela Ávila.</w:t>
      </w:r>
    </w:p>
    <w:p w:rsidR="006D1B01" w:rsidRPr="007F3D68" w:rsidRDefault="000457C7" w:rsidP="008224EA">
      <w:pPr>
        <w:pStyle w:val="Heading3"/>
        <w:numPr>
          <w:ilvl w:val="0"/>
          <w:numId w:val="78"/>
        </w:numPr>
        <w:tabs>
          <w:tab w:val="left" w:pos="1260"/>
        </w:tabs>
        <w:ind w:hanging="1080"/>
        <w:rPr>
          <w:color w:val="auto"/>
          <w:sz w:val="20"/>
          <w:szCs w:val="20"/>
          <w:lang w:val="es-CO"/>
        </w:rPr>
      </w:pPr>
      <w:bookmarkStart w:id="96" w:name="_Toc495479557"/>
      <w:r w:rsidRPr="007F3D68">
        <w:rPr>
          <w:color w:val="auto"/>
          <w:sz w:val="20"/>
          <w:szCs w:val="20"/>
          <w:lang w:val="es-CO"/>
        </w:rPr>
        <w:t xml:space="preserve">Sobre la </w:t>
      </w:r>
      <w:proofErr w:type="spellStart"/>
      <w:r w:rsidRPr="007F3D68">
        <w:rPr>
          <w:color w:val="auto"/>
          <w:sz w:val="20"/>
          <w:szCs w:val="20"/>
          <w:lang w:val="es-CO"/>
        </w:rPr>
        <w:t>inconvencionalidad</w:t>
      </w:r>
      <w:proofErr w:type="spellEnd"/>
      <w:r w:rsidR="006D1B01" w:rsidRPr="007F3D68">
        <w:rPr>
          <w:color w:val="auto"/>
          <w:sz w:val="20"/>
          <w:szCs w:val="20"/>
          <w:lang w:val="es-CO"/>
        </w:rPr>
        <w:t xml:space="preserve"> de la imposición de la pena de muerte</w:t>
      </w:r>
      <w:bookmarkEnd w:id="96"/>
    </w:p>
    <w:p w:rsidR="006D1B01" w:rsidRPr="007F3D68" w:rsidRDefault="006D1B01" w:rsidP="004F1A79">
      <w:pPr>
        <w:rPr>
          <w:lang w:val="es-CO"/>
        </w:rPr>
      </w:pPr>
    </w:p>
    <w:p w:rsidR="008224EA" w:rsidRPr="007F3D68" w:rsidRDefault="006D1B01" w:rsidP="008224E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sz w:val="20"/>
          <w:szCs w:val="20"/>
          <w:lang w:val="es-CL"/>
        </w:rPr>
      </w:pPr>
      <w:r w:rsidRPr="007F3D68">
        <w:rPr>
          <w:rFonts w:asciiTheme="majorHAnsi" w:hAnsiTheme="majorHAnsi"/>
          <w:sz w:val="20"/>
          <w:szCs w:val="20"/>
          <w:lang w:val="es-CL"/>
        </w:rPr>
        <w:t>Tanto</w:t>
      </w:r>
      <w:r w:rsidRPr="007F3D68">
        <w:rPr>
          <w:rFonts w:asciiTheme="majorHAnsi" w:hAnsiTheme="majorHAnsi"/>
          <w:sz w:val="20"/>
          <w:szCs w:val="20"/>
          <w:lang w:val="es-VE"/>
        </w:rPr>
        <w:t xml:space="preserve"> la Corte como la Comisión Interamericana han indicado que la imposición de la pena de muerte debe ceñirse a lo dispuesto en el artículo 4.2 de la Convención Americana, es decir que únicamente puede imponerse para los </w:t>
      </w:r>
      <w:r w:rsidRPr="007F3D68">
        <w:rPr>
          <w:sz w:val="20"/>
          <w:szCs w:val="20"/>
          <w:lang w:val="es-CL"/>
        </w:rPr>
        <w:t>delitos</w:t>
      </w:r>
      <w:r w:rsidRPr="007F3D68">
        <w:rPr>
          <w:rFonts w:asciiTheme="majorHAnsi" w:hAnsiTheme="majorHAnsi"/>
          <w:sz w:val="20"/>
          <w:szCs w:val="20"/>
          <w:lang w:val="es-VE"/>
        </w:rPr>
        <w:t xml:space="preserve"> más graves</w:t>
      </w:r>
      <w:r w:rsidRPr="007F3D68">
        <w:rPr>
          <w:rStyle w:val="FootnoteReference"/>
          <w:rFonts w:asciiTheme="majorHAnsi" w:hAnsiTheme="majorHAnsi"/>
          <w:sz w:val="20"/>
          <w:szCs w:val="20"/>
          <w:lang w:val="es-VE"/>
        </w:rPr>
        <w:footnoteReference w:id="82"/>
      </w:r>
      <w:r w:rsidRPr="007F3D68">
        <w:rPr>
          <w:rFonts w:asciiTheme="majorHAnsi" w:hAnsiTheme="majorHAnsi"/>
          <w:sz w:val="20"/>
          <w:szCs w:val="20"/>
          <w:lang w:val="es-VE"/>
        </w:rPr>
        <w:t xml:space="preserve"> y no puede extenderse su uso al futuro para delitos para los cuales no estaba prevista en el momento de ratificación de la Convención Americana</w:t>
      </w:r>
      <w:r w:rsidRPr="007F3D68">
        <w:rPr>
          <w:rStyle w:val="FootnoteReference"/>
          <w:rFonts w:asciiTheme="majorHAnsi" w:hAnsiTheme="majorHAnsi"/>
          <w:sz w:val="20"/>
          <w:szCs w:val="20"/>
          <w:lang w:val="es-VE"/>
        </w:rPr>
        <w:footnoteReference w:id="83"/>
      </w:r>
      <w:r w:rsidRPr="007F3D68">
        <w:rPr>
          <w:rFonts w:asciiTheme="majorHAnsi" w:hAnsiTheme="majorHAnsi"/>
          <w:sz w:val="20"/>
          <w:szCs w:val="20"/>
          <w:lang w:val="es-VE"/>
        </w:rPr>
        <w:t>. Asimismo, del propio texto y de la interpretación que del mismo ha realizado la CIDH, resulta que la imposición de la pena de muerte en el marco de procesos que vulneren el debido proceso produce una violación del artículo 4.2 de la Convención Americana</w:t>
      </w:r>
      <w:r w:rsidRPr="007F3D68">
        <w:rPr>
          <w:rStyle w:val="FootnoteReference"/>
          <w:rFonts w:asciiTheme="majorHAnsi" w:hAnsiTheme="majorHAnsi"/>
          <w:sz w:val="20"/>
          <w:szCs w:val="20"/>
          <w:lang w:val="es-VE"/>
        </w:rPr>
        <w:footnoteReference w:id="84"/>
      </w:r>
      <w:r w:rsidRPr="007F3D68">
        <w:rPr>
          <w:rFonts w:asciiTheme="majorHAnsi" w:hAnsiTheme="majorHAnsi"/>
          <w:sz w:val="20"/>
          <w:szCs w:val="20"/>
          <w:lang w:val="es-VE"/>
        </w:rPr>
        <w:t xml:space="preserve">. </w:t>
      </w:r>
    </w:p>
    <w:p w:rsidR="008224EA" w:rsidRPr="007F3D68" w:rsidRDefault="008224EA" w:rsidP="008224E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sz w:val="20"/>
          <w:szCs w:val="20"/>
          <w:lang w:val="es-CL"/>
        </w:rPr>
      </w:pPr>
    </w:p>
    <w:p w:rsidR="008224EA" w:rsidRPr="007F3D68" w:rsidRDefault="006D1B01" w:rsidP="008224E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sz w:val="20"/>
          <w:szCs w:val="20"/>
          <w:lang w:val="es-CL"/>
        </w:rPr>
      </w:pPr>
      <w:r w:rsidRPr="007F3D68">
        <w:rPr>
          <w:rFonts w:asciiTheme="majorHAnsi" w:hAnsiTheme="majorHAnsi"/>
          <w:sz w:val="20"/>
          <w:szCs w:val="20"/>
          <w:lang w:val="es-CL"/>
        </w:rPr>
        <w:t xml:space="preserve">La Comisión ya estableció en el presente informe que en el proceso que culminó con la imposición de la pena de muerte a </w:t>
      </w:r>
      <w:r w:rsidR="00173203" w:rsidRPr="007F3D68">
        <w:rPr>
          <w:rFonts w:asciiTheme="majorHAnsi" w:hAnsiTheme="majorHAnsi"/>
          <w:sz w:val="20"/>
          <w:szCs w:val="20"/>
          <w:lang w:val="es-CL"/>
        </w:rPr>
        <w:t>Tirso Román Valenzuela Ávila</w:t>
      </w:r>
      <w:r w:rsidRPr="007F3D68">
        <w:rPr>
          <w:rFonts w:asciiTheme="majorHAnsi" w:hAnsiTheme="majorHAnsi"/>
          <w:sz w:val="20"/>
          <w:szCs w:val="20"/>
          <w:lang w:val="es-CL"/>
        </w:rPr>
        <w:t>: i) se aplicó una norma incompatible con el principio de legalidad penal</w:t>
      </w:r>
      <w:r w:rsidR="00173203" w:rsidRPr="007F3D68">
        <w:rPr>
          <w:rFonts w:asciiTheme="majorHAnsi" w:hAnsiTheme="majorHAnsi"/>
          <w:sz w:val="20"/>
          <w:szCs w:val="20"/>
          <w:lang w:val="es-CL"/>
        </w:rPr>
        <w:t xml:space="preserve"> y presunción de inocencia</w:t>
      </w:r>
      <w:r w:rsidRPr="007F3D68">
        <w:rPr>
          <w:rFonts w:asciiTheme="majorHAnsi" w:hAnsiTheme="majorHAnsi"/>
          <w:sz w:val="20"/>
          <w:szCs w:val="20"/>
          <w:lang w:val="es-CL"/>
        </w:rPr>
        <w:t xml:space="preserve"> al establecer como criterio para imponer dicha pena la peligrosidad futura del condenado; y ii) se violó el derecho </w:t>
      </w:r>
      <w:r w:rsidR="00173203" w:rsidRPr="007F3D68">
        <w:rPr>
          <w:rFonts w:asciiTheme="majorHAnsi" w:hAnsiTheme="majorHAnsi"/>
          <w:sz w:val="20"/>
          <w:szCs w:val="20"/>
          <w:lang w:val="es-CL"/>
        </w:rPr>
        <w:t>a recurrir el fallo</w:t>
      </w:r>
      <w:r w:rsidRPr="007F3D68">
        <w:rPr>
          <w:rFonts w:asciiTheme="majorHAnsi" w:hAnsiTheme="majorHAnsi"/>
          <w:sz w:val="20"/>
          <w:szCs w:val="20"/>
          <w:lang w:val="es-CL"/>
        </w:rPr>
        <w:t xml:space="preserve">. </w:t>
      </w:r>
    </w:p>
    <w:p w:rsidR="008224EA" w:rsidRPr="007F3D68" w:rsidRDefault="008224EA" w:rsidP="008224EA">
      <w:pPr>
        <w:pStyle w:val="ListParagraph"/>
        <w:rPr>
          <w:rFonts w:asciiTheme="majorHAnsi" w:hAnsiTheme="majorHAnsi"/>
          <w:sz w:val="20"/>
          <w:szCs w:val="20"/>
          <w:lang w:val="es-CL"/>
        </w:rPr>
      </w:pPr>
    </w:p>
    <w:p w:rsidR="006D1B01" w:rsidRPr="007F3D68" w:rsidRDefault="006D1B01" w:rsidP="008224E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sz w:val="20"/>
          <w:szCs w:val="20"/>
          <w:lang w:val="es-CL"/>
        </w:rPr>
      </w:pPr>
      <w:r w:rsidRPr="007F3D68">
        <w:rPr>
          <w:rFonts w:asciiTheme="majorHAnsi" w:hAnsiTheme="majorHAnsi"/>
          <w:sz w:val="20"/>
          <w:szCs w:val="20"/>
          <w:lang w:val="es-CL"/>
        </w:rPr>
        <w:t>En virtud de lo anterior, la Comisión concluye que la imposición de la pena de muerte fue contraria a la Convención Americana</w:t>
      </w:r>
      <w:r w:rsidR="00E70489" w:rsidRPr="007F3D68">
        <w:rPr>
          <w:rFonts w:asciiTheme="majorHAnsi" w:hAnsiTheme="majorHAnsi"/>
          <w:sz w:val="20"/>
          <w:szCs w:val="20"/>
          <w:lang w:val="es-CL"/>
        </w:rPr>
        <w:t>,</w:t>
      </w:r>
      <w:r w:rsidRPr="007F3D68">
        <w:rPr>
          <w:rFonts w:asciiTheme="majorHAnsi" w:hAnsiTheme="majorHAnsi"/>
          <w:sz w:val="20"/>
          <w:szCs w:val="20"/>
          <w:lang w:val="es-CL"/>
        </w:rPr>
        <w:t xml:space="preserve"> en violación de los artículos 4.1 y 4.2 de dicho instrumento, en relación con las obligaciones establecidas en los artículos 1.1 y 2 del mismo.  </w:t>
      </w:r>
    </w:p>
    <w:p w:rsidR="000C09BD" w:rsidRPr="007F3D68" w:rsidRDefault="000C09BD" w:rsidP="004F1A79">
      <w:pPr>
        <w:rPr>
          <w:lang w:val="es-CO"/>
        </w:rPr>
      </w:pPr>
    </w:p>
    <w:p w:rsidR="005818A2" w:rsidRPr="007F3D68" w:rsidRDefault="00104687" w:rsidP="008224EA">
      <w:pPr>
        <w:pStyle w:val="Heading2"/>
        <w:numPr>
          <w:ilvl w:val="0"/>
          <w:numId w:val="77"/>
        </w:numPr>
        <w:ind w:left="1260" w:hanging="540"/>
        <w:rPr>
          <w:lang w:val="es-ES"/>
        </w:rPr>
      </w:pPr>
      <w:bookmarkStart w:id="97" w:name="_Toc491441650"/>
      <w:bookmarkStart w:id="98" w:name="_Toc495479558"/>
      <w:r w:rsidRPr="007F3D68">
        <w:rPr>
          <w:lang w:val="es-CO"/>
        </w:rPr>
        <w:t>Derecho a la integridad personal</w:t>
      </w:r>
      <w:r w:rsidRPr="007F3D68">
        <w:rPr>
          <w:vertAlign w:val="superscript"/>
        </w:rPr>
        <w:footnoteReference w:id="85"/>
      </w:r>
      <w:r w:rsidRPr="007F3D68">
        <w:rPr>
          <w:lang w:val="es-CO"/>
        </w:rPr>
        <w:t xml:space="preserve"> con respecto al fenómeno del “corredor de la muerte” y disposiciones relevantes de la CIPST</w:t>
      </w:r>
      <w:r w:rsidRPr="007F3D68">
        <w:rPr>
          <w:vertAlign w:val="superscript"/>
        </w:rPr>
        <w:footnoteReference w:id="86"/>
      </w:r>
      <w:bookmarkEnd w:id="97"/>
      <w:bookmarkEnd w:id="98"/>
    </w:p>
    <w:p w:rsidR="005818A2" w:rsidRPr="007F3D68" w:rsidRDefault="005818A2" w:rsidP="005818A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s>
        <w:jc w:val="both"/>
        <w:rPr>
          <w:rFonts w:asciiTheme="majorHAnsi" w:hAnsiTheme="majorHAnsi"/>
          <w:b/>
          <w:sz w:val="20"/>
          <w:szCs w:val="20"/>
          <w:lang w:val="es-ES"/>
        </w:rPr>
      </w:pPr>
    </w:p>
    <w:p w:rsidR="008224EA" w:rsidRPr="007F3D68" w:rsidRDefault="005818A2" w:rsidP="008224E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CL"/>
        </w:rPr>
      </w:pPr>
      <w:r w:rsidRPr="007F3D68">
        <w:rPr>
          <w:rFonts w:asciiTheme="majorHAnsi" w:hAnsiTheme="majorHAnsi"/>
          <w:sz w:val="20"/>
          <w:szCs w:val="20"/>
          <w:lang w:val="es-CL"/>
        </w:rPr>
        <w:t xml:space="preserve">En casos de personas condenadas a pena de muerte, tanto en el derecho internacional de los derechos humanos como en el derecho comparado se ha venido desarrollando por décadas el análisis del fenómeno del “corredor de la muerte” a la luz de la prohibición de tratos crueles, inhumanos o degradantes, contemplada tanto a nivel constitucional como en múltiples instrumentos internacionales, incluyendo la Convención Americana. </w:t>
      </w:r>
    </w:p>
    <w:p w:rsidR="008224EA" w:rsidRPr="007F3D68" w:rsidRDefault="008224EA" w:rsidP="008224E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Theme="majorHAnsi" w:hAnsiTheme="majorHAnsi"/>
          <w:sz w:val="20"/>
          <w:szCs w:val="20"/>
          <w:lang w:val="es-CL"/>
        </w:rPr>
      </w:pPr>
    </w:p>
    <w:p w:rsidR="005818A2" w:rsidRPr="007F3D68" w:rsidRDefault="005818A2" w:rsidP="008224E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CL"/>
        </w:rPr>
      </w:pPr>
      <w:r w:rsidRPr="007F3D68">
        <w:rPr>
          <w:rFonts w:asciiTheme="majorHAnsi" w:hAnsiTheme="majorHAnsi"/>
          <w:sz w:val="20"/>
          <w:szCs w:val="20"/>
          <w:lang w:val="es-CL"/>
        </w:rPr>
        <w:lastRenderedPageBreak/>
        <w:t>En cuanto al concepto de dicho fenómeno, el Relator Especial de Naciones Unidas sobre la tortura y otros tratos o penas crueles, inhumanos o degradantes ha indicado que:</w:t>
      </w:r>
    </w:p>
    <w:p w:rsidR="005818A2" w:rsidRPr="007F3D68" w:rsidRDefault="005818A2" w:rsidP="005818A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Theme="majorHAnsi" w:hAnsiTheme="majorHAnsi"/>
          <w:sz w:val="20"/>
          <w:szCs w:val="20"/>
          <w:lang w:val="es-CL"/>
        </w:rPr>
      </w:pPr>
    </w:p>
    <w:p w:rsidR="005818A2" w:rsidRPr="007F3D68" w:rsidRDefault="005818A2" w:rsidP="005818A2">
      <w:pPr>
        <w:ind w:left="720" w:right="720"/>
        <w:jc w:val="both"/>
        <w:rPr>
          <w:rFonts w:ascii="Cambria" w:hAnsi="Cambria" w:cs="TimesNewRoman"/>
          <w:sz w:val="20"/>
          <w:szCs w:val="20"/>
          <w:lang w:val="es-CO"/>
        </w:rPr>
      </w:pPr>
      <w:r w:rsidRPr="007F3D68">
        <w:rPr>
          <w:rFonts w:ascii="Cambria" w:hAnsi="Cambria" w:cs="TimesNewRoman"/>
          <w:sz w:val="20"/>
          <w:szCs w:val="20"/>
          <w:lang w:val="es-CO"/>
        </w:rPr>
        <w:t>(…) Consiste en una combinación de circunstancias que producen graves traumas mentales y deterioro físico en los presos sentenciados a muerte</w:t>
      </w:r>
      <w:r w:rsidRPr="007F3D68">
        <w:rPr>
          <w:rStyle w:val="FootnoteReference"/>
          <w:rFonts w:ascii="Cambria" w:hAnsi="Cambria" w:cs="TimesNewRoman"/>
          <w:sz w:val="20"/>
          <w:szCs w:val="20"/>
          <w:lang w:val="es-CO"/>
        </w:rPr>
        <w:footnoteReference w:id="87"/>
      </w:r>
      <w:r w:rsidRPr="007F3D68">
        <w:rPr>
          <w:rFonts w:ascii="Cambria" w:hAnsi="Cambria" w:cs="TimesNewRoman"/>
          <w:sz w:val="20"/>
          <w:szCs w:val="20"/>
          <w:lang w:val="es-CO"/>
        </w:rPr>
        <w:t>. Entre esas circunstancias figuran la prolongada y ansiosa espera de resultados plenos de incertidumbre, el aislamiento, el contacto humano drásticamente reducido e incluso las condiciones físicas en que están alojados algunos reclusos. Con frecuencia, las condiciones del pabellón de los condenados a muerte son peores que las que afectan al resto de la población carcelaria y se deniegan a los presos alojados en ese pabellón muchas cuestiones básicas y de primera necesidad</w:t>
      </w:r>
      <w:r w:rsidRPr="007F3D68">
        <w:rPr>
          <w:rStyle w:val="FootnoteReference"/>
          <w:rFonts w:ascii="Cambria" w:hAnsi="Cambria" w:cs="TimesNewRoman"/>
          <w:sz w:val="20"/>
          <w:szCs w:val="20"/>
          <w:lang w:val="es-CO"/>
        </w:rPr>
        <w:footnoteReference w:id="88"/>
      </w:r>
      <w:r w:rsidRPr="007F3D68">
        <w:rPr>
          <w:rFonts w:ascii="Cambria" w:hAnsi="Cambria" w:cs="TimesNewRoman"/>
          <w:sz w:val="20"/>
          <w:szCs w:val="20"/>
          <w:lang w:val="es-CO"/>
        </w:rPr>
        <w:t>.</w:t>
      </w:r>
    </w:p>
    <w:p w:rsidR="005818A2" w:rsidRPr="007F3D68" w:rsidRDefault="005818A2" w:rsidP="005818A2">
      <w:pPr>
        <w:autoSpaceDE w:val="0"/>
        <w:autoSpaceDN w:val="0"/>
        <w:adjustRightInd w:val="0"/>
        <w:ind w:left="720" w:right="720"/>
        <w:jc w:val="both"/>
        <w:rPr>
          <w:rFonts w:ascii="Cambria" w:hAnsi="Cambria" w:cs="TimesNewRoman"/>
          <w:sz w:val="20"/>
          <w:szCs w:val="20"/>
          <w:lang w:val="es-CO"/>
        </w:rPr>
      </w:pPr>
    </w:p>
    <w:p w:rsidR="005818A2" w:rsidRPr="007F3D68" w:rsidRDefault="005818A2" w:rsidP="008224E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Style w:val="sb8d990e2"/>
          <w:rFonts w:asciiTheme="majorHAnsi" w:hAnsiTheme="majorHAnsi"/>
          <w:sz w:val="20"/>
          <w:szCs w:val="20"/>
          <w:lang w:val="es-CL"/>
        </w:rPr>
      </w:pPr>
      <w:r w:rsidRPr="007F3D68">
        <w:rPr>
          <w:rFonts w:asciiTheme="majorHAnsi" w:hAnsiTheme="majorHAnsi"/>
          <w:sz w:val="20"/>
          <w:szCs w:val="20"/>
          <w:lang w:val="es-CL"/>
        </w:rPr>
        <w:t xml:space="preserve">En el caso </w:t>
      </w:r>
      <w:proofErr w:type="spellStart"/>
      <w:r w:rsidRPr="007F3D68">
        <w:rPr>
          <w:rFonts w:asciiTheme="majorHAnsi" w:hAnsiTheme="majorHAnsi"/>
          <w:sz w:val="20"/>
          <w:szCs w:val="20"/>
          <w:lang w:val="es-CL"/>
        </w:rPr>
        <w:t>Soering</w:t>
      </w:r>
      <w:proofErr w:type="spellEnd"/>
      <w:r w:rsidRPr="007F3D68">
        <w:rPr>
          <w:rFonts w:asciiTheme="majorHAnsi" w:hAnsiTheme="majorHAnsi"/>
          <w:sz w:val="20"/>
          <w:szCs w:val="20"/>
          <w:lang w:val="es-CL"/>
        </w:rPr>
        <w:t xml:space="preserve"> vs. Reino Unido la Corte Europea de Derechos Humanos interpretando la norma que prohíbe tratos crueles, inhumanos y degradantes y refiriéndose a la pena de muerte, señaló que: </w:t>
      </w:r>
    </w:p>
    <w:p w:rsidR="005818A2" w:rsidRPr="007F3D68" w:rsidRDefault="005818A2" w:rsidP="005818A2">
      <w:pPr>
        <w:ind w:left="720" w:right="720"/>
        <w:jc w:val="both"/>
        <w:rPr>
          <w:rStyle w:val="sb8d990e2"/>
          <w:rFonts w:ascii="Cambria" w:hAnsi="Cambria"/>
          <w:sz w:val="20"/>
          <w:szCs w:val="20"/>
          <w:lang w:val="es-CO"/>
        </w:rPr>
      </w:pPr>
    </w:p>
    <w:p w:rsidR="005818A2" w:rsidRPr="007F3D68" w:rsidRDefault="005818A2" w:rsidP="005818A2">
      <w:pPr>
        <w:ind w:left="720" w:right="720"/>
        <w:jc w:val="both"/>
        <w:rPr>
          <w:rStyle w:val="sb8d990e2"/>
          <w:rFonts w:ascii="Cambria" w:hAnsi="Cambria"/>
          <w:sz w:val="20"/>
          <w:szCs w:val="20"/>
          <w:lang w:val="es-CO"/>
        </w:rPr>
      </w:pPr>
      <w:r w:rsidRPr="007F3D68">
        <w:rPr>
          <w:rStyle w:val="sb8d990e2"/>
          <w:rFonts w:ascii="Cambria" w:hAnsi="Cambria"/>
          <w:sz w:val="20"/>
          <w:szCs w:val="20"/>
          <w:lang w:val="es-CO"/>
        </w:rPr>
        <w:t>La forma en que la misma se impone o ejecuta, las circunstancias personales de la persona condenada y la desproporcionalidad con la gravedad del crimen cometido, así como las condiciones de detención a la espera de la ejecución, son ejemplos de factores que pueden hacer aplicable al tratamiento o castigo recibido por la persona condenada, la prohibición establecida en el artículo 3</w:t>
      </w:r>
      <w:r w:rsidRPr="007F3D68">
        <w:rPr>
          <w:rStyle w:val="FootnoteReference"/>
          <w:rFonts w:ascii="Cambria" w:hAnsi="Cambria"/>
          <w:sz w:val="20"/>
          <w:szCs w:val="20"/>
        </w:rPr>
        <w:footnoteReference w:id="89"/>
      </w:r>
      <w:r w:rsidRPr="007F3D68">
        <w:rPr>
          <w:rStyle w:val="sb8d990e2"/>
          <w:rFonts w:ascii="Cambria" w:hAnsi="Cambria"/>
          <w:sz w:val="20"/>
          <w:szCs w:val="20"/>
          <w:lang w:val="es-CO"/>
        </w:rPr>
        <w:t xml:space="preserve">. </w:t>
      </w:r>
    </w:p>
    <w:p w:rsidR="005818A2" w:rsidRPr="007F3D68" w:rsidRDefault="005818A2" w:rsidP="005818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rsidR="005818A2" w:rsidRPr="007F3D68" w:rsidRDefault="005818A2" w:rsidP="008224E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CO"/>
        </w:rPr>
      </w:pPr>
      <w:r w:rsidRPr="007F3D68">
        <w:rPr>
          <w:rFonts w:asciiTheme="majorHAnsi" w:hAnsiTheme="majorHAnsi"/>
          <w:sz w:val="20"/>
          <w:szCs w:val="20"/>
          <w:lang w:val="es-CL"/>
        </w:rPr>
        <w:t>En dicha decisión el Tribunal Europeo</w:t>
      </w:r>
      <w:r w:rsidRPr="007F3D68">
        <w:rPr>
          <w:rStyle w:val="sb8d990e2"/>
          <w:rFonts w:ascii="Cambria" w:hAnsi="Cambria"/>
          <w:sz w:val="20"/>
          <w:szCs w:val="20"/>
          <w:lang w:val="es-CO"/>
        </w:rPr>
        <w:t xml:space="preserve"> tomó en cuenta un promedio de 6 a 8 años en el corredor de la muerte desde el momento de la imposición de la pena </w:t>
      </w:r>
      <w:r w:rsidRPr="007F3D68">
        <w:rPr>
          <w:rFonts w:ascii="Cambria" w:hAnsi="Cambria"/>
          <w:bCs/>
          <w:sz w:val="20"/>
          <w:szCs w:val="20"/>
          <w:lang w:val="es-CO"/>
        </w:rPr>
        <w:t>hasta</w:t>
      </w:r>
      <w:r w:rsidRPr="007F3D68">
        <w:rPr>
          <w:rStyle w:val="sb8d990e2"/>
          <w:rFonts w:ascii="Cambria" w:hAnsi="Cambria"/>
          <w:sz w:val="20"/>
          <w:szCs w:val="20"/>
          <w:lang w:val="es-CO"/>
        </w:rPr>
        <w:t xml:space="preserve"> la ejecución y se refirió a la manera en que los propios procedimientos y recursos posteriores a la imposición de la pena de muerte se encuentran relacionados con la referida demora en el corredor de la muerte. A pesar de esta relación, la Corte Europea indicó que: </w:t>
      </w:r>
    </w:p>
    <w:p w:rsidR="005818A2" w:rsidRPr="007F3D68" w:rsidRDefault="005818A2" w:rsidP="005818A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ind w:left="720"/>
        <w:jc w:val="both"/>
        <w:rPr>
          <w:rStyle w:val="sb8d990e2"/>
          <w:rFonts w:asciiTheme="majorHAnsi" w:hAnsiTheme="majorHAnsi"/>
          <w:sz w:val="20"/>
          <w:szCs w:val="20"/>
          <w:lang w:val="es-CO"/>
        </w:rPr>
      </w:pPr>
    </w:p>
    <w:p w:rsidR="005818A2" w:rsidRPr="007F3D68" w:rsidRDefault="005818A2" w:rsidP="005818A2">
      <w:pPr>
        <w:pStyle w:val="s30eec3f8"/>
        <w:spacing w:before="0" w:beforeAutospacing="0" w:after="0" w:afterAutospacing="0"/>
        <w:ind w:left="720" w:right="720"/>
        <w:jc w:val="both"/>
        <w:rPr>
          <w:rFonts w:ascii="Cambria" w:hAnsi="Cambria"/>
          <w:sz w:val="20"/>
          <w:szCs w:val="20"/>
          <w:lang w:val="es-CO"/>
        </w:rPr>
      </w:pPr>
      <w:r w:rsidRPr="007F3D68">
        <w:rPr>
          <w:rStyle w:val="sb8d990e2"/>
          <w:rFonts w:ascii="Cambria" w:eastAsia="Arial Unicode MS" w:hAnsi="Cambria"/>
          <w:sz w:val="20"/>
          <w:szCs w:val="20"/>
          <w:lang w:val="es-CO"/>
        </w:rPr>
        <w:t>(…) si bien es cierto que cierto lapso de tiempo entre la condena y la ejecución es inevitable si se le otorgan las garantías de apelación a la persona condenada, también lo es que es parte de la naturaleza humana que la persona se va a aferrar a la vida mediante el uso de tales garantían al máximo posible. Sin embargo, aun cuando los complejos procedimientos posteriores a la condena en Virginia sean bien intencionados e incluso potencialmente beneficiosos para la persona condenada, la consecuencia es que dicha persona debe soportar por muchos años las condiciones del corredor de la muerte y de la angustia y tensión elevada de vivir bajo la constante sombra de la muerte</w:t>
      </w:r>
      <w:r w:rsidRPr="007F3D68">
        <w:rPr>
          <w:rStyle w:val="FootnoteReference"/>
          <w:rFonts w:ascii="Cambria" w:eastAsia="Cambria" w:hAnsi="Cambria"/>
          <w:sz w:val="20"/>
          <w:szCs w:val="20"/>
        </w:rPr>
        <w:footnoteReference w:id="90"/>
      </w:r>
      <w:r w:rsidRPr="007F3D68">
        <w:rPr>
          <w:rStyle w:val="sb8d990e2"/>
          <w:rFonts w:ascii="Cambria" w:eastAsia="Arial Unicode MS" w:hAnsi="Cambria"/>
          <w:sz w:val="20"/>
          <w:szCs w:val="20"/>
          <w:lang w:val="es-CO"/>
        </w:rPr>
        <w:t>.</w:t>
      </w:r>
    </w:p>
    <w:p w:rsidR="005818A2" w:rsidRPr="007F3D68" w:rsidRDefault="005818A2" w:rsidP="005818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rsidR="00373C1C" w:rsidRPr="007F3D68" w:rsidRDefault="005818A2" w:rsidP="008224E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CO"/>
        </w:rPr>
      </w:pPr>
      <w:r w:rsidRPr="007F3D68">
        <w:rPr>
          <w:rFonts w:asciiTheme="majorHAnsi" w:hAnsiTheme="majorHAnsi"/>
          <w:sz w:val="20"/>
          <w:szCs w:val="20"/>
          <w:lang w:val="es-CL"/>
        </w:rPr>
        <w:t>Asimismo</w:t>
      </w:r>
      <w:r w:rsidRPr="007F3D68">
        <w:rPr>
          <w:rFonts w:asciiTheme="majorHAnsi" w:hAnsiTheme="majorHAnsi"/>
          <w:sz w:val="20"/>
          <w:szCs w:val="20"/>
          <w:lang w:val="es-CO"/>
        </w:rPr>
        <w:t>, en el caso Al-</w:t>
      </w:r>
      <w:proofErr w:type="spellStart"/>
      <w:r w:rsidRPr="007F3D68">
        <w:rPr>
          <w:rFonts w:asciiTheme="majorHAnsi" w:hAnsiTheme="majorHAnsi"/>
          <w:sz w:val="20"/>
          <w:szCs w:val="20"/>
          <w:lang w:val="es-CO"/>
        </w:rPr>
        <w:t>Saadon</w:t>
      </w:r>
      <w:proofErr w:type="spellEnd"/>
      <w:r w:rsidRPr="007F3D68">
        <w:rPr>
          <w:rFonts w:asciiTheme="majorHAnsi" w:hAnsiTheme="majorHAnsi"/>
          <w:sz w:val="20"/>
          <w:szCs w:val="20"/>
          <w:lang w:val="es-CO"/>
        </w:rPr>
        <w:t xml:space="preserve"> y </w:t>
      </w:r>
      <w:proofErr w:type="spellStart"/>
      <w:r w:rsidRPr="007F3D68">
        <w:rPr>
          <w:rFonts w:asciiTheme="majorHAnsi" w:hAnsiTheme="majorHAnsi"/>
          <w:sz w:val="20"/>
          <w:szCs w:val="20"/>
          <w:lang w:val="es-CO"/>
        </w:rPr>
        <w:t>Mufdhi</w:t>
      </w:r>
      <w:proofErr w:type="spellEnd"/>
      <w:r w:rsidRPr="007F3D68">
        <w:rPr>
          <w:rFonts w:asciiTheme="majorHAnsi" w:hAnsiTheme="majorHAnsi"/>
          <w:sz w:val="20"/>
          <w:szCs w:val="20"/>
          <w:lang w:val="es-CO"/>
        </w:rPr>
        <w:t xml:space="preserve"> contra el Reino Unido, el Tribunal Europeo indicó que “l</w:t>
      </w:r>
      <w:r w:rsidRPr="007F3D68">
        <w:rPr>
          <w:rFonts w:asciiTheme="majorHAnsi" w:hAnsiTheme="majorHAnsi" w:cs="Arial"/>
          <w:color w:val="212121"/>
          <w:sz w:val="20"/>
          <w:szCs w:val="20"/>
          <w:shd w:val="clear" w:color="auto" w:fill="FFFFFF"/>
          <w:lang w:val="es-VE"/>
        </w:rPr>
        <w:t xml:space="preserve">a ejecución judicial implica la destrucción deliberada y premeditada del ser humano por parte de las </w:t>
      </w:r>
      <w:r w:rsidRPr="007F3D68">
        <w:rPr>
          <w:rFonts w:asciiTheme="majorHAnsi" w:hAnsiTheme="majorHAnsi"/>
          <w:sz w:val="20"/>
          <w:szCs w:val="20"/>
          <w:lang w:val="es-CL"/>
        </w:rPr>
        <w:t>autoridades</w:t>
      </w:r>
      <w:r w:rsidRPr="007F3D68">
        <w:rPr>
          <w:rFonts w:asciiTheme="majorHAnsi" w:hAnsiTheme="majorHAnsi" w:cs="Arial"/>
          <w:color w:val="212121"/>
          <w:sz w:val="20"/>
          <w:szCs w:val="20"/>
          <w:shd w:val="clear" w:color="auto" w:fill="FFFFFF"/>
          <w:lang w:val="es-VE"/>
        </w:rPr>
        <w:t xml:space="preserve"> del Estado. Cualquiera que sea el método de ejecución, la extinción de la vida implica algún dolor físico. Además, el presagio de la muerte a manos del Estado debe inevitablemente dar lugar a un intenso sufrimiento psicológico”</w:t>
      </w:r>
      <w:r w:rsidRPr="007F3D68">
        <w:rPr>
          <w:rStyle w:val="FootnoteReference"/>
          <w:rFonts w:asciiTheme="majorHAnsi" w:hAnsiTheme="majorHAnsi" w:cs="Arial"/>
          <w:color w:val="212121"/>
          <w:sz w:val="20"/>
          <w:szCs w:val="20"/>
          <w:shd w:val="clear" w:color="auto" w:fill="FFFFFF"/>
          <w:lang w:val="es-VE"/>
        </w:rPr>
        <w:footnoteReference w:id="91"/>
      </w:r>
      <w:r w:rsidRPr="007F3D68">
        <w:rPr>
          <w:rFonts w:asciiTheme="majorHAnsi" w:hAnsiTheme="majorHAnsi" w:cs="Arial"/>
          <w:color w:val="212121"/>
          <w:sz w:val="20"/>
          <w:szCs w:val="20"/>
          <w:shd w:val="clear" w:color="auto" w:fill="FFFFFF"/>
          <w:lang w:val="es-VE"/>
        </w:rPr>
        <w:t xml:space="preserve">. También concluyó que el temor bien fundado de los </w:t>
      </w:r>
      <w:proofErr w:type="spellStart"/>
      <w:r w:rsidRPr="007F3D68">
        <w:rPr>
          <w:rFonts w:asciiTheme="majorHAnsi" w:hAnsiTheme="majorHAnsi" w:cs="Arial"/>
          <w:color w:val="212121"/>
          <w:sz w:val="20"/>
          <w:szCs w:val="20"/>
          <w:shd w:val="clear" w:color="auto" w:fill="FFFFFF"/>
          <w:lang w:val="es-VE"/>
        </w:rPr>
        <w:t>aplicantes</w:t>
      </w:r>
      <w:proofErr w:type="spellEnd"/>
      <w:r w:rsidRPr="007F3D68">
        <w:rPr>
          <w:rFonts w:asciiTheme="majorHAnsi" w:hAnsiTheme="majorHAnsi" w:cs="Arial"/>
          <w:color w:val="212121"/>
          <w:sz w:val="20"/>
          <w:szCs w:val="20"/>
          <w:shd w:val="clear" w:color="auto" w:fill="FFFFFF"/>
          <w:lang w:val="es-VE"/>
        </w:rPr>
        <w:t xml:space="preserve">, de que las </w:t>
      </w:r>
      <w:r w:rsidRPr="007F3D68">
        <w:rPr>
          <w:rFonts w:asciiTheme="majorHAnsi" w:hAnsiTheme="majorHAnsi" w:cs="Arial"/>
          <w:color w:val="212121"/>
          <w:sz w:val="20"/>
          <w:szCs w:val="20"/>
          <w:shd w:val="clear" w:color="auto" w:fill="FFFFFF"/>
          <w:lang w:val="es-VE"/>
        </w:rPr>
        <w:lastRenderedPageBreak/>
        <w:t>autoridades iraquíes las ejecutasen, entre mayo de 2006 y julio de 2009, los tuvo que haber sometido a un significativo sufrimiento mental, el cual constituyó tratamiento inhumano contario al artículo 3 de la Convención</w:t>
      </w:r>
      <w:r w:rsidRPr="007F3D68">
        <w:rPr>
          <w:rStyle w:val="FootnoteReference"/>
          <w:rFonts w:asciiTheme="majorHAnsi" w:hAnsiTheme="majorHAnsi" w:cs="Arial"/>
          <w:color w:val="212121"/>
          <w:sz w:val="20"/>
          <w:szCs w:val="20"/>
          <w:shd w:val="clear" w:color="auto" w:fill="FFFFFF"/>
          <w:lang w:val="es-VE"/>
        </w:rPr>
        <w:footnoteReference w:id="92"/>
      </w:r>
      <w:r w:rsidRPr="007F3D68">
        <w:rPr>
          <w:rFonts w:asciiTheme="majorHAnsi" w:hAnsiTheme="majorHAnsi" w:cs="Arial"/>
          <w:color w:val="212121"/>
          <w:sz w:val="20"/>
          <w:szCs w:val="20"/>
          <w:shd w:val="clear" w:color="auto" w:fill="FFFFFF"/>
          <w:lang w:val="es-VE"/>
        </w:rPr>
        <w:t xml:space="preserve">. </w:t>
      </w:r>
    </w:p>
    <w:p w:rsidR="00373C1C" w:rsidRPr="007F3D68" w:rsidRDefault="00373C1C" w:rsidP="00373C1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Theme="majorHAnsi" w:hAnsiTheme="majorHAnsi"/>
          <w:sz w:val="20"/>
          <w:szCs w:val="20"/>
          <w:lang w:val="es-CO"/>
        </w:rPr>
      </w:pPr>
    </w:p>
    <w:p w:rsidR="008224EA" w:rsidRPr="007F3D68" w:rsidRDefault="005818A2" w:rsidP="008224E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CO"/>
        </w:rPr>
      </w:pPr>
      <w:r w:rsidRPr="007F3D68">
        <w:rPr>
          <w:rFonts w:ascii="Cambria" w:hAnsi="Cambria"/>
          <w:sz w:val="20"/>
          <w:szCs w:val="20"/>
          <w:lang w:val="es-CO"/>
        </w:rPr>
        <w:t xml:space="preserve">Por su parte, </w:t>
      </w:r>
      <w:r w:rsidRPr="007F3D68">
        <w:rPr>
          <w:rFonts w:ascii="Cambria" w:hAnsi="Cambria"/>
          <w:bCs/>
          <w:sz w:val="20"/>
          <w:szCs w:val="20"/>
          <w:lang w:val="es-CO"/>
        </w:rPr>
        <w:t>la Corte Suprema de Uganda consideró en 2009 que “ejecutar a una persona tras una demora de tres años en condiciones inaceptables conforme a los estándares de Uganda constituiría castigo cruel e inhumano</w:t>
      </w:r>
      <w:r w:rsidRPr="007F3D68">
        <w:rPr>
          <w:rFonts w:ascii="Cambria" w:hAnsi="Cambria"/>
          <w:sz w:val="20"/>
          <w:szCs w:val="20"/>
          <w:lang w:val="es-CO"/>
        </w:rPr>
        <w:t>”</w:t>
      </w:r>
      <w:r w:rsidRPr="007F3D68">
        <w:rPr>
          <w:rStyle w:val="FootnoteReference"/>
          <w:rFonts w:ascii="Cambria" w:hAnsi="Cambria"/>
          <w:sz w:val="20"/>
          <w:szCs w:val="20"/>
        </w:rPr>
        <w:footnoteReference w:id="93"/>
      </w:r>
      <w:r w:rsidRPr="007F3D68">
        <w:rPr>
          <w:rFonts w:ascii="Cambria" w:hAnsi="Cambria"/>
          <w:sz w:val="20"/>
          <w:szCs w:val="20"/>
          <w:lang w:val="es-CO"/>
        </w:rPr>
        <w:t xml:space="preserve">. Por su parte, la Suprema Corte de </w:t>
      </w:r>
      <w:proofErr w:type="spellStart"/>
      <w:r w:rsidRPr="007F3D68">
        <w:rPr>
          <w:rFonts w:ascii="Cambria" w:hAnsi="Cambria"/>
          <w:sz w:val="20"/>
          <w:szCs w:val="20"/>
          <w:lang w:val="es-CO"/>
        </w:rPr>
        <w:t>Zimbabwe</w:t>
      </w:r>
      <w:proofErr w:type="spellEnd"/>
      <w:r w:rsidRPr="007F3D68">
        <w:rPr>
          <w:rFonts w:ascii="Cambria" w:hAnsi="Cambria"/>
          <w:sz w:val="20"/>
          <w:szCs w:val="20"/>
          <w:lang w:val="es-CO"/>
        </w:rPr>
        <w:t xml:space="preserve"> indicó desde 1993 que tomando en consideración el consenso académico y judicial respecto del </w:t>
      </w:r>
      <w:proofErr w:type="spellStart"/>
      <w:r w:rsidRPr="007F3D68">
        <w:rPr>
          <w:rFonts w:ascii="Cambria" w:hAnsi="Cambria"/>
          <w:i/>
          <w:sz w:val="20"/>
          <w:szCs w:val="20"/>
          <w:lang w:val="es-CO"/>
        </w:rPr>
        <w:t>death</w:t>
      </w:r>
      <w:proofErr w:type="spellEnd"/>
      <w:r w:rsidRPr="007F3D68">
        <w:rPr>
          <w:rFonts w:ascii="Cambria" w:hAnsi="Cambria"/>
          <w:i/>
          <w:sz w:val="20"/>
          <w:szCs w:val="20"/>
          <w:lang w:val="es-CO"/>
        </w:rPr>
        <w:t xml:space="preserve"> </w:t>
      </w:r>
      <w:proofErr w:type="spellStart"/>
      <w:r w:rsidRPr="007F3D68">
        <w:rPr>
          <w:rFonts w:ascii="Cambria" w:hAnsi="Cambria"/>
          <w:i/>
          <w:sz w:val="20"/>
          <w:szCs w:val="20"/>
          <w:lang w:val="es-CO"/>
        </w:rPr>
        <w:t>row</w:t>
      </w:r>
      <w:proofErr w:type="spellEnd"/>
      <w:r w:rsidRPr="007F3D68">
        <w:rPr>
          <w:rFonts w:ascii="Cambria" w:hAnsi="Cambria"/>
          <w:i/>
          <w:sz w:val="20"/>
          <w:szCs w:val="20"/>
          <w:lang w:val="es-CO"/>
        </w:rPr>
        <w:t xml:space="preserve"> </w:t>
      </w:r>
      <w:proofErr w:type="spellStart"/>
      <w:r w:rsidRPr="007F3D68">
        <w:rPr>
          <w:rFonts w:ascii="Cambria" w:hAnsi="Cambria"/>
          <w:i/>
          <w:sz w:val="20"/>
          <w:szCs w:val="20"/>
          <w:lang w:val="es-CO"/>
        </w:rPr>
        <w:t>phenomenon</w:t>
      </w:r>
      <w:proofErr w:type="spellEnd"/>
      <w:r w:rsidRPr="007F3D68">
        <w:rPr>
          <w:rFonts w:ascii="Cambria" w:hAnsi="Cambria"/>
          <w:sz w:val="20"/>
          <w:szCs w:val="20"/>
          <w:lang w:val="es-CO"/>
        </w:rPr>
        <w:t xml:space="preserve">, las demoras </w:t>
      </w:r>
      <w:r w:rsidRPr="007F3D68">
        <w:rPr>
          <w:rStyle w:val="sb8d990e2"/>
          <w:rFonts w:ascii="Cambria" w:hAnsi="Cambria"/>
          <w:sz w:val="20"/>
          <w:szCs w:val="20"/>
          <w:lang w:val="es-CO"/>
        </w:rPr>
        <w:t>prolongadas</w:t>
      </w:r>
      <w:r w:rsidRPr="007F3D68">
        <w:rPr>
          <w:rFonts w:ascii="Cambria" w:hAnsi="Cambria"/>
          <w:sz w:val="20"/>
          <w:szCs w:val="20"/>
          <w:lang w:val="es-CO"/>
        </w:rPr>
        <w:t xml:space="preserve"> y las condiciones severas de detención han llegado a un grado suficiente de seriedad para permitirle al demandante invocar la protección relativa a la prohibición de la tortura y de castigos inhumanos o degradantes. Dicha Corte Suprema sostuvo que 52 y 72 meses, respectivamente, en el corredor de la muerte, constituyó una violación de la prohibición de la tortura y tornaría la ejecución en inconstitucional</w:t>
      </w:r>
      <w:r w:rsidRPr="007F3D68">
        <w:rPr>
          <w:rStyle w:val="FootnoteReference"/>
          <w:rFonts w:ascii="Cambria" w:hAnsi="Cambria"/>
          <w:sz w:val="20"/>
          <w:szCs w:val="20"/>
        </w:rPr>
        <w:footnoteReference w:id="94"/>
      </w:r>
      <w:r w:rsidRPr="007F3D68">
        <w:rPr>
          <w:rFonts w:ascii="Cambria" w:hAnsi="Cambria"/>
          <w:sz w:val="20"/>
          <w:szCs w:val="20"/>
          <w:lang w:val="es-CO"/>
        </w:rPr>
        <w:t>.</w:t>
      </w:r>
    </w:p>
    <w:p w:rsidR="008224EA" w:rsidRPr="007F3D68" w:rsidRDefault="008224EA" w:rsidP="008224EA">
      <w:pPr>
        <w:pStyle w:val="ListParagraph"/>
        <w:rPr>
          <w:sz w:val="20"/>
          <w:szCs w:val="20"/>
          <w:lang w:val="es-CO"/>
        </w:rPr>
      </w:pPr>
    </w:p>
    <w:p w:rsidR="008224EA" w:rsidRPr="007F3D68" w:rsidRDefault="006264B1" w:rsidP="008224E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CO"/>
        </w:rPr>
      </w:pPr>
      <w:r w:rsidRPr="007F3D68">
        <w:rPr>
          <w:rFonts w:ascii="Cambria" w:hAnsi="Cambria"/>
          <w:sz w:val="20"/>
          <w:szCs w:val="20"/>
          <w:lang w:val="es-CO"/>
        </w:rPr>
        <w:t xml:space="preserve">Tirso Román Valenzuela Ávila </w:t>
      </w:r>
      <w:r w:rsidR="005818A2" w:rsidRPr="007F3D68">
        <w:rPr>
          <w:rFonts w:ascii="Cambria" w:hAnsi="Cambria"/>
          <w:sz w:val="20"/>
          <w:szCs w:val="20"/>
          <w:lang w:val="es-CO"/>
        </w:rPr>
        <w:t xml:space="preserve">fue condenado a la pena de muerte </w:t>
      </w:r>
      <w:r w:rsidR="004C49DD" w:rsidRPr="007F3D68">
        <w:rPr>
          <w:rFonts w:ascii="Cambria" w:eastAsia="Times New Roman" w:hAnsi="Cambria"/>
          <w:sz w:val="20"/>
          <w:szCs w:val="20"/>
          <w:lang w:val="es-CO"/>
        </w:rPr>
        <w:t>el 21 de octubre de 1999</w:t>
      </w:r>
      <w:r w:rsidR="005818A2" w:rsidRPr="007F3D68">
        <w:rPr>
          <w:rFonts w:ascii="Cambria" w:hAnsi="Cambria"/>
          <w:sz w:val="20"/>
          <w:szCs w:val="20"/>
          <w:lang w:val="es-CO"/>
        </w:rPr>
        <w:t xml:space="preserve">. </w:t>
      </w:r>
      <w:r w:rsidR="00186CD0" w:rsidRPr="007F3D68">
        <w:rPr>
          <w:rFonts w:ascii="Cambria" w:hAnsi="Cambria"/>
          <w:sz w:val="20"/>
          <w:szCs w:val="20"/>
          <w:lang w:val="es-CO"/>
        </w:rPr>
        <w:t>T</w:t>
      </w:r>
      <w:r w:rsidR="005818A2" w:rsidRPr="007F3D68">
        <w:rPr>
          <w:rFonts w:ascii="Cambria" w:hAnsi="Cambria"/>
          <w:sz w:val="20"/>
          <w:szCs w:val="20"/>
          <w:lang w:val="es-CO"/>
        </w:rPr>
        <w:t>al como se indicó en la sección de hechos probados, la presunta víctima se fugó de prisión el 22 de octubre de 2005 y</w:t>
      </w:r>
      <w:r w:rsidR="00971555" w:rsidRPr="007F3D68">
        <w:rPr>
          <w:rFonts w:ascii="Cambria" w:hAnsi="Cambria"/>
          <w:sz w:val="20"/>
          <w:szCs w:val="20"/>
          <w:lang w:val="es-CO"/>
        </w:rPr>
        <w:t xml:space="preserve"> su cuerpo fue encontrado el 8 de diciembre de 200</w:t>
      </w:r>
      <w:r w:rsidR="00C52076" w:rsidRPr="007F3D68">
        <w:rPr>
          <w:rFonts w:ascii="Cambria" w:hAnsi="Cambria"/>
          <w:sz w:val="20"/>
          <w:szCs w:val="20"/>
          <w:lang w:val="es-CO"/>
        </w:rPr>
        <w:t>6</w:t>
      </w:r>
      <w:r w:rsidR="005818A2" w:rsidRPr="007F3D68">
        <w:rPr>
          <w:rFonts w:ascii="Cambria" w:hAnsi="Cambria"/>
          <w:sz w:val="20"/>
          <w:szCs w:val="20"/>
          <w:lang w:val="es-CO"/>
        </w:rPr>
        <w:t xml:space="preserve">. </w:t>
      </w:r>
    </w:p>
    <w:p w:rsidR="008224EA" w:rsidRPr="007F3D68" w:rsidRDefault="008224EA" w:rsidP="008224EA">
      <w:pPr>
        <w:pStyle w:val="ListParagraph"/>
        <w:rPr>
          <w:sz w:val="20"/>
          <w:szCs w:val="20"/>
          <w:lang w:val="es-CO"/>
        </w:rPr>
      </w:pPr>
    </w:p>
    <w:p w:rsidR="008224EA" w:rsidRPr="007F3D68" w:rsidRDefault="005818A2" w:rsidP="008224E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CO"/>
        </w:rPr>
      </w:pPr>
      <w:r w:rsidRPr="007F3D68">
        <w:rPr>
          <w:rFonts w:ascii="Cambria" w:hAnsi="Cambria"/>
          <w:sz w:val="20"/>
          <w:szCs w:val="20"/>
          <w:lang w:val="es-CO"/>
        </w:rPr>
        <w:t>La Comisión estima que corresponde contar el periodo en el que la presunta víctima estuvo en el corredor de la muerte desde el momento de su condena hasta su fuga de prisión. En ese sentido, el señor</w:t>
      </w:r>
      <w:r w:rsidR="00971555" w:rsidRPr="007F3D68">
        <w:rPr>
          <w:rFonts w:ascii="Cambria" w:hAnsi="Cambria"/>
          <w:sz w:val="20"/>
          <w:szCs w:val="20"/>
          <w:lang w:val="es-CO"/>
        </w:rPr>
        <w:t xml:space="preserve"> Valenzuela Ávila</w:t>
      </w:r>
      <w:r w:rsidRPr="007F3D68">
        <w:rPr>
          <w:rFonts w:ascii="Cambria" w:hAnsi="Cambria"/>
          <w:sz w:val="20"/>
          <w:szCs w:val="20"/>
          <w:lang w:val="es-CO"/>
        </w:rPr>
        <w:t xml:space="preserve"> permaneció</w:t>
      </w:r>
      <w:r w:rsidRPr="007F3D68">
        <w:rPr>
          <w:rFonts w:asciiTheme="majorHAnsi" w:eastAsia="Times New Roman" w:hAnsiTheme="majorHAnsi"/>
          <w:sz w:val="20"/>
          <w:szCs w:val="20"/>
          <w:lang w:val="es-CO"/>
        </w:rPr>
        <w:t xml:space="preserve"> a la espera de su ejecución por </w:t>
      </w:r>
      <w:r w:rsidR="001D6BC8" w:rsidRPr="007F3D68">
        <w:rPr>
          <w:rFonts w:asciiTheme="majorHAnsi" w:eastAsia="Times New Roman" w:hAnsiTheme="majorHAnsi"/>
          <w:sz w:val="20"/>
          <w:szCs w:val="20"/>
          <w:lang w:val="es-CO"/>
        </w:rPr>
        <w:t>6 de años</w:t>
      </w:r>
      <w:r w:rsidRPr="007F3D68">
        <w:rPr>
          <w:rFonts w:asciiTheme="majorHAnsi" w:eastAsia="Times New Roman" w:hAnsiTheme="majorHAnsi"/>
          <w:sz w:val="20"/>
          <w:szCs w:val="20"/>
          <w:lang w:val="es-CO"/>
        </w:rPr>
        <w:t>.</w:t>
      </w:r>
    </w:p>
    <w:p w:rsidR="008224EA" w:rsidRPr="007F3D68" w:rsidRDefault="008224EA" w:rsidP="008224EA">
      <w:pPr>
        <w:pStyle w:val="ListParagraph"/>
        <w:rPr>
          <w:sz w:val="20"/>
          <w:szCs w:val="20"/>
          <w:lang w:val="es-CO"/>
        </w:rPr>
      </w:pPr>
    </w:p>
    <w:p w:rsidR="00104687" w:rsidRPr="007F3D68" w:rsidRDefault="005818A2" w:rsidP="004F1A7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Theme="majorHAnsi" w:hAnsiTheme="majorHAnsi"/>
          <w:sz w:val="20"/>
          <w:szCs w:val="20"/>
          <w:lang w:val="es-CO"/>
        </w:rPr>
      </w:pPr>
      <w:r w:rsidRPr="007F3D68">
        <w:rPr>
          <w:rFonts w:ascii="Cambria" w:hAnsi="Cambria"/>
          <w:sz w:val="20"/>
          <w:szCs w:val="20"/>
          <w:lang w:val="es-CO"/>
        </w:rPr>
        <w:t xml:space="preserve">La Comisión considera que el tiempo en que permaneció el señor </w:t>
      </w:r>
      <w:r w:rsidR="001C7543" w:rsidRPr="007F3D68">
        <w:rPr>
          <w:rFonts w:ascii="Cambria" w:hAnsi="Cambria"/>
          <w:sz w:val="20"/>
          <w:szCs w:val="20"/>
          <w:lang w:val="es-CO"/>
        </w:rPr>
        <w:t xml:space="preserve">Valenzuela Ávila </w:t>
      </w:r>
      <w:r w:rsidRPr="007F3D68">
        <w:rPr>
          <w:rFonts w:ascii="Cambria" w:hAnsi="Cambria"/>
          <w:sz w:val="20"/>
          <w:szCs w:val="20"/>
          <w:lang w:val="es-CO"/>
        </w:rPr>
        <w:t>tras la imposición de la pena de muerte en un proceso en el que se vulneraron diversas garantías al debido proceso, a la expectativa prolongada de que dicha pena pudiera ejecutarse alcanza la gravedad suficiente como para ser considerado como un trato cruel, inhumano y degradante, por lo que concluye que el Estado guatemalteco violó, en</w:t>
      </w:r>
      <w:r w:rsidR="00EC62FC" w:rsidRPr="007F3D68">
        <w:rPr>
          <w:rFonts w:ascii="Cambria" w:hAnsi="Cambria"/>
          <w:sz w:val="20"/>
          <w:szCs w:val="20"/>
          <w:lang w:val="es-CO"/>
        </w:rPr>
        <w:t xml:space="preserve"> su</w:t>
      </w:r>
      <w:r w:rsidRPr="007F3D68">
        <w:rPr>
          <w:rFonts w:ascii="Cambria" w:hAnsi="Cambria"/>
          <w:sz w:val="20"/>
          <w:szCs w:val="20"/>
          <w:lang w:val="es-CO"/>
        </w:rPr>
        <w:t xml:space="preserve"> perjuicio,</w:t>
      </w:r>
      <w:r w:rsidRPr="007F3D68" w:rsidDel="00C1586F">
        <w:rPr>
          <w:rFonts w:ascii="Cambria" w:hAnsi="Cambria"/>
          <w:sz w:val="20"/>
          <w:szCs w:val="20"/>
          <w:lang w:val="es-CO"/>
        </w:rPr>
        <w:t xml:space="preserve"> </w:t>
      </w:r>
      <w:r w:rsidRPr="007F3D68">
        <w:rPr>
          <w:rFonts w:ascii="Cambria" w:hAnsi="Cambria"/>
          <w:sz w:val="20"/>
          <w:szCs w:val="20"/>
          <w:lang w:val="es-CO"/>
        </w:rPr>
        <w:t>el derecho a la integridad personal previsto en los artículos 5.1 y 5.2 de la Convención Americana en relación con el artículo 1.1 del mismo instr</w:t>
      </w:r>
      <w:r w:rsidR="000457C7" w:rsidRPr="007F3D68">
        <w:rPr>
          <w:rFonts w:ascii="Cambria" w:hAnsi="Cambria"/>
          <w:sz w:val="20"/>
          <w:szCs w:val="20"/>
          <w:lang w:val="es-CO"/>
        </w:rPr>
        <w:t xml:space="preserve">umento.  </w:t>
      </w:r>
    </w:p>
    <w:p w:rsidR="00A07B51" w:rsidRPr="007F3D68" w:rsidRDefault="00165264" w:rsidP="000104F7">
      <w:pPr>
        <w:pStyle w:val="Heading2"/>
        <w:numPr>
          <w:ilvl w:val="0"/>
          <w:numId w:val="77"/>
        </w:numPr>
        <w:ind w:left="1260" w:hanging="720"/>
        <w:rPr>
          <w:lang w:val="es-CO"/>
        </w:rPr>
      </w:pPr>
      <w:bookmarkStart w:id="99" w:name="_Toc491441651"/>
      <w:bookmarkStart w:id="100" w:name="_Toc495479559"/>
      <w:r w:rsidRPr="007F3D68">
        <w:rPr>
          <w:lang w:val="es-CO"/>
        </w:rPr>
        <w:lastRenderedPageBreak/>
        <w:t>Derechos a la integridad personal</w:t>
      </w:r>
      <w:r w:rsidRPr="007F3D68">
        <w:rPr>
          <w:vertAlign w:val="superscript"/>
        </w:rPr>
        <w:footnoteReference w:id="95"/>
      </w:r>
      <w:r w:rsidRPr="007F3D68">
        <w:rPr>
          <w:lang w:val="es-CO"/>
        </w:rPr>
        <w:t xml:space="preserve">, </w:t>
      </w:r>
      <w:r w:rsidR="000457C7" w:rsidRPr="007F3D68">
        <w:rPr>
          <w:lang w:val="es-CO"/>
        </w:rPr>
        <w:t>dignidad, vida privada y autonomía</w:t>
      </w:r>
      <w:r w:rsidR="000457C7" w:rsidRPr="007F3D68">
        <w:rPr>
          <w:rStyle w:val="FootnoteReference"/>
          <w:rFonts w:asciiTheme="majorHAnsi" w:hAnsiTheme="majorHAnsi"/>
          <w:sz w:val="20"/>
          <w:lang w:val="es-CO"/>
        </w:rPr>
        <w:footnoteReference w:id="96"/>
      </w:r>
      <w:r w:rsidR="000457C7" w:rsidRPr="007F3D68">
        <w:rPr>
          <w:lang w:val="es-CO"/>
        </w:rPr>
        <w:t xml:space="preserve">, </w:t>
      </w:r>
      <w:r w:rsidRPr="007F3D68">
        <w:rPr>
          <w:lang w:val="es-CO"/>
        </w:rPr>
        <w:t>garantías judiciales</w:t>
      </w:r>
      <w:r w:rsidRPr="007F3D68">
        <w:rPr>
          <w:vertAlign w:val="superscript"/>
        </w:rPr>
        <w:footnoteReference w:id="97"/>
      </w:r>
      <w:r w:rsidRPr="007F3D68">
        <w:rPr>
          <w:lang w:val="es-CO"/>
        </w:rPr>
        <w:t xml:space="preserve"> y protección judicial</w:t>
      </w:r>
      <w:r w:rsidRPr="007F3D68">
        <w:rPr>
          <w:vertAlign w:val="superscript"/>
        </w:rPr>
        <w:footnoteReference w:id="98"/>
      </w:r>
      <w:r w:rsidRPr="007F3D68">
        <w:rPr>
          <w:lang w:val="es-CO"/>
        </w:rPr>
        <w:t xml:space="preserve"> y disposiciones relevantes de la CIPST</w:t>
      </w:r>
      <w:r w:rsidRPr="007F3D68">
        <w:rPr>
          <w:vertAlign w:val="superscript"/>
        </w:rPr>
        <w:footnoteReference w:id="99"/>
      </w:r>
      <w:bookmarkEnd w:id="99"/>
      <w:r w:rsidR="00C11CA8" w:rsidRPr="007F3D68">
        <w:rPr>
          <w:lang w:val="es-CO"/>
        </w:rPr>
        <w:t xml:space="preserve"> respecto de las alegadas torturas</w:t>
      </w:r>
      <w:bookmarkEnd w:id="100"/>
    </w:p>
    <w:p w:rsidR="00BF224D" w:rsidRPr="007F3D68" w:rsidRDefault="00BF224D" w:rsidP="000104F7">
      <w:pPr>
        <w:pStyle w:val="Heading3"/>
        <w:numPr>
          <w:ilvl w:val="0"/>
          <w:numId w:val="81"/>
        </w:numPr>
        <w:ind w:left="1260" w:hanging="540"/>
        <w:rPr>
          <w:color w:val="auto"/>
          <w:sz w:val="20"/>
          <w:szCs w:val="20"/>
          <w:lang w:val="es-CO"/>
        </w:rPr>
      </w:pPr>
      <w:bookmarkStart w:id="101" w:name="_Toc495479560"/>
      <w:r w:rsidRPr="007F3D68">
        <w:rPr>
          <w:color w:val="auto"/>
          <w:sz w:val="20"/>
          <w:szCs w:val="20"/>
          <w:lang w:val="es-CO"/>
        </w:rPr>
        <w:t>Consideraciones generales</w:t>
      </w:r>
      <w:bookmarkEnd w:id="101"/>
      <w:r w:rsidRPr="007F3D68">
        <w:rPr>
          <w:color w:val="auto"/>
          <w:sz w:val="20"/>
          <w:szCs w:val="20"/>
          <w:lang w:val="es-CO"/>
        </w:rPr>
        <w:t xml:space="preserve"> </w:t>
      </w:r>
    </w:p>
    <w:p w:rsidR="00BF224D" w:rsidRPr="007F3D68" w:rsidRDefault="00BF224D" w:rsidP="00BF22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440"/>
          <w:tab w:val="num" w:pos="2040"/>
        </w:tabs>
        <w:jc w:val="both"/>
        <w:rPr>
          <w:rFonts w:ascii="Cambria" w:hAnsi="Cambria"/>
          <w:sz w:val="20"/>
          <w:szCs w:val="20"/>
          <w:lang w:val="es-CO"/>
        </w:rPr>
      </w:pPr>
    </w:p>
    <w:p w:rsidR="000104F7" w:rsidRPr="007F3D68" w:rsidRDefault="00BF224D" w:rsidP="000104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AR"/>
        </w:rPr>
      </w:pPr>
      <w:r w:rsidRPr="007F3D68">
        <w:rPr>
          <w:rFonts w:ascii="Cambria" w:hAnsi="Cambria"/>
          <w:sz w:val="20"/>
          <w:szCs w:val="20"/>
          <w:lang w:val="es-ES"/>
        </w:rPr>
        <w:t xml:space="preserve">La CIDH </w:t>
      </w:r>
      <w:r w:rsidRPr="007F3D68">
        <w:rPr>
          <w:rFonts w:ascii="Cambria" w:hAnsi="Cambria"/>
          <w:sz w:val="20"/>
          <w:szCs w:val="20"/>
          <w:lang w:val="es-CO"/>
        </w:rPr>
        <w:t>ha</w:t>
      </w:r>
      <w:r w:rsidRPr="007F3D68">
        <w:rPr>
          <w:rFonts w:ascii="Cambria" w:hAnsi="Cambria"/>
          <w:sz w:val="20"/>
          <w:szCs w:val="20"/>
          <w:lang w:val="es-ES"/>
        </w:rPr>
        <w:t xml:space="preserve"> enfatizado que la Convención Americana prohíbe la imposición de la tortura o de un trato o castigo cruel, inhumano o degradante contra las personas en cualquier circunstancia. La Comisión ha indicado que "un aspecto esencial del derecho a la seguridad personal es la absoluta prohibición de la tortura, norma perentoria del derecho internacional que crea obligaciones </w:t>
      </w:r>
      <w:r w:rsidRPr="007F3D68">
        <w:rPr>
          <w:rFonts w:ascii="Cambria" w:hAnsi="Cambria"/>
          <w:i/>
          <w:sz w:val="20"/>
          <w:szCs w:val="20"/>
          <w:lang w:val="es-ES"/>
        </w:rPr>
        <w:t>erga omnes</w:t>
      </w:r>
      <w:r w:rsidRPr="007F3D68">
        <w:rPr>
          <w:rFonts w:ascii="Cambria" w:hAnsi="Cambria"/>
          <w:sz w:val="20"/>
          <w:szCs w:val="20"/>
          <w:lang w:val="es-ES"/>
        </w:rPr>
        <w:t>"</w:t>
      </w:r>
      <w:r w:rsidRPr="007F3D68">
        <w:rPr>
          <w:rStyle w:val="FootnoteReference"/>
          <w:rFonts w:ascii="Cambria" w:hAnsi="Cambria"/>
          <w:sz w:val="20"/>
          <w:szCs w:val="20"/>
        </w:rPr>
        <w:footnoteReference w:id="100"/>
      </w:r>
      <w:r w:rsidRPr="007F3D68">
        <w:rPr>
          <w:rFonts w:ascii="Cambria" w:hAnsi="Cambria"/>
          <w:sz w:val="20"/>
          <w:szCs w:val="20"/>
          <w:lang w:val="es-ES"/>
        </w:rPr>
        <w:t xml:space="preserve">. </w:t>
      </w:r>
      <w:r w:rsidRPr="007F3D68">
        <w:rPr>
          <w:rFonts w:ascii="Cambria" w:hAnsi="Cambria"/>
          <w:sz w:val="20"/>
          <w:szCs w:val="20"/>
          <w:lang w:val="es-CO"/>
        </w:rPr>
        <w:t xml:space="preserve">Asimismo, la CIDH ha calificado la prohibición de la tortura como una norma de </w:t>
      </w:r>
      <w:proofErr w:type="spellStart"/>
      <w:r w:rsidRPr="007F3D68">
        <w:rPr>
          <w:rFonts w:ascii="Cambria" w:hAnsi="Cambria"/>
          <w:i/>
          <w:sz w:val="20"/>
          <w:szCs w:val="20"/>
          <w:lang w:val="es-CO"/>
        </w:rPr>
        <w:t>jus</w:t>
      </w:r>
      <w:proofErr w:type="spellEnd"/>
      <w:r w:rsidRPr="007F3D68">
        <w:rPr>
          <w:rFonts w:ascii="Cambria" w:hAnsi="Cambria"/>
          <w:i/>
          <w:sz w:val="20"/>
          <w:szCs w:val="20"/>
          <w:lang w:val="es-CO"/>
        </w:rPr>
        <w:t xml:space="preserve"> </w:t>
      </w:r>
      <w:proofErr w:type="spellStart"/>
      <w:r w:rsidRPr="007F3D68">
        <w:rPr>
          <w:rFonts w:ascii="Cambria" w:hAnsi="Cambria"/>
          <w:i/>
          <w:sz w:val="20"/>
          <w:szCs w:val="20"/>
          <w:lang w:val="es-CO"/>
        </w:rPr>
        <w:t>cogens</w:t>
      </w:r>
      <w:proofErr w:type="spellEnd"/>
      <w:r w:rsidRPr="007F3D68">
        <w:rPr>
          <w:rStyle w:val="FootnoteReference"/>
          <w:rFonts w:ascii="Cambria" w:hAnsi="Cambria"/>
          <w:sz w:val="20"/>
          <w:szCs w:val="20"/>
        </w:rPr>
        <w:footnoteReference w:id="101"/>
      </w:r>
      <w:r w:rsidRPr="007F3D68">
        <w:rPr>
          <w:rFonts w:ascii="Cambria" w:hAnsi="Cambria"/>
          <w:sz w:val="20"/>
          <w:szCs w:val="20"/>
          <w:lang w:val="es-CO"/>
        </w:rPr>
        <w:t>.</w:t>
      </w:r>
    </w:p>
    <w:p w:rsidR="000104F7" w:rsidRPr="007F3D68" w:rsidRDefault="000104F7" w:rsidP="000104F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hAnsi="Cambria"/>
          <w:sz w:val="20"/>
          <w:szCs w:val="20"/>
          <w:lang w:val="es-AR"/>
        </w:rPr>
      </w:pPr>
    </w:p>
    <w:p w:rsidR="000104F7" w:rsidRPr="007F3D68" w:rsidRDefault="00BF224D" w:rsidP="000104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AR"/>
        </w:rPr>
      </w:pPr>
      <w:r w:rsidRPr="007F3D68">
        <w:rPr>
          <w:rFonts w:ascii="Cambria" w:hAnsi="Cambria" w:cs="Arial"/>
          <w:sz w:val="20"/>
          <w:szCs w:val="20"/>
          <w:lang w:val="es-ES"/>
        </w:rPr>
        <w:t xml:space="preserve">Por su parte, la Corte ha señalado reiteradamente que </w:t>
      </w:r>
      <w:r w:rsidRPr="007F3D68">
        <w:rPr>
          <w:rFonts w:ascii="Cambria" w:hAnsi="Cambria"/>
          <w:sz w:val="20"/>
          <w:szCs w:val="20"/>
          <w:lang w:val="es-ES"/>
        </w:rPr>
        <w:t xml:space="preserve">"la tortura y las penas o tratos crueles, inhumanos o degradantes están estrictamente prohibidos por el Derecho Internacional de los Derechos Humanos. La </w:t>
      </w:r>
      <w:r w:rsidRPr="007F3D68">
        <w:rPr>
          <w:rFonts w:ascii="Cambria" w:hAnsi="Cambria"/>
          <w:sz w:val="20"/>
          <w:szCs w:val="20"/>
          <w:lang w:val="es-CO"/>
        </w:rPr>
        <w:t>prohibición</w:t>
      </w:r>
      <w:r w:rsidRPr="007F3D68">
        <w:rPr>
          <w:rFonts w:ascii="Cambria" w:hAnsi="Cambria"/>
          <w:sz w:val="20"/>
          <w:szCs w:val="20"/>
          <w:lang w:val="es-ES"/>
        </w:rPr>
        <w:t xml:space="preserve"> absoluta de la tortura, tanto física como psicológica, pertenece hoy día al dominio del </w:t>
      </w:r>
      <w:proofErr w:type="spellStart"/>
      <w:r w:rsidRPr="007F3D68">
        <w:rPr>
          <w:rFonts w:ascii="Cambria" w:hAnsi="Cambria"/>
          <w:i/>
          <w:sz w:val="20"/>
          <w:szCs w:val="20"/>
          <w:lang w:val="es-ES"/>
        </w:rPr>
        <w:t>jus</w:t>
      </w:r>
      <w:proofErr w:type="spellEnd"/>
      <w:r w:rsidRPr="007F3D68">
        <w:rPr>
          <w:rFonts w:ascii="Cambria" w:hAnsi="Cambria"/>
          <w:i/>
          <w:sz w:val="20"/>
          <w:szCs w:val="20"/>
          <w:lang w:val="es-ES"/>
        </w:rPr>
        <w:t xml:space="preserve"> </w:t>
      </w:r>
      <w:proofErr w:type="spellStart"/>
      <w:r w:rsidRPr="007F3D68">
        <w:rPr>
          <w:rFonts w:ascii="Cambria" w:hAnsi="Cambria"/>
          <w:i/>
          <w:sz w:val="20"/>
          <w:szCs w:val="20"/>
          <w:lang w:val="es-ES"/>
        </w:rPr>
        <w:t>cogens</w:t>
      </w:r>
      <w:proofErr w:type="spellEnd"/>
      <w:r w:rsidRPr="007F3D68">
        <w:rPr>
          <w:rFonts w:ascii="Cambria" w:hAnsi="Cambria"/>
          <w:i/>
          <w:sz w:val="20"/>
          <w:szCs w:val="20"/>
          <w:lang w:val="es-ES"/>
        </w:rPr>
        <w:t xml:space="preserve"> </w:t>
      </w:r>
      <w:r w:rsidRPr="007F3D68">
        <w:rPr>
          <w:rFonts w:ascii="Cambria" w:hAnsi="Cambria" w:cs="Arial"/>
          <w:sz w:val="20"/>
          <w:szCs w:val="20"/>
          <w:lang w:val="es-ES"/>
        </w:rPr>
        <w:t>internacional</w:t>
      </w:r>
      <w:r w:rsidRPr="007F3D68">
        <w:rPr>
          <w:rFonts w:ascii="Cambria" w:hAnsi="Cambria"/>
          <w:sz w:val="20"/>
          <w:szCs w:val="20"/>
          <w:lang w:val="es-ES"/>
        </w:rPr>
        <w:t>"</w:t>
      </w:r>
      <w:r w:rsidRPr="007F3D68">
        <w:rPr>
          <w:rStyle w:val="FootnoteReference"/>
          <w:rFonts w:ascii="Cambria" w:hAnsi="Cambria"/>
          <w:sz w:val="20"/>
          <w:szCs w:val="20"/>
        </w:rPr>
        <w:footnoteReference w:id="102"/>
      </w:r>
      <w:r w:rsidRPr="007F3D68">
        <w:rPr>
          <w:rFonts w:ascii="Cambria" w:hAnsi="Cambria"/>
          <w:sz w:val="20"/>
          <w:szCs w:val="20"/>
          <w:lang w:val="es-ES"/>
        </w:rPr>
        <w:t xml:space="preserve">. </w:t>
      </w:r>
      <w:r w:rsidRPr="007F3D68">
        <w:rPr>
          <w:rFonts w:ascii="Cambria" w:hAnsi="Cambria"/>
          <w:sz w:val="20"/>
          <w:szCs w:val="20"/>
          <w:lang w:val="es-CO"/>
        </w:rPr>
        <w:t>Dicha prohibición subsiste aún en las circunstancias más difíciles, tales como guerra, amenaza de guerra, lucha contra el terrorismo y cualesquiera otros delitos, estado de sitio o de emergencia, conmoción o conflicto interno, suspensión de garantías constitucionales, inestabilidad política interna u otras emergencias o calamidades públicas</w:t>
      </w:r>
      <w:r w:rsidRPr="007F3D68">
        <w:rPr>
          <w:rStyle w:val="FootnoteReference"/>
          <w:rFonts w:ascii="Cambria" w:hAnsi="Cambria"/>
          <w:sz w:val="20"/>
          <w:szCs w:val="20"/>
        </w:rPr>
        <w:footnoteReference w:id="103"/>
      </w:r>
      <w:r w:rsidRPr="007F3D68">
        <w:rPr>
          <w:rFonts w:ascii="Cambria" w:hAnsi="Cambria"/>
          <w:sz w:val="20"/>
          <w:szCs w:val="20"/>
          <w:lang w:val="es-CO"/>
        </w:rPr>
        <w:t xml:space="preserve">. Asimismo, la </w:t>
      </w:r>
      <w:r w:rsidRPr="007F3D68">
        <w:rPr>
          <w:rFonts w:ascii="Cambria" w:hAnsi="Cambria" w:cs="Arial"/>
          <w:sz w:val="20"/>
          <w:szCs w:val="20"/>
          <w:lang w:val="es-CO"/>
        </w:rPr>
        <w:t>Corte</w:t>
      </w:r>
      <w:r w:rsidRPr="007F3D68">
        <w:rPr>
          <w:rFonts w:ascii="Cambria" w:hAnsi="Cambria"/>
          <w:sz w:val="20"/>
          <w:szCs w:val="20"/>
          <w:lang w:val="es-CO"/>
        </w:rPr>
        <w:t xml:space="preserve"> ha indicado que los tratados de alcance universal y regional consagran tal prohibición y el derecho inderogable a no ser torturado. Igualmente, </w:t>
      </w:r>
      <w:r w:rsidRPr="007F3D68">
        <w:rPr>
          <w:rFonts w:ascii="Cambria" w:hAnsi="Cambria"/>
          <w:sz w:val="20"/>
          <w:szCs w:val="20"/>
          <w:lang w:val="es-CO"/>
        </w:rPr>
        <w:lastRenderedPageBreak/>
        <w:t>numerosos instrumentos internacionales consagran ese derecho y reiteran la misma prohibición, incluso bajo el derecho internacional humanitario</w:t>
      </w:r>
      <w:r w:rsidRPr="007F3D68">
        <w:rPr>
          <w:rStyle w:val="FootnoteReference"/>
          <w:rFonts w:ascii="Cambria" w:hAnsi="Cambria"/>
          <w:sz w:val="20"/>
          <w:szCs w:val="20"/>
        </w:rPr>
        <w:footnoteReference w:id="104"/>
      </w:r>
      <w:r w:rsidRPr="007F3D68">
        <w:rPr>
          <w:rFonts w:ascii="Cambria" w:hAnsi="Cambria"/>
          <w:sz w:val="20"/>
          <w:szCs w:val="20"/>
          <w:lang w:val="es-CO"/>
        </w:rPr>
        <w:t>.</w:t>
      </w:r>
    </w:p>
    <w:p w:rsidR="000104F7" w:rsidRPr="007F3D68" w:rsidRDefault="000104F7" w:rsidP="000104F7">
      <w:pPr>
        <w:pStyle w:val="ListParagraph"/>
        <w:rPr>
          <w:sz w:val="20"/>
          <w:szCs w:val="20"/>
          <w:lang w:val="es-CO"/>
        </w:rPr>
      </w:pPr>
    </w:p>
    <w:p w:rsidR="000104F7" w:rsidRPr="007F3D68" w:rsidRDefault="00BF224D" w:rsidP="000104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AR"/>
        </w:rPr>
      </w:pPr>
      <w:r w:rsidRPr="007F3D68">
        <w:rPr>
          <w:rFonts w:ascii="Cambria" w:hAnsi="Cambria"/>
          <w:sz w:val="20"/>
          <w:szCs w:val="20"/>
          <w:lang w:val="es-CO"/>
        </w:rPr>
        <w:t>Según</w:t>
      </w:r>
      <w:r w:rsidRPr="007F3D68">
        <w:rPr>
          <w:rFonts w:ascii="Cambria" w:hAnsi="Cambria"/>
          <w:sz w:val="20"/>
          <w:szCs w:val="20"/>
          <w:lang w:val="es-ES"/>
        </w:rPr>
        <w:t xml:space="preserve"> la jurisprudencia del sistema interamericano, para que una conducta sea calificada como tortura deben concurrir los siguientes elementos: i) que sea un acto intencional cometido por un agente del Estado o con su autorización o aquiescencia; ii) que cause intenso sufrimiento físico o mental y iii) que se cometa con determinado fin o propósito</w:t>
      </w:r>
      <w:r w:rsidRPr="007F3D68">
        <w:rPr>
          <w:rStyle w:val="FootnoteReference"/>
          <w:rFonts w:ascii="Cambria" w:hAnsi="Cambria"/>
          <w:sz w:val="20"/>
          <w:szCs w:val="20"/>
          <w:lang w:val="es-ES"/>
        </w:rPr>
        <w:footnoteReference w:id="105"/>
      </w:r>
      <w:r w:rsidRPr="007F3D68">
        <w:rPr>
          <w:rFonts w:ascii="Cambria" w:hAnsi="Cambria"/>
          <w:sz w:val="20"/>
          <w:szCs w:val="20"/>
          <w:lang w:val="es-ES"/>
        </w:rPr>
        <w:t>.</w:t>
      </w:r>
      <w:r w:rsidRPr="007F3D68">
        <w:rPr>
          <w:rFonts w:ascii="Cambria" w:hAnsi="Cambria"/>
          <w:sz w:val="20"/>
          <w:szCs w:val="20"/>
          <w:lang w:val="es-AR"/>
        </w:rPr>
        <w:t xml:space="preserve"> </w:t>
      </w:r>
    </w:p>
    <w:p w:rsidR="000104F7" w:rsidRPr="007F3D68" w:rsidRDefault="000104F7" w:rsidP="000104F7">
      <w:pPr>
        <w:pStyle w:val="ListParagraph"/>
        <w:rPr>
          <w:sz w:val="20"/>
          <w:szCs w:val="20"/>
          <w:lang w:val="es-ES_tradnl"/>
        </w:rPr>
      </w:pPr>
    </w:p>
    <w:p w:rsidR="000104F7" w:rsidRPr="007F3D68" w:rsidRDefault="00BF224D" w:rsidP="000104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AR"/>
        </w:rPr>
      </w:pPr>
      <w:r w:rsidRPr="007F3D68">
        <w:rPr>
          <w:rFonts w:ascii="Cambria" w:hAnsi="Cambria"/>
          <w:sz w:val="20"/>
          <w:szCs w:val="20"/>
          <w:lang w:val="es-ES_tradnl"/>
        </w:rPr>
        <w:t>Por otra parte, la Comisión recuerda en cuanto a las afectaciones que sufren personas que se encuentran bajo custodia del Estado, que conforme a la jurisprudencia constante de la Comisión y la Corte Interamericana, siempre que una persona es detenida en un estado de salud normal y posteriormente aparece con afectaciones a su salud, corresponde al Estado proveer una explicación creíble de esa situación. En consecuencia, existe la presunción de considerar responsable al Estado por las lesiones que exhibe una persona que ha estado bajo la custodia de agentes estatales. En dicho supuesto, recae en el Estado la obligación de proveer una explicación satisfactoria y convincente de lo sucedido y desvirtuar las alegaciones sobre su responsabilidad, mediante elementos probatorios adecuados</w:t>
      </w:r>
      <w:r w:rsidRPr="007F3D68">
        <w:rPr>
          <w:rStyle w:val="FootnoteReference"/>
          <w:rFonts w:ascii="Cambria" w:hAnsi="Cambria"/>
          <w:sz w:val="20"/>
          <w:szCs w:val="20"/>
        </w:rPr>
        <w:footnoteReference w:id="106"/>
      </w:r>
      <w:r w:rsidRPr="007F3D68">
        <w:rPr>
          <w:rFonts w:ascii="Cambria" w:hAnsi="Cambria"/>
          <w:sz w:val="20"/>
          <w:szCs w:val="20"/>
          <w:lang w:val="es-ES_tradnl"/>
        </w:rPr>
        <w:t xml:space="preserve">. </w:t>
      </w:r>
    </w:p>
    <w:p w:rsidR="000104F7" w:rsidRPr="007F3D68" w:rsidRDefault="000104F7" w:rsidP="000104F7">
      <w:pPr>
        <w:pStyle w:val="ListParagraph"/>
        <w:rPr>
          <w:sz w:val="20"/>
          <w:szCs w:val="20"/>
          <w:lang w:val="es-CL"/>
        </w:rPr>
      </w:pPr>
    </w:p>
    <w:p w:rsidR="000104F7" w:rsidRPr="007F3D68" w:rsidRDefault="00BF224D" w:rsidP="000104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AR"/>
        </w:rPr>
      </w:pPr>
      <w:r w:rsidRPr="007F3D68">
        <w:rPr>
          <w:rFonts w:ascii="Cambria" w:hAnsi="Cambria"/>
          <w:sz w:val="20"/>
          <w:szCs w:val="20"/>
          <w:lang w:val="es-CL"/>
        </w:rPr>
        <w:t xml:space="preserve">La </w:t>
      </w:r>
      <w:r w:rsidRPr="007F3D68">
        <w:rPr>
          <w:rFonts w:ascii="Cambria" w:hAnsi="Cambria"/>
          <w:sz w:val="20"/>
          <w:szCs w:val="20"/>
          <w:lang w:val="es-US"/>
        </w:rPr>
        <w:t xml:space="preserve">Corte </w:t>
      </w:r>
      <w:r w:rsidRPr="007F3D68">
        <w:rPr>
          <w:rFonts w:ascii="Cambria" w:hAnsi="Cambria"/>
          <w:sz w:val="20"/>
          <w:szCs w:val="20"/>
          <w:lang w:val="es-ES_tradnl"/>
        </w:rPr>
        <w:t>Interamericana</w:t>
      </w:r>
      <w:r w:rsidRPr="007F3D68">
        <w:rPr>
          <w:rFonts w:ascii="Cambria" w:hAnsi="Cambria"/>
          <w:sz w:val="20"/>
          <w:szCs w:val="20"/>
          <w:lang w:val="es-US"/>
        </w:rPr>
        <w:t xml:space="preserve"> ha señalado que</w:t>
      </w:r>
      <w:r w:rsidRPr="007F3D68">
        <w:rPr>
          <w:rFonts w:ascii="Cambria" w:eastAsia="Times New Roman" w:hAnsi="Cambria"/>
          <w:sz w:val="20"/>
          <w:szCs w:val="20"/>
          <w:lang w:val="es-ES"/>
        </w:rPr>
        <w:t xml:space="preserve"> cuando existe una denuncia o razón fundada para creer que se ha cometido un acto de tortura, existe una obligación estatal de iniciar de oficio e inmediatamente una investigación efectiva que permita identificar, juzgar y sancionar a los </w:t>
      </w:r>
      <w:r w:rsidRPr="007F3D68">
        <w:rPr>
          <w:rFonts w:ascii="Cambria" w:eastAsia="Times New Roman" w:hAnsi="Cambria"/>
          <w:sz w:val="20"/>
          <w:szCs w:val="20"/>
          <w:lang w:val="es-ES_tradnl"/>
        </w:rPr>
        <w:t>responsables</w:t>
      </w:r>
      <w:r w:rsidRPr="007F3D68">
        <w:rPr>
          <w:rFonts w:ascii="Cambria" w:eastAsia="Times New Roman" w:hAnsi="Cambria"/>
          <w:sz w:val="20"/>
          <w:szCs w:val="20"/>
          <w:lang w:val="es-ES"/>
        </w:rPr>
        <w:t>, conforme a la obligación general de garantizar a toda persona bajo su jurisdicción los derechos humanos consagrados en la Convención, establecida en el artículo 1.1. de la misma en conjunto con el derecho a la integridad personal</w:t>
      </w:r>
      <w:r w:rsidRPr="007F3D68">
        <w:rPr>
          <w:rFonts w:ascii="Cambria" w:eastAsia="Times New Roman" w:hAnsi="Cambria"/>
          <w:sz w:val="20"/>
          <w:szCs w:val="20"/>
          <w:vertAlign w:val="superscript"/>
          <w:lang w:val="es-ES"/>
        </w:rPr>
        <w:footnoteReference w:id="107"/>
      </w:r>
      <w:r w:rsidRPr="007F3D68">
        <w:rPr>
          <w:rFonts w:ascii="Cambria" w:eastAsia="Times New Roman" w:hAnsi="Cambria"/>
          <w:sz w:val="20"/>
          <w:szCs w:val="20"/>
          <w:lang w:val="es-ES"/>
        </w:rPr>
        <w:t xml:space="preserve">. Esta investigación debe ser realizada por todos los medios legales disponibles y orientados a la determinación de la verdad y la investigación, persecución, captura, enjuiciamiento y castigo de todos los responsables de los </w:t>
      </w:r>
      <w:r w:rsidRPr="007F3D68">
        <w:rPr>
          <w:rFonts w:ascii="Cambria" w:eastAsia="Times New Roman" w:hAnsi="Cambria"/>
          <w:sz w:val="20"/>
          <w:szCs w:val="20"/>
          <w:lang w:val="es-ES"/>
        </w:rPr>
        <w:lastRenderedPageBreak/>
        <w:t>hechos</w:t>
      </w:r>
      <w:r w:rsidRPr="007F3D68">
        <w:rPr>
          <w:rStyle w:val="FootnoteReference"/>
          <w:rFonts w:ascii="Cambria" w:eastAsia="Times New Roman" w:hAnsi="Cambria"/>
          <w:sz w:val="20"/>
          <w:szCs w:val="20"/>
          <w:lang w:val="es-ES"/>
        </w:rPr>
        <w:footnoteReference w:id="108"/>
      </w:r>
      <w:r w:rsidRPr="007F3D68">
        <w:rPr>
          <w:rFonts w:ascii="Cambria" w:eastAsia="Times New Roman" w:hAnsi="Cambria"/>
          <w:sz w:val="20"/>
          <w:szCs w:val="20"/>
          <w:lang w:val="es-ES"/>
        </w:rPr>
        <w:t>. La obligación de investigar exhaustivamente hechos de tortura adquiere mayor importancia si éstos se produjeron mientras la víctima se encontraba bajo custodia estatal</w:t>
      </w:r>
      <w:r w:rsidRPr="007F3D68">
        <w:rPr>
          <w:rStyle w:val="FootnoteReference"/>
          <w:rFonts w:ascii="Cambria" w:eastAsia="Times New Roman" w:hAnsi="Cambria"/>
          <w:sz w:val="20"/>
          <w:szCs w:val="20"/>
          <w:lang w:val="es-ES"/>
        </w:rPr>
        <w:footnoteReference w:id="109"/>
      </w:r>
      <w:r w:rsidRPr="007F3D68">
        <w:rPr>
          <w:rFonts w:ascii="Cambria" w:eastAsia="Times New Roman" w:hAnsi="Cambria"/>
          <w:sz w:val="20"/>
          <w:szCs w:val="20"/>
          <w:lang w:val="es-ES"/>
        </w:rPr>
        <w:t>.</w:t>
      </w:r>
    </w:p>
    <w:p w:rsidR="000104F7" w:rsidRPr="007F3D68" w:rsidRDefault="000104F7" w:rsidP="000104F7">
      <w:pPr>
        <w:pStyle w:val="ListParagraph"/>
        <w:rPr>
          <w:rFonts w:eastAsia="Times New Roman"/>
          <w:sz w:val="20"/>
          <w:szCs w:val="20"/>
          <w:lang w:val="es-ES"/>
        </w:rPr>
      </w:pPr>
    </w:p>
    <w:p w:rsidR="000104F7" w:rsidRPr="007F3D68" w:rsidRDefault="00BF224D" w:rsidP="000104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AR"/>
        </w:rPr>
      </w:pPr>
      <w:r w:rsidRPr="007F3D68">
        <w:rPr>
          <w:rFonts w:ascii="Cambria" w:eastAsia="Times New Roman" w:hAnsi="Cambria"/>
          <w:sz w:val="20"/>
          <w:szCs w:val="20"/>
          <w:lang w:val="es-ES"/>
        </w:rPr>
        <w:t>Según la Corte, en los casos en los que existen alegatos de supuestas torturas o malos tratos, el tiempo transcurrido para la realización de las correspondientes pericias médicas es esencial para determinar fehacientemente la existencia del daño, sobre todo cuando no se cuenta con testigos más allá de los perpetradores y las propias víctimas, y en consecuencia los elementos pueden ser escasos. De ello se desprende que para que una investigación sobre hechos de tortura sea efectiva, la misma deberá ser efectuada con prontitud</w:t>
      </w:r>
      <w:r w:rsidRPr="007F3D68">
        <w:rPr>
          <w:rStyle w:val="FootnoteReference"/>
          <w:rFonts w:ascii="Cambria" w:eastAsia="Times New Roman" w:hAnsi="Cambria"/>
          <w:sz w:val="20"/>
          <w:szCs w:val="20"/>
          <w:lang w:val="es-ES"/>
        </w:rPr>
        <w:footnoteReference w:id="110"/>
      </w:r>
      <w:r w:rsidRPr="007F3D68">
        <w:rPr>
          <w:rFonts w:ascii="Cambria" w:eastAsia="Times New Roman" w:hAnsi="Cambria"/>
          <w:sz w:val="20"/>
          <w:szCs w:val="20"/>
          <w:lang w:val="es-ES"/>
        </w:rPr>
        <w:t xml:space="preserve">. </w:t>
      </w:r>
    </w:p>
    <w:p w:rsidR="000104F7" w:rsidRPr="007F3D68" w:rsidRDefault="000104F7" w:rsidP="000104F7">
      <w:pPr>
        <w:pStyle w:val="ListParagraph"/>
        <w:rPr>
          <w:sz w:val="20"/>
          <w:szCs w:val="20"/>
          <w:lang w:val="es-ES"/>
        </w:rPr>
      </w:pPr>
    </w:p>
    <w:p w:rsidR="000104F7" w:rsidRPr="007F3D68" w:rsidRDefault="00BF224D" w:rsidP="000104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AR"/>
        </w:rPr>
      </w:pPr>
      <w:r w:rsidRPr="007F3D68">
        <w:rPr>
          <w:rFonts w:ascii="Cambria" w:hAnsi="Cambria"/>
          <w:sz w:val="20"/>
          <w:szCs w:val="20"/>
          <w:lang w:val="es-ES"/>
        </w:rPr>
        <w:t xml:space="preserve">Igualmente, el Comité contra la Tortura de las Naciones Unidas ha establecido que frente a alegatos de tortura, es necesario que se realice en todos los casos un examen por un médico independiente de conformidad con el Protocolo de </w:t>
      </w:r>
      <w:r w:rsidRPr="007F3D68">
        <w:rPr>
          <w:rFonts w:ascii="Cambria" w:eastAsia="Times New Roman" w:hAnsi="Cambria"/>
          <w:sz w:val="20"/>
          <w:szCs w:val="20"/>
          <w:lang w:val="es-ES"/>
        </w:rPr>
        <w:t>Estambul</w:t>
      </w:r>
      <w:r w:rsidRPr="007F3D68">
        <w:rPr>
          <w:rStyle w:val="FootnoteReference"/>
          <w:rFonts w:ascii="Cambria" w:hAnsi="Cambria"/>
          <w:sz w:val="20"/>
          <w:szCs w:val="20"/>
          <w:lang w:val="es-ES"/>
        </w:rPr>
        <w:footnoteReference w:id="111"/>
      </w:r>
      <w:r w:rsidRPr="007F3D68">
        <w:rPr>
          <w:rFonts w:ascii="Cambria" w:hAnsi="Cambria"/>
          <w:sz w:val="20"/>
          <w:szCs w:val="20"/>
          <w:lang w:val="es-ES"/>
        </w:rPr>
        <w:t>. De acuerdo con dicho instrumento, la evaluación médica debería contener: i) información sobre el caso; ii) calificaciones del clínico (para el testimonio judicial); iii) declaración relativa a la veracidad del testimonio (para el testimonio judicial); iv) información de base; v) alegaciones de tortura y malos tratos; vi) síntomas y discapacidades físicas; vii) historia/exploración psicológica; viii) fotografías; ix) resultados de las pruebas de diagnóstico; x) consultas; xi) interpretación de los hallazgos; xii) conclusiones y recomendaciones; xiii) declaración de veracidad; xiv) declaración de restricciones a la evaluación/investigación médica; xv) firma del clínico, fecha, lugar; xvi) anexos pertinentes</w:t>
      </w:r>
      <w:r w:rsidRPr="007F3D68">
        <w:rPr>
          <w:rStyle w:val="FootnoteReference"/>
          <w:rFonts w:ascii="Cambria" w:hAnsi="Cambria"/>
          <w:sz w:val="20"/>
          <w:szCs w:val="20"/>
          <w:lang w:val="es-ES"/>
        </w:rPr>
        <w:footnoteReference w:id="112"/>
      </w:r>
      <w:r w:rsidRPr="007F3D68">
        <w:rPr>
          <w:rFonts w:ascii="Cambria" w:hAnsi="Cambria"/>
          <w:sz w:val="20"/>
          <w:szCs w:val="20"/>
          <w:lang w:val="es-ES"/>
        </w:rPr>
        <w:t>.</w:t>
      </w:r>
    </w:p>
    <w:p w:rsidR="000104F7" w:rsidRPr="007F3D68" w:rsidRDefault="000104F7" w:rsidP="000104F7">
      <w:pPr>
        <w:pStyle w:val="ListParagraph"/>
        <w:rPr>
          <w:sz w:val="20"/>
          <w:lang w:val="es-ES"/>
        </w:rPr>
      </w:pPr>
    </w:p>
    <w:p w:rsidR="000104F7" w:rsidRPr="007F3D68" w:rsidRDefault="00A5569C" w:rsidP="000104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AR"/>
        </w:rPr>
      </w:pPr>
      <w:r w:rsidRPr="007F3D68">
        <w:rPr>
          <w:rFonts w:ascii="Cambria" w:hAnsi="Cambria"/>
          <w:sz w:val="20"/>
          <w:lang w:val="es-ES"/>
        </w:rPr>
        <w:t>En cuando a la regla de exclusión de las pruebas obtenidas mediante la tortura o tratos crueles e inhumanos</w:t>
      </w:r>
      <w:r w:rsidR="00CE174C" w:rsidRPr="007F3D68">
        <w:rPr>
          <w:rFonts w:ascii="Cambria" w:hAnsi="Cambria"/>
          <w:sz w:val="20"/>
          <w:lang w:val="es-ES"/>
        </w:rPr>
        <w:t xml:space="preserve">, la misma </w:t>
      </w:r>
      <w:r w:rsidRPr="007F3D68">
        <w:rPr>
          <w:rFonts w:ascii="Cambria" w:hAnsi="Cambria"/>
          <w:sz w:val="20"/>
          <w:lang w:val="es-ES"/>
        </w:rPr>
        <w:t>ha sido reconocida por diversos tratados</w:t>
      </w:r>
      <w:r w:rsidRPr="007F3D68">
        <w:rPr>
          <w:rStyle w:val="FootnoteReference"/>
          <w:rFonts w:ascii="Cambria" w:hAnsi="Cambria"/>
          <w:sz w:val="20"/>
        </w:rPr>
        <w:footnoteReference w:id="113"/>
      </w:r>
      <w:r w:rsidRPr="007F3D68">
        <w:rPr>
          <w:rFonts w:ascii="Cambria" w:hAnsi="Cambria"/>
          <w:sz w:val="20"/>
          <w:lang w:val="es-ES"/>
        </w:rPr>
        <w:t xml:space="preserve"> y órganos internacionales de protección de derechos humanos</w:t>
      </w:r>
      <w:r w:rsidRPr="007F3D68">
        <w:rPr>
          <w:rStyle w:val="FootnoteReference"/>
          <w:rFonts w:ascii="Cambria" w:hAnsi="Cambria"/>
          <w:sz w:val="20"/>
        </w:rPr>
        <w:footnoteReference w:id="114"/>
      </w:r>
      <w:r w:rsidRPr="007F3D68">
        <w:rPr>
          <w:rFonts w:ascii="Cambria" w:hAnsi="Cambria"/>
          <w:sz w:val="20"/>
          <w:lang w:val="es-ES"/>
        </w:rPr>
        <w:t>, así como que tal regla tiene “un carácter absoluto e inderogable”</w:t>
      </w:r>
      <w:r w:rsidRPr="007F3D68">
        <w:rPr>
          <w:rStyle w:val="FootnoteReference"/>
          <w:rFonts w:ascii="Cambria" w:hAnsi="Cambria"/>
          <w:sz w:val="20"/>
        </w:rPr>
        <w:footnoteReference w:id="115"/>
      </w:r>
      <w:r w:rsidR="00E152A0">
        <w:rPr>
          <w:rFonts w:ascii="Cambria" w:hAnsi="Cambria"/>
          <w:sz w:val="20"/>
          <w:lang w:val="es-ES"/>
        </w:rPr>
        <w:t>.</w:t>
      </w:r>
    </w:p>
    <w:p w:rsidR="000104F7" w:rsidRDefault="000104F7" w:rsidP="000104F7">
      <w:pPr>
        <w:pStyle w:val="ListParagraph"/>
        <w:rPr>
          <w:sz w:val="20"/>
          <w:lang w:val="es-ES"/>
        </w:rPr>
      </w:pPr>
    </w:p>
    <w:p w:rsidR="00F40EB1" w:rsidRPr="007F3D68" w:rsidRDefault="00F40EB1" w:rsidP="000104F7">
      <w:pPr>
        <w:pStyle w:val="ListParagraph"/>
        <w:rPr>
          <w:sz w:val="20"/>
          <w:lang w:val="es-ES"/>
        </w:rPr>
      </w:pPr>
    </w:p>
    <w:p w:rsidR="00A5569C" w:rsidRPr="007F3D68" w:rsidRDefault="00A5569C" w:rsidP="000104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AR"/>
        </w:rPr>
      </w:pPr>
      <w:r w:rsidRPr="007F3D68">
        <w:rPr>
          <w:rFonts w:ascii="Cambria" w:hAnsi="Cambria"/>
          <w:sz w:val="20"/>
          <w:lang w:val="es-ES"/>
        </w:rPr>
        <w:t xml:space="preserve">Desde su </w:t>
      </w:r>
      <w:r w:rsidRPr="007F3D68">
        <w:rPr>
          <w:rFonts w:ascii="Cambria" w:hAnsi="Cambria"/>
          <w:i/>
          <w:sz w:val="20"/>
          <w:lang w:val="es-ES"/>
        </w:rPr>
        <w:t xml:space="preserve">Informe </w:t>
      </w:r>
      <w:r w:rsidRPr="007F3D68">
        <w:rPr>
          <w:rFonts w:ascii="Cambria" w:hAnsi="Cambria"/>
          <w:sz w:val="20"/>
          <w:lang w:val="es-ES"/>
        </w:rPr>
        <w:t>sobre</w:t>
      </w:r>
      <w:r w:rsidRPr="007F3D68">
        <w:rPr>
          <w:rFonts w:ascii="Cambria" w:hAnsi="Cambria"/>
          <w:i/>
          <w:sz w:val="20"/>
          <w:lang w:val="es-ES"/>
        </w:rPr>
        <w:t xml:space="preserve"> la Situación de los Derechos Humanos en México (1998)</w:t>
      </w:r>
      <w:r w:rsidRPr="007F3D68">
        <w:rPr>
          <w:rFonts w:ascii="Cambria" w:hAnsi="Cambria"/>
          <w:sz w:val="20"/>
          <w:lang w:val="es-ES"/>
        </w:rPr>
        <w:t xml:space="preserve"> la Comisión ha señalado que</w:t>
      </w:r>
      <w:r w:rsidR="001C51C8">
        <w:rPr>
          <w:rFonts w:ascii="Cambria" w:hAnsi="Cambria"/>
          <w:sz w:val="20"/>
          <w:lang w:val="es-ES"/>
        </w:rPr>
        <w:t xml:space="preserve">: </w:t>
      </w:r>
      <w:r w:rsidRPr="007F3D68">
        <w:rPr>
          <w:rFonts w:ascii="Cambria" w:hAnsi="Cambria"/>
          <w:sz w:val="20"/>
          <w:lang w:val="es-ES"/>
        </w:rPr>
        <w:t xml:space="preserve"> </w:t>
      </w:r>
    </w:p>
    <w:p w:rsidR="00A5569C" w:rsidRPr="007F3D68" w:rsidRDefault="00A5569C" w:rsidP="00A5569C">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lang w:val="es-ES"/>
        </w:rPr>
      </w:pPr>
    </w:p>
    <w:p w:rsidR="00A5569C" w:rsidRPr="007F3D68" w:rsidRDefault="00A5569C" w:rsidP="00A5569C">
      <w:pPr>
        <w:pBdr>
          <w:top w:val="none" w:sz="0" w:space="0" w:color="auto"/>
          <w:left w:val="none" w:sz="0" w:space="0" w:color="auto"/>
          <w:bottom w:val="none" w:sz="0" w:space="0" w:color="auto"/>
          <w:right w:val="none" w:sz="0" w:space="0" w:color="auto"/>
          <w:bar w:val="none" w:sz="0" w:color="auto"/>
        </w:pBdr>
        <w:suppressAutoHyphens/>
        <w:ind w:left="720" w:right="720"/>
        <w:jc w:val="both"/>
        <w:rPr>
          <w:rFonts w:ascii="Cambria" w:hAnsi="Cambria"/>
          <w:sz w:val="20"/>
          <w:lang w:val="es-ES"/>
        </w:rPr>
      </w:pPr>
      <w:proofErr w:type="gramStart"/>
      <w:r w:rsidRPr="007F3D68">
        <w:rPr>
          <w:rFonts w:ascii="Cambria" w:hAnsi="Cambria"/>
          <w:sz w:val="20"/>
          <w:lang w:val="es-ES"/>
        </w:rPr>
        <w:t>ante</w:t>
      </w:r>
      <w:proofErr w:type="gramEnd"/>
      <w:r w:rsidRPr="007F3D68">
        <w:rPr>
          <w:rFonts w:ascii="Cambria" w:hAnsi="Cambria"/>
          <w:sz w:val="20"/>
          <w:lang w:val="es-ES"/>
        </w:rPr>
        <w:t xml:space="preserve"> una declaración o testimonio en que exista algún indicio o presunción fundada, de que la misma fue obtenida por algún tipo de coacción ya sea física o psicológica, los órganos jurisdiccionales deben </w:t>
      </w:r>
      <w:r w:rsidRPr="007F3D68">
        <w:rPr>
          <w:rFonts w:ascii="Cambria" w:hAnsi="Cambria" w:cs="Verdana"/>
          <w:sz w:val="20"/>
          <w:lang w:val="es-ES"/>
        </w:rPr>
        <w:t>[…] determinar si existió tal coacción. En caso de admitir una declaración o testimonio obtenido en tales circunstancias, y de utilizarlo en el proceso como elemento de evidencia o prueba, podrían generar la responsabilidad internacional del Estado</w:t>
      </w:r>
      <w:r w:rsidRPr="007F3D68">
        <w:rPr>
          <w:rStyle w:val="FootnoteReference"/>
          <w:rFonts w:ascii="Cambria" w:hAnsi="Cambria" w:cs="Verdana"/>
          <w:sz w:val="20"/>
          <w:lang w:val="es-ES"/>
        </w:rPr>
        <w:footnoteReference w:id="116"/>
      </w:r>
      <w:r w:rsidRPr="007F3D68">
        <w:rPr>
          <w:rFonts w:ascii="Cambria" w:hAnsi="Cambria" w:cs="Verdana"/>
          <w:sz w:val="20"/>
          <w:lang w:val="es-ES"/>
        </w:rPr>
        <w:t xml:space="preserve">. </w:t>
      </w:r>
    </w:p>
    <w:p w:rsidR="00A5569C" w:rsidRPr="007F3D68" w:rsidRDefault="00A5569C" w:rsidP="00A5569C">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lang w:val="es-ES"/>
        </w:rPr>
      </w:pPr>
    </w:p>
    <w:p w:rsidR="00A675E6" w:rsidRPr="007F3D68" w:rsidRDefault="00A5569C" w:rsidP="00A675E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eastAsia="Times New Roman" w:hAnsi="Cambria"/>
          <w:sz w:val="20"/>
          <w:szCs w:val="20"/>
          <w:lang w:val="es-ES"/>
        </w:rPr>
      </w:pPr>
      <w:r w:rsidRPr="007F3D68">
        <w:rPr>
          <w:rFonts w:ascii="Cambria" w:hAnsi="Cambria"/>
          <w:sz w:val="20"/>
          <w:lang w:val="es-ES"/>
        </w:rPr>
        <w:t>Por su parte, la Corte Interamericana ha explicado que al existir una garantía de no ser obligado a confesar sin coacción de ninguna naturaleza establecida en el artículo 8.3 de la Convención, la “anulación de actos procesales derivados de la tortura o actos crueles constituye una medida efectiva para hacer cesar las consecuencias de una violación a las garantías judiciales”</w:t>
      </w:r>
      <w:r w:rsidRPr="007F3D68">
        <w:rPr>
          <w:rStyle w:val="FootnoteReference"/>
          <w:rFonts w:ascii="Cambria" w:hAnsi="Cambria"/>
          <w:sz w:val="20"/>
        </w:rPr>
        <w:footnoteReference w:id="117"/>
      </w:r>
      <w:r w:rsidRPr="007F3D68">
        <w:rPr>
          <w:rFonts w:ascii="Cambria" w:hAnsi="Cambria"/>
          <w:sz w:val="20"/>
          <w:lang w:val="es-ES"/>
        </w:rPr>
        <w:t>. Dicha medida no sólo comprende confesiones arrojadas mediante torturas o tratos crueles sino  “que se extiende a cualquier tipo de coacción” capaz de quebrantar “la expresión espontánea de la voluntad de una persona”, lo cual implica “necesariamente la obligación de excluir la evidencia respectiva del proceso judicial”</w:t>
      </w:r>
      <w:r w:rsidRPr="007F3D68">
        <w:rPr>
          <w:rStyle w:val="FootnoteReference"/>
          <w:rFonts w:ascii="Cambria" w:hAnsi="Cambria"/>
          <w:sz w:val="20"/>
          <w:lang w:val="es-ES"/>
        </w:rPr>
        <w:t xml:space="preserve"> </w:t>
      </w:r>
      <w:r w:rsidRPr="007F3D68">
        <w:rPr>
          <w:rStyle w:val="FootnoteReference"/>
          <w:rFonts w:ascii="Cambria" w:hAnsi="Cambria"/>
          <w:sz w:val="20"/>
        </w:rPr>
        <w:footnoteReference w:id="118"/>
      </w:r>
      <w:r w:rsidRPr="007F3D68">
        <w:rPr>
          <w:rFonts w:ascii="Cambria" w:hAnsi="Cambria"/>
          <w:sz w:val="20"/>
          <w:lang w:val="es-ES"/>
        </w:rPr>
        <w:t xml:space="preserve">. El objeto de la regla de exclusión es precisamente desincentivar y evitar el uso de prácticas ilegales e </w:t>
      </w:r>
      <w:proofErr w:type="spellStart"/>
      <w:r w:rsidRPr="007F3D68">
        <w:rPr>
          <w:rFonts w:ascii="Cambria" w:hAnsi="Cambria"/>
          <w:sz w:val="20"/>
          <w:lang w:val="es-ES"/>
        </w:rPr>
        <w:t>inconvencionales</w:t>
      </w:r>
      <w:proofErr w:type="spellEnd"/>
      <w:r w:rsidRPr="007F3D68">
        <w:rPr>
          <w:rFonts w:ascii="Cambria" w:hAnsi="Cambria"/>
          <w:sz w:val="20"/>
          <w:lang w:val="es-ES"/>
        </w:rPr>
        <w:t xml:space="preserve"> como la tortura y, por ende, el cumplimiento con dicha regla es de naturaleza fundamental</w:t>
      </w:r>
      <w:r w:rsidR="00F51864" w:rsidRPr="007F3D68">
        <w:rPr>
          <w:rStyle w:val="FootnoteReference"/>
          <w:rFonts w:asciiTheme="majorHAnsi" w:hAnsiTheme="majorHAnsi"/>
          <w:sz w:val="20"/>
          <w:szCs w:val="20"/>
          <w:lang w:val="es-ES"/>
        </w:rPr>
        <w:footnoteReference w:id="119"/>
      </w:r>
      <w:r w:rsidRPr="007F3D68">
        <w:rPr>
          <w:rFonts w:ascii="Cambria" w:hAnsi="Cambria"/>
          <w:sz w:val="20"/>
          <w:lang w:val="es-ES"/>
        </w:rPr>
        <w:t>.</w:t>
      </w:r>
    </w:p>
    <w:p w:rsidR="00435148" w:rsidRPr="007F3D68" w:rsidRDefault="00435148" w:rsidP="000104F7">
      <w:pPr>
        <w:pStyle w:val="Heading3"/>
        <w:numPr>
          <w:ilvl w:val="0"/>
          <w:numId w:val="81"/>
        </w:numPr>
        <w:ind w:left="1260" w:hanging="540"/>
        <w:rPr>
          <w:color w:val="auto"/>
          <w:sz w:val="20"/>
          <w:szCs w:val="20"/>
          <w:lang w:val="es-CO"/>
        </w:rPr>
      </w:pPr>
      <w:bookmarkStart w:id="102" w:name="_Toc495479561"/>
      <w:r w:rsidRPr="007F3D68">
        <w:rPr>
          <w:color w:val="auto"/>
          <w:sz w:val="20"/>
          <w:szCs w:val="20"/>
          <w:lang w:val="es-CO"/>
        </w:rPr>
        <w:t>Análisis del caso</w:t>
      </w:r>
      <w:bookmarkEnd w:id="102"/>
    </w:p>
    <w:p w:rsidR="00A675E6" w:rsidRPr="007F3D68" w:rsidRDefault="00A675E6" w:rsidP="006E31CD">
      <w:pPr>
        <w:rPr>
          <w:sz w:val="20"/>
          <w:szCs w:val="20"/>
          <w:lang w:val="es-ES_tradnl"/>
        </w:rPr>
      </w:pPr>
    </w:p>
    <w:p w:rsidR="00BD1D8B" w:rsidRPr="007F3D68" w:rsidRDefault="00242EAC" w:rsidP="000104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CL"/>
        </w:rPr>
      </w:pPr>
      <w:r w:rsidRPr="007F3D68">
        <w:rPr>
          <w:rFonts w:ascii="Cambria" w:hAnsi="Cambria"/>
          <w:sz w:val="20"/>
          <w:szCs w:val="20"/>
          <w:lang w:val="es-ES_tradnl"/>
        </w:rPr>
        <w:t xml:space="preserve">A </w:t>
      </w:r>
      <w:r w:rsidRPr="007F3D68">
        <w:rPr>
          <w:rFonts w:ascii="Cambria" w:eastAsia="Times New Roman" w:hAnsi="Cambria"/>
          <w:sz w:val="20"/>
          <w:szCs w:val="20"/>
          <w:lang w:val="es-ES"/>
        </w:rPr>
        <w:t>continuación</w:t>
      </w:r>
      <w:r w:rsidRPr="007F3D68">
        <w:rPr>
          <w:rFonts w:ascii="Cambria" w:hAnsi="Cambria"/>
          <w:sz w:val="20"/>
          <w:szCs w:val="20"/>
          <w:lang w:val="es-ES_tradnl"/>
        </w:rPr>
        <w:t xml:space="preserve"> la Comisión analizará los alegatos de </w:t>
      </w:r>
      <w:r w:rsidR="00FA0F18" w:rsidRPr="007F3D68">
        <w:rPr>
          <w:rFonts w:ascii="Cambria" w:hAnsi="Cambria"/>
          <w:sz w:val="20"/>
          <w:szCs w:val="20"/>
          <w:lang w:val="es-ES_tradnl"/>
        </w:rPr>
        <w:t xml:space="preserve">tortura de </w:t>
      </w:r>
      <w:r w:rsidRPr="007F3D68">
        <w:rPr>
          <w:rFonts w:ascii="Cambria" w:hAnsi="Cambria"/>
          <w:sz w:val="20"/>
          <w:szCs w:val="20"/>
          <w:lang w:val="es-ES_tradnl"/>
        </w:rPr>
        <w:t>Tirso Román Valenzuela</w:t>
      </w:r>
      <w:r w:rsidR="00FA0F18" w:rsidRPr="007F3D68">
        <w:rPr>
          <w:rFonts w:ascii="Cambria" w:hAnsi="Cambria"/>
          <w:sz w:val="20"/>
          <w:szCs w:val="20"/>
          <w:lang w:val="es-ES_tradnl"/>
        </w:rPr>
        <w:t xml:space="preserve"> Ávila</w:t>
      </w:r>
      <w:r w:rsidR="00E675D5" w:rsidRPr="007F3D68">
        <w:rPr>
          <w:rFonts w:ascii="Cambria" w:hAnsi="Cambria"/>
          <w:sz w:val="20"/>
          <w:szCs w:val="20"/>
          <w:lang w:val="es-ES_tradnl"/>
        </w:rPr>
        <w:t xml:space="preserve"> a la luz de las consideraciones anteriores tanto respecto de la tortura y sus elementos constitutivos, como respecto del deber de investigar denuncia o razón fundada de tortura. </w:t>
      </w:r>
      <w:r w:rsidR="00DB2B1A" w:rsidRPr="007F3D68">
        <w:rPr>
          <w:rFonts w:ascii="Cambria" w:hAnsi="Cambria"/>
          <w:sz w:val="20"/>
          <w:szCs w:val="20"/>
          <w:lang w:val="es-CL"/>
        </w:rPr>
        <w:t>T</w:t>
      </w:r>
      <w:r w:rsidRPr="007F3D68">
        <w:rPr>
          <w:rFonts w:ascii="Cambria" w:hAnsi="Cambria"/>
          <w:sz w:val="20"/>
          <w:szCs w:val="20"/>
          <w:lang w:val="es-ES_tradnl"/>
        </w:rPr>
        <w:t xml:space="preserve">al </w:t>
      </w:r>
      <w:r w:rsidR="003557C8" w:rsidRPr="007F3D68">
        <w:rPr>
          <w:rFonts w:ascii="Cambria" w:hAnsi="Cambria"/>
          <w:sz w:val="20"/>
          <w:szCs w:val="20"/>
          <w:lang w:val="es-ES_tradnl"/>
        </w:rPr>
        <w:t>cómo</w:t>
      </w:r>
      <w:r w:rsidRPr="007F3D68">
        <w:rPr>
          <w:rFonts w:ascii="Cambria" w:hAnsi="Cambria"/>
          <w:sz w:val="20"/>
          <w:szCs w:val="20"/>
          <w:lang w:val="es-ES_tradnl"/>
        </w:rPr>
        <w:t xml:space="preserve"> se indicó en la sección de hechos probados, Tirso Román Valenzuela alegó haber sido objeto de </w:t>
      </w:r>
      <w:r w:rsidR="003557C8" w:rsidRPr="007F3D68">
        <w:rPr>
          <w:rFonts w:ascii="Cambria" w:hAnsi="Cambria"/>
          <w:sz w:val="20"/>
          <w:szCs w:val="20"/>
          <w:lang w:val="es-ES_tradnl"/>
        </w:rPr>
        <w:t>tortura</w:t>
      </w:r>
      <w:r w:rsidRPr="007F3D68">
        <w:rPr>
          <w:rFonts w:ascii="Cambria" w:hAnsi="Cambria"/>
          <w:sz w:val="20"/>
          <w:szCs w:val="20"/>
          <w:lang w:val="es-ES_tradnl"/>
        </w:rPr>
        <w:t>, así como de violación sexual en el momento de su detención, el 27 de mayo de 1998,  y también tras su recaptura el 17 de junio de 2001, luego de su fuga de prisión en 1999, y tras su recaptura luego de su fuga de prisión en el 2001.</w:t>
      </w:r>
    </w:p>
    <w:p w:rsidR="00B85B42" w:rsidRPr="007F3D68" w:rsidRDefault="00B85B42" w:rsidP="004E102F">
      <w:pPr>
        <w:pStyle w:val="Heading4"/>
        <w:numPr>
          <w:ilvl w:val="1"/>
          <w:numId w:val="69"/>
        </w:numPr>
        <w:tabs>
          <w:tab w:val="left" w:pos="1260"/>
        </w:tabs>
        <w:ind w:left="720" w:firstLine="0"/>
        <w:rPr>
          <w:rFonts w:asciiTheme="majorHAnsi" w:hAnsiTheme="majorHAnsi"/>
          <w:sz w:val="20"/>
          <w:lang w:val="es-ES_tradnl"/>
        </w:rPr>
      </w:pPr>
      <w:r w:rsidRPr="007F3D68">
        <w:rPr>
          <w:rFonts w:asciiTheme="majorHAnsi" w:hAnsiTheme="majorHAnsi"/>
          <w:sz w:val="20"/>
          <w:lang w:val="es-ES_tradnl"/>
        </w:rPr>
        <w:t xml:space="preserve">Sobre la prueba de las afectaciones </w:t>
      </w:r>
      <w:r w:rsidR="002453E7" w:rsidRPr="007F3D68">
        <w:rPr>
          <w:rFonts w:asciiTheme="majorHAnsi" w:hAnsiTheme="majorHAnsi"/>
          <w:sz w:val="20"/>
          <w:lang w:val="es-ES_tradnl"/>
        </w:rPr>
        <w:t>por parte de agentes estatales</w:t>
      </w:r>
    </w:p>
    <w:p w:rsidR="008472EC" w:rsidRPr="007F3D68" w:rsidRDefault="008472EC" w:rsidP="008472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ind w:left="720"/>
        <w:jc w:val="both"/>
        <w:rPr>
          <w:rFonts w:ascii="Cambria" w:hAnsi="Cambria"/>
          <w:sz w:val="20"/>
          <w:szCs w:val="20"/>
          <w:lang w:val="es-ES_tradnl"/>
        </w:rPr>
      </w:pPr>
    </w:p>
    <w:p w:rsidR="000104F7" w:rsidRPr="007F3D68" w:rsidRDefault="00B85B42" w:rsidP="000104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_tradnl"/>
        </w:rPr>
      </w:pPr>
      <w:r w:rsidRPr="007F3D68">
        <w:rPr>
          <w:rFonts w:ascii="Cambria" w:eastAsia="Times New Roman" w:hAnsi="Cambria"/>
          <w:sz w:val="20"/>
          <w:szCs w:val="20"/>
          <w:lang w:val="es-ES"/>
        </w:rPr>
        <w:t>Sobre</w:t>
      </w:r>
      <w:r w:rsidRPr="007F3D68">
        <w:rPr>
          <w:rFonts w:ascii="Cambria" w:hAnsi="Cambria"/>
          <w:sz w:val="20"/>
          <w:szCs w:val="20"/>
          <w:lang w:val="es-ES_tradnl"/>
        </w:rPr>
        <w:t xml:space="preserve"> la ocurrencia de las afectaciones a la integridad personal del señor </w:t>
      </w:r>
      <w:r w:rsidR="00482A68" w:rsidRPr="007F3D68">
        <w:rPr>
          <w:rFonts w:ascii="Cambria" w:hAnsi="Cambria"/>
          <w:sz w:val="20"/>
          <w:szCs w:val="20"/>
          <w:lang w:val="es-ES_tradnl"/>
        </w:rPr>
        <w:t>Valenzuela Ávila</w:t>
      </w:r>
      <w:r w:rsidRPr="007F3D68">
        <w:rPr>
          <w:rFonts w:ascii="Cambria" w:hAnsi="Cambria"/>
          <w:sz w:val="20"/>
          <w:szCs w:val="20"/>
          <w:lang w:val="es-ES_tradnl"/>
        </w:rPr>
        <w:t>, la Comisión recapitula los elementos probatorios disponibles que fueron descritos en los hechos probados.</w:t>
      </w:r>
    </w:p>
    <w:p w:rsidR="000104F7" w:rsidRPr="007F3D68" w:rsidRDefault="000104F7" w:rsidP="000104F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hAnsi="Cambria"/>
          <w:sz w:val="20"/>
          <w:szCs w:val="20"/>
          <w:lang w:val="es-ES_tradnl"/>
        </w:rPr>
      </w:pPr>
    </w:p>
    <w:p w:rsidR="000104F7" w:rsidRPr="007F3D68" w:rsidRDefault="00BC41C0" w:rsidP="000104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_tradnl"/>
        </w:rPr>
      </w:pPr>
      <w:r w:rsidRPr="007F3D68">
        <w:rPr>
          <w:rFonts w:ascii="Cambria" w:eastAsia="Times New Roman" w:hAnsi="Cambria"/>
          <w:sz w:val="20"/>
          <w:szCs w:val="20"/>
          <w:lang w:val="es-ES"/>
        </w:rPr>
        <w:t>El</w:t>
      </w:r>
      <w:r w:rsidRPr="007F3D68">
        <w:rPr>
          <w:rFonts w:ascii="Cambria" w:hAnsi="Cambria"/>
          <w:sz w:val="20"/>
          <w:szCs w:val="20"/>
          <w:lang w:val="es-ES_tradnl"/>
        </w:rPr>
        <w:t xml:space="preserve"> </w:t>
      </w:r>
      <w:r w:rsidR="005F496A" w:rsidRPr="007F3D68">
        <w:rPr>
          <w:rFonts w:ascii="Cambria" w:hAnsi="Cambria"/>
          <w:sz w:val="20"/>
          <w:szCs w:val="20"/>
          <w:lang w:val="es-ES_tradnl"/>
        </w:rPr>
        <w:t>señor Valenzuela Ávila</w:t>
      </w:r>
      <w:r w:rsidR="00242EAC" w:rsidRPr="007F3D68">
        <w:rPr>
          <w:rFonts w:ascii="Cambria" w:hAnsi="Cambria"/>
          <w:sz w:val="20"/>
          <w:szCs w:val="20"/>
          <w:lang w:val="es-ES_tradnl"/>
        </w:rPr>
        <w:t xml:space="preserve"> declaró que al ser de</w:t>
      </w:r>
      <w:r w:rsidR="0020708B" w:rsidRPr="007F3D68">
        <w:rPr>
          <w:rFonts w:ascii="Cambria" w:hAnsi="Cambria"/>
          <w:sz w:val="20"/>
          <w:szCs w:val="20"/>
          <w:lang w:val="es-ES_tradnl"/>
        </w:rPr>
        <w:t>tenido, el 27 de mayo de 1998, a</w:t>
      </w:r>
      <w:r w:rsidR="00242EAC" w:rsidRPr="007F3D68">
        <w:rPr>
          <w:rFonts w:ascii="Cambria" w:hAnsi="Cambria"/>
          <w:sz w:val="20"/>
          <w:szCs w:val="20"/>
          <w:lang w:val="es-ES_tradnl"/>
        </w:rPr>
        <w:t xml:space="preserve">gentes del SIC le golpearon en la nuca, en el abdomen, </w:t>
      </w:r>
      <w:r w:rsidRPr="007F3D68">
        <w:rPr>
          <w:rFonts w:ascii="Cambria" w:hAnsi="Cambria"/>
          <w:sz w:val="20"/>
          <w:szCs w:val="20"/>
          <w:lang w:val="es-ES_tradnl"/>
        </w:rPr>
        <w:t xml:space="preserve">las </w:t>
      </w:r>
      <w:r w:rsidR="00242EAC" w:rsidRPr="007F3D68">
        <w:rPr>
          <w:rFonts w:ascii="Cambria" w:hAnsi="Cambria"/>
          <w:sz w:val="20"/>
          <w:szCs w:val="20"/>
          <w:lang w:val="es-ES_tradnl"/>
        </w:rPr>
        <w:t xml:space="preserve">costillas y lo tiraron al suelo. Detalló en la misma declaración que lo asfixiaron con un veneno para ratas </w:t>
      </w:r>
      <w:r w:rsidR="003557C8" w:rsidRPr="007F3D68">
        <w:rPr>
          <w:rFonts w:ascii="Cambria" w:hAnsi="Cambria"/>
          <w:sz w:val="20"/>
          <w:szCs w:val="20"/>
          <w:lang w:val="es-ES_tradnl"/>
        </w:rPr>
        <w:t xml:space="preserve">“como </w:t>
      </w:r>
      <w:r w:rsidR="00242EAC" w:rsidRPr="007F3D68">
        <w:rPr>
          <w:rFonts w:ascii="Cambria" w:hAnsi="Cambria"/>
          <w:sz w:val="20"/>
          <w:szCs w:val="20"/>
          <w:lang w:val="es-ES_tradnl"/>
        </w:rPr>
        <w:t>en siete ocasiones</w:t>
      </w:r>
      <w:r w:rsidR="003557C8" w:rsidRPr="007F3D68">
        <w:rPr>
          <w:rFonts w:ascii="Cambria" w:hAnsi="Cambria"/>
          <w:sz w:val="20"/>
          <w:szCs w:val="20"/>
          <w:lang w:val="es-ES_tradnl"/>
        </w:rPr>
        <w:t>”</w:t>
      </w:r>
      <w:r w:rsidR="00242EAC" w:rsidRPr="007F3D68">
        <w:rPr>
          <w:rFonts w:ascii="Cambria" w:hAnsi="Cambria"/>
          <w:sz w:val="20"/>
          <w:szCs w:val="20"/>
          <w:lang w:val="es-ES_tradnl"/>
        </w:rPr>
        <w:t>, que duraban entre 30 y 40 segundos cada una, luego lo siguieron golpeando y amenazando</w:t>
      </w:r>
      <w:r w:rsidR="0081204A" w:rsidRPr="007F3D68">
        <w:rPr>
          <w:rFonts w:ascii="Cambria" w:hAnsi="Cambria"/>
          <w:sz w:val="20"/>
          <w:szCs w:val="20"/>
          <w:lang w:val="es-ES_tradnl"/>
        </w:rPr>
        <w:t xml:space="preserve"> de muerte y de violación.</w:t>
      </w:r>
      <w:r w:rsidR="00242EAC" w:rsidRPr="007F3D68">
        <w:rPr>
          <w:rFonts w:ascii="Cambria" w:hAnsi="Cambria"/>
          <w:sz w:val="20"/>
          <w:szCs w:val="20"/>
          <w:lang w:val="es-ES_tradnl"/>
        </w:rPr>
        <w:t xml:space="preserve"> Refirió que en la misma fecha le introdujeron un bastón en el ano hasta que se desmayó y despertó defecado.</w:t>
      </w:r>
      <w:r w:rsidR="00EF057A" w:rsidRPr="007F3D68">
        <w:rPr>
          <w:rFonts w:ascii="Cambria" w:hAnsi="Cambria"/>
          <w:sz w:val="20"/>
          <w:szCs w:val="20"/>
          <w:lang w:val="es-ES_tradnl"/>
        </w:rPr>
        <w:t xml:space="preserve"> En este contexto se produjo una confesión por parte del señor Valenzuela Ávila</w:t>
      </w:r>
      <w:r w:rsidR="00DB5635" w:rsidRPr="007F3D68">
        <w:rPr>
          <w:rFonts w:ascii="Cambria" w:hAnsi="Cambria"/>
          <w:sz w:val="20"/>
          <w:szCs w:val="20"/>
          <w:lang w:val="es-ES_tradnl"/>
        </w:rPr>
        <w:t xml:space="preserve">. </w:t>
      </w:r>
    </w:p>
    <w:p w:rsidR="000104F7" w:rsidRDefault="000104F7" w:rsidP="000104F7">
      <w:pPr>
        <w:pStyle w:val="ListParagraph"/>
        <w:rPr>
          <w:sz w:val="20"/>
          <w:szCs w:val="20"/>
          <w:lang w:val="es-ES_tradnl"/>
        </w:rPr>
      </w:pPr>
    </w:p>
    <w:p w:rsidR="00F40EB1" w:rsidRDefault="00F40EB1" w:rsidP="000104F7">
      <w:pPr>
        <w:pStyle w:val="ListParagraph"/>
        <w:rPr>
          <w:sz w:val="20"/>
          <w:szCs w:val="20"/>
          <w:lang w:val="es-ES_tradnl"/>
        </w:rPr>
      </w:pPr>
    </w:p>
    <w:p w:rsidR="00F40EB1" w:rsidRDefault="00F40EB1" w:rsidP="000104F7">
      <w:pPr>
        <w:pStyle w:val="ListParagraph"/>
        <w:rPr>
          <w:sz w:val="20"/>
          <w:szCs w:val="20"/>
          <w:lang w:val="es-ES_tradnl"/>
        </w:rPr>
      </w:pPr>
    </w:p>
    <w:p w:rsidR="00F40EB1" w:rsidRPr="007F3D68" w:rsidRDefault="00F40EB1" w:rsidP="000104F7">
      <w:pPr>
        <w:pStyle w:val="ListParagraph"/>
        <w:rPr>
          <w:sz w:val="20"/>
          <w:szCs w:val="20"/>
          <w:lang w:val="es-ES_tradnl"/>
        </w:rPr>
      </w:pPr>
    </w:p>
    <w:p w:rsidR="000104F7" w:rsidRPr="007F3D68" w:rsidRDefault="00BC41C0" w:rsidP="000104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_tradnl"/>
        </w:rPr>
      </w:pPr>
      <w:r w:rsidRPr="007F3D68">
        <w:rPr>
          <w:rFonts w:ascii="Cambria" w:hAnsi="Cambria"/>
          <w:sz w:val="20"/>
          <w:szCs w:val="20"/>
          <w:lang w:val="es-ES_tradnl"/>
        </w:rPr>
        <w:t xml:space="preserve">Sobre estos mismos hechos, </w:t>
      </w:r>
      <w:r w:rsidR="00242EAC" w:rsidRPr="007F3D68">
        <w:rPr>
          <w:rFonts w:ascii="Cambria" w:hAnsi="Cambria"/>
          <w:sz w:val="20"/>
          <w:szCs w:val="20"/>
          <w:lang w:val="es-ES_tradnl"/>
        </w:rPr>
        <w:t>su entonces conviviente indicó que vio a la presunta víctima el día de su detención y se veía desarreglado, con rasguños y respiración agitada. Asimismo, lo visitó dos días después en la cárcel y le contó que en el momento de su detención le taparon la cara con una bolsa plástica con “</w:t>
      </w:r>
      <w:proofErr w:type="spellStart"/>
      <w:r w:rsidR="00242EAC" w:rsidRPr="007F3D68">
        <w:rPr>
          <w:rFonts w:ascii="Cambria" w:hAnsi="Cambria"/>
          <w:sz w:val="20"/>
          <w:szCs w:val="20"/>
          <w:lang w:val="es-ES_tradnl"/>
        </w:rPr>
        <w:t>gamezán</w:t>
      </w:r>
      <w:proofErr w:type="spellEnd"/>
      <w:r w:rsidR="00242EAC" w:rsidRPr="007F3D68">
        <w:rPr>
          <w:rFonts w:ascii="Cambria" w:hAnsi="Cambria"/>
          <w:sz w:val="20"/>
          <w:szCs w:val="20"/>
          <w:lang w:val="es-ES_tradnl"/>
        </w:rPr>
        <w:t xml:space="preserve">” para ahogarlo, le patearon las costillas, que no quería comer porque tenía problemas para defecar y que lo golpearon hasta confesar el crimen. </w:t>
      </w:r>
    </w:p>
    <w:p w:rsidR="000104F7" w:rsidRPr="007F3D68" w:rsidRDefault="000104F7" w:rsidP="000104F7">
      <w:pPr>
        <w:pStyle w:val="ListParagraph"/>
        <w:rPr>
          <w:sz w:val="20"/>
          <w:szCs w:val="20"/>
          <w:lang w:val="es-ES_tradnl"/>
        </w:rPr>
      </w:pPr>
    </w:p>
    <w:p w:rsidR="000104F7" w:rsidRPr="007F3D68" w:rsidRDefault="00BC41C0" w:rsidP="000104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_tradnl"/>
        </w:rPr>
      </w:pPr>
      <w:r w:rsidRPr="007F3D68">
        <w:rPr>
          <w:rFonts w:ascii="Cambria" w:hAnsi="Cambria"/>
          <w:sz w:val="20"/>
          <w:szCs w:val="20"/>
          <w:lang w:val="es-ES_tradnl"/>
        </w:rPr>
        <w:t xml:space="preserve">Igualmente, </w:t>
      </w:r>
      <w:r w:rsidR="00242EAC" w:rsidRPr="007F3D68">
        <w:rPr>
          <w:rFonts w:ascii="Cambria" w:hAnsi="Cambria"/>
          <w:sz w:val="20"/>
          <w:szCs w:val="20"/>
          <w:lang w:val="es-ES_tradnl"/>
        </w:rPr>
        <w:t>Santos Morales Ramos, persona privada de libertad que estaba en la cárcel a la que fue enviada la presunta víctima en el momen</w:t>
      </w:r>
      <w:r w:rsidR="00526862" w:rsidRPr="007F3D68">
        <w:rPr>
          <w:rFonts w:ascii="Cambria" w:hAnsi="Cambria"/>
          <w:sz w:val="20"/>
          <w:szCs w:val="20"/>
          <w:lang w:val="es-ES_tradnl"/>
        </w:rPr>
        <w:t xml:space="preserve">to de su detención, indicó que </w:t>
      </w:r>
      <w:r w:rsidR="00242EAC" w:rsidRPr="007F3D68">
        <w:rPr>
          <w:rFonts w:ascii="Cambria" w:hAnsi="Cambria"/>
          <w:sz w:val="20"/>
          <w:szCs w:val="20"/>
          <w:lang w:val="es-ES_tradnl"/>
        </w:rPr>
        <w:t>este “llegó muy golpe</w:t>
      </w:r>
      <w:r w:rsidR="00ED7F66" w:rsidRPr="007F3D68">
        <w:rPr>
          <w:rFonts w:ascii="Cambria" w:hAnsi="Cambria"/>
          <w:sz w:val="20"/>
          <w:szCs w:val="20"/>
          <w:lang w:val="es-ES_tradnl"/>
        </w:rPr>
        <w:t>ado del rostro, defecaba sangre (…)”.</w:t>
      </w:r>
      <w:r w:rsidR="00BD1D8B" w:rsidRPr="007F3D68">
        <w:rPr>
          <w:rFonts w:ascii="Cambria" w:hAnsi="Cambria"/>
          <w:sz w:val="20"/>
          <w:szCs w:val="20"/>
          <w:lang w:val="es-ES_tradnl"/>
        </w:rPr>
        <w:t xml:space="preserve"> </w:t>
      </w:r>
      <w:r w:rsidR="00242EAC" w:rsidRPr="007F3D68">
        <w:rPr>
          <w:rFonts w:ascii="Cambria" w:hAnsi="Cambria"/>
          <w:sz w:val="20"/>
          <w:szCs w:val="20"/>
          <w:lang w:val="es-ES_tradnl"/>
        </w:rPr>
        <w:t xml:space="preserve">Además, Emeterio de Jesús </w:t>
      </w:r>
      <w:proofErr w:type="spellStart"/>
      <w:r w:rsidR="00242EAC" w:rsidRPr="007F3D68">
        <w:rPr>
          <w:rFonts w:ascii="Cambria" w:hAnsi="Cambria"/>
          <w:sz w:val="20"/>
          <w:szCs w:val="20"/>
          <w:lang w:val="es-ES_tradnl"/>
        </w:rPr>
        <w:t>Morataya</w:t>
      </w:r>
      <w:proofErr w:type="spellEnd"/>
      <w:r w:rsidR="00242EAC" w:rsidRPr="007F3D68">
        <w:rPr>
          <w:rFonts w:ascii="Cambria" w:hAnsi="Cambria"/>
          <w:sz w:val="20"/>
          <w:szCs w:val="20"/>
          <w:lang w:val="es-ES_tradnl"/>
        </w:rPr>
        <w:t xml:space="preserve"> declaró que la presunta víctima llegó el 29 de mayo de 1998 al segundo cuerpo de la Policía Nacional Civil, en Quetzaltenango, y que no podía ni sentarse al extremo que dormía parado porque defecaba sangre, iba desfigurado de la cara, con restos de poco bigote porque el resto se lo habían arrancado, iba derramando sangre, y contaba que “se lo metieron por el recto por lo que iba sumamente lastimado”. </w:t>
      </w:r>
    </w:p>
    <w:p w:rsidR="000104F7" w:rsidRPr="007F3D68" w:rsidRDefault="000104F7" w:rsidP="000104F7">
      <w:pPr>
        <w:pStyle w:val="ListParagraph"/>
        <w:rPr>
          <w:sz w:val="20"/>
          <w:szCs w:val="20"/>
          <w:lang w:val="es-CL"/>
        </w:rPr>
      </w:pPr>
    </w:p>
    <w:p w:rsidR="000104F7" w:rsidRPr="007F3D68" w:rsidRDefault="00BC41C0" w:rsidP="000104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_tradnl"/>
        </w:rPr>
      </w:pPr>
      <w:r w:rsidRPr="007F3D68">
        <w:rPr>
          <w:rFonts w:ascii="Cambria" w:hAnsi="Cambria"/>
          <w:sz w:val="20"/>
          <w:szCs w:val="20"/>
          <w:lang w:val="es-CL"/>
        </w:rPr>
        <w:t xml:space="preserve">En cuanto a la segunda ocasión en que alegó haber sido torturado, esto es, el 10 de abril de 1999, en el expediente consta un escrito presentado por la defensa el 8 de julio de 1999 en el que se denunciaba la situación y se pedía un examen médico. </w:t>
      </w:r>
      <w:r w:rsidR="00276B6F" w:rsidRPr="007F3D68">
        <w:rPr>
          <w:rFonts w:ascii="Cambria" w:hAnsi="Cambria"/>
          <w:sz w:val="20"/>
          <w:szCs w:val="20"/>
          <w:lang w:val="es-CL"/>
        </w:rPr>
        <w:t>El Estado no controvirtió esta información ni aportó prueba alguna que indique que el señor Valenzuela Ávila contó con un examen médico en esta oportunidad.</w:t>
      </w:r>
    </w:p>
    <w:p w:rsidR="000104F7" w:rsidRPr="007F3D68" w:rsidRDefault="000104F7" w:rsidP="000104F7">
      <w:pPr>
        <w:pStyle w:val="ListParagraph"/>
        <w:rPr>
          <w:sz w:val="20"/>
          <w:szCs w:val="20"/>
          <w:lang w:val="es-CL"/>
        </w:rPr>
      </w:pPr>
    </w:p>
    <w:p w:rsidR="000104F7" w:rsidRPr="007F3D68" w:rsidRDefault="00276B6F" w:rsidP="000104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_tradnl"/>
        </w:rPr>
      </w:pPr>
      <w:r w:rsidRPr="007F3D68">
        <w:rPr>
          <w:rFonts w:ascii="Cambria" w:hAnsi="Cambria"/>
          <w:sz w:val="20"/>
          <w:szCs w:val="20"/>
          <w:lang w:val="es-CL"/>
        </w:rPr>
        <w:t xml:space="preserve">El señor Valenzuela Ávila </w:t>
      </w:r>
      <w:r w:rsidR="00BD1D8B" w:rsidRPr="007F3D68">
        <w:rPr>
          <w:rFonts w:ascii="Cambria" w:hAnsi="Cambria"/>
          <w:sz w:val="20"/>
          <w:szCs w:val="20"/>
          <w:lang w:val="es-CL"/>
        </w:rPr>
        <w:t xml:space="preserve">declaró que también lo torturaron </w:t>
      </w:r>
      <w:r w:rsidR="00BC41C0" w:rsidRPr="007F3D68">
        <w:rPr>
          <w:rFonts w:ascii="Cambria" w:hAnsi="Cambria"/>
          <w:sz w:val="20"/>
          <w:szCs w:val="20"/>
          <w:lang w:val="es-CL"/>
        </w:rPr>
        <w:t xml:space="preserve">los días </w:t>
      </w:r>
      <w:r w:rsidR="00BD1D8B" w:rsidRPr="007F3D68">
        <w:rPr>
          <w:rFonts w:ascii="Cambria" w:hAnsi="Cambria"/>
          <w:sz w:val="20"/>
          <w:szCs w:val="20"/>
          <w:lang w:val="es-CL"/>
        </w:rPr>
        <w:t>17</w:t>
      </w:r>
      <w:r w:rsidR="00242EAC" w:rsidRPr="007F3D68">
        <w:rPr>
          <w:rFonts w:ascii="Cambria" w:hAnsi="Cambria"/>
          <w:sz w:val="20"/>
          <w:szCs w:val="20"/>
          <w:lang w:val="es-ES_tradnl"/>
        </w:rPr>
        <w:t xml:space="preserve">, 18 y 19 de junio de 2001 </w:t>
      </w:r>
      <w:r w:rsidR="00ED7F66" w:rsidRPr="007F3D68">
        <w:rPr>
          <w:rFonts w:ascii="Cambria" w:hAnsi="Cambria"/>
          <w:sz w:val="20"/>
          <w:szCs w:val="20"/>
          <w:lang w:val="es-ES_tradnl"/>
        </w:rPr>
        <w:t>tras ser recapturado luego de su fuga</w:t>
      </w:r>
      <w:r w:rsidR="00BC41C0" w:rsidRPr="007F3D68">
        <w:rPr>
          <w:rFonts w:ascii="Cambria" w:hAnsi="Cambria"/>
          <w:sz w:val="20"/>
          <w:szCs w:val="20"/>
          <w:lang w:val="es-ES_tradnl"/>
        </w:rPr>
        <w:t>. E</w:t>
      </w:r>
      <w:r w:rsidR="00954182" w:rsidRPr="007F3D68">
        <w:rPr>
          <w:rFonts w:ascii="Cambria" w:hAnsi="Cambria"/>
          <w:sz w:val="20"/>
          <w:szCs w:val="20"/>
          <w:lang w:val="es-ES_tradnl"/>
        </w:rPr>
        <w:t>n una carta remitida por él mismo se indica</w:t>
      </w:r>
      <w:r w:rsidR="00ED7F66" w:rsidRPr="007F3D68">
        <w:rPr>
          <w:rFonts w:ascii="Cambria" w:hAnsi="Cambria"/>
          <w:sz w:val="20"/>
          <w:szCs w:val="20"/>
          <w:lang w:val="es-ES_tradnl"/>
        </w:rPr>
        <w:t>:</w:t>
      </w:r>
      <w:r w:rsidR="008E673F" w:rsidRPr="007F3D68">
        <w:rPr>
          <w:rFonts w:ascii="Cambria" w:hAnsi="Cambria"/>
          <w:sz w:val="20"/>
          <w:szCs w:val="20"/>
          <w:lang w:val="es-ES_tradnl"/>
        </w:rPr>
        <w:t xml:space="preserve"> </w:t>
      </w:r>
      <w:r w:rsidR="00ED7F66" w:rsidRPr="007F3D68">
        <w:rPr>
          <w:rFonts w:ascii="Cambria" w:hAnsi="Cambria"/>
          <w:sz w:val="20"/>
          <w:szCs w:val="20"/>
          <w:lang w:val="es-ES_tradnl"/>
        </w:rPr>
        <w:t>“llevo</w:t>
      </w:r>
      <w:r w:rsidR="00242EAC" w:rsidRPr="007F3D68">
        <w:rPr>
          <w:rFonts w:ascii="Cambria" w:hAnsi="Cambria"/>
          <w:sz w:val="20"/>
          <w:szCs w:val="20"/>
          <w:lang w:val="es-ES_tradnl"/>
        </w:rPr>
        <w:t xml:space="preserve"> 4 días de estar en cama sin poderme movilizar </w:t>
      </w:r>
      <w:proofErr w:type="spellStart"/>
      <w:r w:rsidR="00242EAC" w:rsidRPr="007F3D68">
        <w:rPr>
          <w:rFonts w:ascii="Cambria" w:hAnsi="Cambria"/>
          <w:sz w:val="20"/>
          <w:szCs w:val="20"/>
          <w:lang w:val="es-ES_tradnl"/>
        </w:rPr>
        <w:t>devido</w:t>
      </w:r>
      <w:proofErr w:type="spellEnd"/>
      <w:r w:rsidR="00242EAC" w:rsidRPr="007F3D68">
        <w:rPr>
          <w:rFonts w:ascii="Cambria" w:hAnsi="Cambria"/>
          <w:sz w:val="20"/>
          <w:szCs w:val="20"/>
          <w:lang w:val="es-ES_tradnl"/>
        </w:rPr>
        <w:t xml:space="preserve"> (sic) al fuerte dolor en mi columna </w:t>
      </w:r>
      <w:proofErr w:type="spellStart"/>
      <w:r w:rsidR="00242EAC" w:rsidRPr="007F3D68">
        <w:rPr>
          <w:rFonts w:ascii="Cambria" w:hAnsi="Cambria"/>
          <w:sz w:val="20"/>
          <w:szCs w:val="20"/>
          <w:lang w:val="es-ES_tradnl"/>
        </w:rPr>
        <w:t>bertevral</w:t>
      </w:r>
      <w:proofErr w:type="spellEnd"/>
      <w:r w:rsidR="00242EAC" w:rsidRPr="007F3D68">
        <w:rPr>
          <w:rFonts w:ascii="Cambria" w:hAnsi="Cambria"/>
          <w:sz w:val="20"/>
          <w:szCs w:val="20"/>
          <w:lang w:val="es-ES_tradnl"/>
        </w:rPr>
        <w:t xml:space="preserve"> (sic)”.  </w:t>
      </w:r>
      <w:r w:rsidR="00BD1D8B" w:rsidRPr="007F3D68">
        <w:rPr>
          <w:rFonts w:ascii="Cambria" w:hAnsi="Cambria"/>
          <w:sz w:val="20"/>
          <w:szCs w:val="20"/>
          <w:lang w:val="es-ES_tradnl"/>
        </w:rPr>
        <w:t xml:space="preserve"> </w:t>
      </w:r>
      <w:r w:rsidR="00242EAC" w:rsidRPr="007F3D68">
        <w:rPr>
          <w:rFonts w:ascii="Cambria" w:hAnsi="Cambria"/>
          <w:sz w:val="20"/>
          <w:szCs w:val="20"/>
          <w:lang w:val="es-ES_tradnl"/>
        </w:rPr>
        <w:t xml:space="preserve">Al respecto, Pablo Arturo Ruiz </w:t>
      </w:r>
      <w:proofErr w:type="spellStart"/>
      <w:r w:rsidR="00242EAC" w:rsidRPr="007F3D68">
        <w:rPr>
          <w:rFonts w:ascii="Cambria" w:hAnsi="Cambria"/>
          <w:sz w:val="20"/>
          <w:szCs w:val="20"/>
          <w:lang w:val="es-ES_tradnl"/>
        </w:rPr>
        <w:t>Almengor</w:t>
      </w:r>
      <w:proofErr w:type="spellEnd"/>
      <w:r w:rsidR="00242EAC" w:rsidRPr="007F3D68">
        <w:rPr>
          <w:rFonts w:ascii="Cambria" w:hAnsi="Cambria"/>
          <w:sz w:val="20"/>
          <w:szCs w:val="20"/>
          <w:lang w:val="es-ES_tradnl"/>
        </w:rPr>
        <w:t xml:space="preserve">, </w:t>
      </w:r>
      <w:r w:rsidR="00242EAC" w:rsidRPr="007F3D68">
        <w:rPr>
          <w:rFonts w:asciiTheme="majorHAnsi" w:hAnsiTheme="majorHAnsi"/>
          <w:sz w:val="20"/>
          <w:szCs w:val="20"/>
          <w:lang w:val="es-ES_tradnl"/>
        </w:rPr>
        <w:t xml:space="preserve">cuya </w:t>
      </w:r>
      <w:r w:rsidR="00954182" w:rsidRPr="007F3D68">
        <w:rPr>
          <w:rFonts w:asciiTheme="majorHAnsi" w:hAnsiTheme="majorHAnsi"/>
          <w:sz w:val="20"/>
          <w:szCs w:val="20"/>
          <w:lang w:val="es-ES_tradnl"/>
        </w:rPr>
        <w:t>celda</w:t>
      </w:r>
      <w:r w:rsidR="00242EAC" w:rsidRPr="007F3D68">
        <w:rPr>
          <w:rFonts w:asciiTheme="majorHAnsi" w:hAnsiTheme="majorHAnsi"/>
          <w:sz w:val="20"/>
          <w:szCs w:val="20"/>
          <w:lang w:val="es-ES_tradnl"/>
        </w:rPr>
        <w:t xml:space="preserve"> estaba próxima a la de la presunta víctima declaró que “vinieron a sacarlo en repetidas oportunidades </w:t>
      </w:r>
      <w:r w:rsidR="00954182" w:rsidRPr="007F3D68">
        <w:rPr>
          <w:rFonts w:asciiTheme="majorHAnsi" w:hAnsiTheme="majorHAnsi"/>
          <w:sz w:val="20"/>
          <w:szCs w:val="20"/>
          <w:lang w:val="es-ES_tradnl"/>
        </w:rPr>
        <w:t xml:space="preserve">(…) </w:t>
      </w:r>
      <w:r w:rsidR="00242EAC" w:rsidRPr="007F3D68">
        <w:rPr>
          <w:rFonts w:asciiTheme="majorHAnsi" w:hAnsiTheme="majorHAnsi"/>
          <w:sz w:val="20"/>
          <w:szCs w:val="20"/>
          <w:lang w:val="es-ES_tradnl"/>
        </w:rPr>
        <w:t xml:space="preserve">y regresaba el cada vez más golpeado”. </w:t>
      </w:r>
    </w:p>
    <w:p w:rsidR="000104F7" w:rsidRPr="007F3D68" w:rsidRDefault="000104F7" w:rsidP="000104F7">
      <w:pPr>
        <w:pStyle w:val="ListParagraph"/>
        <w:rPr>
          <w:rFonts w:asciiTheme="majorHAnsi" w:hAnsiTheme="majorHAnsi"/>
          <w:sz w:val="20"/>
          <w:szCs w:val="20"/>
          <w:lang w:val="es-ES_tradnl"/>
        </w:rPr>
      </w:pPr>
    </w:p>
    <w:p w:rsidR="000104F7" w:rsidRPr="007F3D68" w:rsidRDefault="00954182" w:rsidP="000104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_tradnl"/>
        </w:rPr>
      </w:pPr>
      <w:r w:rsidRPr="007F3D68">
        <w:rPr>
          <w:rFonts w:asciiTheme="majorHAnsi" w:hAnsiTheme="majorHAnsi"/>
          <w:sz w:val="20"/>
          <w:szCs w:val="20"/>
          <w:lang w:val="es-ES_tradnl"/>
        </w:rPr>
        <w:t xml:space="preserve">Además </w:t>
      </w:r>
      <w:r w:rsidRPr="007F3D68">
        <w:rPr>
          <w:rFonts w:ascii="Cambria" w:hAnsi="Cambria"/>
          <w:sz w:val="20"/>
          <w:szCs w:val="20"/>
          <w:lang w:val="es-ES_tradnl"/>
        </w:rPr>
        <w:t>de las descripciones del propio señor Valenzuela Ávila, corroboradas con las declaraciones de su conviviente y al menos tres personas privadas de libertad,</w:t>
      </w:r>
      <w:r w:rsidR="00AB0199" w:rsidRPr="007F3D68">
        <w:rPr>
          <w:rFonts w:ascii="Cambria" w:hAnsi="Cambria"/>
          <w:sz w:val="20"/>
          <w:szCs w:val="20"/>
          <w:lang w:val="es-ES_tradnl"/>
        </w:rPr>
        <w:t xml:space="preserve"> </w:t>
      </w:r>
      <w:r w:rsidR="00BD1D8B" w:rsidRPr="007F3D68">
        <w:rPr>
          <w:rFonts w:ascii="Cambria" w:hAnsi="Cambria"/>
          <w:sz w:val="20"/>
          <w:szCs w:val="20"/>
          <w:lang w:val="es-ES_tradnl"/>
        </w:rPr>
        <w:t xml:space="preserve">constan </w:t>
      </w:r>
      <w:r w:rsidRPr="007F3D68">
        <w:rPr>
          <w:rFonts w:ascii="Cambria" w:hAnsi="Cambria"/>
          <w:sz w:val="20"/>
          <w:szCs w:val="20"/>
          <w:lang w:val="es-ES_tradnl"/>
        </w:rPr>
        <w:t xml:space="preserve">en el expediente </w:t>
      </w:r>
      <w:r w:rsidR="00BD1D8B" w:rsidRPr="007F3D68">
        <w:rPr>
          <w:rFonts w:ascii="Cambria" w:hAnsi="Cambria"/>
          <w:sz w:val="20"/>
          <w:szCs w:val="20"/>
          <w:lang w:val="es-ES_tradnl"/>
        </w:rPr>
        <w:t>dos informes médicos</w:t>
      </w:r>
      <w:r w:rsidR="00C0211C" w:rsidRPr="007F3D68">
        <w:rPr>
          <w:rFonts w:ascii="Cambria" w:hAnsi="Cambria"/>
          <w:sz w:val="20"/>
          <w:szCs w:val="20"/>
          <w:lang w:val="es-ES_tradnl"/>
        </w:rPr>
        <w:t xml:space="preserve"> y psicológicos</w:t>
      </w:r>
      <w:r w:rsidRPr="007F3D68">
        <w:rPr>
          <w:rFonts w:ascii="Cambria" w:hAnsi="Cambria"/>
          <w:sz w:val="20"/>
          <w:szCs w:val="20"/>
          <w:lang w:val="es-ES_tradnl"/>
        </w:rPr>
        <w:t xml:space="preserve"> en los que se afirma que las afectaciones constatadas son compatibles con tortura, incluyendo violación sexual. Así, en uno de ellos se indica que </w:t>
      </w:r>
      <w:r w:rsidR="00242EAC" w:rsidRPr="007F3D68">
        <w:rPr>
          <w:rFonts w:ascii="Cambria" w:hAnsi="Cambria"/>
          <w:sz w:val="20"/>
          <w:szCs w:val="20"/>
          <w:lang w:val="es-ES_tradnl"/>
        </w:rPr>
        <w:t>“presenta un examen mental acorde a una persona que ha vivido tortura, malos tratos y violencia”</w:t>
      </w:r>
      <w:r w:rsidRPr="007F3D68">
        <w:rPr>
          <w:rFonts w:ascii="Cambria" w:hAnsi="Cambria"/>
          <w:sz w:val="20"/>
          <w:szCs w:val="20"/>
          <w:lang w:val="es-ES_tradnl"/>
        </w:rPr>
        <w:t xml:space="preserve">. En el otro se indica que </w:t>
      </w:r>
      <w:r w:rsidR="00242EAC" w:rsidRPr="007F3D68">
        <w:rPr>
          <w:rFonts w:ascii="Cambria" w:hAnsi="Cambria"/>
          <w:sz w:val="20"/>
          <w:szCs w:val="20"/>
          <w:lang w:val="es-ES_tradnl"/>
        </w:rPr>
        <w:t xml:space="preserve">“Tirso muestra las características de una persona torturada tanto desde el punto de vista físico y psicológico”. </w:t>
      </w:r>
    </w:p>
    <w:p w:rsidR="000104F7" w:rsidRPr="007F3D68" w:rsidRDefault="000104F7" w:rsidP="000104F7">
      <w:pPr>
        <w:pStyle w:val="ListParagraph"/>
        <w:rPr>
          <w:sz w:val="20"/>
          <w:szCs w:val="20"/>
          <w:lang w:val="es-ES_tradnl"/>
        </w:rPr>
      </w:pPr>
    </w:p>
    <w:p w:rsidR="000104F7" w:rsidRPr="007F3D68" w:rsidRDefault="004472B3" w:rsidP="000104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_tradnl"/>
        </w:rPr>
      </w:pPr>
      <w:r w:rsidRPr="007F3D68">
        <w:rPr>
          <w:rFonts w:ascii="Cambria" w:hAnsi="Cambria"/>
          <w:sz w:val="20"/>
          <w:szCs w:val="20"/>
          <w:lang w:val="es-ES_tradnl"/>
        </w:rPr>
        <w:t>Ante todo lo anterior, ante la CIDH</w:t>
      </w:r>
      <w:r w:rsidR="00CB6EEA" w:rsidRPr="007F3D68">
        <w:rPr>
          <w:rFonts w:ascii="Cambria" w:hAnsi="Cambria"/>
          <w:sz w:val="20"/>
          <w:szCs w:val="20"/>
          <w:lang w:val="es-ES_tradnl"/>
        </w:rPr>
        <w:t>,</w:t>
      </w:r>
      <w:r w:rsidRPr="007F3D68">
        <w:rPr>
          <w:rFonts w:ascii="Cambria" w:hAnsi="Cambria"/>
          <w:sz w:val="20"/>
          <w:szCs w:val="20"/>
          <w:lang w:val="es-ES_tradnl"/>
        </w:rPr>
        <w:t xml:space="preserve"> </w:t>
      </w:r>
      <w:r w:rsidR="00CB6EEA" w:rsidRPr="007F3D68">
        <w:rPr>
          <w:rFonts w:ascii="Cambria" w:hAnsi="Cambria"/>
          <w:sz w:val="20"/>
          <w:szCs w:val="20"/>
          <w:lang w:val="es-ES_tradnl"/>
        </w:rPr>
        <w:t xml:space="preserve">el Estado de </w:t>
      </w:r>
      <w:r w:rsidRPr="007F3D68">
        <w:rPr>
          <w:rFonts w:ascii="Cambria" w:hAnsi="Cambria"/>
          <w:sz w:val="20"/>
          <w:szCs w:val="20"/>
          <w:lang w:val="es-ES_tradnl"/>
        </w:rPr>
        <w:t xml:space="preserve">Guatemala no ofreció explicación satisfactoria alguna sobre las lesiones que sufrió el señor Valenzuela Ávila bajo su custodia y que, conforme a los estándares citados, se presumen responsabilidad del Estado. El examen médico realizado a instancias del propio Estado en el año 2005 carece de toda eficacia probatoria para concluir que no existió tortura. </w:t>
      </w:r>
      <w:r w:rsidR="008E7760" w:rsidRPr="007F3D68">
        <w:rPr>
          <w:rFonts w:ascii="Cambria" w:hAnsi="Cambria"/>
          <w:sz w:val="20"/>
          <w:szCs w:val="20"/>
          <w:lang w:val="es-ES_tradnl"/>
        </w:rPr>
        <w:t xml:space="preserve">Así por ejemplo, en el mismo no se hace referencia a metodología alguna para su realización, ni del mismo se desprende que se hubieran tomado en cuenta las reglas mínimas del Protocolo de Estambul. </w:t>
      </w:r>
      <w:r w:rsidR="00F4786A" w:rsidRPr="007F3D68">
        <w:rPr>
          <w:rFonts w:ascii="Cambria" w:hAnsi="Cambria"/>
          <w:sz w:val="20"/>
          <w:szCs w:val="20"/>
          <w:lang w:val="es-ES_tradnl"/>
        </w:rPr>
        <w:t xml:space="preserve"> Además, el mismo resulta contrario a lo descrito por otros internos, así como con los resultados de los otros informes médicos.  Asimismo, </w:t>
      </w:r>
      <w:r w:rsidRPr="007F3D68">
        <w:rPr>
          <w:rFonts w:ascii="Cambria" w:hAnsi="Cambria"/>
          <w:sz w:val="20"/>
          <w:szCs w:val="20"/>
          <w:lang w:val="es-ES_tradnl"/>
        </w:rPr>
        <w:t xml:space="preserve"> no se toma en consideración que el señor Valenzuela Ávila pudo negar las torturas por temor a represalias y no se profundiza en las cicatrices en su cuerpo ni se hace referencia a las posibles secuelas psicológicas. </w:t>
      </w:r>
    </w:p>
    <w:p w:rsidR="000104F7" w:rsidRPr="007F3D68" w:rsidRDefault="000104F7" w:rsidP="000104F7">
      <w:pPr>
        <w:pStyle w:val="ListParagraph"/>
        <w:rPr>
          <w:sz w:val="20"/>
          <w:szCs w:val="20"/>
          <w:lang w:val="es-ES_tradnl"/>
        </w:rPr>
      </w:pPr>
    </w:p>
    <w:p w:rsidR="000104F7" w:rsidRPr="007F3D68" w:rsidRDefault="004472B3" w:rsidP="000104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_tradnl"/>
        </w:rPr>
      </w:pPr>
      <w:r w:rsidRPr="007F3D68">
        <w:rPr>
          <w:rFonts w:ascii="Cambria" w:hAnsi="Cambria"/>
          <w:sz w:val="20"/>
          <w:szCs w:val="20"/>
          <w:lang w:val="es-ES_tradnl"/>
        </w:rPr>
        <w:t xml:space="preserve">Finalmente, y tal como se analizará más adelante, a pesar de contar tanto con denuncia como con razón fundada de posibles actos de tortura en múltiples oportunidades, a la fecha el Estado no ha iniciado ninguna investigación sobre los hechos. De esta manera, el Estado no ha logrado desvirtuar su presunción de responsabilidad por los graves hechos de violencia sufridos por el señor Valenzuela Ávila bajo su custodia. </w:t>
      </w:r>
    </w:p>
    <w:p w:rsidR="000104F7" w:rsidRPr="007F3D68" w:rsidRDefault="000104F7" w:rsidP="000104F7">
      <w:pPr>
        <w:pStyle w:val="ListParagraph"/>
        <w:rPr>
          <w:sz w:val="20"/>
          <w:szCs w:val="20"/>
          <w:lang w:val="es-ES_tradnl"/>
        </w:rPr>
      </w:pPr>
    </w:p>
    <w:p w:rsidR="00242EAC" w:rsidRDefault="00242EAC" w:rsidP="000104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_tradnl"/>
        </w:rPr>
      </w:pPr>
      <w:r w:rsidRPr="007F3D68">
        <w:rPr>
          <w:rFonts w:ascii="Cambria" w:hAnsi="Cambria"/>
          <w:sz w:val="20"/>
          <w:szCs w:val="20"/>
          <w:lang w:val="es-ES_tradnl"/>
        </w:rPr>
        <w:t>Con base en lo anterior, la Comisión considera</w:t>
      </w:r>
      <w:r w:rsidR="00455FF0" w:rsidRPr="007F3D68">
        <w:rPr>
          <w:rFonts w:ascii="Cambria" w:hAnsi="Cambria"/>
          <w:sz w:val="20"/>
          <w:szCs w:val="20"/>
          <w:lang w:val="es-ES_tradnl"/>
        </w:rPr>
        <w:t xml:space="preserve"> suficientemente</w:t>
      </w:r>
      <w:r w:rsidRPr="007F3D68">
        <w:rPr>
          <w:rFonts w:ascii="Cambria" w:hAnsi="Cambria"/>
          <w:sz w:val="20"/>
          <w:szCs w:val="20"/>
          <w:lang w:val="es-ES_tradnl"/>
        </w:rPr>
        <w:t xml:space="preserve"> acreditado que</w:t>
      </w:r>
      <w:r w:rsidR="00AF16CB" w:rsidRPr="007F3D68">
        <w:rPr>
          <w:rFonts w:ascii="Cambria" w:hAnsi="Cambria"/>
          <w:sz w:val="20"/>
          <w:szCs w:val="20"/>
          <w:lang w:val="es-ES_tradnl"/>
        </w:rPr>
        <w:t xml:space="preserve"> </w:t>
      </w:r>
      <w:r w:rsidR="00AF16CB" w:rsidRPr="007F3D68">
        <w:rPr>
          <w:rFonts w:asciiTheme="majorHAnsi" w:hAnsiTheme="majorHAnsi"/>
          <w:sz w:val="20"/>
          <w:szCs w:val="20"/>
          <w:lang w:val="es-ES_tradnl"/>
        </w:rPr>
        <w:t>el señor</w:t>
      </w:r>
      <w:r w:rsidRPr="007F3D68">
        <w:rPr>
          <w:rFonts w:ascii="Cambria" w:hAnsi="Cambria"/>
          <w:sz w:val="20"/>
          <w:szCs w:val="20"/>
          <w:lang w:val="es-ES_tradnl"/>
        </w:rPr>
        <w:t xml:space="preserve"> Valenzuela </w:t>
      </w:r>
      <w:r w:rsidR="00795794" w:rsidRPr="007F3D68">
        <w:rPr>
          <w:rFonts w:ascii="Cambria" w:hAnsi="Cambria"/>
          <w:sz w:val="20"/>
          <w:szCs w:val="20"/>
          <w:lang w:val="es-ES_tradnl"/>
        </w:rPr>
        <w:t xml:space="preserve">Ávila </w:t>
      </w:r>
      <w:r w:rsidRPr="007F3D68">
        <w:rPr>
          <w:rFonts w:ascii="Cambria" w:hAnsi="Cambria"/>
          <w:sz w:val="20"/>
          <w:szCs w:val="20"/>
          <w:lang w:val="es-ES_tradnl"/>
        </w:rPr>
        <w:t xml:space="preserve">fue víctima de </w:t>
      </w:r>
      <w:r w:rsidR="00795794" w:rsidRPr="007F3D68">
        <w:rPr>
          <w:rFonts w:ascii="Cambria" w:hAnsi="Cambria"/>
          <w:sz w:val="20"/>
          <w:szCs w:val="20"/>
          <w:lang w:val="es-ES_tradnl"/>
        </w:rPr>
        <w:t xml:space="preserve">violencia </w:t>
      </w:r>
      <w:r w:rsidRPr="007F3D68">
        <w:rPr>
          <w:rFonts w:ascii="Cambria" w:hAnsi="Cambria"/>
          <w:sz w:val="20"/>
          <w:szCs w:val="20"/>
          <w:lang w:val="es-ES_tradnl"/>
        </w:rPr>
        <w:t>físic</w:t>
      </w:r>
      <w:r w:rsidR="00795794" w:rsidRPr="007F3D68">
        <w:rPr>
          <w:rFonts w:ascii="Cambria" w:hAnsi="Cambria"/>
          <w:sz w:val="20"/>
          <w:szCs w:val="20"/>
          <w:lang w:val="es-ES_tradnl"/>
        </w:rPr>
        <w:t>a</w:t>
      </w:r>
      <w:r w:rsidRPr="007F3D68">
        <w:rPr>
          <w:rFonts w:ascii="Cambria" w:hAnsi="Cambria"/>
          <w:sz w:val="20"/>
          <w:szCs w:val="20"/>
          <w:lang w:val="es-ES_tradnl"/>
        </w:rPr>
        <w:t xml:space="preserve"> y psicológic</w:t>
      </w:r>
      <w:r w:rsidR="00795794" w:rsidRPr="007F3D68">
        <w:rPr>
          <w:rFonts w:ascii="Cambria" w:hAnsi="Cambria"/>
          <w:sz w:val="20"/>
          <w:szCs w:val="20"/>
          <w:lang w:val="es-ES_tradnl"/>
        </w:rPr>
        <w:t xml:space="preserve">a, incluyendo violencia y violación sexual al </w:t>
      </w:r>
      <w:r w:rsidRPr="007F3D68">
        <w:rPr>
          <w:rFonts w:ascii="Cambria" w:hAnsi="Cambria"/>
          <w:sz w:val="20"/>
          <w:szCs w:val="20"/>
          <w:lang w:val="es-ES_tradnl"/>
        </w:rPr>
        <w:t xml:space="preserve"> </w:t>
      </w:r>
      <w:r w:rsidR="00795794" w:rsidRPr="007F3D68">
        <w:rPr>
          <w:rFonts w:ascii="Cambria" w:hAnsi="Cambria"/>
          <w:sz w:val="20"/>
          <w:szCs w:val="20"/>
          <w:lang w:val="es-ES_tradnl"/>
        </w:rPr>
        <w:t>momento de su detención</w:t>
      </w:r>
      <w:r w:rsidR="00C84653" w:rsidRPr="007F3D68">
        <w:rPr>
          <w:rFonts w:ascii="Cambria" w:hAnsi="Cambria"/>
          <w:sz w:val="20"/>
          <w:szCs w:val="20"/>
          <w:lang w:val="es-ES_tradnl"/>
        </w:rPr>
        <w:t xml:space="preserve"> por parte de agentes estatales.</w:t>
      </w:r>
      <w:r w:rsidR="00795794" w:rsidRPr="007F3D68">
        <w:rPr>
          <w:rFonts w:ascii="Cambria" w:hAnsi="Cambria"/>
          <w:sz w:val="20"/>
          <w:szCs w:val="20"/>
          <w:lang w:val="es-ES_tradnl"/>
        </w:rPr>
        <w:t xml:space="preserve"> Asimismo, la Comisión considera suficientemente acreditado que fue víctima de violencia física y psicológica</w:t>
      </w:r>
      <w:r w:rsidRPr="007F3D68">
        <w:rPr>
          <w:rFonts w:ascii="Cambria" w:hAnsi="Cambria"/>
          <w:sz w:val="20"/>
          <w:szCs w:val="20"/>
          <w:lang w:val="es-ES_tradnl"/>
        </w:rPr>
        <w:t xml:space="preserve"> al menos dos veces más luego de ser recapturado tras su fuga </w:t>
      </w:r>
      <w:r w:rsidR="00C84653" w:rsidRPr="007F3D68">
        <w:rPr>
          <w:rFonts w:ascii="Cambria" w:hAnsi="Cambria"/>
          <w:sz w:val="20"/>
          <w:szCs w:val="20"/>
          <w:lang w:val="es-ES_tradnl"/>
        </w:rPr>
        <w:t>en 1999 y en 2001, también por parte de agentes estatales.</w:t>
      </w:r>
    </w:p>
    <w:p w:rsidR="00F40EB1" w:rsidRDefault="00F40EB1" w:rsidP="00F40EB1">
      <w:pPr>
        <w:pStyle w:val="ListParagraph"/>
        <w:rPr>
          <w:sz w:val="20"/>
          <w:szCs w:val="20"/>
          <w:lang w:val="es-ES_tradnl"/>
        </w:rPr>
      </w:pPr>
    </w:p>
    <w:p w:rsidR="00F40EB1" w:rsidRDefault="00F40EB1" w:rsidP="00F40EB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hAnsi="Cambria"/>
          <w:sz w:val="20"/>
          <w:szCs w:val="20"/>
          <w:lang w:val="es-ES_tradnl"/>
        </w:rPr>
      </w:pPr>
    </w:p>
    <w:p w:rsidR="00BB3D48" w:rsidRPr="007F3D68" w:rsidRDefault="00585981" w:rsidP="004E102F">
      <w:pPr>
        <w:pStyle w:val="Heading4"/>
        <w:numPr>
          <w:ilvl w:val="1"/>
          <w:numId w:val="69"/>
        </w:numPr>
        <w:tabs>
          <w:tab w:val="left" w:pos="1260"/>
        </w:tabs>
        <w:ind w:left="720" w:firstLine="0"/>
        <w:rPr>
          <w:rFonts w:asciiTheme="majorHAnsi" w:hAnsiTheme="majorHAnsi"/>
          <w:sz w:val="20"/>
          <w:lang w:val="es-ES_tradnl"/>
        </w:rPr>
      </w:pPr>
      <w:r w:rsidRPr="007F3D68">
        <w:rPr>
          <w:rFonts w:asciiTheme="majorHAnsi" w:hAnsiTheme="majorHAnsi"/>
          <w:sz w:val="20"/>
          <w:lang w:val="es-ES_tradnl"/>
        </w:rPr>
        <w:lastRenderedPageBreak/>
        <w:t>Sobre la calificación jurídica como tortura</w:t>
      </w:r>
    </w:p>
    <w:p w:rsidR="00411AA4" w:rsidRPr="007F3D68" w:rsidRDefault="00585981" w:rsidP="00411AA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ind w:left="720"/>
        <w:jc w:val="both"/>
        <w:rPr>
          <w:rFonts w:ascii="Cambria" w:hAnsi="Cambria"/>
          <w:sz w:val="20"/>
          <w:szCs w:val="20"/>
          <w:lang w:val="es-ES_tradnl"/>
        </w:rPr>
      </w:pPr>
      <w:r w:rsidRPr="007F3D68">
        <w:rPr>
          <w:rFonts w:asciiTheme="majorHAnsi" w:hAnsiTheme="majorHAnsi"/>
          <w:sz w:val="20"/>
          <w:lang w:val="es-ES_tradnl"/>
        </w:rPr>
        <w:t xml:space="preserve"> </w:t>
      </w:r>
    </w:p>
    <w:p w:rsidR="000104F7" w:rsidRPr="007F3D68" w:rsidRDefault="00411AA4" w:rsidP="000104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_tradnl"/>
        </w:rPr>
      </w:pPr>
      <w:r w:rsidRPr="007F3D68">
        <w:rPr>
          <w:rFonts w:ascii="Cambria" w:hAnsi="Cambria"/>
          <w:sz w:val="20"/>
          <w:szCs w:val="20"/>
          <w:lang w:val="es-ES_tradnl"/>
        </w:rPr>
        <w:t xml:space="preserve">La Comisión analizará a continuación si la intensidad de las lesiones, así como sus fines, permiten calificarlas </w:t>
      </w:r>
      <w:r w:rsidR="000104F7" w:rsidRPr="007F3D68">
        <w:rPr>
          <w:rFonts w:ascii="Cambria" w:hAnsi="Cambria"/>
          <w:sz w:val="20"/>
          <w:szCs w:val="20"/>
          <w:lang w:val="es-ES_tradnl"/>
        </w:rPr>
        <w:t>como tortura.</w:t>
      </w:r>
    </w:p>
    <w:p w:rsidR="000104F7" w:rsidRPr="007F3D68" w:rsidRDefault="00242EAC" w:rsidP="000104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_tradnl"/>
        </w:rPr>
      </w:pPr>
      <w:r w:rsidRPr="007F3D68">
        <w:rPr>
          <w:rFonts w:ascii="Cambria" w:hAnsi="Cambria"/>
          <w:sz w:val="20"/>
          <w:szCs w:val="20"/>
          <w:lang w:val="es-ES_tradnl"/>
        </w:rPr>
        <w:t xml:space="preserve">En relación con los elementos de intencionalidad y la existencia de un fin determinado, la Comisión observa que según </w:t>
      </w:r>
      <w:r w:rsidR="00634CCD" w:rsidRPr="007F3D68">
        <w:rPr>
          <w:rFonts w:ascii="Cambria" w:hAnsi="Cambria"/>
          <w:sz w:val="20"/>
          <w:szCs w:val="20"/>
          <w:lang w:val="es-ES_tradnl"/>
        </w:rPr>
        <w:t xml:space="preserve">declaró el señor Valenzuela Ávila, </w:t>
      </w:r>
      <w:r w:rsidRPr="007F3D68">
        <w:rPr>
          <w:rFonts w:ascii="Cambria" w:hAnsi="Cambria"/>
          <w:sz w:val="20"/>
          <w:szCs w:val="20"/>
          <w:lang w:val="es-ES_tradnl"/>
        </w:rPr>
        <w:t>en la primera ocasión quien lo</w:t>
      </w:r>
      <w:r w:rsidR="007F253B" w:rsidRPr="007F3D68">
        <w:rPr>
          <w:rFonts w:ascii="Cambria" w:hAnsi="Cambria"/>
          <w:sz w:val="20"/>
          <w:szCs w:val="20"/>
          <w:lang w:val="es-ES_tradnl"/>
        </w:rPr>
        <w:t xml:space="preserve"> agredía </w:t>
      </w:r>
      <w:r w:rsidRPr="007F3D68">
        <w:rPr>
          <w:rFonts w:ascii="Cambria" w:hAnsi="Cambria"/>
          <w:sz w:val="20"/>
          <w:szCs w:val="20"/>
          <w:lang w:val="es-ES_tradnl"/>
        </w:rPr>
        <w:t xml:space="preserve">le decía frases como “¿vas a hablar o </w:t>
      </w:r>
      <w:proofErr w:type="spellStart"/>
      <w:r w:rsidRPr="007F3D68">
        <w:rPr>
          <w:rFonts w:ascii="Cambria" w:hAnsi="Cambria"/>
          <w:sz w:val="20"/>
          <w:szCs w:val="20"/>
          <w:lang w:val="es-ES_tradnl"/>
        </w:rPr>
        <w:t>queres</w:t>
      </w:r>
      <w:proofErr w:type="spellEnd"/>
      <w:r w:rsidRPr="007F3D68">
        <w:rPr>
          <w:rFonts w:ascii="Cambria" w:hAnsi="Cambria"/>
          <w:sz w:val="20"/>
          <w:szCs w:val="20"/>
          <w:lang w:val="es-ES_tradnl"/>
        </w:rPr>
        <w:t xml:space="preserve"> llevar verga?”. Asimismo, mientras era </w:t>
      </w:r>
      <w:r w:rsidR="00150CD7" w:rsidRPr="007F3D68">
        <w:rPr>
          <w:rFonts w:ascii="Cambria" w:hAnsi="Cambria"/>
          <w:sz w:val="20"/>
          <w:szCs w:val="20"/>
          <w:lang w:val="es-ES_tradnl"/>
        </w:rPr>
        <w:t xml:space="preserve">violado </w:t>
      </w:r>
      <w:r w:rsidRPr="007F3D68">
        <w:rPr>
          <w:rFonts w:ascii="Cambria" w:hAnsi="Cambria"/>
          <w:sz w:val="20"/>
          <w:szCs w:val="20"/>
          <w:lang w:val="es-ES_tradnl"/>
        </w:rPr>
        <w:t xml:space="preserve">sexualmente, la presunta víctima pedía que no lo mataran, a lo que el torturador respondía “si lo único que hago es puyarte el culo pero si no me </w:t>
      </w:r>
      <w:proofErr w:type="spellStart"/>
      <w:r w:rsidRPr="007F3D68">
        <w:rPr>
          <w:rFonts w:ascii="Cambria" w:hAnsi="Cambria"/>
          <w:sz w:val="20"/>
          <w:szCs w:val="20"/>
          <w:lang w:val="es-ES_tradnl"/>
        </w:rPr>
        <w:t>decis</w:t>
      </w:r>
      <w:proofErr w:type="spellEnd"/>
      <w:r w:rsidRPr="007F3D68">
        <w:rPr>
          <w:rFonts w:ascii="Cambria" w:hAnsi="Cambria"/>
          <w:sz w:val="20"/>
          <w:szCs w:val="20"/>
          <w:lang w:val="es-ES_tradnl"/>
        </w:rPr>
        <w:t xml:space="preserve"> si te voy a matar”.  En igual sentido, su conviviente declaró que este le comentó que “lo golpearon hasta confesar el crimen”. </w:t>
      </w:r>
      <w:r w:rsidR="00F4786A" w:rsidRPr="007F3D68">
        <w:rPr>
          <w:rFonts w:ascii="Cambria" w:hAnsi="Cambria"/>
          <w:sz w:val="20"/>
          <w:szCs w:val="20"/>
          <w:lang w:val="es-ES_tradnl"/>
        </w:rPr>
        <w:t>Así, hay indicios consistentes de</w:t>
      </w:r>
      <w:r w:rsidRPr="007F3D68">
        <w:rPr>
          <w:rFonts w:ascii="Cambria" w:hAnsi="Cambria"/>
          <w:sz w:val="20"/>
          <w:szCs w:val="20"/>
          <w:lang w:val="es-ES_tradnl"/>
        </w:rPr>
        <w:t xml:space="preserve"> que estos actos de violencia fueron perpetrados de manera deliberada e intencional con la finalidad de disminuir sus capacidades físicas y mentales y obtener una confesión de su parte. </w:t>
      </w:r>
    </w:p>
    <w:p w:rsidR="000104F7" w:rsidRPr="007F3D68" w:rsidRDefault="000104F7" w:rsidP="000104F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hAnsi="Cambria"/>
          <w:sz w:val="20"/>
          <w:szCs w:val="20"/>
          <w:lang w:val="es-ES_tradnl"/>
        </w:rPr>
      </w:pPr>
    </w:p>
    <w:p w:rsidR="000104F7" w:rsidRPr="007F3D68" w:rsidRDefault="00242EAC" w:rsidP="000104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_tradnl"/>
        </w:rPr>
      </w:pPr>
      <w:r w:rsidRPr="007F3D68">
        <w:rPr>
          <w:rFonts w:ascii="Cambria" w:hAnsi="Cambria"/>
          <w:sz w:val="20"/>
          <w:szCs w:val="20"/>
          <w:lang w:val="es-ES_tradnl"/>
        </w:rPr>
        <w:t xml:space="preserve">Con respecto a la intencionalidad y el fin determinado de la segunda y tercera ocasión en que fue torturado, la Comisión estima que tomando en cuenta las declaraciones de la presunta víctima, así como el contexto de ambas, luego de una recaptura, sugiere que dichas lesiones fueron infligidas de manera deliberada e intencional con la finalidad de castigar a la presunta víctima por fugarse de la cárcel. </w:t>
      </w:r>
    </w:p>
    <w:p w:rsidR="000104F7" w:rsidRPr="007F3D68" w:rsidRDefault="000104F7" w:rsidP="000104F7">
      <w:pPr>
        <w:pStyle w:val="ListParagraph"/>
        <w:rPr>
          <w:sz w:val="20"/>
          <w:szCs w:val="20"/>
          <w:lang w:val="es-ES_tradnl"/>
        </w:rPr>
      </w:pPr>
    </w:p>
    <w:p w:rsidR="000104F7" w:rsidRPr="007F3D68" w:rsidRDefault="00242EAC" w:rsidP="000104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_tradnl"/>
        </w:rPr>
      </w:pPr>
      <w:r w:rsidRPr="007F3D68">
        <w:rPr>
          <w:rFonts w:ascii="Cambria" w:hAnsi="Cambria"/>
          <w:sz w:val="20"/>
          <w:szCs w:val="20"/>
          <w:lang w:val="es-ES_tradnl"/>
        </w:rPr>
        <w:t xml:space="preserve">Sobre el elemento de la intensidad del daño físico y mental, la Comisión destaca en primer lugar que en una serie de casos como </w:t>
      </w:r>
      <w:r w:rsidRPr="007F3D68">
        <w:rPr>
          <w:rFonts w:ascii="Cambria" w:hAnsi="Cambria"/>
          <w:i/>
          <w:sz w:val="20"/>
          <w:szCs w:val="20"/>
          <w:lang w:val="es-US"/>
        </w:rPr>
        <w:t>Raquel Martín de Mejía vs. Perú</w:t>
      </w:r>
      <w:r w:rsidRPr="007F3D68">
        <w:rPr>
          <w:rStyle w:val="FootnoteReference"/>
          <w:rFonts w:ascii="Cambria" w:hAnsi="Cambria"/>
          <w:sz w:val="20"/>
          <w:szCs w:val="20"/>
        </w:rPr>
        <w:footnoteReference w:id="120"/>
      </w:r>
      <w:r w:rsidRPr="007F3D68">
        <w:rPr>
          <w:rFonts w:ascii="Cambria" w:hAnsi="Cambria"/>
          <w:sz w:val="20"/>
          <w:szCs w:val="20"/>
          <w:lang w:val="es-US"/>
        </w:rPr>
        <w:t xml:space="preserve"> y </w:t>
      </w:r>
      <w:r w:rsidRPr="007F3D68">
        <w:rPr>
          <w:rFonts w:ascii="Cambria" w:hAnsi="Cambria"/>
          <w:i/>
          <w:sz w:val="20"/>
          <w:szCs w:val="20"/>
          <w:lang w:val="es-US"/>
        </w:rPr>
        <w:t>Ana, Beatriz y Celia González Pérez vs. México</w:t>
      </w:r>
      <w:r w:rsidRPr="007F3D68">
        <w:rPr>
          <w:rStyle w:val="FootnoteReference"/>
          <w:rFonts w:ascii="Cambria" w:hAnsi="Cambria"/>
          <w:sz w:val="20"/>
          <w:szCs w:val="20"/>
        </w:rPr>
        <w:footnoteReference w:id="121"/>
      </w:r>
      <w:r w:rsidRPr="007F3D68">
        <w:rPr>
          <w:rFonts w:ascii="Cambria" w:hAnsi="Cambria"/>
          <w:sz w:val="20"/>
          <w:szCs w:val="20"/>
          <w:lang w:val="es-US"/>
        </w:rPr>
        <w:t>, ha abordado la violencia sexual como tortura. Asimismo, tanto la Comisión como la Corte Interamericana han considerado que la violencia sexual, la cual incluye la violación sexual, implican una afectación</w:t>
      </w:r>
      <w:r w:rsidR="00970584" w:rsidRPr="007F3D68">
        <w:rPr>
          <w:rFonts w:ascii="Cambria" w:hAnsi="Cambria"/>
          <w:sz w:val="20"/>
          <w:szCs w:val="20"/>
          <w:lang w:val="es-US"/>
        </w:rPr>
        <w:t>, al menos,</w:t>
      </w:r>
      <w:r w:rsidRPr="007F3D68">
        <w:rPr>
          <w:rFonts w:ascii="Cambria" w:hAnsi="Cambria"/>
          <w:sz w:val="20"/>
          <w:szCs w:val="20"/>
          <w:lang w:val="es-US"/>
        </w:rPr>
        <w:t xml:space="preserve"> a los derechos a la integridad personal</w:t>
      </w:r>
      <w:r w:rsidR="00970584" w:rsidRPr="007F3D68">
        <w:rPr>
          <w:rFonts w:ascii="Cambria" w:hAnsi="Cambria"/>
          <w:sz w:val="20"/>
          <w:szCs w:val="20"/>
          <w:lang w:val="es-US"/>
        </w:rPr>
        <w:t xml:space="preserve"> y</w:t>
      </w:r>
      <w:r w:rsidRPr="007F3D68">
        <w:rPr>
          <w:rFonts w:ascii="Cambria" w:hAnsi="Cambria"/>
          <w:sz w:val="20"/>
          <w:szCs w:val="20"/>
          <w:lang w:val="es-US"/>
        </w:rPr>
        <w:t xml:space="preserve"> a la vida privada, autonomía y dignidad</w:t>
      </w:r>
      <w:r w:rsidRPr="007F3D68">
        <w:rPr>
          <w:rFonts w:ascii="Cambria" w:hAnsi="Cambria"/>
          <w:sz w:val="20"/>
          <w:szCs w:val="20"/>
          <w:vertAlign w:val="superscript"/>
        </w:rPr>
        <w:footnoteReference w:id="122"/>
      </w:r>
      <w:r w:rsidRPr="007F3D68">
        <w:rPr>
          <w:rFonts w:ascii="Cambria" w:hAnsi="Cambria"/>
          <w:sz w:val="20"/>
          <w:szCs w:val="20"/>
          <w:lang w:val="es-US"/>
        </w:rPr>
        <w:t xml:space="preserve">. </w:t>
      </w:r>
    </w:p>
    <w:p w:rsidR="000104F7" w:rsidRPr="007F3D68" w:rsidRDefault="000104F7" w:rsidP="000104F7">
      <w:pPr>
        <w:pStyle w:val="ListParagraph"/>
        <w:rPr>
          <w:sz w:val="20"/>
          <w:szCs w:val="20"/>
          <w:lang w:val="es-ES_tradnl"/>
        </w:rPr>
      </w:pPr>
    </w:p>
    <w:p w:rsidR="000104F7" w:rsidRPr="007F3D68" w:rsidRDefault="00242EAC" w:rsidP="000104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_tradnl"/>
        </w:rPr>
      </w:pPr>
      <w:r w:rsidRPr="007F3D68">
        <w:rPr>
          <w:rFonts w:ascii="Cambria" w:hAnsi="Cambria"/>
          <w:sz w:val="20"/>
          <w:szCs w:val="20"/>
          <w:lang w:val="es-ES_tradnl"/>
        </w:rPr>
        <w:t>En palabras de la Corte la violación sexual comprende</w:t>
      </w:r>
      <w:r w:rsidRPr="007F3D68">
        <w:rPr>
          <w:rFonts w:ascii="Cambria" w:hAnsi="Cambria"/>
          <w:sz w:val="20"/>
          <w:szCs w:val="20"/>
          <w:lang w:val="es-US"/>
        </w:rPr>
        <w:t xml:space="preserve"> “actos de penetración vaginales o anales, sin consentimiento de la víctima, mediante la utilización de otras partes del cuerpo del agresor u objetos, así como la penetración bucal mediante el miembro viril”</w:t>
      </w:r>
      <w:r w:rsidRPr="007F3D68">
        <w:rPr>
          <w:rFonts w:ascii="Cambria" w:hAnsi="Cambria"/>
          <w:sz w:val="20"/>
          <w:szCs w:val="20"/>
          <w:vertAlign w:val="superscript"/>
        </w:rPr>
        <w:footnoteReference w:id="123"/>
      </w:r>
      <w:r w:rsidRPr="007F3D68">
        <w:rPr>
          <w:rFonts w:ascii="Cambria" w:hAnsi="Cambria"/>
          <w:sz w:val="20"/>
          <w:szCs w:val="20"/>
          <w:lang w:val="es-US"/>
        </w:rPr>
        <w:t xml:space="preserve">. En el caso </w:t>
      </w:r>
      <w:r w:rsidRPr="007F3D68">
        <w:rPr>
          <w:rFonts w:ascii="Cambria" w:hAnsi="Cambria"/>
          <w:i/>
          <w:sz w:val="20"/>
          <w:szCs w:val="20"/>
          <w:lang w:val="es-US"/>
        </w:rPr>
        <w:t>J. vs. Perú</w:t>
      </w:r>
      <w:r w:rsidRPr="007F3D68">
        <w:rPr>
          <w:rFonts w:ascii="Cambria" w:hAnsi="Cambria"/>
          <w:sz w:val="20"/>
          <w:szCs w:val="20"/>
          <w:lang w:val="es-US"/>
        </w:rPr>
        <w:t xml:space="preserve"> la Corte puntualizó además que para que un acto sea considerado como tal, “es suficiente que se produzca una penetración, por insignificante que sea, en los términos antes descritos”</w:t>
      </w:r>
      <w:r w:rsidRPr="007F3D68">
        <w:rPr>
          <w:rFonts w:ascii="Cambria" w:hAnsi="Cambria"/>
          <w:sz w:val="20"/>
          <w:szCs w:val="20"/>
          <w:vertAlign w:val="superscript"/>
        </w:rPr>
        <w:footnoteReference w:id="124"/>
      </w:r>
      <w:r w:rsidRPr="007F3D68">
        <w:rPr>
          <w:rFonts w:ascii="Cambria" w:hAnsi="Cambria"/>
          <w:sz w:val="20"/>
          <w:szCs w:val="20"/>
          <w:lang w:val="es-US"/>
        </w:rPr>
        <w:t xml:space="preserve">. </w:t>
      </w:r>
    </w:p>
    <w:p w:rsidR="000104F7" w:rsidRPr="007F3D68" w:rsidRDefault="000104F7" w:rsidP="000104F7">
      <w:pPr>
        <w:pStyle w:val="ListParagraph"/>
        <w:rPr>
          <w:sz w:val="20"/>
          <w:szCs w:val="20"/>
          <w:lang w:val="es-ES"/>
        </w:rPr>
      </w:pPr>
    </w:p>
    <w:p w:rsidR="000104F7" w:rsidRPr="007F3D68" w:rsidRDefault="00242EAC" w:rsidP="000104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_tradnl"/>
        </w:rPr>
      </w:pPr>
      <w:r w:rsidRPr="007F3D68">
        <w:rPr>
          <w:rFonts w:ascii="Cambria" w:hAnsi="Cambria"/>
          <w:sz w:val="20"/>
          <w:szCs w:val="20"/>
          <w:lang w:val="es-ES"/>
        </w:rPr>
        <w:t xml:space="preserve">La Corte Interamericana </w:t>
      </w:r>
      <w:r w:rsidR="008E673F" w:rsidRPr="007F3D68">
        <w:rPr>
          <w:rFonts w:ascii="Cambria" w:hAnsi="Cambria"/>
          <w:sz w:val="20"/>
          <w:szCs w:val="20"/>
          <w:lang w:val="es-ES"/>
        </w:rPr>
        <w:t>señaló que la violación sexual</w:t>
      </w:r>
      <w:r w:rsidRPr="007F3D68">
        <w:rPr>
          <w:rFonts w:ascii="Cambria" w:hAnsi="Cambria"/>
          <w:sz w:val="20"/>
          <w:szCs w:val="20"/>
          <w:lang w:val="es-ES"/>
        </w:rPr>
        <w:t xml:space="preserve"> es una experiencia sumamente traumática que tiene severas consecuencias y causa gran daño físico y psicológico que deja a la víctima “humillada física y </w:t>
      </w:r>
      <w:r w:rsidRPr="007F3D68">
        <w:rPr>
          <w:rFonts w:ascii="Cambria" w:hAnsi="Cambria"/>
          <w:sz w:val="20"/>
          <w:szCs w:val="20"/>
          <w:lang w:val="es-US"/>
        </w:rPr>
        <w:t>emocionalmente</w:t>
      </w:r>
      <w:r w:rsidRPr="007F3D68">
        <w:rPr>
          <w:rFonts w:ascii="Cambria" w:hAnsi="Cambria"/>
          <w:sz w:val="20"/>
          <w:szCs w:val="20"/>
          <w:lang w:val="es-ES"/>
        </w:rPr>
        <w:t>”, situación difícilmente superable por el paso del tiempo. De ello se desprende que es inherente a la violación sexual el sufrimiento severo de la víctima, aun cuando no exista evidencia de lesiones o enfermedades físicas</w:t>
      </w:r>
      <w:r w:rsidRPr="007F3D68">
        <w:rPr>
          <w:rFonts w:ascii="Cambria" w:hAnsi="Cambria"/>
          <w:sz w:val="20"/>
          <w:szCs w:val="20"/>
          <w:vertAlign w:val="superscript"/>
          <w:lang w:val="es-ES"/>
        </w:rPr>
        <w:footnoteReference w:id="125"/>
      </w:r>
      <w:r w:rsidR="008E673F" w:rsidRPr="007F3D68">
        <w:rPr>
          <w:rFonts w:ascii="Cambria" w:hAnsi="Cambria"/>
          <w:sz w:val="20"/>
          <w:szCs w:val="20"/>
          <w:lang w:val="es-ES"/>
        </w:rPr>
        <w:t>.</w:t>
      </w:r>
      <w:r w:rsidR="00F57634" w:rsidRPr="007F3D68">
        <w:rPr>
          <w:rFonts w:ascii="Cambria" w:hAnsi="Cambria"/>
          <w:sz w:val="20"/>
          <w:szCs w:val="20"/>
          <w:lang w:val="es-ES_tradnl"/>
        </w:rPr>
        <w:t xml:space="preserve"> </w:t>
      </w:r>
      <w:r w:rsidRPr="007F3D68">
        <w:rPr>
          <w:rFonts w:ascii="Cambria" w:hAnsi="Cambria"/>
          <w:sz w:val="20"/>
          <w:szCs w:val="20"/>
          <w:lang w:val="es-ES"/>
        </w:rPr>
        <w:t>En similar</w:t>
      </w:r>
      <w:r w:rsidR="00F57634" w:rsidRPr="007F3D68">
        <w:rPr>
          <w:rFonts w:ascii="Cambria" w:hAnsi="Cambria"/>
          <w:sz w:val="20"/>
          <w:szCs w:val="20"/>
          <w:lang w:val="es-ES"/>
        </w:rPr>
        <w:t xml:space="preserve"> sentido </w:t>
      </w:r>
      <w:r w:rsidRPr="007F3D68">
        <w:rPr>
          <w:rFonts w:ascii="Cambria" w:hAnsi="Cambria"/>
          <w:sz w:val="20"/>
          <w:szCs w:val="20"/>
          <w:lang w:val="es-ES"/>
        </w:rPr>
        <w:t xml:space="preserve">ha indicado que la violación sexual presupone un sufrimiento físico y mental </w:t>
      </w:r>
      <w:r w:rsidRPr="007F3D68">
        <w:rPr>
          <w:rFonts w:ascii="Cambria" w:hAnsi="Cambria"/>
          <w:sz w:val="20"/>
          <w:szCs w:val="20"/>
          <w:lang w:val="es-US"/>
        </w:rPr>
        <w:t>severo</w:t>
      </w:r>
      <w:r w:rsidRPr="007F3D68">
        <w:rPr>
          <w:rFonts w:ascii="Cambria" w:hAnsi="Cambria"/>
          <w:sz w:val="20"/>
          <w:szCs w:val="20"/>
          <w:lang w:val="es-ES"/>
        </w:rPr>
        <w:t xml:space="preserve"> y duradero, debido a su naturaleza no consensual e invasiva y con consecuencias devastadoras para la víctima, su familia y comunidad</w:t>
      </w:r>
      <w:r w:rsidRPr="007F3D68">
        <w:rPr>
          <w:rFonts w:ascii="Cambria" w:hAnsi="Cambria"/>
          <w:sz w:val="20"/>
          <w:szCs w:val="20"/>
          <w:vertAlign w:val="superscript"/>
          <w:lang w:val="es-ES"/>
        </w:rPr>
        <w:footnoteReference w:id="126"/>
      </w:r>
      <w:r w:rsidRPr="007F3D68">
        <w:rPr>
          <w:rFonts w:ascii="Cambria" w:hAnsi="Cambria"/>
          <w:sz w:val="20"/>
          <w:szCs w:val="20"/>
          <w:lang w:val="es-ES"/>
        </w:rPr>
        <w:t xml:space="preserve">. </w:t>
      </w:r>
    </w:p>
    <w:p w:rsidR="000104F7" w:rsidRPr="007F3D68" w:rsidRDefault="000104F7" w:rsidP="000104F7">
      <w:pPr>
        <w:pStyle w:val="ListParagraph"/>
        <w:rPr>
          <w:sz w:val="20"/>
          <w:szCs w:val="20"/>
          <w:lang w:val="es-ES"/>
        </w:rPr>
      </w:pPr>
    </w:p>
    <w:p w:rsidR="000104F7" w:rsidRPr="007F3D68" w:rsidRDefault="00F4786A" w:rsidP="000104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_tradnl"/>
        </w:rPr>
      </w:pPr>
      <w:r w:rsidRPr="007F3D68">
        <w:rPr>
          <w:rFonts w:ascii="Cambria" w:hAnsi="Cambria"/>
          <w:sz w:val="20"/>
          <w:szCs w:val="20"/>
          <w:lang w:val="es-ES"/>
        </w:rPr>
        <w:t>Según lo establecido en hechos probados, e</w:t>
      </w:r>
      <w:r w:rsidR="00F57634" w:rsidRPr="007F3D68">
        <w:rPr>
          <w:rFonts w:ascii="Cambria" w:hAnsi="Cambria"/>
          <w:sz w:val="20"/>
          <w:szCs w:val="20"/>
          <w:lang w:val="es-ES"/>
        </w:rPr>
        <w:t xml:space="preserve">l señor Valenzuela Ávila </w:t>
      </w:r>
      <w:r w:rsidR="00242EAC" w:rsidRPr="007F3D68">
        <w:rPr>
          <w:rFonts w:ascii="Cambria" w:hAnsi="Cambria"/>
          <w:sz w:val="20"/>
          <w:szCs w:val="20"/>
          <w:lang w:val="es-US"/>
        </w:rPr>
        <w:t>fue penetrad</w:t>
      </w:r>
      <w:r w:rsidR="00BC00E0" w:rsidRPr="007F3D68">
        <w:rPr>
          <w:rFonts w:ascii="Cambria" w:hAnsi="Cambria"/>
          <w:sz w:val="20"/>
          <w:szCs w:val="20"/>
          <w:lang w:val="es-US"/>
        </w:rPr>
        <w:t>o</w:t>
      </w:r>
      <w:r w:rsidR="00242EAC" w:rsidRPr="007F3D68">
        <w:rPr>
          <w:rFonts w:ascii="Cambria" w:hAnsi="Cambria"/>
          <w:sz w:val="20"/>
          <w:szCs w:val="20"/>
          <w:lang w:val="es-US"/>
        </w:rPr>
        <w:t xml:space="preserve"> analmente </w:t>
      </w:r>
      <w:r w:rsidR="003B298B" w:rsidRPr="007F3D68">
        <w:rPr>
          <w:rFonts w:ascii="Cambria" w:hAnsi="Cambria"/>
          <w:sz w:val="20"/>
          <w:szCs w:val="20"/>
          <w:lang w:val="es-US"/>
        </w:rPr>
        <w:t xml:space="preserve">por agentes estatales </w:t>
      </w:r>
      <w:r w:rsidR="00242EAC" w:rsidRPr="007F3D68">
        <w:rPr>
          <w:rFonts w:ascii="Cambria" w:hAnsi="Cambria"/>
          <w:sz w:val="20"/>
          <w:szCs w:val="20"/>
          <w:lang w:val="es-US"/>
        </w:rPr>
        <w:t xml:space="preserve">con un bastón hasta que perdió el conocimiento. </w:t>
      </w:r>
      <w:r w:rsidR="00E8674F" w:rsidRPr="007F3D68">
        <w:rPr>
          <w:rFonts w:ascii="Cambria" w:hAnsi="Cambria"/>
          <w:sz w:val="20"/>
          <w:szCs w:val="20"/>
          <w:lang w:val="es-US"/>
        </w:rPr>
        <w:t xml:space="preserve">Este hecho, en sí mismo, resulta suficiente para acreditar la severidad de la violencia en su contra. </w:t>
      </w:r>
      <w:r w:rsidR="00242EAC" w:rsidRPr="007F3D68">
        <w:rPr>
          <w:rFonts w:ascii="Cambria" w:hAnsi="Cambria"/>
          <w:sz w:val="20"/>
          <w:szCs w:val="20"/>
          <w:lang w:val="es-US"/>
        </w:rPr>
        <w:t xml:space="preserve">Por otra parte, los </w:t>
      </w:r>
      <w:r w:rsidR="00E8674F" w:rsidRPr="007F3D68">
        <w:rPr>
          <w:rFonts w:ascii="Cambria" w:hAnsi="Cambria"/>
          <w:sz w:val="20"/>
          <w:szCs w:val="20"/>
          <w:lang w:val="es-US"/>
        </w:rPr>
        <w:t xml:space="preserve">fuertes </w:t>
      </w:r>
      <w:r w:rsidR="00242EAC" w:rsidRPr="007F3D68">
        <w:rPr>
          <w:rFonts w:ascii="Cambria" w:hAnsi="Cambria"/>
          <w:sz w:val="20"/>
          <w:szCs w:val="20"/>
          <w:lang w:val="es-US"/>
        </w:rPr>
        <w:t>golpes en distintas partes del cuerpo</w:t>
      </w:r>
      <w:r w:rsidR="00E8674F" w:rsidRPr="007F3D68">
        <w:rPr>
          <w:rFonts w:ascii="Cambria" w:hAnsi="Cambria"/>
          <w:sz w:val="20"/>
          <w:szCs w:val="20"/>
          <w:lang w:val="es-US"/>
        </w:rPr>
        <w:t xml:space="preserve"> en las tres oportunidades denunciadas, así como </w:t>
      </w:r>
      <w:r w:rsidR="00242EAC" w:rsidRPr="007F3D68">
        <w:rPr>
          <w:rFonts w:ascii="Cambria" w:hAnsi="Cambria"/>
          <w:sz w:val="20"/>
          <w:szCs w:val="20"/>
          <w:lang w:val="es-US"/>
        </w:rPr>
        <w:t>la asfixia con un veneno para ratas, acompañadas de amenazas de muerte</w:t>
      </w:r>
      <w:r w:rsidR="00E8674F" w:rsidRPr="007F3D68">
        <w:rPr>
          <w:rFonts w:ascii="Cambria" w:hAnsi="Cambria"/>
          <w:sz w:val="20"/>
          <w:szCs w:val="20"/>
          <w:lang w:val="es-US"/>
        </w:rPr>
        <w:t xml:space="preserve"> y de violación</w:t>
      </w:r>
      <w:r w:rsidR="00242EAC" w:rsidRPr="007F3D68">
        <w:rPr>
          <w:rFonts w:ascii="Cambria" w:hAnsi="Cambria"/>
          <w:sz w:val="20"/>
          <w:szCs w:val="20"/>
          <w:lang w:val="es-US"/>
        </w:rPr>
        <w:t xml:space="preserve">, alcanzan </w:t>
      </w:r>
      <w:r w:rsidR="00E8674F" w:rsidRPr="007F3D68">
        <w:rPr>
          <w:rFonts w:ascii="Cambria" w:hAnsi="Cambria"/>
          <w:sz w:val="20"/>
          <w:szCs w:val="20"/>
          <w:lang w:val="es-US"/>
        </w:rPr>
        <w:t>el nivel de severidad necesario para ser calificados como tortura</w:t>
      </w:r>
      <w:r w:rsidR="00242EAC" w:rsidRPr="007F3D68">
        <w:rPr>
          <w:rFonts w:ascii="Cambria" w:hAnsi="Cambria"/>
          <w:sz w:val="20"/>
          <w:szCs w:val="20"/>
          <w:vertAlign w:val="superscript"/>
          <w:lang w:val="es-US"/>
        </w:rPr>
        <w:footnoteReference w:id="127"/>
      </w:r>
      <w:r w:rsidR="00242EAC" w:rsidRPr="007F3D68">
        <w:rPr>
          <w:rFonts w:ascii="Cambria" w:hAnsi="Cambria"/>
          <w:sz w:val="20"/>
          <w:szCs w:val="20"/>
          <w:lang w:val="es-US"/>
        </w:rPr>
        <w:t xml:space="preserve">. </w:t>
      </w:r>
    </w:p>
    <w:p w:rsidR="000104F7" w:rsidRPr="007F3D68" w:rsidRDefault="000104F7" w:rsidP="000104F7">
      <w:pPr>
        <w:pStyle w:val="ListParagraph"/>
        <w:rPr>
          <w:sz w:val="20"/>
          <w:szCs w:val="20"/>
          <w:lang w:val="es-US"/>
        </w:rPr>
      </w:pPr>
    </w:p>
    <w:p w:rsidR="00026AB6" w:rsidRPr="007F3D68" w:rsidRDefault="00026AB6" w:rsidP="00963B3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_tradnl"/>
        </w:rPr>
      </w:pPr>
      <w:r w:rsidRPr="007F3D68">
        <w:rPr>
          <w:rFonts w:ascii="Cambria" w:hAnsi="Cambria"/>
          <w:sz w:val="20"/>
          <w:szCs w:val="20"/>
          <w:lang w:val="es-US"/>
        </w:rPr>
        <w:t xml:space="preserve">En </w:t>
      </w:r>
      <w:r w:rsidRPr="007F3D68">
        <w:rPr>
          <w:rFonts w:ascii="Cambria" w:hAnsi="Cambria"/>
          <w:sz w:val="20"/>
          <w:szCs w:val="20"/>
          <w:lang w:val="es-ES_tradnl"/>
        </w:rPr>
        <w:t>virtud</w:t>
      </w:r>
      <w:r w:rsidRPr="007F3D68">
        <w:rPr>
          <w:rFonts w:ascii="Cambria" w:hAnsi="Cambria"/>
          <w:sz w:val="20"/>
          <w:szCs w:val="20"/>
          <w:lang w:val="es-US"/>
        </w:rPr>
        <w:t xml:space="preserve"> de las anteriores consideraciones, la Comisión concluye que </w:t>
      </w:r>
      <w:r w:rsidR="00DE28F4" w:rsidRPr="007F3D68">
        <w:rPr>
          <w:rFonts w:ascii="Cambria" w:hAnsi="Cambria"/>
          <w:sz w:val="20"/>
          <w:szCs w:val="20"/>
          <w:lang w:val="es-US"/>
        </w:rPr>
        <w:t xml:space="preserve">el señor </w:t>
      </w:r>
      <w:r w:rsidRPr="007F3D68">
        <w:rPr>
          <w:rFonts w:ascii="Cambria" w:hAnsi="Cambria"/>
          <w:sz w:val="20"/>
          <w:szCs w:val="20"/>
          <w:lang w:val="es-US"/>
        </w:rPr>
        <w:t xml:space="preserve">Valenzuela Ávila </w:t>
      </w:r>
      <w:r w:rsidR="00C914F9" w:rsidRPr="007F3D68">
        <w:rPr>
          <w:rFonts w:ascii="Cambria" w:hAnsi="Cambria"/>
          <w:sz w:val="20"/>
          <w:szCs w:val="20"/>
          <w:lang w:val="es-US"/>
        </w:rPr>
        <w:t xml:space="preserve">fue víctima de tortura física y psicológica, incluyendo tortura sexual, en múltiples oportunidades por parte de agentes estatales. </w:t>
      </w:r>
      <w:r w:rsidRPr="007F3D68">
        <w:rPr>
          <w:rFonts w:ascii="Cambria" w:hAnsi="Cambria"/>
          <w:sz w:val="20"/>
          <w:szCs w:val="20"/>
          <w:lang w:val="es-US"/>
        </w:rPr>
        <w:t xml:space="preserve">Además, </w:t>
      </w:r>
      <w:r w:rsidR="00C914F9" w:rsidRPr="007F3D68">
        <w:rPr>
          <w:rFonts w:ascii="Cambria" w:hAnsi="Cambria"/>
          <w:sz w:val="20"/>
          <w:szCs w:val="20"/>
          <w:lang w:val="es-US"/>
        </w:rPr>
        <w:t xml:space="preserve">al menos en la primera ocasión, </w:t>
      </w:r>
      <w:r w:rsidRPr="007F3D68">
        <w:rPr>
          <w:rFonts w:ascii="Cambria" w:hAnsi="Cambria"/>
          <w:sz w:val="20"/>
          <w:szCs w:val="20"/>
          <w:lang w:val="es-US"/>
        </w:rPr>
        <w:t>esta actuación iba dirigida a obtener su confesión. En consecuencia, la Comisión considera que el Estado de Guatemala violó la prohibición absoluta de la tortura</w:t>
      </w:r>
      <w:r w:rsidR="00C32461" w:rsidRPr="007F3D68">
        <w:rPr>
          <w:rFonts w:ascii="Cambria" w:hAnsi="Cambria"/>
          <w:sz w:val="20"/>
          <w:szCs w:val="20"/>
          <w:lang w:val="es-US"/>
        </w:rPr>
        <w:t>, a su autonomía, vida privada y dignidad,</w:t>
      </w:r>
      <w:r w:rsidRPr="007F3D68">
        <w:rPr>
          <w:rFonts w:ascii="Cambria" w:hAnsi="Cambria"/>
          <w:sz w:val="20"/>
          <w:szCs w:val="20"/>
          <w:lang w:val="es-US"/>
        </w:rPr>
        <w:t xml:space="preserve"> </w:t>
      </w:r>
      <w:r w:rsidR="00C32461" w:rsidRPr="007F3D68">
        <w:rPr>
          <w:rFonts w:ascii="Cambria" w:hAnsi="Cambria"/>
          <w:sz w:val="20"/>
          <w:szCs w:val="20"/>
          <w:lang w:val="es-US"/>
        </w:rPr>
        <w:t>a</w:t>
      </w:r>
      <w:r w:rsidRPr="007F3D68">
        <w:rPr>
          <w:rFonts w:ascii="Cambria" w:hAnsi="Cambria"/>
          <w:sz w:val="20"/>
          <w:szCs w:val="20"/>
          <w:lang w:val="es-US"/>
        </w:rPr>
        <w:t>l derecho a no ser obligado a declarar contra sí mismo</w:t>
      </w:r>
      <w:r w:rsidR="003737DD" w:rsidRPr="007F3D68">
        <w:rPr>
          <w:rFonts w:ascii="Cambria" w:hAnsi="Cambria"/>
          <w:sz w:val="20"/>
          <w:szCs w:val="20"/>
          <w:lang w:val="es-US"/>
        </w:rPr>
        <w:t xml:space="preserve"> y a no ser coaccionado a confesar,</w:t>
      </w:r>
      <w:r w:rsidRPr="007F3D68">
        <w:rPr>
          <w:rFonts w:ascii="Cambria" w:hAnsi="Cambria"/>
          <w:sz w:val="20"/>
          <w:szCs w:val="20"/>
          <w:lang w:val="es-US"/>
        </w:rPr>
        <w:t xml:space="preserve"> estableci</w:t>
      </w:r>
      <w:r w:rsidR="003737DD" w:rsidRPr="007F3D68">
        <w:rPr>
          <w:rFonts w:ascii="Cambria" w:hAnsi="Cambria"/>
          <w:sz w:val="20"/>
          <w:szCs w:val="20"/>
          <w:lang w:val="es-US"/>
        </w:rPr>
        <w:t>dos en los artículos 5.1, 5.2</w:t>
      </w:r>
      <w:r w:rsidR="003737DD" w:rsidRPr="001C51C8">
        <w:rPr>
          <w:rFonts w:ascii="Cambria" w:hAnsi="Cambria"/>
          <w:sz w:val="20"/>
          <w:szCs w:val="20"/>
          <w:lang w:val="es-US"/>
        </w:rPr>
        <w:t xml:space="preserve">, </w:t>
      </w:r>
      <w:r w:rsidR="00C32461" w:rsidRPr="001C51C8">
        <w:rPr>
          <w:rFonts w:ascii="Cambria" w:hAnsi="Cambria"/>
          <w:sz w:val="20"/>
          <w:szCs w:val="20"/>
          <w:lang w:val="es-US"/>
        </w:rPr>
        <w:t xml:space="preserve">11, </w:t>
      </w:r>
      <w:r w:rsidRPr="001C51C8">
        <w:rPr>
          <w:rFonts w:ascii="Cambria" w:hAnsi="Cambria"/>
          <w:sz w:val="20"/>
          <w:szCs w:val="20"/>
          <w:lang w:val="es-US"/>
        </w:rPr>
        <w:t>8.2 g)</w:t>
      </w:r>
      <w:r w:rsidR="003737DD" w:rsidRPr="001C51C8">
        <w:rPr>
          <w:rFonts w:ascii="Cambria" w:hAnsi="Cambria"/>
          <w:sz w:val="20"/>
          <w:szCs w:val="20"/>
          <w:lang w:val="es-US"/>
        </w:rPr>
        <w:t xml:space="preserve"> y 8.3</w:t>
      </w:r>
      <w:r w:rsidRPr="001C51C8">
        <w:rPr>
          <w:rFonts w:ascii="Cambria" w:hAnsi="Cambria"/>
          <w:sz w:val="20"/>
          <w:szCs w:val="20"/>
          <w:lang w:val="es-US"/>
        </w:rPr>
        <w:t xml:space="preserve"> de la Convención Americana en relación el artículo 1.1 del mismo instrumento, en perjuicio de </w:t>
      </w:r>
      <w:r w:rsidR="00B87576" w:rsidRPr="001C51C8">
        <w:rPr>
          <w:rFonts w:ascii="Cambria" w:hAnsi="Cambria"/>
          <w:sz w:val="20"/>
          <w:szCs w:val="20"/>
          <w:lang w:val="es-US"/>
        </w:rPr>
        <w:t>Tirso Román Valenzuela Ávila</w:t>
      </w:r>
      <w:r w:rsidRPr="001C51C8">
        <w:rPr>
          <w:rFonts w:ascii="Cambria" w:hAnsi="Cambria"/>
          <w:sz w:val="20"/>
          <w:szCs w:val="20"/>
          <w:lang w:val="es-US"/>
        </w:rPr>
        <w:t xml:space="preserve">. </w:t>
      </w:r>
      <w:r w:rsidR="00F4786A" w:rsidRPr="001C51C8">
        <w:rPr>
          <w:rFonts w:ascii="Cambria" w:hAnsi="Cambria"/>
          <w:sz w:val="20"/>
          <w:szCs w:val="20"/>
          <w:lang w:val="es-US"/>
        </w:rPr>
        <w:t>Asimismo, la Comisión concluye que el Estado violó los artículos 1 y 6 de la CIPST.</w:t>
      </w:r>
    </w:p>
    <w:p w:rsidR="006573A8" w:rsidRPr="007F3D68" w:rsidRDefault="006573A8" w:rsidP="003346C8">
      <w:pPr>
        <w:pStyle w:val="Heading4"/>
        <w:numPr>
          <w:ilvl w:val="1"/>
          <w:numId w:val="69"/>
        </w:numPr>
        <w:tabs>
          <w:tab w:val="left" w:pos="1260"/>
        </w:tabs>
        <w:ind w:left="720" w:firstLine="0"/>
        <w:rPr>
          <w:rFonts w:asciiTheme="majorHAnsi" w:hAnsiTheme="majorHAnsi"/>
          <w:sz w:val="20"/>
          <w:lang w:val="es-ES_tradnl"/>
        </w:rPr>
      </w:pPr>
      <w:r w:rsidRPr="007F3D68">
        <w:rPr>
          <w:rFonts w:asciiTheme="majorHAnsi" w:hAnsiTheme="majorHAnsi"/>
          <w:sz w:val="20"/>
          <w:lang w:val="es-ES_tradnl"/>
        </w:rPr>
        <w:tab/>
      </w:r>
      <w:r w:rsidR="00963B33" w:rsidRPr="007F3D68">
        <w:rPr>
          <w:rFonts w:asciiTheme="majorHAnsi" w:hAnsiTheme="majorHAnsi"/>
          <w:sz w:val="20"/>
          <w:lang w:val="es-ES_tradnl"/>
        </w:rPr>
        <w:t>Sobre la investigación de la tortura</w:t>
      </w:r>
      <w:r w:rsidR="00550CE7" w:rsidRPr="007F3D68">
        <w:rPr>
          <w:rFonts w:asciiTheme="majorHAnsi" w:hAnsiTheme="majorHAnsi"/>
          <w:sz w:val="20"/>
          <w:lang w:val="es-ES_tradnl"/>
        </w:rPr>
        <w:t xml:space="preserve"> y la regla de exclusión</w:t>
      </w:r>
    </w:p>
    <w:p w:rsidR="00963B33" w:rsidRPr="007F3D68" w:rsidRDefault="00963B33" w:rsidP="00155C73">
      <w:pPr>
        <w:rPr>
          <w:sz w:val="20"/>
          <w:szCs w:val="20"/>
          <w:lang w:val="es-ES_tradnl"/>
        </w:rPr>
      </w:pPr>
    </w:p>
    <w:p w:rsidR="000104F7" w:rsidRPr="007F3D68" w:rsidRDefault="00ED6FAF" w:rsidP="000104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US"/>
        </w:rPr>
      </w:pPr>
      <w:r w:rsidRPr="007F3D68">
        <w:rPr>
          <w:rFonts w:ascii="Cambria" w:hAnsi="Cambria"/>
          <w:sz w:val="20"/>
          <w:szCs w:val="20"/>
          <w:lang w:val="es-US"/>
        </w:rPr>
        <w:t>En el presente informe</w:t>
      </w:r>
      <w:r w:rsidR="00A43BBF" w:rsidRPr="007F3D68">
        <w:rPr>
          <w:rFonts w:ascii="Cambria" w:hAnsi="Cambria"/>
          <w:sz w:val="20"/>
          <w:szCs w:val="20"/>
          <w:lang w:val="es-US"/>
        </w:rPr>
        <w:t xml:space="preserve"> la Comisión </w:t>
      </w:r>
      <w:r w:rsidRPr="007F3D68">
        <w:rPr>
          <w:rFonts w:ascii="Cambria" w:hAnsi="Cambria"/>
          <w:sz w:val="20"/>
          <w:szCs w:val="20"/>
          <w:lang w:val="es-US"/>
        </w:rPr>
        <w:t>ha dado</w:t>
      </w:r>
      <w:r w:rsidR="00A43BBF" w:rsidRPr="007F3D68">
        <w:rPr>
          <w:rFonts w:ascii="Cambria" w:hAnsi="Cambria"/>
          <w:sz w:val="20"/>
          <w:szCs w:val="20"/>
          <w:lang w:val="es-US"/>
        </w:rPr>
        <w:t xml:space="preserve"> por probado que agentes estatales cometieron actos de tortura en contra de</w:t>
      </w:r>
      <w:r w:rsidR="00C37880" w:rsidRPr="007F3D68">
        <w:rPr>
          <w:rFonts w:ascii="Cambria" w:hAnsi="Cambria"/>
          <w:sz w:val="20"/>
          <w:szCs w:val="20"/>
          <w:lang w:val="es-US"/>
        </w:rPr>
        <w:t xml:space="preserve">l señor </w:t>
      </w:r>
      <w:r w:rsidR="00155C73" w:rsidRPr="007F3D68">
        <w:rPr>
          <w:rFonts w:ascii="Cambria" w:hAnsi="Cambria"/>
          <w:sz w:val="20"/>
          <w:szCs w:val="20"/>
          <w:lang w:val="es-US"/>
        </w:rPr>
        <w:t>Valenzuela</w:t>
      </w:r>
      <w:r w:rsidR="00A43BBF" w:rsidRPr="007F3D68">
        <w:rPr>
          <w:rFonts w:ascii="Cambria" w:hAnsi="Cambria"/>
          <w:sz w:val="20"/>
          <w:szCs w:val="20"/>
          <w:lang w:val="es-US"/>
        </w:rPr>
        <w:t xml:space="preserve"> </w:t>
      </w:r>
      <w:r w:rsidR="00CB6873" w:rsidRPr="007F3D68">
        <w:rPr>
          <w:rFonts w:ascii="Cambria" w:hAnsi="Cambria"/>
          <w:sz w:val="20"/>
          <w:szCs w:val="20"/>
          <w:lang w:val="es-US"/>
        </w:rPr>
        <w:t xml:space="preserve">Ávila. </w:t>
      </w:r>
    </w:p>
    <w:p w:rsidR="000104F7" w:rsidRPr="007F3D68" w:rsidRDefault="000104F7" w:rsidP="000104F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hAnsi="Cambria"/>
          <w:sz w:val="20"/>
          <w:szCs w:val="20"/>
          <w:lang w:val="es-US"/>
        </w:rPr>
      </w:pPr>
    </w:p>
    <w:p w:rsidR="003346C8" w:rsidRPr="007F3D68" w:rsidRDefault="00C37880" w:rsidP="003346C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US"/>
        </w:rPr>
      </w:pPr>
      <w:r w:rsidRPr="007F3D68">
        <w:rPr>
          <w:rFonts w:ascii="Cambria" w:hAnsi="Cambria"/>
          <w:sz w:val="20"/>
          <w:szCs w:val="20"/>
          <w:lang w:val="es-US"/>
        </w:rPr>
        <w:t>A</w:t>
      </w:r>
      <w:r w:rsidR="00155C73" w:rsidRPr="007F3D68">
        <w:rPr>
          <w:rFonts w:ascii="Cambria" w:hAnsi="Cambria"/>
          <w:sz w:val="20"/>
          <w:szCs w:val="20"/>
          <w:lang w:val="es-US"/>
        </w:rPr>
        <w:t xml:space="preserve"> la fecha, el Estado guatemalteco no ha dado inicio a investigación alguna sobre estos hechos, no obstante</w:t>
      </w:r>
      <w:r w:rsidRPr="007F3D68">
        <w:rPr>
          <w:rFonts w:ascii="Cambria" w:hAnsi="Cambria"/>
          <w:sz w:val="20"/>
          <w:szCs w:val="20"/>
          <w:lang w:val="es-US"/>
        </w:rPr>
        <w:t xml:space="preserve"> desde la primera ocasión en que </w:t>
      </w:r>
      <w:r w:rsidR="000C5F94" w:rsidRPr="007F3D68">
        <w:rPr>
          <w:rFonts w:ascii="Cambria" w:hAnsi="Cambria"/>
          <w:sz w:val="20"/>
          <w:szCs w:val="20"/>
          <w:lang w:val="es-US"/>
        </w:rPr>
        <w:t>estuvo bajo su custodia, era visible que había sido sometido a múltiples formas de violencia. Además, desde su declaración en el juicio, el señor Valenzuela Ávila declaró haber sido víctima de tortura e individualizó a posibles responsables. En ocasiones posteriores, denunció otras torturas y solicitó, incluso mediante un recurso de exhibición personal, que se le realizara un examen médico para hacer constar las torturas y obtener atención médica. Además de la grave omisión estatal en iniciar una investigación por estos hechos, el Estado también se abstuvo de excluir</w:t>
      </w:r>
      <w:r w:rsidR="006D3155" w:rsidRPr="007F3D68">
        <w:rPr>
          <w:rFonts w:ascii="Cambria" w:hAnsi="Cambria"/>
          <w:sz w:val="20"/>
          <w:szCs w:val="20"/>
          <w:lang w:val="es-US"/>
        </w:rPr>
        <w:t xml:space="preserve"> la confesión del señor Valenzuela Ávila, no obstante, como se dijo, en el juicio denunció la tortura. </w:t>
      </w:r>
    </w:p>
    <w:p w:rsidR="003346C8" w:rsidRPr="007F3D68" w:rsidRDefault="003346C8" w:rsidP="003346C8">
      <w:pPr>
        <w:pStyle w:val="ListParagraph"/>
        <w:rPr>
          <w:sz w:val="20"/>
          <w:szCs w:val="20"/>
          <w:lang w:val="es-US"/>
        </w:rPr>
      </w:pPr>
    </w:p>
    <w:p w:rsidR="00B76577" w:rsidRPr="007F3D68" w:rsidRDefault="00B76577" w:rsidP="003346C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US"/>
        </w:rPr>
      </w:pPr>
      <w:r w:rsidRPr="007F3D68">
        <w:rPr>
          <w:rFonts w:ascii="Cambria" w:hAnsi="Cambria"/>
          <w:sz w:val="20"/>
          <w:szCs w:val="20"/>
          <w:lang w:val="es-US"/>
        </w:rPr>
        <w:t xml:space="preserve">En consecuencia, la CIDH concluye que </w:t>
      </w:r>
      <w:r w:rsidRPr="007F3D68">
        <w:rPr>
          <w:rFonts w:ascii="Cambria" w:eastAsia="Times New Roman" w:hAnsi="Cambria"/>
          <w:sz w:val="20"/>
          <w:szCs w:val="20"/>
          <w:lang w:val="es-ES"/>
        </w:rPr>
        <w:t>el Estado guatemalteco violó los derechos consagrados en los artículos 8.1 y 25.1 de la Convención Americana en relación con las obligaciones establecidas en el artículo 1.1 del mismo instrumento, en perjuicio de</w:t>
      </w:r>
      <w:r w:rsidR="00E927F3" w:rsidRPr="007F3D68">
        <w:rPr>
          <w:rFonts w:ascii="Cambria" w:eastAsia="Times New Roman" w:hAnsi="Cambria"/>
          <w:sz w:val="20"/>
          <w:szCs w:val="20"/>
          <w:lang w:val="es-ES"/>
        </w:rPr>
        <w:t xml:space="preserve"> </w:t>
      </w:r>
      <w:r w:rsidR="00E927F3" w:rsidRPr="007F3D68">
        <w:rPr>
          <w:rFonts w:ascii="Cambria" w:hAnsi="Cambria"/>
          <w:sz w:val="20"/>
          <w:szCs w:val="20"/>
          <w:lang w:val="es-US"/>
        </w:rPr>
        <w:t>Tirso Román Valenzuela Ávila</w:t>
      </w:r>
      <w:r w:rsidRPr="007F3D68">
        <w:rPr>
          <w:rFonts w:ascii="Cambria" w:eastAsia="Times New Roman" w:hAnsi="Cambria"/>
          <w:sz w:val="20"/>
          <w:szCs w:val="20"/>
          <w:lang w:val="es-ES"/>
        </w:rPr>
        <w:t>. Asimismo, la CIDH concluye que el Estado incumplió las obligaciones establecidas en los</w:t>
      </w:r>
      <w:r w:rsidR="006D3155" w:rsidRPr="007F3D68">
        <w:rPr>
          <w:rFonts w:ascii="Cambria" w:eastAsia="Times New Roman" w:hAnsi="Cambria"/>
          <w:sz w:val="20"/>
          <w:szCs w:val="20"/>
          <w:lang w:val="es-ES"/>
        </w:rPr>
        <w:t xml:space="preserve"> </w:t>
      </w:r>
      <w:r w:rsidR="006D3155" w:rsidRPr="008A7803">
        <w:rPr>
          <w:rFonts w:ascii="Cambria" w:eastAsia="Times New Roman" w:hAnsi="Cambria"/>
          <w:sz w:val="20"/>
          <w:szCs w:val="20"/>
          <w:lang w:val="es-ES"/>
        </w:rPr>
        <w:t>artículos 1, 6, 8 y 10 de la CIPST</w:t>
      </w:r>
      <w:r w:rsidR="002E7AEA" w:rsidRPr="008A7803">
        <w:rPr>
          <w:rFonts w:ascii="Cambria" w:eastAsia="Times New Roman" w:hAnsi="Cambria"/>
          <w:sz w:val="20"/>
          <w:szCs w:val="20"/>
          <w:lang w:val="es-ES"/>
        </w:rPr>
        <w:t>.</w:t>
      </w:r>
      <w:r w:rsidR="006D3155" w:rsidRPr="007F3D68">
        <w:rPr>
          <w:rFonts w:ascii="Cambria" w:eastAsia="Times New Roman" w:hAnsi="Cambria"/>
          <w:sz w:val="20"/>
          <w:szCs w:val="20"/>
          <w:lang w:val="es-ES"/>
        </w:rPr>
        <w:t xml:space="preserve"> </w:t>
      </w:r>
      <w:r w:rsidRPr="007F3D68">
        <w:rPr>
          <w:rFonts w:ascii="Cambria" w:eastAsia="Times New Roman" w:hAnsi="Cambria"/>
          <w:sz w:val="20"/>
          <w:szCs w:val="20"/>
          <w:lang w:val="es-ES"/>
        </w:rPr>
        <w:t xml:space="preserve"> </w:t>
      </w:r>
    </w:p>
    <w:p w:rsidR="00BF33FB" w:rsidRDefault="00BF33FB" w:rsidP="00BF33F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rsidR="00A338B7" w:rsidRPr="007F3D68" w:rsidRDefault="00A338B7" w:rsidP="003346C8">
      <w:pPr>
        <w:pStyle w:val="Heading2"/>
        <w:numPr>
          <w:ilvl w:val="0"/>
          <w:numId w:val="77"/>
        </w:numPr>
        <w:ind w:left="1260" w:hanging="540"/>
        <w:rPr>
          <w:b w:val="0"/>
          <w:lang w:val="es-ES"/>
        </w:rPr>
      </w:pPr>
      <w:bookmarkStart w:id="103" w:name="_Toc495479562"/>
      <w:bookmarkStart w:id="104" w:name="_Toc491441654"/>
      <w:r w:rsidRPr="007F3D68">
        <w:rPr>
          <w:lang w:val="es-CO"/>
        </w:rPr>
        <w:t>Derechos a la vida</w:t>
      </w:r>
      <w:r w:rsidRPr="007F3D68">
        <w:rPr>
          <w:vertAlign w:val="superscript"/>
        </w:rPr>
        <w:footnoteReference w:id="128"/>
      </w:r>
      <w:r w:rsidRPr="007F3D68">
        <w:rPr>
          <w:lang w:val="es-CO"/>
        </w:rPr>
        <w:t>, garantías judiciales</w:t>
      </w:r>
      <w:r w:rsidRPr="007F3D68">
        <w:rPr>
          <w:vertAlign w:val="superscript"/>
        </w:rPr>
        <w:footnoteReference w:id="129"/>
      </w:r>
      <w:r w:rsidRPr="007F3D68">
        <w:rPr>
          <w:lang w:val="es-CO"/>
        </w:rPr>
        <w:t xml:space="preserve"> y protección judicial</w:t>
      </w:r>
      <w:r w:rsidRPr="007F3D68">
        <w:rPr>
          <w:vertAlign w:val="superscript"/>
        </w:rPr>
        <w:footnoteReference w:id="130"/>
      </w:r>
      <w:r w:rsidRPr="007F3D68">
        <w:rPr>
          <w:lang w:val="es-CO"/>
        </w:rPr>
        <w:t xml:space="preserve"> respecto de la muerte</w:t>
      </w:r>
      <w:r w:rsidRPr="007F3D68">
        <w:rPr>
          <w:lang w:val="es-ES"/>
        </w:rPr>
        <w:t xml:space="preserve"> de </w:t>
      </w:r>
      <w:r w:rsidR="004976E7" w:rsidRPr="007F3D68">
        <w:rPr>
          <w:lang w:val="es-US"/>
        </w:rPr>
        <w:t>Tirso Román Valenzuela Ávila</w:t>
      </w:r>
      <w:bookmarkEnd w:id="103"/>
      <w:r w:rsidR="004976E7" w:rsidRPr="007F3D68">
        <w:rPr>
          <w:lang w:val="es-ES"/>
        </w:rPr>
        <w:t xml:space="preserve"> </w:t>
      </w:r>
      <w:bookmarkEnd w:id="104"/>
    </w:p>
    <w:p w:rsidR="0016507B" w:rsidRPr="007F3D68" w:rsidRDefault="0016507B" w:rsidP="004E102F">
      <w:pPr>
        <w:pStyle w:val="Heading3"/>
        <w:numPr>
          <w:ilvl w:val="0"/>
          <w:numId w:val="70"/>
        </w:numPr>
        <w:tabs>
          <w:tab w:val="left" w:pos="1260"/>
        </w:tabs>
        <w:ind w:left="1440" w:hanging="720"/>
        <w:rPr>
          <w:color w:val="auto"/>
          <w:sz w:val="20"/>
          <w:szCs w:val="20"/>
          <w:lang w:val="es-CO"/>
        </w:rPr>
      </w:pPr>
      <w:bookmarkStart w:id="105" w:name="_Toc491441655"/>
      <w:bookmarkStart w:id="106" w:name="_Toc495479563"/>
      <w:r w:rsidRPr="007F3D68">
        <w:rPr>
          <w:color w:val="auto"/>
          <w:sz w:val="20"/>
          <w:szCs w:val="20"/>
          <w:lang w:val="es-CO"/>
        </w:rPr>
        <w:t>Consideraciones generales</w:t>
      </w:r>
      <w:bookmarkEnd w:id="105"/>
      <w:bookmarkEnd w:id="106"/>
      <w:r w:rsidRPr="007F3D68">
        <w:rPr>
          <w:color w:val="auto"/>
          <w:sz w:val="20"/>
          <w:szCs w:val="20"/>
          <w:lang w:val="es-CO"/>
        </w:rPr>
        <w:t xml:space="preserve"> </w:t>
      </w:r>
    </w:p>
    <w:p w:rsidR="0016507B" w:rsidRPr="007F3D68" w:rsidRDefault="0016507B" w:rsidP="001650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num" w:pos="1080"/>
          <w:tab w:val="left" w:pos="1440"/>
          <w:tab w:val="num" w:pos="2040"/>
        </w:tabs>
        <w:jc w:val="both"/>
        <w:rPr>
          <w:rFonts w:ascii="Cambria" w:hAnsi="Cambria"/>
          <w:b/>
          <w:sz w:val="20"/>
          <w:szCs w:val="20"/>
          <w:lang w:val="es-CO"/>
        </w:rPr>
      </w:pPr>
      <w:r w:rsidRPr="007F3D68">
        <w:rPr>
          <w:rFonts w:ascii="Cambria" w:hAnsi="Cambria"/>
          <w:b/>
          <w:sz w:val="20"/>
          <w:szCs w:val="20"/>
          <w:lang w:val="es-CO"/>
        </w:rPr>
        <w:t xml:space="preserve"> </w:t>
      </w:r>
    </w:p>
    <w:p w:rsidR="003346C8" w:rsidRPr="007F3D68" w:rsidRDefault="0016507B" w:rsidP="003346C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US"/>
        </w:rPr>
      </w:pPr>
      <w:r w:rsidRPr="007F3D68">
        <w:rPr>
          <w:rFonts w:ascii="Cambria" w:hAnsi="Cambria"/>
          <w:sz w:val="20"/>
          <w:szCs w:val="20"/>
          <w:lang w:val="es-ES_tradnl"/>
        </w:rPr>
        <w:t>La Comisión recuerda que el derecho a la vida es prerrequisito del disfrute de todos los demás derechos humanos y sin cuyo respeto todos los demás carecen de sentido</w:t>
      </w:r>
      <w:r w:rsidRPr="007F3D68">
        <w:rPr>
          <w:rFonts w:ascii="Cambria" w:hAnsi="Cambria"/>
          <w:sz w:val="20"/>
          <w:szCs w:val="20"/>
          <w:vertAlign w:val="superscript"/>
          <w:lang w:val="es-ES_tradnl"/>
        </w:rPr>
        <w:footnoteReference w:id="131"/>
      </w:r>
      <w:r w:rsidRPr="007F3D68">
        <w:rPr>
          <w:rFonts w:ascii="Cambria" w:hAnsi="Cambria"/>
          <w:sz w:val="20"/>
          <w:szCs w:val="20"/>
          <w:lang w:val="es-ES_tradnl"/>
        </w:rPr>
        <w:t xml:space="preserve">. El cumplimiento del artículo 4 en </w:t>
      </w:r>
      <w:r w:rsidRPr="007F3D68">
        <w:rPr>
          <w:rFonts w:ascii="Cambria" w:hAnsi="Cambria"/>
          <w:sz w:val="20"/>
          <w:szCs w:val="20"/>
          <w:lang w:val="es-ES_tradnl"/>
        </w:rPr>
        <w:lastRenderedPageBreak/>
        <w:t>relación con el artículo 1.1 de la Convención Americana no sólo presupone que ninguna persona sea privada de su vida arbitrariamente, sino que además requiere que los Estados tomen todas las medidas apropiadas para proteger y preservar el derecho a la vida, bajo su deber de garantizar el pleno y libre ejercicio de los derechos de todas las personas bajo su jurisdicción</w:t>
      </w:r>
      <w:r w:rsidRPr="007F3D68">
        <w:rPr>
          <w:rFonts w:ascii="Cambria" w:hAnsi="Cambria"/>
          <w:sz w:val="20"/>
          <w:szCs w:val="20"/>
          <w:vertAlign w:val="superscript"/>
          <w:lang w:val="es-ES_tradnl"/>
        </w:rPr>
        <w:footnoteReference w:id="132"/>
      </w:r>
      <w:r w:rsidRPr="007F3D68">
        <w:rPr>
          <w:rFonts w:ascii="Cambria" w:hAnsi="Cambria"/>
          <w:sz w:val="20"/>
          <w:szCs w:val="20"/>
          <w:lang w:val="es-ES_tradnl"/>
        </w:rPr>
        <w:t>. Por su parte, la Corte Europea ha señalado la importancia de que el derecho a la vida sea interpretado y aplicado de manera que sus salvaguardas sean prácticas y efectivas</w:t>
      </w:r>
      <w:r w:rsidRPr="007F3D68">
        <w:rPr>
          <w:rFonts w:ascii="Cambria" w:hAnsi="Cambria"/>
          <w:sz w:val="20"/>
          <w:szCs w:val="20"/>
          <w:vertAlign w:val="superscript"/>
          <w:lang w:val="es-ES_tradnl"/>
        </w:rPr>
        <w:footnoteReference w:id="133"/>
      </w:r>
      <w:r w:rsidRPr="007F3D68">
        <w:rPr>
          <w:rFonts w:ascii="Cambria" w:hAnsi="Cambria"/>
          <w:sz w:val="20"/>
          <w:szCs w:val="20"/>
          <w:lang w:val="es-ES_tradnl"/>
        </w:rPr>
        <w:t>.</w:t>
      </w:r>
    </w:p>
    <w:p w:rsidR="003346C8" w:rsidRPr="007F3D68" w:rsidRDefault="003346C8" w:rsidP="003346C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hAnsi="Cambria"/>
          <w:sz w:val="20"/>
          <w:szCs w:val="20"/>
          <w:lang w:val="es-US"/>
        </w:rPr>
      </w:pPr>
    </w:p>
    <w:p w:rsidR="003346C8" w:rsidRPr="007F3D68" w:rsidRDefault="0016507B" w:rsidP="003346C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US"/>
        </w:rPr>
      </w:pPr>
      <w:r w:rsidRPr="007F3D68">
        <w:rPr>
          <w:rFonts w:ascii="Cambria" w:hAnsi="Cambria"/>
          <w:sz w:val="20"/>
          <w:szCs w:val="20"/>
          <w:lang w:val="es-ES"/>
        </w:rPr>
        <w:t xml:space="preserve">Tanto la Comisión como la Corte Interamericana han indicado que en </w:t>
      </w:r>
      <w:r w:rsidRPr="007F3D68">
        <w:rPr>
          <w:rFonts w:ascii="Cambria" w:hAnsi="Cambria"/>
          <w:spacing w:val="-2"/>
          <w:sz w:val="20"/>
          <w:szCs w:val="20"/>
          <w:lang w:val="es-CR"/>
        </w:rPr>
        <w:t>todo caso de despliegue de la fuerza, en el que agentes estatales hayan producido la muerte o lesiones de una persona, corresponde analizar el uso de la fuerza</w:t>
      </w:r>
      <w:r w:rsidRPr="007F3D68">
        <w:rPr>
          <w:rStyle w:val="FootnoteReference"/>
          <w:rFonts w:ascii="Cambria" w:hAnsi="Cambria"/>
          <w:spacing w:val="-2"/>
          <w:sz w:val="20"/>
          <w:szCs w:val="20"/>
          <w:lang w:val="es-CR"/>
        </w:rPr>
        <w:footnoteReference w:id="134"/>
      </w:r>
      <w:r w:rsidRPr="007F3D68">
        <w:rPr>
          <w:rFonts w:ascii="Cambria" w:hAnsi="Cambria"/>
          <w:spacing w:val="-2"/>
          <w:sz w:val="20"/>
          <w:szCs w:val="20"/>
          <w:lang w:val="es-CR"/>
        </w:rPr>
        <w:t xml:space="preserve">. En ese sentido, la Comisión analizará los hechos del caso tomando en cuenta lo expresado en su </w:t>
      </w:r>
      <w:r w:rsidRPr="007F3D68">
        <w:rPr>
          <w:rFonts w:ascii="Cambria" w:hAnsi="Cambria"/>
          <w:sz w:val="20"/>
          <w:szCs w:val="20"/>
          <w:lang w:val="es-ES"/>
        </w:rPr>
        <w:t>jurisprudencia</w:t>
      </w:r>
      <w:r w:rsidRPr="007F3D68">
        <w:rPr>
          <w:rFonts w:ascii="Cambria" w:hAnsi="Cambria"/>
          <w:spacing w:val="-2"/>
          <w:sz w:val="20"/>
          <w:szCs w:val="20"/>
          <w:lang w:val="es-CR"/>
        </w:rPr>
        <w:t xml:space="preserve"> interamericana sobre el derecho a la vida, en relación con las obligaciones de respeto y garantía y en materia de uso de la fuerza</w:t>
      </w:r>
      <w:r w:rsidRPr="007F3D68">
        <w:rPr>
          <w:rFonts w:ascii="Cambria" w:hAnsi="Cambria"/>
          <w:bCs/>
          <w:spacing w:val="-2"/>
          <w:sz w:val="20"/>
          <w:szCs w:val="20"/>
          <w:lang w:val="es-CR"/>
        </w:rPr>
        <w:t xml:space="preserve">. Para ello la CIDH tomará en cuenta </w:t>
      </w:r>
      <w:r w:rsidRPr="007F3D68">
        <w:rPr>
          <w:rFonts w:ascii="Cambria" w:hAnsi="Cambria"/>
          <w:spacing w:val="-2"/>
          <w:sz w:val="20"/>
          <w:szCs w:val="20"/>
          <w:lang w:val="es-CR"/>
        </w:rPr>
        <w:t xml:space="preserve">diversos instrumentos </w:t>
      </w:r>
      <w:r w:rsidRPr="007F3D68">
        <w:rPr>
          <w:rFonts w:ascii="Cambria" w:hAnsi="Cambria"/>
          <w:sz w:val="20"/>
          <w:szCs w:val="20"/>
          <w:lang w:val="es-ES"/>
        </w:rPr>
        <w:t>internacionales</w:t>
      </w:r>
      <w:r w:rsidRPr="007F3D68">
        <w:rPr>
          <w:rFonts w:ascii="Cambria" w:hAnsi="Cambria"/>
          <w:spacing w:val="-2"/>
          <w:sz w:val="20"/>
          <w:szCs w:val="20"/>
          <w:lang w:val="es-CR"/>
        </w:rPr>
        <w:t xml:space="preserve"> en la materia y, en particular, los Principios Básicos sobre el empleo de la fuerza y de armas de fuego por los funcionarios encargados de hacer cumplir la ley y del Código de conducta para funcionarios encargados de hacer cumplir la ley (en adelante “</w:t>
      </w:r>
      <w:r w:rsidRPr="007F3D68">
        <w:rPr>
          <w:rFonts w:ascii="Cambria" w:hAnsi="Cambria"/>
          <w:sz w:val="20"/>
          <w:szCs w:val="20"/>
          <w:lang w:val="es-CO"/>
        </w:rPr>
        <w:t>Principios sobre empleo de la fuerza” y “Código de Conducta”</w:t>
      </w:r>
      <w:r w:rsidRPr="007F3D68">
        <w:rPr>
          <w:rFonts w:ascii="Cambria" w:hAnsi="Cambria"/>
          <w:spacing w:val="-2"/>
          <w:sz w:val="20"/>
          <w:szCs w:val="20"/>
          <w:lang w:val="es-CR"/>
        </w:rPr>
        <w:t xml:space="preserve"> respectivamente).</w:t>
      </w:r>
    </w:p>
    <w:p w:rsidR="003346C8" w:rsidRPr="007F3D68" w:rsidRDefault="003346C8" w:rsidP="003346C8">
      <w:pPr>
        <w:pStyle w:val="ListParagraph"/>
        <w:rPr>
          <w:rFonts w:cs="Verdana"/>
          <w:sz w:val="20"/>
          <w:szCs w:val="20"/>
          <w:lang w:val="es-CO"/>
        </w:rPr>
      </w:pPr>
    </w:p>
    <w:p w:rsidR="003346C8" w:rsidRPr="007F3D68" w:rsidRDefault="0016507B" w:rsidP="003346C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US"/>
        </w:rPr>
      </w:pPr>
      <w:r w:rsidRPr="007F3D68">
        <w:rPr>
          <w:rFonts w:ascii="Cambria" w:hAnsi="Cambria" w:cs="Verdana"/>
          <w:sz w:val="20"/>
          <w:szCs w:val="20"/>
          <w:lang w:val="es-CO"/>
        </w:rPr>
        <w:t xml:space="preserve">La CIDH ha indicado que si bien </w:t>
      </w:r>
      <w:r w:rsidRPr="007F3D68">
        <w:rPr>
          <w:rFonts w:ascii="Cambria" w:hAnsi="Cambria"/>
          <w:sz w:val="20"/>
          <w:szCs w:val="20"/>
          <w:lang w:val="es-CO"/>
        </w:rPr>
        <w:t>el Estado tiene el derecho y la obligación de brindar protección contra las amenazas y para ello puede utilizar la fuerza letal en ciertas situaciones, dicha facultad debe estar restringida a cuando sea estrictamente necesario y proporcionado. Si no responde a esos principios, el uso de la fuerza letal puede constituir una privación arbitraria de la vida o una ejecución sumaria. Ello equivale a decir que el uso de la fuerza letal tiene necesariamente que estar justificado por el derecho del Estado a proteger la seguridad de todos</w:t>
      </w:r>
      <w:r w:rsidRPr="007F3D68">
        <w:rPr>
          <w:rStyle w:val="FootnoteReference"/>
          <w:rFonts w:ascii="Cambria" w:hAnsi="Cambria"/>
          <w:sz w:val="20"/>
          <w:szCs w:val="20"/>
        </w:rPr>
        <w:footnoteReference w:id="135"/>
      </w:r>
      <w:r w:rsidRPr="007F3D68">
        <w:rPr>
          <w:rFonts w:ascii="Cambria" w:hAnsi="Cambria"/>
          <w:sz w:val="20"/>
          <w:szCs w:val="20"/>
          <w:lang w:val="es-CO"/>
        </w:rPr>
        <w:t xml:space="preserve">. </w:t>
      </w:r>
    </w:p>
    <w:p w:rsidR="003346C8" w:rsidRPr="007F3D68" w:rsidRDefault="003346C8" w:rsidP="003346C8">
      <w:pPr>
        <w:pStyle w:val="ListParagraph"/>
        <w:rPr>
          <w:sz w:val="20"/>
          <w:szCs w:val="20"/>
          <w:lang w:val="es-CO"/>
        </w:rPr>
      </w:pPr>
    </w:p>
    <w:p w:rsidR="0016507B" w:rsidRPr="007F3D68" w:rsidRDefault="0016507B" w:rsidP="003346C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US"/>
        </w:rPr>
      </w:pPr>
      <w:r w:rsidRPr="007F3D68">
        <w:rPr>
          <w:rFonts w:ascii="Cambria" w:hAnsi="Cambria"/>
          <w:sz w:val="20"/>
          <w:szCs w:val="20"/>
          <w:lang w:val="es-CO"/>
        </w:rPr>
        <w:t xml:space="preserve">Cuando se alega que se ha producido una muerte como consecuencia del uso de la fuerza, la Corte </w:t>
      </w:r>
      <w:r w:rsidRPr="007F3D68">
        <w:rPr>
          <w:rFonts w:ascii="Cambria" w:hAnsi="Cambria"/>
          <w:sz w:val="20"/>
          <w:szCs w:val="20"/>
          <w:lang w:val="es-ES"/>
        </w:rPr>
        <w:t>Interamericana</w:t>
      </w:r>
      <w:r w:rsidRPr="007F3D68">
        <w:rPr>
          <w:rFonts w:ascii="Cambria" w:hAnsi="Cambria"/>
          <w:sz w:val="20"/>
          <w:szCs w:val="20"/>
          <w:lang w:val="es-CO"/>
        </w:rPr>
        <w:t xml:space="preserve"> ha establecido reglas claras sobre la carga de la prueba. En palabras del Tribunal: </w:t>
      </w:r>
    </w:p>
    <w:p w:rsidR="0016507B" w:rsidRPr="007F3D68" w:rsidRDefault="0016507B" w:rsidP="0016507B">
      <w:pPr>
        <w:ind w:left="720" w:right="720"/>
        <w:jc w:val="both"/>
        <w:rPr>
          <w:rFonts w:ascii="Cambria" w:hAnsi="Cambria" w:cs="Verdana"/>
          <w:sz w:val="20"/>
          <w:szCs w:val="20"/>
          <w:lang w:val="es-CO"/>
        </w:rPr>
      </w:pPr>
    </w:p>
    <w:p w:rsidR="0016507B" w:rsidRPr="007F3D68" w:rsidRDefault="0016507B" w:rsidP="0016507B">
      <w:pPr>
        <w:ind w:left="720" w:right="720"/>
        <w:jc w:val="both"/>
        <w:rPr>
          <w:rFonts w:ascii="Cambria" w:hAnsi="Cambria" w:cs="Verdana"/>
          <w:sz w:val="20"/>
          <w:szCs w:val="20"/>
          <w:lang w:val="es-CO"/>
        </w:rPr>
      </w:pPr>
      <w:r w:rsidRPr="007F3D68">
        <w:rPr>
          <w:rFonts w:ascii="Cambria" w:hAnsi="Cambria" w:cs="Verdana"/>
          <w:sz w:val="20"/>
          <w:szCs w:val="20"/>
          <w:lang w:val="es-CO"/>
        </w:rPr>
        <w:t>(…) en todo caso de uso de fuerza [por parte de agentes estatales] que haya producido la muerte o lesiones a una o más personas corresponde al Estado la obligación de proveer una explicación satisfactoria y convincente de lo sucedido y desvirtuar las alegaciones sobre su responsabilidad, mediante elementos probatorios adecuados</w:t>
      </w:r>
      <w:r w:rsidRPr="007F3D68">
        <w:rPr>
          <w:rStyle w:val="FootnoteReference"/>
          <w:rFonts w:ascii="Cambria" w:hAnsi="Cambria" w:cs="Verdana"/>
          <w:sz w:val="20"/>
          <w:szCs w:val="20"/>
        </w:rPr>
        <w:footnoteReference w:id="136"/>
      </w:r>
      <w:r w:rsidRPr="007F3D68">
        <w:rPr>
          <w:rFonts w:ascii="Cambria" w:hAnsi="Cambria" w:cs="Verdana"/>
          <w:sz w:val="20"/>
          <w:szCs w:val="20"/>
          <w:lang w:val="es-CO"/>
        </w:rPr>
        <w:t xml:space="preserve">. </w:t>
      </w:r>
    </w:p>
    <w:p w:rsidR="0016507B" w:rsidRPr="007F3D68" w:rsidRDefault="0016507B" w:rsidP="001650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Cambria" w:hAnsi="Cambria"/>
          <w:sz w:val="20"/>
          <w:szCs w:val="20"/>
          <w:lang w:val="es-US"/>
        </w:rPr>
      </w:pPr>
    </w:p>
    <w:p w:rsidR="003346C8" w:rsidRPr="007F3D68" w:rsidRDefault="0016507B" w:rsidP="003346C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CO"/>
        </w:rPr>
      </w:pPr>
      <w:r w:rsidRPr="007F3D68">
        <w:rPr>
          <w:rFonts w:ascii="Cambria" w:hAnsi="Cambria"/>
          <w:sz w:val="20"/>
          <w:szCs w:val="20"/>
          <w:lang w:val="es-CO"/>
        </w:rPr>
        <w:t>En similar sentido, el Comité de Derechos Humanos de la ONU ha indicado que en los casos donde la clarificación de los hechos recaiga exclusivamente sobre el Estado, se pueden llegar a considerar las denuncias como probadas en la ausencia de evidencia o explicación satisfactoria que pueda refutar las pretensiones de los demandantes</w:t>
      </w:r>
      <w:r w:rsidRPr="007F3D68">
        <w:rPr>
          <w:rFonts w:ascii="Cambria" w:hAnsi="Cambria"/>
          <w:sz w:val="20"/>
          <w:szCs w:val="20"/>
          <w:vertAlign w:val="superscript"/>
          <w:lang w:val="es-CO"/>
        </w:rPr>
        <w:footnoteReference w:id="137"/>
      </w:r>
      <w:r w:rsidRPr="007F3D68">
        <w:rPr>
          <w:rFonts w:ascii="Cambria" w:hAnsi="Cambria"/>
          <w:sz w:val="20"/>
          <w:szCs w:val="20"/>
          <w:lang w:val="es-CO"/>
        </w:rPr>
        <w:t xml:space="preserve">. </w:t>
      </w:r>
    </w:p>
    <w:p w:rsidR="003346C8" w:rsidRPr="007F3D68" w:rsidRDefault="003346C8" w:rsidP="003346C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hAnsi="Cambria"/>
          <w:sz w:val="20"/>
          <w:szCs w:val="20"/>
          <w:lang w:val="es-CO"/>
        </w:rPr>
      </w:pPr>
    </w:p>
    <w:p w:rsidR="0016507B" w:rsidRPr="007F3D68" w:rsidRDefault="0016507B" w:rsidP="003346C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CO"/>
        </w:rPr>
      </w:pPr>
      <w:r w:rsidRPr="007F3D68">
        <w:rPr>
          <w:rFonts w:ascii="Cambria" w:hAnsi="Cambria"/>
          <w:sz w:val="20"/>
          <w:szCs w:val="20"/>
          <w:lang w:val="es-ES"/>
        </w:rPr>
        <w:lastRenderedPageBreak/>
        <w:t xml:space="preserve">En ese sentido, para que una explicación sobre el uso letal de la fuerza pueda ser considerada satisfactoria, es necesario que la misma sea el resultado de una investigación compatible con las garantías de independencia, imparcialidad y </w:t>
      </w:r>
      <w:r w:rsidRPr="007F3D68">
        <w:rPr>
          <w:rFonts w:ascii="Cambria" w:hAnsi="Cambria" w:cs="Verdana"/>
          <w:sz w:val="20"/>
          <w:szCs w:val="20"/>
          <w:lang w:val="es-CO"/>
        </w:rPr>
        <w:t>debida</w:t>
      </w:r>
      <w:r w:rsidRPr="007F3D68">
        <w:rPr>
          <w:rFonts w:ascii="Cambria" w:hAnsi="Cambria"/>
          <w:sz w:val="20"/>
          <w:szCs w:val="20"/>
          <w:lang w:val="es-ES"/>
        </w:rPr>
        <w:t xml:space="preserve"> diligencia y, además, se refiera a los elementos que conforme a la jurisprudencia interamericana deben concurrir para justificar dicho uso de la fuerza, a saber:</w:t>
      </w:r>
    </w:p>
    <w:p w:rsidR="0016507B" w:rsidRPr="007F3D68" w:rsidRDefault="0016507B" w:rsidP="0016507B">
      <w:pPr>
        <w:jc w:val="both"/>
        <w:rPr>
          <w:rFonts w:ascii="Cambria" w:hAnsi="Cambria"/>
          <w:sz w:val="20"/>
          <w:szCs w:val="20"/>
          <w:lang w:val="es-ES"/>
        </w:rPr>
      </w:pPr>
    </w:p>
    <w:p w:rsidR="0016507B" w:rsidRPr="007F3D68" w:rsidRDefault="0016507B" w:rsidP="0016507B">
      <w:pPr>
        <w:ind w:left="720" w:right="720"/>
        <w:jc w:val="both"/>
        <w:rPr>
          <w:rFonts w:ascii="Cambria" w:hAnsi="Cambria"/>
          <w:sz w:val="20"/>
          <w:szCs w:val="20"/>
          <w:lang w:val="es-ES"/>
        </w:rPr>
      </w:pPr>
      <w:r w:rsidRPr="007F3D68">
        <w:rPr>
          <w:rFonts w:ascii="Cambria" w:hAnsi="Cambria"/>
          <w:sz w:val="20"/>
          <w:szCs w:val="20"/>
          <w:lang w:val="es-ES"/>
        </w:rPr>
        <w:t>i. Finalidad legítima: el uso de la fuerza debe estar dirigido a lograr un objetivo legítimo. (…)</w:t>
      </w:r>
    </w:p>
    <w:p w:rsidR="0016507B" w:rsidRPr="007F3D68" w:rsidRDefault="0016507B" w:rsidP="0016507B">
      <w:pPr>
        <w:ind w:left="720" w:right="720"/>
        <w:jc w:val="both"/>
        <w:rPr>
          <w:rFonts w:ascii="Cambria" w:hAnsi="Cambria"/>
          <w:sz w:val="20"/>
          <w:szCs w:val="20"/>
          <w:lang w:val="es-ES"/>
        </w:rPr>
      </w:pPr>
    </w:p>
    <w:p w:rsidR="0016507B" w:rsidRPr="007F3D68" w:rsidRDefault="0016507B" w:rsidP="0016507B">
      <w:pPr>
        <w:ind w:left="720" w:right="720"/>
        <w:jc w:val="both"/>
        <w:rPr>
          <w:rFonts w:ascii="Cambria" w:hAnsi="Cambria"/>
          <w:sz w:val="20"/>
          <w:szCs w:val="20"/>
          <w:lang w:val="es-ES"/>
        </w:rPr>
      </w:pPr>
      <w:r w:rsidRPr="007F3D68">
        <w:rPr>
          <w:rFonts w:ascii="Cambria" w:hAnsi="Cambria"/>
          <w:sz w:val="20"/>
          <w:szCs w:val="20"/>
          <w:lang w:val="es-ES"/>
        </w:rPr>
        <w:t>ii. Absoluta necesidad: es preciso verificar si existen otros medios disponibles menos lesivos para tutelar la vida e integridad de la persona o situación que se pretende proteger, de conformidad con las circunstancias del caso. (…)</w:t>
      </w:r>
    </w:p>
    <w:p w:rsidR="0016507B" w:rsidRPr="007F3D68" w:rsidRDefault="0016507B" w:rsidP="0016507B">
      <w:pPr>
        <w:ind w:left="720" w:right="720"/>
        <w:jc w:val="both"/>
        <w:rPr>
          <w:rFonts w:ascii="Cambria" w:hAnsi="Cambria"/>
          <w:sz w:val="20"/>
          <w:szCs w:val="20"/>
          <w:lang w:val="es-ES"/>
        </w:rPr>
      </w:pPr>
    </w:p>
    <w:p w:rsidR="0016507B" w:rsidRPr="007F3D68" w:rsidRDefault="0016507B" w:rsidP="0016507B">
      <w:pPr>
        <w:ind w:left="720" w:right="720"/>
        <w:jc w:val="both"/>
        <w:rPr>
          <w:rFonts w:ascii="Cambria" w:hAnsi="Cambria"/>
          <w:sz w:val="20"/>
          <w:szCs w:val="20"/>
          <w:lang w:val="es-ES"/>
        </w:rPr>
      </w:pPr>
      <w:r w:rsidRPr="007F3D68">
        <w:rPr>
          <w:rFonts w:ascii="Cambria" w:hAnsi="Cambria"/>
          <w:sz w:val="20"/>
          <w:szCs w:val="20"/>
          <w:lang w:val="es-ES"/>
        </w:rPr>
        <w:t>iii. Proporcionalidad: el nivel de fuerza utilizado debe ser acorde con el nivel de resistencia ofrecido, lo cual implica un equilibrio entre la situación a la que se enfrenta el funcionario y su respuesta, considerando el daño potencial que podría ser ocasionado</w:t>
      </w:r>
      <w:r w:rsidRPr="007F3D68">
        <w:rPr>
          <w:rStyle w:val="FootnoteReference"/>
          <w:rFonts w:ascii="Cambria" w:hAnsi="Cambria"/>
          <w:sz w:val="20"/>
          <w:szCs w:val="20"/>
        </w:rPr>
        <w:footnoteReference w:id="138"/>
      </w:r>
      <w:r w:rsidRPr="007F3D68">
        <w:rPr>
          <w:rFonts w:ascii="Cambria" w:hAnsi="Cambria"/>
          <w:sz w:val="20"/>
          <w:szCs w:val="20"/>
          <w:lang w:val="es-ES"/>
        </w:rPr>
        <w:t>.</w:t>
      </w:r>
    </w:p>
    <w:p w:rsidR="0016507B" w:rsidRPr="007F3D68" w:rsidRDefault="0016507B" w:rsidP="0016507B">
      <w:pPr>
        <w:pStyle w:val="ListParagraph"/>
        <w:ind w:left="0"/>
        <w:jc w:val="both"/>
        <w:rPr>
          <w:rFonts w:cs="Verdana"/>
          <w:sz w:val="20"/>
          <w:szCs w:val="20"/>
          <w:lang w:val="es-ES_tradnl"/>
        </w:rPr>
      </w:pPr>
    </w:p>
    <w:p w:rsidR="003346C8" w:rsidRPr="007F3D68" w:rsidRDefault="0016507B" w:rsidP="003346C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
        </w:rPr>
      </w:pPr>
      <w:r w:rsidRPr="007F3D68">
        <w:rPr>
          <w:rFonts w:ascii="Cambria" w:hAnsi="Cambria"/>
          <w:sz w:val="20"/>
          <w:szCs w:val="20"/>
          <w:lang w:val="es-ES"/>
        </w:rPr>
        <w:t>Con base en lo señalado, la finalidad legítima, absoluta necesidad y proporcionalidad del uso de la fuerza deben ser demostradas por el Estado a la luz de las circunstancias particulares del caso concreto. Asimismo, como consecuencia de dichos principios, la Comisión recuerda que los agentes estatales que intervienen en operativos deben aplicar criterios de “uso diferenciado y progresivo de la fuerza, determinando el grado de cooperación, resistencia o agresión por parte del sujeto al cual se pretende intervenir, y con ello, emplear tácticas de negociación, control o uso de la fuerza según corresponda”</w:t>
      </w:r>
      <w:r w:rsidRPr="007F3D68">
        <w:rPr>
          <w:rFonts w:ascii="Cambria" w:hAnsi="Cambria"/>
          <w:sz w:val="20"/>
          <w:szCs w:val="20"/>
          <w:vertAlign w:val="superscript"/>
          <w:lang w:val="es-ES"/>
        </w:rPr>
        <w:footnoteReference w:id="139"/>
      </w:r>
      <w:r w:rsidRPr="007F3D68">
        <w:rPr>
          <w:rFonts w:ascii="Cambria" w:hAnsi="Cambria"/>
          <w:sz w:val="20"/>
          <w:szCs w:val="20"/>
          <w:lang w:val="es-ES"/>
        </w:rPr>
        <w:t>.</w:t>
      </w:r>
    </w:p>
    <w:p w:rsidR="003346C8" w:rsidRPr="007F3D68" w:rsidRDefault="003346C8" w:rsidP="003346C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hAnsi="Cambria"/>
          <w:sz w:val="20"/>
          <w:szCs w:val="20"/>
          <w:lang w:val="es-ES"/>
        </w:rPr>
      </w:pPr>
    </w:p>
    <w:p w:rsidR="003346C8" w:rsidRPr="007F3D68" w:rsidRDefault="0016507B" w:rsidP="003346C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
        </w:rPr>
      </w:pPr>
      <w:r w:rsidRPr="007F3D68">
        <w:rPr>
          <w:rFonts w:ascii="Cambria" w:hAnsi="Cambria"/>
          <w:sz w:val="20"/>
          <w:szCs w:val="20"/>
          <w:lang w:val="es-ES_tradnl"/>
        </w:rPr>
        <w:t xml:space="preserve">Cuando se ha producido la muerte o la afectación a la integridad de una persona en circunstancias violentas, la Comisión y la Corte Interamericana han sostenido que de los artículos 8 (garantías judiciales) y 25 (protección judicial) de la Convención Americana surge la obligación de realizar una investigación ex </w:t>
      </w:r>
      <w:proofErr w:type="spellStart"/>
      <w:r w:rsidRPr="007F3D68">
        <w:rPr>
          <w:rFonts w:ascii="Cambria" w:hAnsi="Cambria"/>
          <w:sz w:val="20"/>
          <w:szCs w:val="20"/>
          <w:lang w:val="es-ES_tradnl"/>
        </w:rPr>
        <w:t>officio</w:t>
      </w:r>
      <w:proofErr w:type="spellEnd"/>
      <w:r w:rsidRPr="007F3D68">
        <w:rPr>
          <w:rFonts w:ascii="Cambria" w:hAnsi="Cambria"/>
          <w:sz w:val="20"/>
          <w:szCs w:val="20"/>
          <w:lang w:val="es-ES_tradnl"/>
        </w:rPr>
        <w:t>, sin dilación, seria, imparcial y efectiva, como un elemento fundamental y condicionante para la protección de los derechos afectados</w:t>
      </w:r>
      <w:r w:rsidRPr="007F3D68">
        <w:rPr>
          <w:rFonts w:ascii="Cambria" w:hAnsi="Cambria"/>
          <w:sz w:val="20"/>
          <w:szCs w:val="20"/>
          <w:vertAlign w:val="superscript"/>
          <w:lang w:val="es-ES_tradnl"/>
        </w:rPr>
        <w:footnoteReference w:id="140"/>
      </w:r>
      <w:r w:rsidRPr="007F3D68">
        <w:rPr>
          <w:rFonts w:ascii="Cambria" w:hAnsi="Cambria"/>
          <w:sz w:val="20"/>
          <w:szCs w:val="20"/>
          <w:lang w:val="es-ES_tradnl"/>
        </w:rPr>
        <w:t xml:space="preserve">. </w:t>
      </w:r>
    </w:p>
    <w:p w:rsidR="003346C8" w:rsidRPr="007F3D68" w:rsidRDefault="003346C8" w:rsidP="003346C8">
      <w:pPr>
        <w:pStyle w:val="ListParagraph"/>
        <w:rPr>
          <w:sz w:val="20"/>
          <w:szCs w:val="20"/>
          <w:lang w:val="es-MX"/>
        </w:rPr>
      </w:pPr>
    </w:p>
    <w:p w:rsidR="003346C8" w:rsidRPr="007F3D68" w:rsidRDefault="0016507B" w:rsidP="003346C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
        </w:rPr>
      </w:pPr>
      <w:r w:rsidRPr="007F3D68">
        <w:rPr>
          <w:rFonts w:ascii="Cambria" w:hAnsi="Cambria"/>
          <w:sz w:val="20"/>
          <w:szCs w:val="20"/>
          <w:lang w:val="es-MX"/>
        </w:rPr>
        <w:t xml:space="preserve">En </w:t>
      </w:r>
      <w:r w:rsidRPr="007F3D68">
        <w:rPr>
          <w:rFonts w:ascii="Cambria" w:hAnsi="Cambria"/>
          <w:sz w:val="20"/>
          <w:szCs w:val="20"/>
          <w:lang w:val="es-ES_tradnl"/>
        </w:rPr>
        <w:t xml:space="preserve">casos en los que la muerte pudo haber sido consecuencia del uso letal de la fuerza por parte de agentes estatales, la Corte Europea ha señalado que debe realizarse el “más cuidadoso escrutinio” tomando en </w:t>
      </w:r>
      <w:r w:rsidRPr="007F3D68">
        <w:rPr>
          <w:rFonts w:ascii="Cambria" w:hAnsi="Cambria"/>
          <w:sz w:val="20"/>
          <w:szCs w:val="20"/>
          <w:lang w:val="es-MX"/>
        </w:rPr>
        <w:t>consideración</w:t>
      </w:r>
      <w:r w:rsidRPr="007F3D68">
        <w:rPr>
          <w:rFonts w:ascii="Cambria" w:hAnsi="Cambria"/>
          <w:sz w:val="20"/>
          <w:szCs w:val="20"/>
          <w:lang w:val="es-ES_tradnl"/>
        </w:rPr>
        <w:t xml:space="preserve"> no “</w:t>
      </w:r>
      <w:r w:rsidRPr="007F3D68">
        <w:rPr>
          <w:rFonts w:ascii="Cambria" w:hAnsi="Cambria"/>
          <w:sz w:val="20"/>
          <w:szCs w:val="20"/>
          <w:lang w:val="es-MX"/>
        </w:rPr>
        <w:t>sólo</w:t>
      </w:r>
      <w:r w:rsidRPr="007F3D68">
        <w:rPr>
          <w:rFonts w:ascii="Cambria" w:hAnsi="Cambria"/>
          <w:sz w:val="20"/>
          <w:szCs w:val="20"/>
          <w:lang w:val="es-ES_tradnl"/>
        </w:rPr>
        <w:t xml:space="preserve"> las acciones de los agentes del Estado quienes ejercieron la </w:t>
      </w:r>
      <w:r w:rsidRPr="007F3D68">
        <w:rPr>
          <w:rFonts w:ascii="Cambria" w:hAnsi="Cambria"/>
          <w:sz w:val="20"/>
          <w:szCs w:val="20"/>
          <w:lang w:val="es-ES"/>
        </w:rPr>
        <w:t>fuerza</w:t>
      </w:r>
      <w:r w:rsidRPr="007F3D68">
        <w:rPr>
          <w:rFonts w:ascii="Cambria" w:hAnsi="Cambria"/>
          <w:sz w:val="20"/>
          <w:szCs w:val="20"/>
          <w:lang w:val="es-ES_tradnl"/>
        </w:rPr>
        <w:t>, sino todas las circunstancias respectivas incluyendo materias tales como la planificación y control de las acciones bajo examen”</w:t>
      </w:r>
      <w:r w:rsidRPr="007F3D68">
        <w:rPr>
          <w:rStyle w:val="FootnoteReference"/>
          <w:rFonts w:ascii="Cambria" w:hAnsi="Cambria"/>
          <w:sz w:val="20"/>
          <w:szCs w:val="20"/>
        </w:rPr>
        <w:footnoteReference w:id="141"/>
      </w:r>
      <w:r w:rsidRPr="007F3D68">
        <w:rPr>
          <w:rFonts w:ascii="Cambria" w:hAnsi="Cambria"/>
          <w:sz w:val="20"/>
          <w:szCs w:val="20"/>
          <w:lang w:val="es-ES_tradnl"/>
        </w:rPr>
        <w:t>. De esta forma, “cualquier deficiencia en la investigación que socave su capacidad para establecer la causa de la muerte o a la persona responsable arriesgará el cumplimiento de esta norma”</w:t>
      </w:r>
      <w:r w:rsidRPr="007F3D68">
        <w:rPr>
          <w:rStyle w:val="FootnoteReference"/>
          <w:rFonts w:ascii="Cambria" w:hAnsi="Cambria"/>
          <w:sz w:val="20"/>
          <w:szCs w:val="20"/>
        </w:rPr>
        <w:footnoteReference w:id="142"/>
      </w:r>
      <w:r w:rsidRPr="007F3D68">
        <w:rPr>
          <w:rFonts w:ascii="Cambria" w:hAnsi="Cambria"/>
          <w:sz w:val="20"/>
          <w:szCs w:val="20"/>
          <w:lang w:val="es-ES_tradnl"/>
        </w:rPr>
        <w:t>.</w:t>
      </w:r>
    </w:p>
    <w:p w:rsidR="003346C8" w:rsidRPr="007F3D68" w:rsidRDefault="003346C8" w:rsidP="003346C8">
      <w:pPr>
        <w:pStyle w:val="ListParagraph"/>
        <w:rPr>
          <w:sz w:val="20"/>
          <w:szCs w:val="20"/>
          <w:lang w:val="es-ES"/>
        </w:rPr>
      </w:pPr>
    </w:p>
    <w:p w:rsidR="003346C8" w:rsidRPr="007F3D68" w:rsidRDefault="0016507B" w:rsidP="003346C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
        </w:rPr>
      </w:pPr>
      <w:r w:rsidRPr="007F3D68">
        <w:rPr>
          <w:rFonts w:ascii="Cambria" w:hAnsi="Cambria"/>
          <w:sz w:val="20"/>
          <w:szCs w:val="20"/>
          <w:lang w:val="es-ES"/>
        </w:rPr>
        <w:t xml:space="preserve">Con respecto al deber de debida diligencia en investigaciones de supuestas ejecuciones extrajudiciales, la Corte Interamericana ha establecido “cada acto estatal que conforma el proceso investigativo, así como la </w:t>
      </w:r>
      <w:r w:rsidRPr="007F3D68">
        <w:rPr>
          <w:rFonts w:ascii="Cambria" w:hAnsi="Cambria"/>
          <w:sz w:val="20"/>
          <w:szCs w:val="20"/>
          <w:lang w:val="es-ES_tradnl"/>
        </w:rPr>
        <w:t>investigación</w:t>
      </w:r>
      <w:r w:rsidRPr="007F3D68">
        <w:rPr>
          <w:rFonts w:ascii="Cambria" w:hAnsi="Cambria"/>
          <w:sz w:val="20"/>
          <w:szCs w:val="20"/>
          <w:lang w:val="es-ES"/>
        </w:rPr>
        <w:t xml:space="preserve"> en su totalidad, debe estar orientado hacia una finalidad específica, la determinación de la verdad y la investigación, persecución, captura, enjuiciamiento, y en su caso, la sanción de los responsables de los hechos</w:t>
      </w:r>
      <w:r w:rsidRPr="007F3D68">
        <w:rPr>
          <w:rStyle w:val="FootnoteReference"/>
          <w:rFonts w:ascii="Cambria" w:hAnsi="Cambria"/>
          <w:sz w:val="20"/>
          <w:szCs w:val="20"/>
        </w:rPr>
        <w:footnoteReference w:id="143"/>
      </w:r>
      <w:r w:rsidRPr="007F3D68">
        <w:rPr>
          <w:rFonts w:ascii="Cambria" w:hAnsi="Cambria" w:cs="Arial"/>
          <w:sz w:val="20"/>
          <w:szCs w:val="20"/>
          <w:lang w:val="es-VE"/>
        </w:rPr>
        <w:t>.</w:t>
      </w:r>
      <w:r w:rsidRPr="007F3D68">
        <w:rPr>
          <w:rFonts w:ascii="Cambria" w:hAnsi="Cambria"/>
          <w:sz w:val="20"/>
          <w:szCs w:val="20"/>
          <w:lang w:val="es-VE"/>
        </w:rPr>
        <w:t xml:space="preserve"> A ese respecto, el Estado tiene que demostrar que ha realizado una </w:t>
      </w:r>
      <w:r w:rsidRPr="007F3D68">
        <w:rPr>
          <w:rFonts w:ascii="Cambria" w:hAnsi="Cambria"/>
          <w:sz w:val="20"/>
          <w:szCs w:val="20"/>
          <w:lang w:val="es-VE"/>
        </w:rPr>
        <w:lastRenderedPageBreak/>
        <w:t>investigación inmediata, exhaustiva, seria e imparcial</w:t>
      </w:r>
      <w:r w:rsidRPr="007F3D68">
        <w:rPr>
          <w:rStyle w:val="FootnoteReference"/>
          <w:rFonts w:ascii="Cambria" w:hAnsi="Cambria"/>
          <w:sz w:val="20"/>
          <w:szCs w:val="20"/>
          <w:lang w:val="es-ES"/>
        </w:rPr>
        <w:footnoteReference w:id="144"/>
      </w:r>
      <w:r w:rsidRPr="007F3D68">
        <w:rPr>
          <w:rFonts w:ascii="Cambria" w:hAnsi="Cambria"/>
          <w:sz w:val="20"/>
          <w:szCs w:val="20"/>
          <w:lang w:val="es-VE"/>
        </w:rPr>
        <w:t>, la cual debe estar orientada a explorar todas las líneas investigativas posibles</w:t>
      </w:r>
      <w:r w:rsidRPr="007F3D68">
        <w:rPr>
          <w:rStyle w:val="FootnoteReference"/>
          <w:rFonts w:ascii="Cambria" w:hAnsi="Cambria" w:cs="Arial"/>
          <w:sz w:val="20"/>
          <w:szCs w:val="20"/>
          <w:lang w:val="es-ES"/>
        </w:rPr>
        <w:footnoteReference w:id="145"/>
      </w:r>
      <w:r w:rsidRPr="007F3D68">
        <w:rPr>
          <w:rFonts w:ascii="Cambria" w:hAnsi="Cambria"/>
          <w:sz w:val="20"/>
          <w:szCs w:val="20"/>
          <w:lang w:val="es-VE"/>
        </w:rPr>
        <w:t>. El Estado puede ser responsable por no “ordenar, practicar o valorar pruebas” que pueden ser fundamentales para el debido esclarecimiento de los hechos”</w:t>
      </w:r>
      <w:r w:rsidRPr="007F3D68">
        <w:rPr>
          <w:rStyle w:val="FootnoteReference"/>
          <w:rFonts w:ascii="Cambria" w:hAnsi="Cambria"/>
          <w:sz w:val="20"/>
          <w:szCs w:val="20"/>
          <w:lang w:val="es-CO"/>
        </w:rPr>
        <w:footnoteReference w:id="146"/>
      </w:r>
      <w:r w:rsidRPr="007F3D68">
        <w:rPr>
          <w:rFonts w:ascii="Cambria" w:hAnsi="Cambria"/>
          <w:sz w:val="20"/>
          <w:szCs w:val="20"/>
          <w:lang w:val="es-VE"/>
        </w:rPr>
        <w:t xml:space="preserve">. </w:t>
      </w:r>
    </w:p>
    <w:p w:rsidR="003346C8" w:rsidRPr="007F3D68" w:rsidRDefault="003346C8" w:rsidP="003346C8">
      <w:pPr>
        <w:pStyle w:val="ListParagraph"/>
        <w:rPr>
          <w:sz w:val="20"/>
          <w:szCs w:val="20"/>
          <w:lang w:val="es-VE"/>
        </w:rPr>
      </w:pPr>
    </w:p>
    <w:p w:rsidR="0016507B" w:rsidRPr="007F3D68" w:rsidRDefault="0016507B" w:rsidP="003346C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
        </w:rPr>
      </w:pPr>
      <w:r w:rsidRPr="007F3D68">
        <w:rPr>
          <w:rFonts w:ascii="Cambria" w:hAnsi="Cambria"/>
          <w:sz w:val="20"/>
          <w:szCs w:val="20"/>
          <w:lang w:val="es-VE"/>
        </w:rPr>
        <w:t>Asimismo, basado en el Manual sobre la Prevención e Investigación Efectiva de Ejecuciones Extrajudiciales, Arbitrarias y Sumarias de Naciones Unidas, tanto la Comisión como la Corte Interamericana ha</w:t>
      </w:r>
      <w:r w:rsidR="009775EF" w:rsidRPr="007F3D68">
        <w:rPr>
          <w:rFonts w:ascii="Cambria" w:hAnsi="Cambria"/>
          <w:sz w:val="20"/>
          <w:szCs w:val="20"/>
          <w:lang w:val="es-VE"/>
        </w:rPr>
        <w:t>n</w:t>
      </w:r>
      <w:r w:rsidRPr="007F3D68">
        <w:rPr>
          <w:rFonts w:ascii="Cambria" w:hAnsi="Cambria"/>
          <w:sz w:val="20"/>
          <w:szCs w:val="20"/>
          <w:lang w:val="es-VE"/>
        </w:rPr>
        <w:t xml:space="preserve"> especificado los principios rectores que es preciso observar cuando se considera que una muerte pudo deberse a una ejecución extrajudicial. Las autoridades estatales que conducen una investigación deben intentar como mínimo, inter </w:t>
      </w:r>
      <w:proofErr w:type="spellStart"/>
      <w:r w:rsidRPr="007F3D68">
        <w:rPr>
          <w:rFonts w:ascii="Cambria" w:hAnsi="Cambria"/>
          <w:sz w:val="20"/>
          <w:szCs w:val="20"/>
          <w:lang w:val="es-VE"/>
        </w:rPr>
        <w:t>alia</w:t>
      </w:r>
      <w:proofErr w:type="spellEnd"/>
      <w:r w:rsidRPr="007F3D68">
        <w:rPr>
          <w:rFonts w:ascii="Cambria" w:hAnsi="Cambria"/>
          <w:sz w:val="20"/>
          <w:szCs w:val="20"/>
          <w:lang w:val="es-VE"/>
        </w:rPr>
        <w:t>: a) identificar a la víctima; b) recuperar y preservar el material probatorio relacionado con la muerte, con el fin de ayudar en cualquier potencial investigación penal de los responsables; c) identificar posibles testigos y obtener sus declaraciones en relación con la muerte que se investiga; d) determinar la causa, forma, lugar y momento de la muerte, así como cualquier patrón o práctica que pueda haber causado la muerte; y e) distinguir entre muerte natural, muerte accidental, suicidio y homicidio. Además, es necesario investigar exhaustivamente la escena del crimen, se deben realizar autopsias y análisis de restos humanos, en forma rigurosa, por profesionales competentes y empleando los procedimientos más apropiados</w:t>
      </w:r>
      <w:r w:rsidRPr="007F3D68">
        <w:rPr>
          <w:rStyle w:val="FootnoteReference"/>
          <w:rFonts w:ascii="Cambria" w:hAnsi="Cambria"/>
          <w:sz w:val="20"/>
          <w:szCs w:val="20"/>
          <w:lang w:val="es-VE"/>
        </w:rPr>
        <w:footnoteReference w:id="147"/>
      </w:r>
      <w:r w:rsidRPr="007F3D68">
        <w:rPr>
          <w:rFonts w:ascii="Cambria" w:hAnsi="Cambria"/>
          <w:sz w:val="20"/>
          <w:szCs w:val="20"/>
          <w:lang w:val="es-VE"/>
        </w:rPr>
        <w:t>.</w:t>
      </w:r>
    </w:p>
    <w:p w:rsidR="00C52076" w:rsidRPr="007F3D68" w:rsidRDefault="00C52076" w:rsidP="004E102F">
      <w:pPr>
        <w:pStyle w:val="Heading3"/>
        <w:numPr>
          <w:ilvl w:val="0"/>
          <w:numId w:val="70"/>
        </w:numPr>
        <w:tabs>
          <w:tab w:val="left" w:pos="1260"/>
        </w:tabs>
        <w:ind w:left="1440" w:hanging="720"/>
        <w:rPr>
          <w:color w:val="auto"/>
          <w:sz w:val="20"/>
          <w:szCs w:val="20"/>
          <w:lang w:val="es-CO"/>
        </w:rPr>
      </w:pPr>
      <w:bookmarkStart w:id="107" w:name="_Toc491441656"/>
      <w:bookmarkStart w:id="108" w:name="_Toc495479564"/>
      <w:r w:rsidRPr="007F3D68">
        <w:rPr>
          <w:color w:val="auto"/>
          <w:sz w:val="20"/>
          <w:szCs w:val="20"/>
          <w:lang w:val="es-CO"/>
        </w:rPr>
        <w:t xml:space="preserve">Análisis de si la muerte del señor </w:t>
      </w:r>
      <w:r w:rsidR="00443954" w:rsidRPr="007F3D68">
        <w:rPr>
          <w:color w:val="auto"/>
          <w:sz w:val="20"/>
          <w:szCs w:val="20"/>
          <w:lang w:val="es-CO"/>
        </w:rPr>
        <w:t xml:space="preserve">Valenzuela Ávila </w:t>
      </w:r>
      <w:r w:rsidRPr="007F3D68">
        <w:rPr>
          <w:color w:val="auto"/>
          <w:sz w:val="20"/>
          <w:szCs w:val="20"/>
          <w:lang w:val="es-CO"/>
        </w:rPr>
        <w:t>fue una ejecución extrajudicial</w:t>
      </w:r>
      <w:bookmarkEnd w:id="107"/>
      <w:bookmarkEnd w:id="108"/>
    </w:p>
    <w:p w:rsidR="00C52076" w:rsidRPr="007F3D68" w:rsidRDefault="00C52076" w:rsidP="0012011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rsidR="003346C8" w:rsidRPr="007F3D68" w:rsidRDefault="00560355" w:rsidP="003346C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_tradnl"/>
        </w:rPr>
      </w:pPr>
      <w:r w:rsidRPr="007F3D68">
        <w:rPr>
          <w:rFonts w:ascii="Cambria" w:hAnsi="Cambria"/>
          <w:sz w:val="20"/>
          <w:szCs w:val="20"/>
          <w:lang w:val="es-ES_tradnl"/>
        </w:rPr>
        <w:t>C</w:t>
      </w:r>
      <w:r w:rsidR="00CB401E" w:rsidRPr="007F3D68">
        <w:rPr>
          <w:rFonts w:ascii="Cambria" w:hAnsi="Cambria"/>
          <w:sz w:val="20"/>
          <w:szCs w:val="20"/>
          <w:lang w:val="es-ES_tradnl"/>
        </w:rPr>
        <w:t xml:space="preserve">omo se indicó en </w:t>
      </w:r>
      <w:r w:rsidRPr="007F3D68">
        <w:rPr>
          <w:rFonts w:ascii="Cambria" w:hAnsi="Cambria"/>
          <w:sz w:val="20"/>
          <w:szCs w:val="20"/>
          <w:lang w:val="es-ES_tradnl"/>
        </w:rPr>
        <w:t xml:space="preserve">los </w:t>
      </w:r>
      <w:r w:rsidR="00F41AFE" w:rsidRPr="007F3D68">
        <w:rPr>
          <w:rFonts w:ascii="Cambria" w:hAnsi="Cambria"/>
          <w:sz w:val="20"/>
          <w:szCs w:val="20"/>
          <w:lang w:val="es-ES_tradnl"/>
        </w:rPr>
        <w:t>hechos probados,</w:t>
      </w:r>
      <w:r w:rsidR="00B13B13" w:rsidRPr="007F3D68">
        <w:rPr>
          <w:rFonts w:ascii="Cambria" w:hAnsi="Cambria"/>
          <w:sz w:val="20"/>
          <w:szCs w:val="20"/>
          <w:lang w:val="es-ES_tradnl"/>
        </w:rPr>
        <w:t xml:space="preserve"> el 8 de diciembre de 2006 murió violentamente por arma de fuego el señor Valenzuela Ávila, un poco más de un año después de su fuga.</w:t>
      </w:r>
      <w:r w:rsidR="004A4616" w:rsidRPr="007F3D68">
        <w:rPr>
          <w:rFonts w:ascii="Cambria" w:hAnsi="Cambria"/>
          <w:sz w:val="20"/>
          <w:szCs w:val="20"/>
          <w:lang w:val="es-ES_tradnl"/>
        </w:rPr>
        <w:t xml:space="preserve"> </w:t>
      </w:r>
      <w:r w:rsidR="003D1347" w:rsidRPr="007F3D68">
        <w:rPr>
          <w:rFonts w:ascii="Cambria" w:hAnsi="Cambria"/>
          <w:sz w:val="20"/>
          <w:szCs w:val="20"/>
          <w:lang w:val="es-VE"/>
        </w:rPr>
        <w:t>Los peticionarios alegaron que el señor Valenzuela fue ejecutado extrajudicialmente en el marco del “Plan Gavilán”</w:t>
      </w:r>
      <w:r w:rsidR="00686774" w:rsidRPr="007F3D68">
        <w:rPr>
          <w:rFonts w:ascii="Cambria" w:hAnsi="Cambria"/>
          <w:sz w:val="20"/>
          <w:szCs w:val="20"/>
          <w:lang w:val="es-VE"/>
        </w:rPr>
        <w:t xml:space="preserve">. </w:t>
      </w:r>
      <w:r w:rsidR="00190196" w:rsidRPr="007F3D68">
        <w:rPr>
          <w:rFonts w:ascii="Cambria" w:hAnsi="Cambria"/>
          <w:sz w:val="20"/>
          <w:szCs w:val="20"/>
          <w:lang w:val="es-ES_tradnl"/>
        </w:rPr>
        <w:t xml:space="preserve">El Estado, por su parte, </w:t>
      </w:r>
      <w:r w:rsidR="0090099B" w:rsidRPr="007F3D68">
        <w:rPr>
          <w:rFonts w:ascii="Cambria" w:hAnsi="Cambria"/>
          <w:sz w:val="20"/>
          <w:szCs w:val="20"/>
          <w:lang w:val="es-ES_tradnl"/>
        </w:rPr>
        <w:t xml:space="preserve">se limitó a indicar </w:t>
      </w:r>
      <w:r w:rsidR="00EB183A" w:rsidRPr="007F3D68">
        <w:rPr>
          <w:rFonts w:ascii="Cambria" w:hAnsi="Cambria"/>
          <w:sz w:val="20"/>
          <w:szCs w:val="20"/>
          <w:lang w:val="es-ES_tradnl"/>
        </w:rPr>
        <w:t>que no se trató de una ejecución extrajudicial</w:t>
      </w:r>
      <w:r w:rsidR="00447A0A" w:rsidRPr="007F3D68">
        <w:rPr>
          <w:rFonts w:ascii="Cambria" w:hAnsi="Cambria"/>
          <w:sz w:val="20"/>
          <w:szCs w:val="20"/>
          <w:lang w:val="es-ES_tradnl"/>
        </w:rPr>
        <w:t xml:space="preserve">. </w:t>
      </w:r>
    </w:p>
    <w:p w:rsidR="003346C8" w:rsidRPr="007F3D68" w:rsidRDefault="003346C8" w:rsidP="003346C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hAnsi="Cambria"/>
          <w:sz w:val="20"/>
          <w:szCs w:val="20"/>
          <w:lang w:val="es-ES_tradnl"/>
        </w:rPr>
      </w:pPr>
    </w:p>
    <w:p w:rsidR="003346C8" w:rsidRPr="007F3D68" w:rsidRDefault="00994B40" w:rsidP="003346C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_tradnl"/>
        </w:rPr>
      </w:pPr>
      <w:r w:rsidRPr="007F3D68">
        <w:rPr>
          <w:rFonts w:asciiTheme="majorHAnsi" w:hAnsiTheme="majorHAnsi"/>
          <w:sz w:val="20"/>
          <w:szCs w:val="20"/>
          <w:lang w:val="es-VE"/>
        </w:rPr>
        <w:t xml:space="preserve">En primer lugar, la Comisión recuerda que </w:t>
      </w:r>
      <w:r w:rsidR="00686774" w:rsidRPr="007F3D68">
        <w:rPr>
          <w:rFonts w:asciiTheme="majorHAnsi" w:hAnsiTheme="majorHAnsi"/>
          <w:sz w:val="20"/>
          <w:szCs w:val="20"/>
          <w:lang w:val="es-VE"/>
        </w:rPr>
        <w:t>e</w:t>
      </w:r>
      <w:r w:rsidRPr="007F3D68">
        <w:rPr>
          <w:rFonts w:asciiTheme="majorHAnsi" w:hAnsiTheme="majorHAnsi"/>
          <w:sz w:val="20"/>
          <w:szCs w:val="20"/>
          <w:lang w:val="es-VE"/>
        </w:rPr>
        <w:t>l “Plan Gavilán”</w:t>
      </w:r>
      <w:r w:rsidR="00686774" w:rsidRPr="007F3D68">
        <w:rPr>
          <w:rFonts w:asciiTheme="majorHAnsi" w:hAnsiTheme="majorHAnsi"/>
          <w:sz w:val="20"/>
          <w:szCs w:val="20"/>
          <w:lang w:val="es-VE"/>
        </w:rPr>
        <w:t xml:space="preserve"> estuvo diseñado </w:t>
      </w:r>
      <w:r w:rsidR="00447A0A" w:rsidRPr="007F3D68">
        <w:rPr>
          <w:rFonts w:asciiTheme="majorHAnsi" w:hAnsiTheme="majorHAnsi"/>
          <w:sz w:val="20"/>
          <w:szCs w:val="20"/>
          <w:lang w:val="es-VE"/>
        </w:rPr>
        <w:t xml:space="preserve">específicamente para </w:t>
      </w:r>
      <w:r w:rsidR="00822E81" w:rsidRPr="007F3D68">
        <w:rPr>
          <w:rFonts w:asciiTheme="majorHAnsi" w:hAnsiTheme="majorHAnsi"/>
          <w:sz w:val="20"/>
          <w:szCs w:val="20"/>
          <w:lang w:val="es-VE"/>
        </w:rPr>
        <w:t>recapturar a los 19 privados de libertad que se fugaron de la cárcel de máxima seguridad “El Infiernito” e</w:t>
      </w:r>
      <w:r w:rsidR="00822E81" w:rsidRPr="007F3D68">
        <w:rPr>
          <w:rFonts w:asciiTheme="majorHAnsi" w:hAnsiTheme="majorHAnsi"/>
          <w:sz w:val="20"/>
          <w:szCs w:val="20"/>
          <w:lang w:val="es-ES_tradnl"/>
        </w:rPr>
        <w:t>l 22 de octubre de 2005</w:t>
      </w:r>
      <w:r w:rsidR="008A670D" w:rsidRPr="007F3D68">
        <w:rPr>
          <w:rFonts w:asciiTheme="majorHAnsi" w:hAnsiTheme="majorHAnsi"/>
          <w:sz w:val="20"/>
          <w:szCs w:val="20"/>
          <w:lang w:val="es-ES_tradnl"/>
        </w:rPr>
        <w:t xml:space="preserve">, dentro de los cuales no está en controversia que se encontraba el señor Valenzuela Ávila. Tampoco está controvertido que </w:t>
      </w:r>
      <w:r w:rsidR="007A7DBD" w:rsidRPr="007F3D68">
        <w:rPr>
          <w:rFonts w:asciiTheme="majorHAnsi" w:hAnsiTheme="majorHAnsi"/>
          <w:sz w:val="20"/>
          <w:szCs w:val="20"/>
          <w:lang w:val="es-ES_tradnl"/>
        </w:rPr>
        <w:t xml:space="preserve">en el marco de dicho Plan se </w:t>
      </w:r>
      <w:r w:rsidR="007A7DBD" w:rsidRPr="007F3D68">
        <w:rPr>
          <w:rFonts w:asciiTheme="majorHAnsi" w:hAnsiTheme="majorHAnsi"/>
          <w:sz w:val="20"/>
          <w:szCs w:val="20"/>
          <w:lang w:val="es-VE"/>
        </w:rPr>
        <w:t>recapturó a nueve prófugos, falleciendo siete</w:t>
      </w:r>
      <w:r w:rsidR="00021F44" w:rsidRPr="007F3D68">
        <w:rPr>
          <w:rFonts w:asciiTheme="majorHAnsi" w:hAnsiTheme="majorHAnsi"/>
          <w:sz w:val="20"/>
          <w:szCs w:val="20"/>
          <w:lang w:val="es-VE"/>
        </w:rPr>
        <w:t xml:space="preserve"> personas. </w:t>
      </w:r>
      <w:r w:rsidR="007A7DBD" w:rsidRPr="007F3D68">
        <w:rPr>
          <w:rFonts w:asciiTheme="majorHAnsi" w:hAnsiTheme="majorHAnsi"/>
          <w:sz w:val="20"/>
          <w:szCs w:val="20"/>
          <w:lang w:val="es-VE"/>
        </w:rPr>
        <w:t xml:space="preserve"> </w:t>
      </w:r>
    </w:p>
    <w:p w:rsidR="003346C8" w:rsidRPr="007F3D68" w:rsidRDefault="003346C8" w:rsidP="003346C8">
      <w:pPr>
        <w:pStyle w:val="ListParagraph"/>
        <w:rPr>
          <w:rFonts w:asciiTheme="majorHAnsi" w:hAnsiTheme="majorHAnsi"/>
          <w:sz w:val="20"/>
          <w:szCs w:val="20"/>
          <w:lang w:val="es-VE"/>
        </w:rPr>
      </w:pPr>
    </w:p>
    <w:p w:rsidR="003346C8" w:rsidRPr="007F3D68" w:rsidRDefault="00021F44" w:rsidP="003346C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_tradnl"/>
        </w:rPr>
      </w:pPr>
      <w:r w:rsidRPr="007F3D68">
        <w:rPr>
          <w:rFonts w:asciiTheme="majorHAnsi" w:hAnsiTheme="majorHAnsi"/>
          <w:sz w:val="20"/>
          <w:szCs w:val="20"/>
          <w:lang w:val="es-VE"/>
        </w:rPr>
        <w:t xml:space="preserve">En segundo lugar, no se encuentra en controversia que </w:t>
      </w:r>
      <w:r w:rsidR="00994B40" w:rsidRPr="007F3D68">
        <w:rPr>
          <w:rFonts w:asciiTheme="majorHAnsi" w:hAnsiTheme="majorHAnsi"/>
          <w:sz w:val="20"/>
          <w:szCs w:val="20"/>
          <w:lang w:val="es-VE"/>
        </w:rPr>
        <w:t xml:space="preserve">a nivel interno </w:t>
      </w:r>
      <w:r w:rsidR="00722585" w:rsidRPr="007F3D68">
        <w:rPr>
          <w:rFonts w:asciiTheme="majorHAnsi" w:hAnsiTheme="majorHAnsi"/>
          <w:sz w:val="20"/>
          <w:szCs w:val="20"/>
          <w:lang w:val="es-VE"/>
        </w:rPr>
        <w:t xml:space="preserve">al menos tres </w:t>
      </w:r>
      <w:r w:rsidR="00994B40" w:rsidRPr="007F3D68">
        <w:rPr>
          <w:rFonts w:asciiTheme="majorHAnsi" w:hAnsiTheme="majorHAnsi"/>
          <w:sz w:val="20"/>
          <w:szCs w:val="20"/>
          <w:lang w:val="es-VE"/>
        </w:rPr>
        <w:t xml:space="preserve">agentes estatales </w:t>
      </w:r>
      <w:r w:rsidR="000823DC" w:rsidRPr="007F3D68">
        <w:rPr>
          <w:rFonts w:asciiTheme="majorHAnsi" w:hAnsiTheme="majorHAnsi"/>
          <w:sz w:val="20"/>
          <w:szCs w:val="20"/>
          <w:lang w:val="es-VE"/>
        </w:rPr>
        <w:t xml:space="preserve">que participaron en el Plan Gavilán, </w:t>
      </w:r>
      <w:r w:rsidR="00994B40" w:rsidRPr="007F3D68">
        <w:rPr>
          <w:rFonts w:asciiTheme="majorHAnsi" w:hAnsiTheme="majorHAnsi"/>
          <w:sz w:val="20"/>
          <w:szCs w:val="20"/>
          <w:lang w:val="es-VE"/>
        </w:rPr>
        <w:t>fueron condenados por cometer ejecuciones extrajudiciales en el marco del</w:t>
      </w:r>
      <w:r w:rsidR="000823DC" w:rsidRPr="007F3D68">
        <w:rPr>
          <w:rFonts w:asciiTheme="majorHAnsi" w:hAnsiTheme="majorHAnsi"/>
          <w:sz w:val="20"/>
          <w:szCs w:val="20"/>
          <w:lang w:val="es-VE"/>
        </w:rPr>
        <w:t xml:space="preserve"> mismo. </w:t>
      </w:r>
      <w:r w:rsidR="00722585" w:rsidRPr="007F3D68">
        <w:rPr>
          <w:rFonts w:asciiTheme="majorHAnsi" w:hAnsiTheme="majorHAnsi"/>
          <w:sz w:val="20"/>
          <w:szCs w:val="20"/>
          <w:lang w:val="es-ES_tradnl"/>
        </w:rPr>
        <w:t>Así por ejemplo, el 8 de agosto de 2014, fue condenado el</w:t>
      </w:r>
      <w:r w:rsidR="00722585" w:rsidRPr="007F3D68">
        <w:rPr>
          <w:rFonts w:asciiTheme="majorHAnsi" w:hAnsiTheme="majorHAnsi"/>
          <w:sz w:val="20"/>
          <w:szCs w:val="20"/>
          <w:lang w:val="es-VE"/>
        </w:rPr>
        <w:t xml:space="preserve"> ex jefe de Investigación Criminal de la Policía Nacional Civil</w:t>
      </w:r>
      <w:r w:rsidR="00722585" w:rsidRPr="007F3D68">
        <w:rPr>
          <w:rFonts w:asciiTheme="majorHAnsi" w:hAnsiTheme="majorHAnsi"/>
          <w:sz w:val="20"/>
          <w:szCs w:val="20"/>
          <w:lang w:val="es-ES_tradnl"/>
        </w:rPr>
        <w:t xml:space="preserve"> </w:t>
      </w:r>
      <w:r w:rsidR="00722585" w:rsidRPr="007F3D68">
        <w:rPr>
          <w:rFonts w:asciiTheme="majorHAnsi" w:hAnsiTheme="majorHAnsi"/>
          <w:sz w:val="20"/>
          <w:szCs w:val="20"/>
          <w:lang w:val="es-VE"/>
        </w:rPr>
        <w:t>por el delito de ejecución extrajudicial de 10 reos en las cárceles de Pavón e Infiernito ocurridas entre 2005 y 2006</w:t>
      </w:r>
      <w:r w:rsidR="00722585" w:rsidRPr="007F3D68">
        <w:rPr>
          <w:rStyle w:val="FootnoteReference"/>
          <w:rFonts w:asciiTheme="majorHAnsi" w:hAnsiTheme="majorHAnsi"/>
          <w:sz w:val="20"/>
          <w:szCs w:val="20"/>
          <w:lang w:val="es-VE"/>
        </w:rPr>
        <w:footnoteReference w:id="148"/>
      </w:r>
      <w:r w:rsidR="00722585" w:rsidRPr="007F3D68">
        <w:rPr>
          <w:rFonts w:asciiTheme="majorHAnsi" w:hAnsiTheme="majorHAnsi"/>
          <w:sz w:val="20"/>
          <w:szCs w:val="20"/>
          <w:lang w:val="es-VE"/>
        </w:rPr>
        <w:t xml:space="preserve"> . Según la CICIG, en la sentencia en contra de dicha persona el Tribunal consideró “evidente la injerencia que hubo de las autoridades en las acciones realizadas para la ejecución extrajudicial de los prófugos”. </w:t>
      </w:r>
    </w:p>
    <w:p w:rsidR="003346C8" w:rsidRPr="007F3D68" w:rsidRDefault="003346C8" w:rsidP="003346C8">
      <w:pPr>
        <w:pStyle w:val="ListParagraph"/>
        <w:rPr>
          <w:rFonts w:asciiTheme="majorHAnsi" w:hAnsiTheme="majorHAnsi"/>
          <w:sz w:val="20"/>
          <w:szCs w:val="20"/>
          <w:lang w:val="es-ES_tradnl"/>
        </w:rPr>
      </w:pPr>
    </w:p>
    <w:p w:rsidR="003346C8" w:rsidRPr="007F3D68" w:rsidRDefault="000823DC" w:rsidP="003346C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_tradnl"/>
        </w:rPr>
      </w:pPr>
      <w:r w:rsidRPr="007F3D68">
        <w:rPr>
          <w:rFonts w:asciiTheme="majorHAnsi" w:hAnsiTheme="majorHAnsi"/>
          <w:sz w:val="20"/>
          <w:szCs w:val="20"/>
          <w:lang w:val="es-ES_tradnl"/>
        </w:rPr>
        <w:t xml:space="preserve">En tercer lugar, existen indicios de posible encubrimiento por parte del Estado. Así, </w:t>
      </w:r>
      <w:r w:rsidR="00892A94" w:rsidRPr="007F3D68">
        <w:rPr>
          <w:rFonts w:asciiTheme="majorHAnsi" w:hAnsiTheme="majorHAnsi"/>
          <w:sz w:val="20"/>
          <w:szCs w:val="20"/>
          <w:lang w:val="es-ES_tradnl"/>
        </w:rPr>
        <w:t>el cadáver del señor Valenzuela Ávila no fue entregado a sus familiares y se les indicó por parte de agentes estatales que</w:t>
      </w:r>
      <w:r w:rsidR="00B1584B" w:rsidRPr="007F3D68">
        <w:rPr>
          <w:rFonts w:asciiTheme="majorHAnsi" w:hAnsiTheme="majorHAnsi"/>
          <w:sz w:val="20"/>
          <w:szCs w:val="20"/>
          <w:lang w:val="es-ES_tradnl"/>
        </w:rPr>
        <w:t xml:space="preserve"> ello era debido a su actuar delictivo y a que </w:t>
      </w:r>
      <w:r w:rsidR="00892A94" w:rsidRPr="007F3D68">
        <w:rPr>
          <w:rFonts w:asciiTheme="majorHAnsi" w:hAnsiTheme="majorHAnsi"/>
          <w:sz w:val="20"/>
          <w:szCs w:val="20"/>
          <w:lang w:val="es-ES_tradnl"/>
        </w:rPr>
        <w:t>era necesario realizar investigaciones.</w:t>
      </w:r>
      <w:r w:rsidR="00603368" w:rsidRPr="007F3D68">
        <w:rPr>
          <w:rFonts w:asciiTheme="majorHAnsi" w:hAnsiTheme="majorHAnsi"/>
          <w:sz w:val="20"/>
          <w:szCs w:val="20"/>
          <w:lang w:val="es-ES_tradnl"/>
        </w:rPr>
        <w:t xml:space="preserve"> </w:t>
      </w:r>
      <w:r w:rsidR="009775EF" w:rsidRPr="007F3D68">
        <w:rPr>
          <w:rFonts w:asciiTheme="majorHAnsi" w:hAnsiTheme="majorHAnsi"/>
          <w:sz w:val="20"/>
          <w:szCs w:val="20"/>
          <w:lang w:val="es-ES_tradnl"/>
        </w:rPr>
        <w:t>Según la información presentada, t</w:t>
      </w:r>
      <w:r w:rsidR="00603368" w:rsidRPr="007F3D68">
        <w:rPr>
          <w:rFonts w:asciiTheme="majorHAnsi" w:hAnsiTheme="majorHAnsi"/>
          <w:sz w:val="20"/>
          <w:szCs w:val="20"/>
          <w:lang w:val="es-ES_tradnl"/>
        </w:rPr>
        <w:t>ampoc</w:t>
      </w:r>
      <w:r w:rsidR="009775EF" w:rsidRPr="007F3D68">
        <w:rPr>
          <w:rFonts w:asciiTheme="majorHAnsi" w:hAnsiTheme="majorHAnsi"/>
          <w:sz w:val="20"/>
          <w:szCs w:val="20"/>
          <w:lang w:val="es-ES_tradnl"/>
        </w:rPr>
        <w:t xml:space="preserve">o se expidió acta de defunción. </w:t>
      </w:r>
      <w:r w:rsidR="00603368" w:rsidRPr="007F3D68">
        <w:rPr>
          <w:rFonts w:asciiTheme="majorHAnsi" w:hAnsiTheme="majorHAnsi"/>
          <w:sz w:val="20"/>
          <w:szCs w:val="20"/>
          <w:lang w:val="es-ES_tradnl"/>
        </w:rPr>
        <w:t xml:space="preserve">En vez de justificar estas actuaciones, el Estado se valió de la falta de </w:t>
      </w:r>
      <w:r w:rsidR="009775EF" w:rsidRPr="007F3D68">
        <w:rPr>
          <w:rFonts w:asciiTheme="majorHAnsi" w:hAnsiTheme="majorHAnsi"/>
          <w:sz w:val="20"/>
          <w:szCs w:val="20"/>
          <w:lang w:val="es-ES_tradnl"/>
        </w:rPr>
        <w:t xml:space="preserve">acta </w:t>
      </w:r>
      <w:r w:rsidR="00603368" w:rsidRPr="007F3D68">
        <w:rPr>
          <w:rFonts w:asciiTheme="majorHAnsi" w:hAnsiTheme="majorHAnsi"/>
          <w:sz w:val="20"/>
          <w:szCs w:val="20"/>
          <w:lang w:val="es-ES_tradnl"/>
        </w:rPr>
        <w:t>de</w:t>
      </w:r>
      <w:r w:rsidR="009775EF" w:rsidRPr="007F3D68">
        <w:rPr>
          <w:rFonts w:asciiTheme="majorHAnsi" w:hAnsiTheme="majorHAnsi"/>
          <w:sz w:val="20"/>
          <w:szCs w:val="20"/>
          <w:lang w:val="es-ES_tradnl"/>
        </w:rPr>
        <w:t xml:space="preserve"> de</w:t>
      </w:r>
      <w:r w:rsidR="00603368" w:rsidRPr="007F3D68">
        <w:rPr>
          <w:rFonts w:asciiTheme="majorHAnsi" w:hAnsiTheme="majorHAnsi"/>
          <w:sz w:val="20"/>
          <w:szCs w:val="20"/>
          <w:lang w:val="es-ES_tradnl"/>
        </w:rPr>
        <w:t xml:space="preserve">función para cuestionar que el señor Valenzuela Ávila había sido ejecutado. </w:t>
      </w:r>
    </w:p>
    <w:p w:rsidR="003346C8" w:rsidRPr="007F3D68" w:rsidRDefault="003346C8" w:rsidP="003346C8">
      <w:pPr>
        <w:pStyle w:val="ListParagraph"/>
        <w:rPr>
          <w:sz w:val="20"/>
          <w:szCs w:val="20"/>
          <w:lang w:val="es-ES_tradnl"/>
        </w:rPr>
      </w:pPr>
    </w:p>
    <w:p w:rsidR="003346C8" w:rsidRPr="007F3D68" w:rsidRDefault="00F265B6" w:rsidP="003346C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_tradnl"/>
        </w:rPr>
      </w:pPr>
      <w:r w:rsidRPr="007F3D68">
        <w:rPr>
          <w:rFonts w:ascii="Cambria" w:hAnsi="Cambria"/>
          <w:sz w:val="20"/>
          <w:szCs w:val="20"/>
          <w:lang w:val="es-ES_tradnl"/>
        </w:rPr>
        <w:t xml:space="preserve">En cuarto lugar y como se analizará en la siguiente sección, el Estado no ha logrado esclarecer judicialmente la muerte del señor </w:t>
      </w:r>
      <w:r w:rsidR="00DF1B2F" w:rsidRPr="007F3D68">
        <w:rPr>
          <w:rFonts w:ascii="Cambria" w:hAnsi="Cambria"/>
          <w:sz w:val="20"/>
          <w:szCs w:val="20"/>
          <w:lang w:val="es-ES_tradnl"/>
        </w:rPr>
        <w:t xml:space="preserve">Valenzuela Ávila </w:t>
      </w:r>
      <w:r w:rsidRPr="007F3D68">
        <w:rPr>
          <w:rFonts w:ascii="Cambria" w:hAnsi="Cambria"/>
          <w:sz w:val="20"/>
          <w:szCs w:val="20"/>
          <w:lang w:val="es-ES_tradnl"/>
        </w:rPr>
        <w:t>y, en consecuencia, no ha</w:t>
      </w:r>
      <w:r w:rsidR="0074522A" w:rsidRPr="007F3D68">
        <w:rPr>
          <w:rFonts w:ascii="Cambria" w:hAnsi="Cambria"/>
          <w:sz w:val="20"/>
          <w:szCs w:val="20"/>
          <w:lang w:val="es-ES_tradnl"/>
        </w:rPr>
        <w:t xml:space="preserve"> aportado hipótesis alternativa a la muerte en el contexto de un plan diseñado por el Estado para recapturarlo y en el cual se cometieron múltiples ejecuciones extrajudiciales.</w:t>
      </w:r>
    </w:p>
    <w:p w:rsidR="003346C8" w:rsidRPr="007F3D68" w:rsidRDefault="003346C8" w:rsidP="003346C8">
      <w:pPr>
        <w:pStyle w:val="ListParagraph"/>
        <w:rPr>
          <w:sz w:val="20"/>
          <w:szCs w:val="20"/>
          <w:lang w:val="es-ES_tradnl"/>
        </w:rPr>
      </w:pPr>
    </w:p>
    <w:p w:rsidR="003B1328" w:rsidRPr="007F3D68" w:rsidRDefault="0074522A" w:rsidP="003346C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_tradnl"/>
        </w:rPr>
      </w:pPr>
      <w:r w:rsidRPr="007F3D68">
        <w:rPr>
          <w:rFonts w:ascii="Cambria" w:hAnsi="Cambria"/>
          <w:sz w:val="20"/>
          <w:szCs w:val="20"/>
          <w:lang w:val="es-ES_tradnl"/>
        </w:rPr>
        <w:t>En virtud de los anteriores elementos, tomados en su conjunto</w:t>
      </w:r>
      <w:r w:rsidR="008F341F" w:rsidRPr="007F3D68">
        <w:rPr>
          <w:rFonts w:ascii="Cambria" w:hAnsi="Cambria"/>
          <w:sz w:val="20"/>
          <w:szCs w:val="20"/>
          <w:lang w:val="es-ES_tradnl"/>
        </w:rPr>
        <w:t xml:space="preserve">, la Comisión </w:t>
      </w:r>
      <w:r w:rsidR="00CB401E" w:rsidRPr="007F3D68">
        <w:rPr>
          <w:rFonts w:ascii="Cambria" w:hAnsi="Cambria"/>
          <w:sz w:val="20"/>
          <w:szCs w:val="20"/>
          <w:lang w:val="es-ES_tradnl"/>
        </w:rPr>
        <w:t xml:space="preserve"> concluye que </w:t>
      </w:r>
      <w:r w:rsidR="008F341F" w:rsidRPr="007F3D68">
        <w:rPr>
          <w:rFonts w:ascii="Cambria" w:hAnsi="Cambria"/>
          <w:sz w:val="20"/>
          <w:szCs w:val="20"/>
          <w:lang w:val="es-ES_tradnl"/>
        </w:rPr>
        <w:t xml:space="preserve">Tirso Román Valenzuela Ávila fue ejecutado extrajudicialmente y, por lo tanto, </w:t>
      </w:r>
      <w:r w:rsidR="00CB401E" w:rsidRPr="007F3D68">
        <w:rPr>
          <w:rFonts w:ascii="Cambria" w:hAnsi="Cambria"/>
          <w:sz w:val="20"/>
          <w:szCs w:val="20"/>
          <w:lang w:val="es-ES_tradnl"/>
        </w:rPr>
        <w:t>el Estado guatemalteco es responsable por</w:t>
      </w:r>
      <w:r w:rsidR="008F341F" w:rsidRPr="007F3D68">
        <w:rPr>
          <w:rFonts w:ascii="Cambria" w:hAnsi="Cambria"/>
          <w:sz w:val="20"/>
          <w:szCs w:val="20"/>
          <w:lang w:val="es-ES_tradnl"/>
        </w:rPr>
        <w:t xml:space="preserve"> la violación, en su perjuicio, del </w:t>
      </w:r>
      <w:r w:rsidR="003B1328" w:rsidRPr="007F3D68">
        <w:rPr>
          <w:rFonts w:ascii="Cambria" w:hAnsi="Cambria"/>
          <w:sz w:val="20"/>
          <w:szCs w:val="20"/>
          <w:lang w:val="es-ES_tradnl"/>
        </w:rPr>
        <w:t xml:space="preserve">derecho a la vida establecido en el artículo 4.1 de la Convención Americana en relación con el artículo 1.1 del mismo instrumento. </w:t>
      </w:r>
    </w:p>
    <w:p w:rsidR="00494500" w:rsidRPr="007F3D68" w:rsidRDefault="00494500" w:rsidP="003346C8">
      <w:pPr>
        <w:pStyle w:val="Heading3"/>
        <w:numPr>
          <w:ilvl w:val="0"/>
          <w:numId w:val="70"/>
        </w:numPr>
        <w:tabs>
          <w:tab w:val="left" w:pos="1260"/>
        </w:tabs>
        <w:ind w:left="1440" w:hanging="720"/>
        <w:rPr>
          <w:color w:val="auto"/>
          <w:sz w:val="20"/>
          <w:szCs w:val="20"/>
          <w:lang w:val="es-CO"/>
        </w:rPr>
      </w:pPr>
      <w:bookmarkStart w:id="109" w:name="_Toc491441657"/>
      <w:bookmarkStart w:id="110" w:name="_Toc495479565"/>
      <w:r w:rsidRPr="007F3D68">
        <w:rPr>
          <w:color w:val="auto"/>
          <w:sz w:val="20"/>
          <w:szCs w:val="20"/>
          <w:lang w:val="es-CO"/>
        </w:rPr>
        <w:t xml:space="preserve">Análisis sobre si el Estado cumplió su obligación de investigar la muerte del señor </w:t>
      </w:r>
      <w:r w:rsidR="00054535" w:rsidRPr="007F3D68">
        <w:rPr>
          <w:color w:val="auto"/>
          <w:sz w:val="20"/>
          <w:szCs w:val="20"/>
          <w:lang w:val="es-CO"/>
        </w:rPr>
        <w:t>Valenzuela Ávila</w:t>
      </w:r>
      <w:bookmarkEnd w:id="109"/>
      <w:bookmarkEnd w:id="110"/>
      <w:r w:rsidRPr="007F3D68">
        <w:rPr>
          <w:color w:val="auto"/>
          <w:sz w:val="20"/>
          <w:szCs w:val="20"/>
          <w:lang w:val="es-CO"/>
        </w:rPr>
        <w:t xml:space="preserve"> </w:t>
      </w:r>
    </w:p>
    <w:p w:rsidR="001C3A11" w:rsidRPr="007F3D68" w:rsidRDefault="001C3A11" w:rsidP="004853CA">
      <w:pPr>
        <w:rPr>
          <w:sz w:val="20"/>
          <w:szCs w:val="20"/>
          <w:lang w:val="es-MX"/>
        </w:rPr>
      </w:pPr>
    </w:p>
    <w:p w:rsidR="003346C8" w:rsidRPr="007F3D68" w:rsidRDefault="003173E4" w:rsidP="003346C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_tradnl"/>
        </w:rPr>
      </w:pPr>
      <w:r w:rsidRPr="007F3D68">
        <w:rPr>
          <w:rFonts w:ascii="Cambria" w:hAnsi="Cambria"/>
          <w:sz w:val="20"/>
          <w:szCs w:val="20"/>
          <w:lang w:val="es-MX"/>
        </w:rPr>
        <w:t>Conforme a los</w:t>
      </w:r>
      <w:r w:rsidR="00CB401E" w:rsidRPr="007F3D68">
        <w:rPr>
          <w:rFonts w:ascii="Cambria" w:hAnsi="Cambria"/>
          <w:sz w:val="20"/>
          <w:szCs w:val="20"/>
          <w:lang w:val="es-MX"/>
        </w:rPr>
        <w:t xml:space="preserve"> hechos probados, el Estado indicó que su principal objetivo era investigar la muerte de la presunta víctima ocurrida el 8 de diciembre de 2006, por lo que inició una investigación penal. Refirió que en el marco de dicha investigación, el 2 de marzo de 2009 estableció quien es el propietario de la motocicleta utilizada </w:t>
      </w:r>
      <w:r w:rsidR="009775EF" w:rsidRPr="007F3D68">
        <w:rPr>
          <w:rFonts w:ascii="Cambria" w:hAnsi="Cambria"/>
          <w:sz w:val="20"/>
          <w:szCs w:val="20"/>
          <w:lang w:val="es-MX"/>
        </w:rPr>
        <w:t>por la persona que disparó y dio muerte</w:t>
      </w:r>
      <w:r w:rsidR="00CB401E" w:rsidRPr="007F3D68">
        <w:rPr>
          <w:rFonts w:ascii="Cambria" w:hAnsi="Cambria"/>
          <w:sz w:val="20"/>
          <w:szCs w:val="20"/>
          <w:lang w:val="es-MX"/>
        </w:rPr>
        <w:t xml:space="preserve"> a la presunta víctima, así como la lista de los agentes de la Policía asignados a la Comisaría 31 en el momento de los hechos. </w:t>
      </w:r>
    </w:p>
    <w:p w:rsidR="003346C8" w:rsidRPr="007F3D68" w:rsidRDefault="003346C8" w:rsidP="003346C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hAnsi="Cambria"/>
          <w:sz w:val="20"/>
          <w:szCs w:val="20"/>
          <w:lang w:val="es-ES_tradnl"/>
        </w:rPr>
      </w:pPr>
    </w:p>
    <w:p w:rsidR="00CB401E" w:rsidRPr="007F3D68" w:rsidRDefault="00CB401E" w:rsidP="003346C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_tradnl"/>
        </w:rPr>
      </w:pPr>
      <w:r w:rsidRPr="007F3D68">
        <w:rPr>
          <w:rFonts w:ascii="Cambria" w:hAnsi="Cambria"/>
          <w:sz w:val="20"/>
          <w:szCs w:val="20"/>
          <w:lang w:val="es-MX"/>
        </w:rPr>
        <w:t>La Comisión no tiene información de otras diligencias realizadas para investigar los hechos. En particular, no consta que el Estado haya realizado diligencias</w:t>
      </w:r>
      <w:r w:rsidR="00693F48" w:rsidRPr="007F3D68">
        <w:rPr>
          <w:rFonts w:ascii="Cambria" w:hAnsi="Cambria"/>
          <w:sz w:val="20"/>
          <w:szCs w:val="20"/>
          <w:lang w:val="es-MX"/>
        </w:rPr>
        <w:t xml:space="preserve"> mínimas y</w:t>
      </w:r>
      <w:r w:rsidRPr="007F3D68">
        <w:rPr>
          <w:rFonts w:ascii="Cambria" w:hAnsi="Cambria"/>
          <w:sz w:val="20"/>
          <w:szCs w:val="20"/>
          <w:lang w:val="es-MX"/>
        </w:rPr>
        <w:t xml:space="preserve"> fundamentales para esclarecer l</w:t>
      </w:r>
      <w:r w:rsidR="003173E4" w:rsidRPr="007F3D68">
        <w:rPr>
          <w:rFonts w:ascii="Cambria" w:hAnsi="Cambria"/>
          <w:sz w:val="20"/>
          <w:szCs w:val="20"/>
          <w:lang w:val="es-MX"/>
        </w:rPr>
        <w:t>a muerte de la presunta víctima, a la luz de los estánda</w:t>
      </w:r>
      <w:r w:rsidR="00693F48" w:rsidRPr="007F3D68">
        <w:rPr>
          <w:rFonts w:ascii="Cambria" w:hAnsi="Cambria"/>
          <w:sz w:val="20"/>
          <w:szCs w:val="20"/>
          <w:lang w:val="es-MX"/>
        </w:rPr>
        <w:t>res descritos. Así</w:t>
      </w:r>
      <w:r w:rsidR="00367E54" w:rsidRPr="007F3D68">
        <w:rPr>
          <w:rFonts w:ascii="Cambria" w:hAnsi="Cambria"/>
          <w:sz w:val="20"/>
          <w:szCs w:val="20"/>
          <w:lang w:val="es-MX"/>
        </w:rPr>
        <w:t>:</w:t>
      </w:r>
      <w:r w:rsidRPr="007F3D68">
        <w:rPr>
          <w:rFonts w:ascii="Cambria" w:hAnsi="Cambria"/>
          <w:sz w:val="20"/>
          <w:szCs w:val="20"/>
          <w:lang w:val="es-MX"/>
        </w:rPr>
        <w:t xml:space="preserve"> </w:t>
      </w:r>
    </w:p>
    <w:p w:rsidR="00CB401E" w:rsidRPr="007F3D68" w:rsidRDefault="00CB401E" w:rsidP="00CB401E">
      <w:pPr>
        <w:pStyle w:val="ListParagraph"/>
        <w:rPr>
          <w:sz w:val="20"/>
          <w:szCs w:val="20"/>
          <w:lang w:val="es-VE"/>
        </w:rPr>
      </w:pPr>
    </w:p>
    <w:p w:rsidR="00CB401E" w:rsidRPr="007F3D68" w:rsidRDefault="00CB401E" w:rsidP="00CB401E">
      <w:pPr>
        <w:shd w:val="clear" w:color="auto" w:fill="FFFFFF"/>
        <w:tabs>
          <w:tab w:val="left" w:pos="1440"/>
        </w:tabs>
        <w:ind w:left="720"/>
        <w:jc w:val="both"/>
        <w:rPr>
          <w:rFonts w:ascii="Cambria" w:hAnsi="Cambria"/>
          <w:sz w:val="20"/>
          <w:szCs w:val="20"/>
          <w:lang w:val="es-VE"/>
        </w:rPr>
      </w:pPr>
      <w:r w:rsidRPr="007F3D68">
        <w:rPr>
          <w:rFonts w:ascii="Cambria" w:hAnsi="Cambria"/>
          <w:sz w:val="20"/>
          <w:szCs w:val="20"/>
          <w:lang w:val="es-VE"/>
        </w:rPr>
        <w:t>-No obra información que indique que se hubiese intentado localizar</w:t>
      </w:r>
      <w:r w:rsidR="00A251C4" w:rsidRPr="007F3D68">
        <w:rPr>
          <w:rFonts w:ascii="Cambria" w:hAnsi="Cambria"/>
          <w:sz w:val="20"/>
          <w:szCs w:val="20"/>
          <w:lang w:val="es-VE"/>
        </w:rPr>
        <w:t xml:space="preserve"> y realizar pruebas respecto de</w:t>
      </w:r>
      <w:r w:rsidRPr="007F3D68">
        <w:rPr>
          <w:rFonts w:ascii="Cambria" w:hAnsi="Cambria"/>
          <w:sz w:val="20"/>
          <w:szCs w:val="20"/>
          <w:lang w:val="es-VE"/>
        </w:rPr>
        <w:t xml:space="preserve"> los proyectiles que terminaron con la vida de la presunta víctima</w:t>
      </w:r>
      <w:r w:rsidR="00A251C4" w:rsidRPr="007F3D68">
        <w:rPr>
          <w:rFonts w:ascii="Cambria" w:hAnsi="Cambria"/>
          <w:sz w:val="20"/>
          <w:szCs w:val="20"/>
          <w:lang w:val="es-VE"/>
        </w:rPr>
        <w:t>.</w:t>
      </w:r>
    </w:p>
    <w:p w:rsidR="00CB401E" w:rsidRPr="007F3D68" w:rsidRDefault="00893FF7" w:rsidP="00CB401E">
      <w:pPr>
        <w:pStyle w:val="ListParagraph"/>
        <w:jc w:val="both"/>
        <w:rPr>
          <w:sz w:val="20"/>
          <w:szCs w:val="20"/>
          <w:lang w:val="es-VE"/>
        </w:rPr>
      </w:pPr>
      <w:r w:rsidRPr="007F3D68">
        <w:rPr>
          <w:sz w:val="20"/>
          <w:szCs w:val="20"/>
          <w:lang w:val="es-VE"/>
        </w:rPr>
        <w:t>-Tampoco constan</w:t>
      </w:r>
      <w:r w:rsidR="00CB401E" w:rsidRPr="007F3D68">
        <w:rPr>
          <w:sz w:val="20"/>
          <w:szCs w:val="20"/>
          <w:lang w:val="es-VE"/>
        </w:rPr>
        <w:t xml:space="preserve"> diligencias de reconstrucción de los hechos y trayectorias de disparos. </w:t>
      </w:r>
    </w:p>
    <w:p w:rsidR="00CB401E" w:rsidRPr="007F3D68" w:rsidRDefault="00CB401E" w:rsidP="00CB401E">
      <w:pPr>
        <w:pStyle w:val="ListParagraph"/>
        <w:jc w:val="both"/>
        <w:rPr>
          <w:sz w:val="20"/>
          <w:szCs w:val="20"/>
          <w:lang w:val="es-VE"/>
        </w:rPr>
      </w:pPr>
      <w:r w:rsidRPr="007F3D68">
        <w:rPr>
          <w:sz w:val="20"/>
          <w:szCs w:val="20"/>
          <w:lang w:val="es-VE"/>
        </w:rPr>
        <w:t xml:space="preserve">-No consta que se hayan obtenido declaraciones del Jefe de la Unidad Anti-secuestros y homicidios de la Dirección de Investigación Criminal de la Policía Nacional Civil o del Director de dicha unidad para efectos de conocer los pormenores </w:t>
      </w:r>
      <w:r w:rsidR="0001417B" w:rsidRPr="007F3D68">
        <w:rPr>
          <w:sz w:val="20"/>
          <w:szCs w:val="20"/>
          <w:lang w:val="es-VE"/>
        </w:rPr>
        <w:t xml:space="preserve">del “Plan Gavilán”, pese a que </w:t>
      </w:r>
      <w:r w:rsidRPr="007F3D68">
        <w:rPr>
          <w:sz w:val="20"/>
          <w:szCs w:val="20"/>
          <w:lang w:val="es-VE"/>
        </w:rPr>
        <w:t>l</w:t>
      </w:r>
      <w:r w:rsidR="0001417B" w:rsidRPr="007F3D68">
        <w:rPr>
          <w:sz w:val="20"/>
          <w:szCs w:val="20"/>
          <w:lang w:val="es-VE"/>
        </w:rPr>
        <w:t>os peticionario</w:t>
      </w:r>
      <w:r w:rsidR="00893FF7" w:rsidRPr="007F3D68">
        <w:rPr>
          <w:sz w:val="20"/>
          <w:szCs w:val="20"/>
          <w:lang w:val="es-VE"/>
        </w:rPr>
        <w:t>s</w:t>
      </w:r>
      <w:r w:rsidR="0001417B" w:rsidRPr="007F3D68">
        <w:rPr>
          <w:sz w:val="20"/>
          <w:szCs w:val="20"/>
          <w:lang w:val="es-VE"/>
        </w:rPr>
        <w:t xml:space="preserve"> denunciaron</w:t>
      </w:r>
      <w:r w:rsidRPr="007F3D68">
        <w:rPr>
          <w:sz w:val="20"/>
          <w:szCs w:val="20"/>
          <w:lang w:val="es-VE"/>
        </w:rPr>
        <w:t xml:space="preserve"> que la muerte de la presunta víctima se realizó en el marco de dicho ope</w:t>
      </w:r>
      <w:r w:rsidR="00893FF7" w:rsidRPr="007F3D68">
        <w:rPr>
          <w:sz w:val="20"/>
          <w:szCs w:val="20"/>
          <w:lang w:val="es-VE"/>
        </w:rPr>
        <w:t>rativo, y que en el contexto de otro</w:t>
      </w:r>
      <w:r w:rsidRPr="007F3D68">
        <w:rPr>
          <w:sz w:val="20"/>
          <w:szCs w:val="20"/>
          <w:lang w:val="es-VE"/>
        </w:rPr>
        <w:t xml:space="preserve"> caso</w:t>
      </w:r>
      <w:r w:rsidR="00893FF7" w:rsidRPr="007F3D68">
        <w:rPr>
          <w:sz w:val="20"/>
          <w:szCs w:val="20"/>
          <w:lang w:val="es-VE"/>
        </w:rPr>
        <w:t xml:space="preserve"> ante la CIDH, el Estado informó que en el O</w:t>
      </w:r>
      <w:r w:rsidRPr="007F3D68">
        <w:rPr>
          <w:sz w:val="20"/>
          <w:szCs w:val="20"/>
          <w:lang w:val="es-VE"/>
        </w:rPr>
        <w:t xml:space="preserve">perativo Gavilán de recaptura de reos fugados de la cárcel el infiernito fallecieron algunas personas, entre las que se encontraría Tirso Román Valenzuela. </w:t>
      </w:r>
    </w:p>
    <w:p w:rsidR="00766A8E" w:rsidRPr="007F3D68" w:rsidRDefault="00CB401E" w:rsidP="0051641F">
      <w:pPr>
        <w:pStyle w:val="ListParagraph"/>
        <w:jc w:val="both"/>
        <w:rPr>
          <w:sz w:val="20"/>
          <w:szCs w:val="20"/>
          <w:lang w:val="es-VE"/>
        </w:rPr>
      </w:pPr>
      <w:r w:rsidRPr="007F3D68">
        <w:rPr>
          <w:sz w:val="20"/>
          <w:szCs w:val="20"/>
          <w:lang w:val="es-VE"/>
        </w:rPr>
        <w:t xml:space="preserve">-Tampoco consta la realización de entrevistas a otros posibles testigos presenciales de los hechos. </w:t>
      </w:r>
    </w:p>
    <w:p w:rsidR="00CB401E" w:rsidRPr="007F3D68" w:rsidRDefault="00CB401E" w:rsidP="0051641F">
      <w:pPr>
        <w:pStyle w:val="ListParagraph"/>
        <w:jc w:val="both"/>
        <w:rPr>
          <w:sz w:val="20"/>
          <w:szCs w:val="20"/>
          <w:lang w:val="es-VE"/>
        </w:rPr>
      </w:pPr>
      <w:r w:rsidRPr="007F3D68">
        <w:rPr>
          <w:sz w:val="20"/>
          <w:szCs w:val="20"/>
          <w:lang w:val="es-VE"/>
        </w:rPr>
        <w:t xml:space="preserve"> </w:t>
      </w:r>
    </w:p>
    <w:p w:rsidR="003346C8" w:rsidRPr="007F3D68" w:rsidRDefault="00893FF7" w:rsidP="003346C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MX"/>
        </w:rPr>
      </w:pPr>
      <w:r w:rsidRPr="007F3D68">
        <w:rPr>
          <w:rFonts w:ascii="Cambria" w:hAnsi="Cambria"/>
          <w:sz w:val="20"/>
          <w:szCs w:val="20"/>
          <w:lang w:val="es-MX"/>
        </w:rPr>
        <w:t xml:space="preserve">La Comisión también hace notar que </w:t>
      </w:r>
      <w:r w:rsidR="00CB401E" w:rsidRPr="007F3D68">
        <w:rPr>
          <w:rFonts w:ascii="Cambria" w:hAnsi="Cambria"/>
          <w:sz w:val="20"/>
          <w:szCs w:val="20"/>
          <w:lang w:val="es-MX"/>
        </w:rPr>
        <w:t>tal como se indicó en la sección anterior, el Estado no produjo una partida de defunción de la víctima y rehusó entregar el cadáver a sus familiares. La Comisión no entiende las razones por las que no existe una partida de defunción de la presunta víctima, o la necesidad de la segunda medida</w:t>
      </w:r>
      <w:r w:rsidR="0008139B" w:rsidRPr="007F3D68">
        <w:rPr>
          <w:rFonts w:ascii="Cambria" w:hAnsi="Cambria"/>
          <w:sz w:val="20"/>
          <w:szCs w:val="20"/>
          <w:lang w:val="es-MX"/>
        </w:rPr>
        <w:t xml:space="preserve">. </w:t>
      </w:r>
      <w:r w:rsidR="009775EF" w:rsidRPr="007F3D68">
        <w:rPr>
          <w:rFonts w:ascii="Cambria" w:hAnsi="Cambria"/>
          <w:sz w:val="20"/>
          <w:szCs w:val="20"/>
          <w:lang w:val="es-MX"/>
        </w:rPr>
        <w:t xml:space="preserve"> Además, esta situación constituye una afectación </w:t>
      </w:r>
      <w:r w:rsidR="008352CC" w:rsidRPr="007F3D68">
        <w:rPr>
          <w:rFonts w:ascii="Cambria" w:hAnsi="Cambria"/>
          <w:sz w:val="20"/>
          <w:szCs w:val="20"/>
          <w:lang w:val="es-MX"/>
        </w:rPr>
        <w:t xml:space="preserve">significativa </w:t>
      </w:r>
      <w:r w:rsidR="009775EF" w:rsidRPr="007F3D68">
        <w:rPr>
          <w:rFonts w:ascii="Cambria" w:hAnsi="Cambria"/>
          <w:sz w:val="20"/>
          <w:szCs w:val="20"/>
          <w:lang w:val="es-MX"/>
        </w:rPr>
        <w:t xml:space="preserve">del derecho a la integridad personal de los familiares de Tirso Román </w:t>
      </w:r>
      <w:r w:rsidR="003649EB" w:rsidRPr="007F3D68">
        <w:rPr>
          <w:rFonts w:ascii="Cambria" w:hAnsi="Cambria"/>
          <w:sz w:val="20"/>
          <w:szCs w:val="20"/>
          <w:lang w:val="es-MX"/>
        </w:rPr>
        <w:t>Valenzuela.</w:t>
      </w:r>
    </w:p>
    <w:p w:rsidR="003346C8" w:rsidRPr="007F3D68" w:rsidRDefault="003346C8" w:rsidP="003346C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hAnsi="Cambria"/>
          <w:sz w:val="20"/>
          <w:szCs w:val="20"/>
          <w:lang w:val="es-MX"/>
        </w:rPr>
      </w:pPr>
    </w:p>
    <w:p w:rsidR="004719E4" w:rsidRPr="007F3D68" w:rsidRDefault="00CB401E" w:rsidP="004719E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MX"/>
        </w:rPr>
      </w:pPr>
      <w:r w:rsidRPr="007F3D68">
        <w:rPr>
          <w:rFonts w:ascii="Cambria" w:hAnsi="Cambria"/>
          <w:sz w:val="20"/>
          <w:szCs w:val="20"/>
          <w:lang w:val="es-MX"/>
        </w:rPr>
        <w:t xml:space="preserve">La Comisión resalta que a más de </w:t>
      </w:r>
      <w:r w:rsidR="00C35480" w:rsidRPr="007F3D68">
        <w:rPr>
          <w:rFonts w:ascii="Cambria" w:hAnsi="Cambria"/>
          <w:sz w:val="20"/>
          <w:szCs w:val="20"/>
          <w:lang w:val="es-MX"/>
        </w:rPr>
        <w:t>once</w:t>
      </w:r>
      <w:r w:rsidRPr="007F3D68">
        <w:rPr>
          <w:rFonts w:ascii="Cambria" w:hAnsi="Cambria"/>
          <w:sz w:val="20"/>
          <w:szCs w:val="20"/>
          <w:lang w:val="es-MX"/>
        </w:rPr>
        <w:t xml:space="preserve"> años de transcurridos los hechos, el Estado no informó acerca de las líne</w:t>
      </w:r>
      <w:r w:rsidR="003C27AA" w:rsidRPr="007F3D68">
        <w:rPr>
          <w:rFonts w:ascii="Cambria" w:hAnsi="Cambria"/>
          <w:sz w:val="20"/>
          <w:szCs w:val="20"/>
          <w:lang w:val="es-MX"/>
        </w:rPr>
        <w:t xml:space="preserve">as e hipótesis de investigación, ni la manera en que </w:t>
      </w:r>
      <w:r w:rsidRPr="007F3D68">
        <w:rPr>
          <w:rFonts w:ascii="Cambria" w:hAnsi="Cambria"/>
          <w:sz w:val="20"/>
          <w:szCs w:val="20"/>
          <w:lang w:val="es-MX"/>
        </w:rPr>
        <w:t xml:space="preserve">ha profundizado en cada una de ellas para dilucidar la verdad de los hechos y deducir </w:t>
      </w:r>
      <w:r w:rsidR="00A578EF" w:rsidRPr="007F3D68">
        <w:rPr>
          <w:rFonts w:ascii="Cambria" w:hAnsi="Cambria"/>
          <w:sz w:val="20"/>
          <w:szCs w:val="20"/>
          <w:lang w:val="es-MX"/>
        </w:rPr>
        <w:t xml:space="preserve">las respectivas </w:t>
      </w:r>
      <w:r w:rsidRPr="007F3D68">
        <w:rPr>
          <w:rFonts w:ascii="Cambria" w:hAnsi="Cambria"/>
          <w:sz w:val="20"/>
          <w:szCs w:val="20"/>
          <w:lang w:val="es-MX"/>
        </w:rPr>
        <w:t xml:space="preserve">responsabilidades. </w:t>
      </w:r>
      <w:r w:rsidR="00C35480" w:rsidRPr="007F3D68">
        <w:rPr>
          <w:rFonts w:ascii="Cambria" w:hAnsi="Cambria"/>
          <w:sz w:val="20"/>
          <w:szCs w:val="20"/>
          <w:lang w:val="es-MX"/>
        </w:rPr>
        <w:t xml:space="preserve">De la escueta información presentada por el Estado sobre las investigaciones, se desprende que las mismas no han sido llevadas a cabo con la debida diligencia ni en un plazo razonable. </w:t>
      </w:r>
    </w:p>
    <w:p w:rsidR="004719E4" w:rsidRDefault="004719E4" w:rsidP="004719E4">
      <w:pPr>
        <w:pStyle w:val="ListParagraph"/>
        <w:rPr>
          <w:sz w:val="20"/>
          <w:szCs w:val="20"/>
          <w:lang w:val="es-ES_tradnl"/>
        </w:rPr>
      </w:pPr>
    </w:p>
    <w:p w:rsidR="00B749FA" w:rsidRPr="007F3D68" w:rsidRDefault="00B749FA" w:rsidP="004719E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MX"/>
        </w:rPr>
      </w:pPr>
      <w:r w:rsidRPr="007F3D68">
        <w:rPr>
          <w:rFonts w:ascii="Cambria" w:hAnsi="Cambria"/>
          <w:sz w:val="20"/>
          <w:szCs w:val="20"/>
          <w:lang w:val="es-ES_tradnl"/>
        </w:rPr>
        <w:t>En virtud de las anteriores consideraciones, la Comisión considera que el Estado es responsable por la violación de los derechos establecidos en los artículos</w:t>
      </w:r>
      <w:r w:rsidR="002C5D9D" w:rsidRPr="007F3D68">
        <w:rPr>
          <w:rFonts w:ascii="Cambria" w:hAnsi="Cambria"/>
          <w:sz w:val="20"/>
          <w:szCs w:val="20"/>
          <w:lang w:val="es-ES_tradnl"/>
        </w:rPr>
        <w:t xml:space="preserve"> 5.1, </w:t>
      </w:r>
      <w:r w:rsidRPr="007F3D68">
        <w:rPr>
          <w:rFonts w:ascii="Cambria" w:hAnsi="Cambria"/>
          <w:sz w:val="20"/>
          <w:szCs w:val="20"/>
          <w:lang w:val="es-ES_tradnl"/>
        </w:rPr>
        <w:t xml:space="preserve"> 8.1 y 25.1 de la Convención en relación con el artículo 1.1 del mismo instrumento, en perjuicio de</w:t>
      </w:r>
      <w:r w:rsidR="00E20985" w:rsidRPr="007F3D68">
        <w:rPr>
          <w:rFonts w:ascii="Cambria" w:hAnsi="Cambria"/>
          <w:sz w:val="20"/>
          <w:szCs w:val="20"/>
          <w:lang w:val="es-ES_tradnl"/>
        </w:rPr>
        <w:t xml:space="preserve"> los familiares de</w:t>
      </w:r>
      <w:r w:rsidRPr="007F3D68">
        <w:rPr>
          <w:rFonts w:ascii="Cambria" w:hAnsi="Cambria"/>
          <w:sz w:val="20"/>
          <w:szCs w:val="20"/>
          <w:lang w:val="es-ES_tradnl"/>
        </w:rPr>
        <w:t xml:space="preserve"> Tirso Román Valenzuela Ávila</w:t>
      </w:r>
      <w:r w:rsidR="00E20985" w:rsidRPr="007F3D68">
        <w:rPr>
          <w:rFonts w:ascii="Cambria" w:hAnsi="Cambria"/>
          <w:sz w:val="20"/>
          <w:szCs w:val="20"/>
          <w:lang w:val="es-ES_tradnl"/>
        </w:rPr>
        <w:t xml:space="preserve">. </w:t>
      </w:r>
    </w:p>
    <w:p w:rsidR="00F40EB1" w:rsidRDefault="00F40EB1">
      <w:pPr>
        <w:rPr>
          <w:rFonts w:ascii="Cambria" w:eastAsia="Cambria" w:hAnsi="Cambria" w:cs="Cambria"/>
          <w:color w:val="000000"/>
          <w:sz w:val="20"/>
          <w:szCs w:val="20"/>
          <w:u w:color="000000"/>
          <w:lang w:val="es-ES_tradnl" w:eastAsia="es-ES"/>
        </w:rPr>
      </w:pPr>
      <w:r>
        <w:rPr>
          <w:sz w:val="20"/>
          <w:szCs w:val="20"/>
          <w:lang w:val="es-ES_tradnl"/>
        </w:rPr>
        <w:br w:type="page"/>
      </w:r>
    </w:p>
    <w:p w:rsidR="00441522" w:rsidRPr="007F3D68" w:rsidRDefault="00441522" w:rsidP="00441522">
      <w:pPr>
        <w:pStyle w:val="ListParagraph"/>
        <w:rPr>
          <w:sz w:val="20"/>
          <w:szCs w:val="20"/>
          <w:lang w:val="es-ES_tradnl"/>
        </w:rPr>
      </w:pPr>
    </w:p>
    <w:p w:rsidR="00DC61E2" w:rsidRPr="007F3D68" w:rsidRDefault="00DC61E2" w:rsidP="004719E4">
      <w:pPr>
        <w:pStyle w:val="Heading1"/>
        <w:numPr>
          <w:ilvl w:val="0"/>
          <w:numId w:val="55"/>
        </w:numPr>
        <w:tabs>
          <w:tab w:val="clear" w:pos="1440"/>
        </w:tabs>
        <w:ind w:left="1260" w:hanging="540"/>
      </w:pPr>
      <w:bookmarkStart w:id="111" w:name="_Toc495479566"/>
      <w:r w:rsidRPr="007F3D68">
        <w:t>CONCLUSIONES</w:t>
      </w:r>
      <w:bookmarkEnd w:id="111"/>
    </w:p>
    <w:p w:rsidR="00DC61E2" w:rsidRPr="007F3D68" w:rsidRDefault="00DC61E2" w:rsidP="00DC61E2">
      <w:pPr>
        <w:rPr>
          <w:lang w:val="es-ES_tradnl"/>
        </w:rPr>
      </w:pPr>
    </w:p>
    <w:p w:rsidR="00076DA1" w:rsidRPr="007F3D68" w:rsidRDefault="00076DA1" w:rsidP="004719E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MX"/>
        </w:rPr>
      </w:pPr>
      <w:r w:rsidRPr="007F3D68">
        <w:rPr>
          <w:rFonts w:ascii="Cambria" w:hAnsi="Cambria"/>
          <w:sz w:val="20"/>
          <w:szCs w:val="20"/>
          <w:lang w:val="es-MX"/>
        </w:rPr>
        <w:t xml:space="preserve">La Comisión concluye que el Estado de Guatemala es responsable por la violación de los derechos a la </w:t>
      </w:r>
      <w:r w:rsidRPr="007F3D68">
        <w:rPr>
          <w:rFonts w:ascii="Cambria" w:hAnsi="Cambria"/>
          <w:sz w:val="20"/>
          <w:szCs w:val="20"/>
          <w:lang w:val="es-ES_tradnl"/>
        </w:rPr>
        <w:t>vida</w:t>
      </w:r>
      <w:r w:rsidRPr="007F3D68">
        <w:rPr>
          <w:rFonts w:ascii="Cambria" w:hAnsi="Cambria"/>
          <w:sz w:val="20"/>
          <w:szCs w:val="20"/>
          <w:lang w:val="es-MX"/>
        </w:rPr>
        <w:t xml:space="preserve">, a la integridad personal, a las garantías judiciales, al principio de legalidad y a la protección judicial establecidos en los artículos 4.1, 4.2, 5.1, 5.2, 8.1, 8.2 </w:t>
      </w:r>
      <w:r w:rsidR="00B4690A" w:rsidRPr="007F3D68">
        <w:rPr>
          <w:rFonts w:ascii="Cambria" w:hAnsi="Cambria"/>
          <w:sz w:val="20"/>
          <w:szCs w:val="20"/>
          <w:lang w:val="es-MX"/>
        </w:rPr>
        <w:t>g),</w:t>
      </w:r>
      <w:r w:rsidRPr="007F3D68">
        <w:rPr>
          <w:rFonts w:ascii="Cambria" w:hAnsi="Cambria"/>
          <w:sz w:val="20"/>
          <w:szCs w:val="20"/>
          <w:lang w:val="es-MX"/>
        </w:rPr>
        <w:t xml:space="preserve"> h)</w:t>
      </w:r>
      <w:r w:rsidR="00B4690A" w:rsidRPr="007F3D68">
        <w:rPr>
          <w:rFonts w:ascii="Cambria" w:hAnsi="Cambria"/>
          <w:sz w:val="20"/>
          <w:szCs w:val="20"/>
          <w:lang w:val="es-MX"/>
        </w:rPr>
        <w:t>, 8.3,</w:t>
      </w:r>
      <w:r w:rsidR="00576777" w:rsidRPr="007F3D68">
        <w:rPr>
          <w:rFonts w:ascii="Cambria" w:hAnsi="Cambria"/>
          <w:sz w:val="20"/>
          <w:szCs w:val="20"/>
          <w:lang w:val="es-MX"/>
        </w:rPr>
        <w:t xml:space="preserve"> 9</w:t>
      </w:r>
      <w:r w:rsidR="002F307E" w:rsidRPr="007F3D68">
        <w:rPr>
          <w:rFonts w:ascii="Cambria" w:hAnsi="Cambria"/>
          <w:sz w:val="20"/>
          <w:szCs w:val="20"/>
          <w:lang w:val="es-MX"/>
        </w:rPr>
        <w:t>, 11</w:t>
      </w:r>
      <w:r w:rsidRPr="007F3D68">
        <w:rPr>
          <w:rFonts w:ascii="Cambria" w:hAnsi="Cambria"/>
          <w:sz w:val="20"/>
          <w:szCs w:val="20"/>
          <w:lang w:val="es-MX"/>
        </w:rPr>
        <w:t xml:space="preserve"> y 25.1 de la Convención Americana en relación con las obligaciones establecidas en los artículos 1.1 y 2 del mismo instrumento, en perjuicio de </w:t>
      </w:r>
      <w:r w:rsidR="004D7E9D" w:rsidRPr="007F3D68">
        <w:rPr>
          <w:rFonts w:ascii="Cambria" w:hAnsi="Cambria"/>
          <w:sz w:val="20"/>
          <w:szCs w:val="20"/>
          <w:lang w:val="es-MX"/>
        </w:rPr>
        <w:t>Tirso Román Valenzuela Ávila</w:t>
      </w:r>
      <w:r w:rsidRPr="007F3D68">
        <w:rPr>
          <w:rFonts w:ascii="Cambria" w:hAnsi="Cambria"/>
          <w:sz w:val="20"/>
          <w:szCs w:val="20"/>
          <w:lang w:val="es-MX"/>
        </w:rPr>
        <w:t>. La Comisión también concluye que el Estado de Guatemala es responsable por la violación de los derechos a la integridad personal, garantías judiciales y protección judicial establecidos en los artículos 5.1, 8.1 y 25.1 de la Convención Americana en relación con las obligaciones establecidas en el artículo 1.1 del mismo instrumento, en perjuicio de los familiares de</w:t>
      </w:r>
      <w:r w:rsidR="00FD7ED1" w:rsidRPr="007F3D68">
        <w:rPr>
          <w:rFonts w:ascii="Cambria" w:hAnsi="Cambria"/>
          <w:sz w:val="20"/>
          <w:szCs w:val="20"/>
          <w:lang w:val="es-MX"/>
        </w:rPr>
        <w:t xml:space="preserve"> Tirso Román Valenzuela Ávila</w:t>
      </w:r>
      <w:r w:rsidRPr="007F3D68">
        <w:rPr>
          <w:rFonts w:ascii="Cambria" w:hAnsi="Cambria"/>
          <w:sz w:val="20"/>
          <w:szCs w:val="20"/>
          <w:lang w:val="es-MX"/>
        </w:rPr>
        <w:t>. Finalmente, la Concluye que el Estado de Guat</w:t>
      </w:r>
      <w:r w:rsidR="003831A0" w:rsidRPr="007F3D68">
        <w:rPr>
          <w:rFonts w:ascii="Cambria" w:hAnsi="Cambria"/>
          <w:sz w:val="20"/>
          <w:szCs w:val="20"/>
          <w:lang w:val="es-MX"/>
        </w:rPr>
        <w:t>emala violó los artículos 1</w:t>
      </w:r>
      <w:r w:rsidR="003831A0" w:rsidRPr="00CD1D70">
        <w:rPr>
          <w:rFonts w:ascii="Cambria" w:hAnsi="Cambria"/>
          <w:sz w:val="20"/>
          <w:szCs w:val="20"/>
          <w:lang w:val="es-MX"/>
        </w:rPr>
        <w:t xml:space="preserve">, 6, </w:t>
      </w:r>
      <w:r w:rsidRPr="00CD1D70">
        <w:rPr>
          <w:rFonts w:ascii="Cambria" w:hAnsi="Cambria"/>
          <w:sz w:val="20"/>
          <w:szCs w:val="20"/>
          <w:lang w:val="es-MX"/>
        </w:rPr>
        <w:t>8</w:t>
      </w:r>
      <w:r w:rsidR="003831A0" w:rsidRPr="00CD1D70">
        <w:rPr>
          <w:rFonts w:ascii="Cambria" w:hAnsi="Cambria"/>
          <w:sz w:val="20"/>
          <w:szCs w:val="20"/>
          <w:lang w:val="es-MX"/>
        </w:rPr>
        <w:t xml:space="preserve"> y 10</w:t>
      </w:r>
      <w:r w:rsidRPr="007F3D68">
        <w:rPr>
          <w:rFonts w:ascii="Cambria" w:hAnsi="Cambria"/>
          <w:sz w:val="20"/>
          <w:szCs w:val="20"/>
          <w:lang w:val="es-MX"/>
        </w:rPr>
        <w:t xml:space="preserve"> de la Convención Interamericana para Prevenir y Sancionar la Tortura. </w:t>
      </w:r>
    </w:p>
    <w:p w:rsidR="00076DA1" w:rsidRPr="007F3D68" w:rsidRDefault="00076DA1" w:rsidP="00DC61E2">
      <w:pPr>
        <w:rPr>
          <w:lang w:val="es-ES_tradnl"/>
        </w:rPr>
      </w:pPr>
    </w:p>
    <w:p w:rsidR="004131B4" w:rsidRPr="007F3D68" w:rsidRDefault="004131B4" w:rsidP="004719E4">
      <w:pPr>
        <w:pStyle w:val="Heading1"/>
        <w:numPr>
          <w:ilvl w:val="0"/>
          <w:numId w:val="55"/>
        </w:numPr>
        <w:tabs>
          <w:tab w:val="clear" w:pos="1440"/>
        </w:tabs>
        <w:ind w:left="1260" w:hanging="540"/>
      </w:pPr>
      <w:bookmarkStart w:id="112" w:name="_Toc491441659"/>
      <w:bookmarkStart w:id="113" w:name="_Toc495479567"/>
      <w:r w:rsidRPr="007F3D68">
        <w:t>RECOMENDACIONES</w:t>
      </w:r>
      <w:bookmarkEnd w:id="112"/>
      <w:bookmarkEnd w:id="113"/>
      <w:r w:rsidRPr="007F3D68">
        <w:t xml:space="preserve"> </w:t>
      </w:r>
    </w:p>
    <w:p w:rsidR="004131B4" w:rsidRPr="007F3D68" w:rsidRDefault="004131B4" w:rsidP="004131B4">
      <w:pPr>
        <w:rPr>
          <w:lang w:val="es-ES_tradnl"/>
        </w:rPr>
      </w:pPr>
    </w:p>
    <w:p w:rsidR="004131B4" w:rsidRPr="007F3D68" w:rsidRDefault="004131B4" w:rsidP="004719E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lang w:val="es-MX"/>
        </w:rPr>
      </w:pPr>
      <w:r w:rsidRPr="007F3D68">
        <w:rPr>
          <w:rFonts w:ascii="Cambria" w:hAnsi="Cambria"/>
          <w:sz w:val="20"/>
          <w:szCs w:val="20"/>
          <w:lang w:val="es-MX"/>
        </w:rPr>
        <w:t>Con fundamento en las anteriores conclusiones,</w:t>
      </w:r>
    </w:p>
    <w:p w:rsidR="004131B4" w:rsidRPr="007F3D68" w:rsidRDefault="004131B4" w:rsidP="008E757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lang w:val="es-MX"/>
        </w:rPr>
      </w:pPr>
    </w:p>
    <w:p w:rsidR="004131B4" w:rsidRPr="007F3D68" w:rsidRDefault="004131B4" w:rsidP="004131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2040"/>
        </w:tabs>
        <w:ind w:firstLine="720"/>
        <w:jc w:val="both"/>
        <w:rPr>
          <w:lang w:val="es-MX"/>
        </w:rPr>
      </w:pPr>
      <w:r w:rsidRPr="007F3D68">
        <w:rPr>
          <w:rFonts w:ascii="Cambria" w:hAnsi="Cambria"/>
          <w:b/>
          <w:sz w:val="20"/>
          <w:szCs w:val="20"/>
          <w:lang w:val="es-ES"/>
        </w:rPr>
        <w:t>LA COMISIÓN INTERAMERICANA DE DERECHOS HUMANOS RECOMIENDA AL ESTADO GUATEMALTECO,</w:t>
      </w:r>
    </w:p>
    <w:p w:rsidR="004131B4" w:rsidRPr="007F3D68" w:rsidRDefault="004131B4" w:rsidP="004131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2040"/>
        </w:tabs>
        <w:jc w:val="both"/>
        <w:rPr>
          <w:lang w:val="es-MX"/>
        </w:rPr>
      </w:pPr>
    </w:p>
    <w:p w:rsidR="004131B4" w:rsidRPr="007F3D68" w:rsidRDefault="004131B4" w:rsidP="004E102F">
      <w:pPr>
        <w:pStyle w:val="BodyText3"/>
        <w:numPr>
          <w:ilvl w:val="0"/>
          <w:numId w:val="66"/>
        </w:numPr>
        <w:tabs>
          <w:tab w:val="clear" w:pos="1860"/>
          <w:tab w:val="num" w:pos="0"/>
          <w:tab w:val="left" w:pos="720"/>
          <w:tab w:val="left" w:pos="1440"/>
          <w:tab w:val="left" w:pos="9360"/>
        </w:tabs>
        <w:spacing w:after="0"/>
        <w:ind w:left="0" w:firstLine="720"/>
        <w:jc w:val="both"/>
        <w:rPr>
          <w:rFonts w:ascii="Cambria" w:hAnsi="Cambria"/>
          <w:sz w:val="20"/>
          <w:szCs w:val="20"/>
          <w:lang w:val="es-VE"/>
        </w:rPr>
      </w:pPr>
      <w:r w:rsidRPr="007F3D68">
        <w:rPr>
          <w:rFonts w:ascii="Cambria" w:hAnsi="Cambria"/>
          <w:sz w:val="20"/>
          <w:szCs w:val="20"/>
          <w:lang w:val="es-VE"/>
        </w:rPr>
        <w:t>Reparar integralmente las violaciones de derechos humanos declaradas en el presente informe tanto en el aspecto material como inmaterial. Las medidas de reparación deberán incluir una justa compensación así como medidas de satisfacción y rehabilitación, de ser pertinentes, en consulta con los familiares del señor Valenzuela</w:t>
      </w:r>
      <w:r w:rsidR="000F075F" w:rsidRPr="007F3D68">
        <w:rPr>
          <w:rFonts w:ascii="Cambria" w:hAnsi="Cambria"/>
          <w:sz w:val="20"/>
          <w:szCs w:val="20"/>
          <w:lang w:val="es-VE"/>
        </w:rPr>
        <w:t xml:space="preserve"> Ávila</w:t>
      </w:r>
      <w:r w:rsidRPr="007F3D68">
        <w:rPr>
          <w:rFonts w:ascii="Cambria" w:hAnsi="Cambria"/>
          <w:sz w:val="20"/>
          <w:szCs w:val="20"/>
          <w:lang w:val="es-VE"/>
        </w:rPr>
        <w:t xml:space="preserve">. </w:t>
      </w:r>
      <w:r w:rsidR="00634E83" w:rsidRPr="007F3D68">
        <w:rPr>
          <w:rFonts w:ascii="Cambria" w:hAnsi="Cambria"/>
          <w:sz w:val="20"/>
          <w:szCs w:val="20"/>
          <w:lang w:val="es-VE"/>
        </w:rPr>
        <w:t>L</w:t>
      </w:r>
      <w:r w:rsidRPr="007F3D68">
        <w:rPr>
          <w:rFonts w:ascii="Cambria" w:hAnsi="Cambria"/>
          <w:sz w:val="20"/>
          <w:szCs w:val="20"/>
          <w:lang w:val="es-VE"/>
        </w:rPr>
        <w:t>a CIDH insta al Estado a realizar todos los esfuerzos posibles para ubicar</w:t>
      </w:r>
      <w:r w:rsidR="00634E83" w:rsidRPr="007F3D68">
        <w:rPr>
          <w:rFonts w:ascii="Cambria" w:hAnsi="Cambria"/>
          <w:sz w:val="20"/>
          <w:szCs w:val="20"/>
          <w:lang w:val="es-VE"/>
        </w:rPr>
        <w:t xml:space="preserve"> a dichos familiares</w:t>
      </w:r>
      <w:r w:rsidRPr="007F3D68">
        <w:rPr>
          <w:rFonts w:ascii="Cambria" w:hAnsi="Cambria"/>
          <w:sz w:val="20"/>
          <w:szCs w:val="20"/>
          <w:lang w:val="es-VE"/>
        </w:rPr>
        <w:t xml:space="preserve"> y</w:t>
      </w:r>
      <w:r w:rsidR="003647A1" w:rsidRPr="007F3D68">
        <w:rPr>
          <w:rFonts w:ascii="Cambria" w:hAnsi="Cambria"/>
          <w:sz w:val="20"/>
          <w:szCs w:val="20"/>
          <w:lang w:val="es-VE"/>
        </w:rPr>
        <w:t>,</w:t>
      </w:r>
      <w:r w:rsidRPr="007F3D68">
        <w:rPr>
          <w:rFonts w:ascii="Cambria" w:hAnsi="Cambria"/>
          <w:sz w:val="20"/>
          <w:szCs w:val="20"/>
          <w:lang w:val="es-VE"/>
        </w:rPr>
        <w:t xml:space="preserve"> en caso de no ser posible, aportar el componente pecuniario de la reparación que les correspondería, al Fondo de Asistencia Legal.</w:t>
      </w:r>
    </w:p>
    <w:p w:rsidR="004131B4" w:rsidRPr="007F3D68" w:rsidRDefault="004131B4" w:rsidP="004131B4">
      <w:pPr>
        <w:tabs>
          <w:tab w:val="num" w:pos="0"/>
          <w:tab w:val="left" w:pos="1440"/>
          <w:tab w:val="left" w:pos="9360"/>
        </w:tabs>
        <w:ind w:firstLine="720"/>
        <w:rPr>
          <w:rFonts w:ascii="Cambria" w:hAnsi="Cambria"/>
          <w:sz w:val="20"/>
          <w:szCs w:val="20"/>
          <w:lang w:val="es-VE"/>
        </w:rPr>
      </w:pPr>
    </w:p>
    <w:p w:rsidR="004131B4" w:rsidRPr="007F3D68" w:rsidRDefault="004131B4" w:rsidP="004E102F">
      <w:pPr>
        <w:pStyle w:val="BodyText3"/>
        <w:numPr>
          <w:ilvl w:val="0"/>
          <w:numId w:val="66"/>
        </w:numPr>
        <w:tabs>
          <w:tab w:val="clear" w:pos="1860"/>
          <w:tab w:val="num" w:pos="0"/>
          <w:tab w:val="left" w:pos="720"/>
          <w:tab w:val="left" w:pos="1440"/>
          <w:tab w:val="left" w:pos="9360"/>
        </w:tabs>
        <w:spacing w:after="0"/>
        <w:ind w:left="0" w:firstLine="720"/>
        <w:jc w:val="both"/>
        <w:rPr>
          <w:rFonts w:ascii="Cambria" w:hAnsi="Cambria"/>
          <w:sz w:val="20"/>
          <w:szCs w:val="20"/>
          <w:lang w:val="es-VE"/>
        </w:rPr>
      </w:pPr>
      <w:r w:rsidRPr="007F3D68">
        <w:rPr>
          <w:rFonts w:ascii="Cambria" w:hAnsi="Cambria"/>
          <w:sz w:val="20"/>
          <w:szCs w:val="20"/>
          <w:lang w:val="es-VE"/>
        </w:rPr>
        <w:t xml:space="preserve">Investigar los actos de tortura sufridos por el señor </w:t>
      </w:r>
      <w:r w:rsidR="0022544E" w:rsidRPr="007F3D68">
        <w:rPr>
          <w:rFonts w:ascii="Cambria" w:hAnsi="Cambria"/>
          <w:sz w:val="20"/>
          <w:szCs w:val="20"/>
          <w:lang w:val="es-VE"/>
        </w:rPr>
        <w:t>Valenzuela</w:t>
      </w:r>
      <w:r w:rsidR="000F075F" w:rsidRPr="007F3D68">
        <w:rPr>
          <w:rFonts w:ascii="Cambria" w:hAnsi="Cambria"/>
          <w:sz w:val="20"/>
          <w:szCs w:val="20"/>
          <w:lang w:val="es-VE"/>
        </w:rPr>
        <w:t xml:space="preserve"> Ávila</w:t>
      </w:r>
      <w:r w:rsidRPr="007F3D68">
        <w:rPr>
          <w:rFonts w:ascii="Cambria" w:hAnsi="Cambria"/>
          <w:sz w:val="20"/>
          <w:szCs w:val="20"/>
          <w:lang w:val="es-VE"/>
        </w:rPr>
        <w:t xml:space="preserve"> de manera diligente, efectiva y en un plazo razonable con el objeto de esclarecer los hechos en forma completa, identificar a los autores e imponer las sanciones que correspondan. </w:t>
      </w:r>
    </w:p>
    <w:p w:rsidR="004131B4" w:rsidRPr="007F3D68" w:rsidRDefault="004131B4" w:rsidP="004131B4">
      <w:pPr>
        <w:pStyle w:val="BodyText3"/>
        <w:tabs>
          <w:tab w:val="num" w:pos="0"/>
          <w:tab w:val="left" w:pos="720"/>
          <w:tab w:val="left" w:pos="1440"/>
          <w:tab w:val="left" w:pos="9360"/>
        </w:tabs>
        <w:spacing w:after="0"/>
        <w:ind w:firstLine="720"/>
        <w:jc w:val="both"/>
        <w:rPr>
          <w:rFonts w:ascii="Cambria" w:hAnsi="Cambria"/>
          <w:sz w:val="20"/>
          <w:szCs w:val="20"/>
          <w:lang w:val="es-VE"/>
        </w:rPr>
      </w:pPr>
    </w:p>
    <w:p w:rsidR="004131B4" w:rsidRPr="007F3D68" w:rsidRDefault="004131B4" w:rsidP="004E102F">
      <w:pPr>
        <w:pStyle w:val="BodyText3"/>
        <w:numPr>
          <w:ilvl w:val="0"/>
          <w:numId w:val="66"/>
        </w:numPr>
        <w:tabs>
          <w:tab w:val="clear" w:pos="1860"/>
          <w:tab w:val="num" w:pos="0"/>
          <w:tab w:val="left" w:pos="720"/>
          <w:tab w:val="left" w:pos="1440"/>
          <w:tab w:val="left" w:pos="9360"/>
        </w:tabs>
        <w:spacing w:after="0"/>
        <w:ind w:left="0" w:firstLine="720"/>
        <w:jc w:val="both"/>
        <w:rPr>
          <w:rFonts w:ascii="Cambria" w:hAnsi="Cambria"/>
          <w:sz w:val="20"/>
          <w:szCs w:val="20"/>
          <w:lang w:val="es-VE"/>
        </w:rPr>
      </w:pPr>
      <w:r w:rsidRPr="007F3D68">
        <w:rPr>
          <w:rFonts w:ascii="Cambria" w:hAnsi="Cambria"/>
          <w:sz w:val="20"/>
          <w:szCs w:val="20"/>
          <w:lang w:val="es-VE"/>
        </w:rPr>
        <w:t xml:space="preserve">Investigar la ejecución extrajudicial sufrida por el señor </w:t>
      </w:r>
      <w:r w:rsidR="0099527B" w:rsidRPr="007F3D68">
        <w:rPr>
          <w:rFonts w:ascii="Cambria" w:hAnsi="Cambria"/>
          <w:sz w:val="20"/>
          <w:szCs w:val="20"/>
          <w:lang w:val="es-VE"/>
        </w:rPr>
        <w:t xml:space="preserve">Valenzuela Ávila </w:t>
      </w:r>
      <w:r w:rsidRPr="007F3D68">
        <w:rPr>
          <w:rFonts w:ascii="Cambria" w:hAnsi="Cambria"/>
          <w:sz w:val="20"/>
          <w:szCs w:val="20"/>
          <w:lang w:val="es-VE"/>
        </w:rPr>
        <w:t xml:space="preserve">de manera diligente, efectiva y en un plazo razonable con el objeto de esclarecer los hechos en forma completa, identificar a los autores e imponer las sanciones que correspondan. </w:t>
      </w:r>
    </w:p>
    <w:p w:rsidR="004131B4" w:rsidRPr="007F3D68" w:rsidRDefault="004131B4" w:rsidP="004131B4">
      <w:pPr>
        <w:pStyle w:val="BodyText3"/>
        <w:tabs>
          <w:tab w:val="num" w:pos="0"/>
          <w:tab w:val="left" w:pos="720"/>
          <w:tab w:val="left" w:pos="1440"/>
          <w:tab w:val="left" w:pos="9360"/>
        </w:tabs>
        <w:spacing w:after="0"/>
        <w:ind w:firstLine="720"/>
        <w:jc w:val="both"/>
        <w:rPr>
          <w:rFonts w:ascii="Cambria" w:hAnsi="Cambria"/>
          <w:sz w:val="20"/>
          <w:szCs w:val="20"/>
          <w:lang w:val="es-VE"/>
        </w:rPr>
      </w:pPr>
    </w:p>
    <w:p w:rsidR="004131B4" w:rsidRPr="007F3D68" w:rsidRDefault="004131B4" w:rsidP="004E102F">
      <w:pPr>
        <w:pStyle w:val="BodyText3"/>
        <w:numPr>
          <w:ilvl w:val="0"/>
          <w:numId w:val="66"/>
        </w:numPr>
        <w:tabs>
          <w:tab w:val="clear" w:pos="1860"/>
          <w:tab w:val="num" w:pos="0"/>
          <w:tab w:val="left" w:pos="720"/>
          <w:tab w:val="left" w:pos="1440"/>
          <w:tab w:val="left" w:pos="9360"/>
        </w:tabs>
        <w:spacing w:after="0"/>
        <w:ind w:left="0" w:firstLine="720"/>
        <w:jc w:val="both"/>
        <w:rPr>
          <w:rFonts w:ascii="Cambria" w:hAnsi="Cambria"/>
          <w:sz w:val="20"/>
          <w:szCs w:val="20"/>
          <w:lang w:val="es-VE"/>
        </w:rPr>
      </w:pPr>
      <w:r w:rsidRPr="007F3D68">
        <w:rPr>
          <w:rFonts w:ascii="Cambria" w:hAnsi="Cambria"/>
          <w:sz w:val="20"/>
          <w:szCs w:val="20"/>
          <w:lang w:val="es-VE"/>
        </w:rPr>
        <w:t>En cuanto a la pena de muerte, la Comisión toma nota y valora positivamente que desde hace 17 años la pena de muerte no ha sido impuesta por las autoridades judiciales y que también se ha dispuesto la conmutación de la pena desde hace más de una década frente a personas ya condenadas. Asimismo, la Comisión toma nota y valora positivamente que el Poder Ejecutivo durante años hubiese adoptado medidas para evitar la reactivación de la pena de muerte en Guatemala. En ese sentido, la Comisión observa que como consecuencia de acciones tanto del Poder Ejecutivo como del Poder Judicial, han pasado 17 años sin imposición ni ejecución de la pena de muerte en Guatemala. La Comisión entiende que, en la práctica, el Estado guatemalteco ha avanzado en una tendencia hacia la abolición de la pena de muerte, lo que resulta consistente con el espíritu de la Convención Americana en la materia. Por lo anterior, tomando en cuenta la práctica de ya casi dos décadas, y lo indicado por la CIDH en su Informe “La Pena de muerte en el Sistema Interamericano de Derechos Humanos: de restricciones a abolición” respecto a que los Estados miembros de la OEA deben eliminar gradualmente la pena de muerte, la Comisión recomienda al Estado de Guatemala adoptar las medidas necesarias para que la legislación interna sea consistente con dicha práctica y así continuar en el camino hacia la abolición de la pena de muerte.</w:t>
      </w:r>
    </w:p>
    <w:p w:rsidR="004131B4" w:rsidRPr="007F3D68" w:rsidRDefault="004131B4" w:rsidP="004131B4">
      <w:pPr>
        <w:pStyle w:val="BodyText3"/>
        <w:tabs>
          <w:tab w:val="num" w:pos="0"/>
          <w:tab w:val="left" w:pos="720"/>
          <w:tab w:val="left" w:pos="1440"/>
          <w:tab w:val="left" w:pos="9360"/>
        </w:tabs>
        <w:spacing w:after="0"/>
        <w:jc w:val="both"/>
        <w:rPr>
          <w:rFonts w:ascii="Cambria" w:hAnsi="Cambria"/>
          <w:sz w:val="20"/>
          <w:szCs w:val="20"/>
          <w:lang w:val="es-VE"/>
        </w:rPr>
      </w:pPr>
    </w:p>
    <w:p w:rsidR="004131B4" w:rsidRPr="007F3D68" w:rsidRDefault="004131B4" w:rsidP="004E102F">
      <w:pPr>
        <w:pStyle w:val="BodyText3"/>
        <w:numPr>
          <w:ilvl w:val="0"/>
          <w:numId w:val="66"/>
        </w:numPr>
        <w:tabs>
          <w:tab w:val="clear" w:pos="1860"/>
          <w:tab w:val="num" w:pos="0"/>
          <w:tab w:val="left" w:pos="720"/>
          <w:tab w:val="left" w:pos="1440"/>
          <w:tab w:val="left" w:pos="9360"/>
        </w:tabs>
        <w:spacing w:after="0"/>
        <w:ind w:left="0" w:firstLine="720"/>
        <w:jc w:val="both"/>
        <w:rPr>
          <w:rFonts w:ascii="Cambria" w:hAnsi="Cambria"/>
          <w:sz w:val="20"/>
          <w:szCs w:val="20"/>
          <w:lang w:val="es-VE"/>
        </w:rPr>
      </w:pPr>
      <w:r w:rsidRPr="007F3D68">
        <w:rPr>
          <w:rFonts w:ascii="Cambria" w:hAnsi="Cambria"/>
          <w:sz w:val="20"/>
          <w:szCs w:val="20"/>
          <w:lang w:val="es-VE"/>
        </w:rPr>
        <w:t xml:space="preserve">Adoptar las medidas legislativas, administrativas y de </w:t>
      </w:r>
      <w:proofErr w:type="gramStart"/>
      <w:r w:rsidRPr="007F3D68">
        <w:rPr>
          <w:rFonts w:ascii="Cambria" w:hAnsi="Cambria"/>
          <w:sz w:val="20"/>
          <w:szCs w:val="20"/>
          <w:lang w:val="es-VE"/>
        </w:rPr>
        <w:t>otra índole necesarias</w:t>
      </w:r>
      <w:proofErr w:type="gramEnd"/>
      <w:r w:rsidRPr="007F3D68">
        <w:rPr>
          <w:rFonts w:ascii="Cambria" w:hAnsi="Cambria"/>
          <w:sz w:val="20"/>
          <w:szCs w:val="20"/>
          <w:lang w:val="es-VE"/>
        </w:rPr>
        <w:t xml:space="preserve"> para asegurar que en la regulación y en la práctica, las personas condenadas penalmente cuenten con un recurso ante autoridad jerárquica que permita una revisión integral del fallo condenatorio.</w:t>
      </w:r>
    </w:p>
    <w:p w:rsidR="004131B4" w:rsidRPr="007F3D68" w:rsidRDefault="004131B4" w:rsidP="004131B4">
      <w:pPr>
        <w:pStyle w:val="BodyText3"/>
        <w:tabs>
          <w:tab w:val="num" w:pos="0"/>
          <w:tab w:val="left" w:pos="720"/>
          <w:tab w:val="left" w:pos="1440"/>
          <w:tab w:val="left" w:pos="9360"/>
        </w:tabs>
        <w:spacing w:after="0"/>
        <w:ind w:firstLine="720"/>
        <w:jc w:val="both"/>
        <w:rPr>
          <w:rFonts w:ascii="Cambria" w:hAnsi="Cambria"/>
          <w:sz w:val="20"/>
          <w:szCs w:val="20"/>
          <w:lang w:val="es-CO"/>
        </w:rPr>
      </w:pPr>
    </w:p>
    <w:p w:rsidR="00DC61E2" w:rsidRPr="00F40EB1" w:rsidRDefault="004131B4" w:rsidP="00FB59EE">
      <w:pPr>
        <w:pStyle w:val="BodyText3"/>
        <w:numPr>
          <w:ilvl w:val="0"/>
          <w:numId w:val="66"/>
        </w:numPr>
        <w:tabs>
          <w:tab w:val="clear" w:pos="1860"/>
          <w:tab w:val="num" w:pos="0"/>
          <w:tab w:val="left" w:pos="720"/>
          <w:tab w:val="left" w:pos="1440"/>
          <w:tab w:val="left" w:pos="9360"/>
        </w:tabs>
        <w:spacing w:after="0"/>
        <w:ind w:left="0" w:firstLine="720"/>
        <w:jc w:val="both"/>
        <w:rPr>
          <w:rFonts w:ascii="Cambria" w:hAnsi="Cambria"/>
          <w:sz w:val="20"/>
          <w:szCs w:val="20"/>
          <w:lang w:val="es-VE"/>
        </w:rPr>
      </w:pPr>
      <w:r w:rsidRPr="007F3D68">
        <w:rPr>
          <w:rFonts w:ascii="Cambria" w:hAnsi="Cambria"/>
          <w:sz w:val="20"/>
          <w:szCs w:val="20"/>
          <w:lang w:val="es-CO"/>
        </w:rPr>
        <w:t xml:space="preserve">Adoptar medidas administrativas y de otra índole dirigidas a capacitar a los cuerpos de seguridad en la prohibición absoluta de la tortura. Asimismo, el Estado deberá realizar capacitaciones sobre el uso de la fuerza conforme a los estándares internacionales en el marco de operativos de captura de personas privadas de libertad que se hayan dado a la fuga de los centros de detención. </w:t>
      </w:r>
      <w:r w:rsidR="00A5252E" w:rsidRPr="007F3D68">
        <w:rPr>
          <w:rFonts w:ascii="Cambria" w:hAnsi="Cambria"/>
          <w:sz w:val="20"/>
          <w:szCs w:val="20"/>
          <w:lang w:val="es-CO"/>
        </w:rPr>
        <w:t>Finalmente, el Estado debe adoptar medidas para fortalecer los procesos para investigar, enjuiciar y sancionar a agentes estatales involucrados en actos de tortura</w:t>
      </w:r>
      <w:r w:rsidR="008352CC" w:rsidRPr="007F3D68">
        <w:rPr>
          <w:rFonts w:ascii="Cambria" w:hAnsi="Cambria"/>
          <w:sz w:val="20"/>
          <w:szCs w:val="20"/>
          <w:lang w:val="es-CO"/>
        </w:rPr>
        <w:t xml:space="preserve"> o en violaciones de derechos humanos en el contexto de operativos de captura de personas fugadas. </w:t>
      </w:r>
    </w:p>
    <w:p w:rsidR="00F40EB1" w:rsidRDefault="00F40EB1" w:rsidP="00F40EB1">
      <w:pPr>
        <w:pStyle w:val="ListParagraph"/>
        <w:rPr>
          <w:sz w:val="20"/>
          <w:szCs w:val="20"/>
          <w:lang w:val="es-VE"/>
        </w:rPr>
      </w:pPr>
    </w:p>
    <w:p w:rsidR="00171E52" w:rsidRPr="00A37B82" w:rsidRDefault="00171E52" w:rsidP="00171E5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Montevideo, Uruguay</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Segunda Vicepresidenta; José de Jesús Orozco Henríquez, Paulo Vannuchi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171E52" w:rsidRPr="00A37B82" w:rsidRDefault="00171E52" w:rsidP="00171E52">
      <w:pPr>
        <w:suppressAutoHyphens/>
        <w:ind w:firstLine="720"/>
        <w:jc w:val="both"/>
        <w:rPr>
          <w:rFonts w:asciiTheme="majorHAnsi" w:hAnsiTheme="majorHAnsi" w:cs="Arial"/>
          <w:noProof/>
          <w:spacing w:val="-2"/>
          <w:sz w:val="20"/>
          <w:szCs w:val="20"/>
          <w:lang w:val="es-CL"/>
        </w:rPr>
      </w:pPr>
    </w:p>
    <w:p w:rsidR="00171E52" w:rsidRPr="00A37B82" w:rsidRDefault="00171E52" w:rsidP="00171E52">
      <w:pPr>
        <w:ind w:firstLine="720"/>
        <w:jc w:val="both"/>
        <w:rPr>
          <w:rFonts w:asciiTheme="majorHAnsi" w:hAnsiTheme="majorHAnsi" w:cs="Arial"/>
          <w:noProof/>
          <w:sz w:val="20"/>
          <w:szCs w:val="20"/>
          <w:lang w:val="es-CL"/>
        </w:rPr>
      </w:pPr>
      <w:r>
        <w:rPr>
          <w:rFonts w:asciiTheme="majorHAnsi" w:hAnsiTheme="majorHAnsi" w:cs="Arial"/>
          <w:noProof/>
          <w:sz w:val="20"/>
          <w:szCs w:val="20"/>
          <w:lang w:val="es-CL"/>
        </w:rPr>
        <w:t>La</w:t>
      </w:r>
      <w:r w:rsidRPr="00A37B82">
        <w:rPr>
          <w:rFonts w:asciiTheme="majorHAnsi" w:hAnsiTheme="majorHAnsi" w:cs="Arial"/>
          <w:noProof/>
          <w:sz w:val="20"/>
          <w:szCs w:val="20"/>
          <w:lang w:val="es-CL"/>
        </w:rPr>
        <w:t xml:space="preserve"> que suscribe, </w:t>
      </w:r>
      <w:r>
        <w:rPr>
          <w:rFonts w:asciiTheme="majorHAnsi" w:hAnsiTheme="majorHAnsi"/>
          <w:spacing w:val="-2"/>
          <w:sz w:val="20"/>
          <w:szCs w:val="20"/>
          <w:lang w:val="es-SV"/>
        </w:rPr>
        <w:t>Elizabeth Abi-Mershed</w:t>
      </w:r>
      <w:r>
        <w:rPr>
          <w:rFonts w:asciiTheme="majorHAnsi" w:hAnsiTheme="majorHAnsi" w:cs="Arial"/>
          <w:noProof/>
          <w:sz w:val="20"/>
          <w:szCs w:val="20"/>
          <w:lang w:val="es-CL"/>
        </w:rPr>
        <w:t>, en su carácter de Secretaria Ejecutiva Adjunta</w:t>
      </w:r>
      <w:r w:rsidRPr="00A37B82">
        <w:rPr>
          <w:rFonts w:asciiTheme="majorHAnsi" w:hAnsiTheme="majorHAnsi" w:cs="Arial"/>
          <w:noProof/>
          <w:sz w:val="20"/>
          <w:szCs w:val="20"/>
          <w:lang w:val="es-CL"/>
        </w:rPr>
        <w:t xml:space="preserve"> de la Comisión Interamericana de Derechos Humanos, de conformidad con el artículo 49 del Reglamento de la Comisión, certifica que es copia fiel del original depositado en los archivos de la Secretaría de la CIDH.</w:t>
      </w:r>
    </w:p>
    <w:p w:rsidR="00171E52" w:rsidRPr="00A37B82" w:rsidRDefault="00171E52" w:rsidP="00171E52">
      <w:pPr>
        <w:suppressAutoHyphens/>
        <w:jc w:val="both"/>
        <w:rPr>
          <w:rFonts w:asciiTheme="majorHAnsi" w:hAnsiTheme="majorHAnsi" w:cs="Arial"/>
          <w:noProof/>
          <w:spacing w:val="-2"/>
          <w:sz w:val="20"/>
          <w:szCs w:val="20"/>
          <w:lang w:val="es-CL"/>
        </w:rPr>
      </w:pPr>
    </w:p>
    <w:p w:rsidR="00171E52" w:rsidRDefault="00171E52" w:rsidP="00171E52">
      <w:pPr>
        <w:ind w:left="720" w:hanging="720"/>
        <w:jc w:val="center"/>
        <w:rPr>
          <w:rFonts w:asciiTheme="majorHAnsi" w:hAnsiTheme="majorHAnsi" w:cs="Arial"/>
          <w:sz w:val="20"/>
          <w:szCs w:val="20"/>
          <w:lang w:val="es-SV"/>
        </w:rPr>
      </w:pPr>
    </w:p>
    <w:p w:rsidR="00171E52" w:rsidRDefault="00171E52" w:rsidP="00171E52">
      <w:pPr>
        <w:ind w:left="720" w:hanging="720"/>
        <w:jc w:val="center"/>
        <w:rPr>
          <w:rFonts w:asciiTheme="majorHAnsi" w:hAnsiTheme="majorHAnsi" w:cs="Arial"/>
          <w:sz w:val="20"/>
          <w:szCs w:val="20"/>
          <w:lang w:val="es-SV"/>
        </w:rPr>
      </w:pPr>
    </w:p>
    <w:p w:rsidR="00171E52" w:rsidRDefault="00171E52" w:rsidP="00171E52">
      <w:pPr>
        <w:ind w:left="720" w:hanging="720"/>
        <w:jc w:val="center"/>
        <w:rPr>
          <w:rFonts w:asciiTheme="majorHAnsi" w:hAnsiTheme="majorHAnsi" w:cs="Arial"/>
          <w:sz w:val="20"/>
          <w:szCs w:val="20"/>
          <w:lang w:val="es-SV"/>
        </w:rPr>
      </w:pPr>
    </w:p>
    <w:p w:rsidR="00171E52" w:rsidRPr="00A37B82" w:rsidRDefault="00171E52" w:rsidP="00171E52">
      <w:pPr>
        <w:ind w:left="720" w:hanging="720"/>
        <w:jc w:val="center"/>
        <w:rPr>
          <w:rFonts w:asciiTheme="majorHAnsi" w:hAnsiTheme="majorHAnsi" w:cs="Arial"/>
          <w:sz w:val="20"/>
          <w:szCs w:val="20"/>
          <w:lang w:val="es-SV"/>
        </w:rPr>
      </w:pPr>
    </w:p>
    <w:p w:rsidR="00171E52" w:rsidRPr="00A37B82" w:rsidRDefault="00171E52" w:rsidP="00171E52">
      <w:pPr>
        <w:suppressAutoHyphens/>
        <w:jc w:val="center"/>
        <w:rPr>
          <w:rFonts w:asciiTheme="majorHAnsi" w:hAnsiTheme="majorHAnsi"/>
          <w:spacing w:val="-2"/>
          <w:sz w:val="20"/>
          <w:szCs w:val="20"/>
          <w:lang w:val="es-SV"/>
        </w:rPr>
      </w:pPr>
      <w:r>
        <w:rPr>
          <w:rFonts w:asciiTheme="majorHAnsi" w:hAnsiTheme="majorHAnsi"/>
          <w:spacing w:val="-2"/>
          <w:sz w:val="20"/>
          <w:szCs w:val="20"/>
          <w:lang w:val="es-SV"/>
        </w:rPr>
        <w:t>Elizabeth Abi-Mershed</w:t>
      </w:r>
    </w:p>
    <w:p w:rsidR="00171E52" w:rsidRPr="00A37B82" w:rsidRDefault="00171E52" w:rsidP="00171E52">
      <w:pPr>
        <w:ind w:left="720" w:hanging="720"/>
        <w:jc w:val="center"/>
        <w:rPr>
          <w:rFonts w:asciiTheme="majorHAnsi" w:hAnsiTheme="majorHAnsi" w:cs="Arial"/>
          <w:noProof/>
          <w:spacing w:val="-2"/>
          <w:sz w:val="20"/>
          <w:szCs w:val="20"/>
          <w:lang w:val="es-CL"/>
        </w:rPr>
      </w:pPr>
      <w:r>
        <w:rPr>
          <w:rFonts w:asciiTheme="majorHAnsi" w:hAnsiTheme="majorHAnsi"/>
          <w:spacing w:val="-2"/>
          <w:sz w:val="20"/>
          <w:szCs w:val="20"/>
          <w:lang w:val="es-SV"/>
        </w:rPr>
        <w:t>Secretaria Ejecutiva Adjunta</w:t>
      </w:r>
    </w:p>
    <w:p w:rsidR="00F40EB1" w:rsidRPr="007F3D68" w:rsidRDefault="00F40EB1" w:rsidP="00F40EB1">
      <w:pPr>
        <w:pStyle w:val="BodyText3"/>
        <w:tabs>
          <w:tab w:val="left" w:pos="720"/>
          <w:tab w:val="left" w:pos="1440"/>
          <w:tab w:val="left" w:pos="9360"/>
        </w:tabs>
        <w:spacing w:after="0"/>
        <w:jc w:val="both"/>
        <w:rPr>
          <w:rFonts w:ascii="Cambria" w:hAnsi="Cambria"/>
          <w:sz w:val="20"/>
          <w:szCs w:val="20"/>
          <w:lang w:val="es-VE"/>
        </w:rPr>
      </w:pPr>
    </w:p>
    <w:sectPr w:rsidR="00F40EB1" w:rsidRPr="007F3D68" w:rsidSect="000E3549">
      <w:type w:val="oddPage"/>
      <w:pgSz w:w="12240" w:h="15840"/>
      <w:pgMar w:top="1440" w:right="135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EB1" w:rsidRDefault="00F40EB1">
      <w:r>
        <w:separator/>
      </w:r>
    </w:p>
  </w:endnote>
  <w:endnote w:type="continuationSeparator" w:id="0">
    <w:p w:rsidR="00F40EB1" w:rsidRDefault="00F4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Universal">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Times-Roman">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Italic">
    <w:altName w:val="Optima ExtraBlack"/>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F40EB1" w:rsidRPr="00934A2C" w:rsidRDefault="00F40EB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D7B67">
          <w:rPr>
            <w:noProof/>
            <w:sz w:val="16"/>
            <w:szCs w:val="22"/>
          </w:rPr>
          <w:t>37</w:t>
        </w:r>
        <w:r w:rsidRPr="00934A2C">
          <w:rPr>
            <w:noProof/>
            <w:sz w:val="16"/>
            <w:szCs w:val="22"/>
          </w:rPr>
          <w:fldChar w:fldCharType="end"/>
        </w:r>
      </w:p>
    </w:sdtContent>
  </w:sdt>
  <w:p w:rsidR="00F40EB1" w:rsidRDefault="00F40E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B1" w:rsidRPr="00934A2C" w:rsidRDefault="00F40EB1">
    <w:pPr>
      <w:pStyle w:val="Footer"/>
      <w:jc w:val="center"/>
      <w:rPr>
        <w:sz w:val="16"/>
        <w:szCs w:val="22"/>
      </w:rPr>
    </w:pPr>
  </w:p>
  <w:p w:rsidR="00F40EB1" w:rsidRDefault="00F40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EB1" w:rsidRDefault="00F40EB1">
      <w:r>
        <w:separator/>
      </w:r>
    </w:p>
  </w:footnote>
  <w:footnote w:type="continuationSeparator" w:id="0">
    <w:p w:rsidR="00F40EB1" w:rsidRDefault="00F40EB1">
      <w:r>
        <w:continuationSeparator/>
      </w:r>
    </w:p>
  </w:footnote>
  <w:footnote w:type="continuationNotice" w:id="1">
    <w:p w:rsidR="00F40EB1" w:rsidRDefault="00F40EB1"/>
  </w:footnote>
  <w:footnote w:id="2">
    <w:p w:rsidR="00F40EB1" w:rsidRPr="007F3D68" w:rsidRDefault="00F40EB1" w:rsidP="00EA4FFC">
      <w:pPr>
        <w:pStyle w:val="FootnoteText"/>
        <w:ind w:firstLine="720"/>
        <w:rPr>
          <w:rFonts w:asciiTheme="majorHAnsi" w:hAnsiTheme="majorHAnsi"/>
          <w:sz w:val="16"/>
          <w:szCs w:val="16"/>
          <w:lang w:val="es-VE"/>
        </w:rPr>
      </w:pP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CIDH, </w:t>
      </w:r>
      <w:hyperlink r:id="rId1" w:history="1">
        <w:r w:rsidRPr="007F3D68">
          <w:rPr>
            <w:rStyle w:val="Hyperlink"/>
            <w:rFonts w:asciiTheme="majorHAnsi" w:hAnsiTheme="majorHAnsi"/>
            <w:sz w:val="16"/>
            <w:szCs w:val="16"/>
            <w:u w:val="none"/>
            <w:lang w:val="es-VE"/>
          </w:rPr>
          <w:t>Informe 24/04</w:t>
        </w:r>
      </w:hyperlink>
      <w:r w:rsidRPr="007F3D68">
        <w:rPr>
          <w:rFonts w:asciiTheme="majorHAnsi" w:hAnsiTheme="majorHAnsi"/>
          <w:sz w:val="16"/>
          <w:szCs w:val="16"/>
          <w:lang w:val="es-VE"/>
        </w:rPr>
        <w:t>, Petición 723/01, Admisibilidad, Tirso Román Valenzuela Ávila, 26 de febrero de 2004.</w:t>
      </w:r>
    </w:p>
  </w:footnote>
  <w:footnote w:id="3">
    <w:p w:rsidR="00F40EB1" w:rsidRPr="007F3D68" w:rsidRDefault="00F40EB1" w:rsidP="000D1743">
      <w:pPr>
        <w:pStyle w:val="FootnoteText"/>
        <w:ind w:firstLine="720"/>
        <w:rPr>
          <w:rFonts w:asciiTheme="majorHAnsi" w:hAnsiTheme="majorHAnsi"/>
          <w:sz w:val="16"/>
          <w:szCs w:val="16"/>
          <w:lang w:val="es-VE"/>
        </w:rPr>
      </w:pPr>
      <w:r w:rsidRPr="007F3D68">
        <w:rPr>
          <w:rStyle w:val="FootnoteReference"/>
          <w:rFonts w:asciiTheme="majorHAnsi" w:hAnsiTheme="majorHAnsi"/>
          <w:sz w:val="16"/>
          <w:szCs w:val="16"/>
        </w:rPr>
        <w:footnoteRef/>
      </w:r>
      <w:r>
        <w:rPr>
          <w:rFonts w:asciiTheme="majorHAnsi" w:hAnsiTheme="majorHAnsi"/>
          <w:sz w:val="16"/>
          <w:szCs w:val="16"/>
          <w:lang w:val="es-VE"/>
        </w:rPr>
        <w:t xml:space="preserve"> Anexo  1</w:t>
      </w:r>
      <w:r w:rsidRPr="007F3D68">
        <w:rPr>
          <w:rFonts w:asciiTheme="majorHAnsi" w:hAnsiTheme="majorHAnsi"/>
          <w:sz w:val="16"/>
          <w:szCs w:val="16"/>
          <w:lang w:val="es-VE"/>
        </w:rPr>
        <w:t xml:space="preserve">. Acta de juicio 38-99, Of. 3 en la que consta la declaración de Tirso Román Valenzuela en folios 360 y subsiguientes. </w:t>
      </w:r>
    </w:p>
  </w:footnote>
  <w:footnote w:id="4">
    <w:p w:rsidR="00F40EB1" w:rsidRPr="007F3D68" w:rsidRDefault="00F40EB1" w:rsidP="00D8463B">
      <w:pPr>
        <w:pStyle w:val="FootnoteText"/>
        <w:ind w:firstLine="720"/>
        <w:rPr>
          <w:rFonts w:asciiTheme="majorHAnsi" w:hAnsiTheme="majorHAnsi"/>
          <w:sz w:val="16"/>
          <w:szCs w:val="16"/>
          <w:lang w:val="es-VE"/>
        </w:rPr>
      </w:pPr>
      <w:r w:rsidRPr="007F3D68">
        <w:rPr>
          <w:rStyle w:val="FootnoteReference"/>
          <w:rFonts w:asciiTheme="majorHAnsi" w:hAnsiTheme="majorHAnsi"/>
          <w:sz w:val="16"/>
          <w:szCs w:val="16"/>
        </w:rPr>
        <w:footnoteRef/>
      </w:r>
      <w:r>
        <w:rPr>
          <w:rFonts w:asciiTheme="majorHAnsi" w:hAnsiTheme="majorHAnsi"/>
          <w:sz w:val="16"/>
          <w:szCs w:val="16"/>
          <w:lang w:val="es-VE"/>
        </w:rPr>
        <w:t xml:space="preserve"> Anexo  1</w:t>
      </w:r>
      <w:r w:rsidRPr="007F3D68">
        <w:rPr>
          <w:rFonts w:asciiTheme="majorHAnsi" w:hAnsiTheme="majorHAnsi"/>
          <w:sz w:val="16"/>
          <w:szCs w:val="16"/>
          <w:lang w:val="es-VE"/>
        </w:rPr>
        <w:t xml:space="preserve">. Acta de juicio 38-99, Of. 3 en la que consta la declaración de Tirso Román Valenzuela en folios 360 y subsiguientes. </w:t>
      </w:r>
    </w:p>
  </w:footnote>
  <w:footnote w:id="5">
    <w:p w:rsidR="00F40EB1" w:rsidRPr="007F3D68" w:rsidRDefault="00F40EB1" w:rsidP="00D8463B">
      <w:pPr>
        <w:pStyle w:val="FootnoteText"/>
        <w:ind w:firstLine="720"/>
        <w:rPr>
          <w:rFonts w:asciiTheme="majorHAnsi" w:hAnsiTheme="majorHAnsi"/>
          <w:sz w:val="16"/>
          <w:szCs w:val="16"/>
          <w:lang w:val="es-VE"/>
        </w:rPr>
      </w:pPr>
      <w:r w:rsidRPr="007F3D68">
        <w:rPr>
          <w:rStyle w:val="FootnoteReference"/>
          <w:rFonts w:asciiTheme="majorHAnsi" w:hAnsiTheme="majorHAnsi"/>
          <w:sz w:val="16"/>
          <w:szCs w:val="16"/>
        </w:rPr>
        <w:footnoteRef/>
      </w:r>
      <w:r>
        <w:rPr>
          <w:rFonts w:asciiTheme="majorHAnsi" w:hAnsiTheme="majorHAnsi"/>
          <w:sz w:val="16"/>
          <w:szCs w:val="16"/>
          <w:lang w:val="es-VE"/>
        </w:rPr>
        <w:t xml:space="preserve"> Anexo  1</w:t>
      </w:r>
      <w:r w:rsidRPr="007F3D68">
        <w:rPr>
          <w:rFonts w:asciiTheme="majorHAnsi" w:hAnsiTheme="majorHAnsi"/>
          <w:sz w:val="16"/>
          <w:szCs w:val="16"/>
          <w:lang w:val="es-VE"/>
        </w:rPr>
        <w:t xml:space="preserve">. Acta de juicio 38-99, Of. 3 en la que consta la declaración de Tirso Román Valenzuela en folios 360 y subsiguientes. </w:t>
      </w:r>
    </w:p>
  </w:footnote>
  <w:footnote w:id="6">
    <w:p w:rsidR="00F40EB1" w:rsidRPr="007F3D68" w:rsidRDefault="00F40EB1" w:rsidP="00D8463B">
      <w:pPr>
        <w:pStyle w:val="FootnoteText"/>
        <w:ind w:firstLine="720"/>
        <w:rPr>
          <w:rFonts w:asciiTheme="majorHAnsi" w:hAnsiTheme="majorHAnsi"/>
          <w:sz w:val="16"/>
          <w:szCs w:val="16"/>
          <w:lang w:val="es-VE"/>
        </w:rPr>
      </w:pPr>
      <w:r w:rsidRPr="007F3D68">
        <w:rPr>
          <w:rStyle w:val="FootnoteReference"/>
          <w:rFonts w:asciiTheme="majorHAnsi" w:hAnsiTheme="majorHAnsi"/>
          <w:sz w:val="16"/>
          <w:szCs w:val="16"/>
        </w:rPr>
        <w:footnoteRef/>
      </w:r>
      <w:r>
        <w:rPr>
          <w:rFonts w:asciiTheme="majorHAnsi" w:hAnsiTheme="majorHAnsi"/>
          <w:sz w:val="16"/>
          <w:szCs w:val="16"/>
          <w:lang w:val="es-VE"/>
        </w:rPr>
        <w:t xml:space="preserve"> Anexo  2</w:t>
      </w:r>
      <w:r w:rsidRPr="007F3D68">
        <w:rPr>
          <w:rFonts w:asciiTheme="majorHAnsi" w:hAnsiTheme="majorHAnsi"/>
          <w:sz w:val="16"/>
          <w:szCs w:val="16"/>
          <w:lang w:val="es-VE"/>
        </w:rPr>
        <w:t xml:space="preserve">. Acta notarial que contiene declaración de Rosa María Mendoza López, 22 de mayo de 2004. </w:t>
      </w:r>
    </w:p>
  </w:footnote>
  <w:footnote w:id="7">
    <w:p w:rsidR="00F40EB1" w:rsidRPr="007F3D68" w:rsidRDefault="00F40EB1" w:rsidP="00D8463B">
      <w:pPr>
        <w:pStyle w:val="FootnoteText"/>
        <w:ind w:firstLine="720"/>
        <w:rPr>
          <w:lang w:val="es-VE"/>
        </w:rPr>
      </w:pPr>
      <w:r w:rsidRPr="007F3D68">
        <w:rPr>
          <w:rStyle w:val="FootnoteReference"/>
          <w:rFonts w:asciiTheme="majorHAnsi" w:hAnsiTheme="majorHAnsi"/>
          <w:sz w:val="16"/>
          <w:szCs w:val="16"/>
        </w:rPr>
        <w:footnoteRef/>
      </w:r>
      <w:r>
        <w:rPr>
          <w:rFonts w:asciiTheme="majorHAnsi" w:hAnsiTheme="majorHAnsi"/>
          <w:sz w:val="16"/>
          <w:szCs w:val="16"/>
          <w:lang w:val="es-VE"/>
        </w:rPr>
        <w:t xml:space="preserve"> Anexo  2</w:t>
      </w:r>
      <w:r w:rsidRPr="007F3D68">
        <w:rPr>
          <w:rFonts w:asciiTheme="majorHAnsi" w:hAnsiTheme="majorHAnsi"/>
          <w:sz w:val="16"/>
          <w:szCs w:val="16"/>
          <w:lang w:val="es-VE"/>
        </w:rPr>
        <w:t>. Acta notarial que contiene declaración de Rosa María Mendoza López, 22 de mayo de 2004.</w:t>
      </w:r>
      <w:r w:rsidRPr="007F3D68">
        <w:rPr>
          <w:lang w:val="es-VE"/>
        </w:rPr>
        <w:t xml:space="preserve"> </w:t>
      </w:r>
    </w:p>
  </w:footnote>
  <w:footnote w:id="8">
    <w:p w:rsidR="00F40EB1" w:rsidRPr="007F3D68" w:rsidRDefault="00F40EB1" w:rsidP="00D8463B">
      <w:pPr>
        <w:pStyle w:val="FootnoteText"/>
        <w:ind w:firstLine="720"/>
        <w:rPr>
          <w:rFonts w:asciiTheme="majorHAnsi" w:hAnsiTheme="majorHAnsi"/>
          <w:sz w:val="16"/>
          <w:szCs w:val="16"/>
          <w:lang w:val="es-VE"/>
        </w:rPr>
      </w:pPr>
      <w:r w:rsidRPr="007F3D68">
        <w:rPr>
          <w:rStyle w:val="FootnoteReference"/>
          <w:rFonts w:asciiTheme="majorHAnsi" w:hAnsiTheme="majorHAnsi"/>
          <w:sz w:val="16"/>
          <w:szCs w:val="16"/>
        </w:rPr>
        <w:footnoteRef/>
      </w:r>
      <w:r>
        <w:rPr>
          <w:rFonts w:asciiTheme="majorHAnsi" w:hAnsiTheme="majorHAnsi"/>
          <w:sz w:val="16"/>
          <w:szCs w:val="16"/>
          <w:lang w:val="es-VE"/>
        </w:rPr>
        <w:t xml:space="preserve"> Anexo 3</w:t>
      </w:r>
      <w:r w:rsidRPr="007F3D68">
        <w:rPr>
          <w:rFonts w:asciiTheme="majorHAnsi" w:hAnsiTheme="majorHAnsi"/>
          <w:sz w:val="16"/>
          <w:szCs w:val="16"/>
          <w:lang w:val="es-VE"/>
        </w:rPr>
        <w:t>. Declaración de Santos Morales Ramos. Anexo al escrito de observaciones de los peticionarios presentado el 19 de julio de 2004.</w:t>
      </w:r>
    </w:p>
  </w:footnote>
  <w:footnote w:id="9">
    <w:p w:rsidR="00F40EB1" w:rsidRPr="007F3D68" w:rsidRDefault="00F40EB1" w:rsidP="00D8463B">
      <w:pPr>
        <w:pStyle w:val="FootnoteText"/>
        <w:ind w:firstLine="720"/>
        <w:rPr>
          <w:rFonts w:asciiTheme="majorHAnsi" w:hAnsiTheme="majorHAnsi"/>
          <w:sz w:val="16"/>
          <w:szCs w:val="16"/>
          <w:lang w:val="es-VE"/>
        </w:rPr>
      </w:pP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Anexo </w:t>
      </w:r>
      <w:r>
        <w:rPr>
          <w:rFonts w:asciiTheme="majorHAnsi" w:hAnsiTheme="majorHAnsi"/>
          <w:sz w:val="16"/>
          <w:szCs w:val="16"/>
          <w:lang w:val="es-VE"/>
        </w:rPr>
        <w:t xml:space="preserve"> 4</w:t>
      </w:r>
      <w:r w:rsidRPr="007F3D68">
        <w:rPr>
          <w:rFonts w:asciiTheme="majorHAnsi" w:hAnsiTheme="majorHAnsi"/>
          <w:sz w:val="16"/>
          <w:szCs w:val="16"/>
          <w:lang w:val="es-VE"/>
        </w:rPr>
        <w:t xml:space="preserve">. Declaración de Emeterio de Jesús </w:t>
      </w:r>
      <w:proofErr w:type="spellStart"/>
      <w:r w:rsidRPr="007F3D68">
        <w:rPr>
          <w:rFonts w:asciiTheme="majorHAnsi" w:hAnsiTheme="majorHAnsi"/>
          <w:sz w:val="16"/>
          <w:szCs w:val="16"/>
          <w:lang w:val="es-VE"/>
        </w:rPr>
        <w:t>Morataya</w:t>
      </w:r>
      <w:proofErr w:type="spellEnd"/>
      <w:r w:rsidRPr="007F3D68">
        <w:rPr>
          <w:rFonts w:asciiTheme="majorHAnsi" w:hAnsiTheme="majorHAnsi"/>
          <w:sz w:val="16"/>
          <w:szCs w:val="16"/>
          <w:lang w:val="es-VE"/>
        </w:rPr>
        <w:t xml:space="preserve"> Mayen. Anexo al escrito de observaciones de los peticionarios presentado el 19 de julio de 2004.</w:t>
      </w:r>
    </w:p>
  </w:footnote>
  <w:footnote w:id="10">
    <w:p w:rsidR="00F40EB1" w:rsidRPr="007F3D68" w:rsidRDefault="00F40EB1" w:rsidP="00D914A2">
      <w:pPr>
        <w:pStyle w:val="FootnoteText"/>
        <w:ind w:firstLine="720"/>
        <w:rPr>
          <w:rFonts w:ascii="Cambria" w:hAnsi="Cambria"/>
          <w:sz w:val="16"/>
          <w:szCs w:val="16"/>
          <w:lang w:val="es-VE"/>
        </w:rPr>
      </w:pPr>
      <w:r w:rsidRPr="007F3D68">
        <w:rPr>
          <w:rStyle w:val="FootnoteReference"/>
          <w:rFonts w:ascii="Cambria" w:hAnsi="Cambria"/>
          <w:sz w:val="16"/>
          <w:szCs w:val="16"/>
        </w:rPr>
        <w:footnoteRef/>
      </w:r>
      <w:r>
        <w:rPr>
          <w:rFonts w:ascii="Cambria" w:hAnsi="Cambria"/>
          <w:sz w:val="16"/>
          <w:szCs w:val="16"/>
          <w:lang w:val="es-VE"/>
        </w:rPr>
        <w:t xml:space="preserve"> Anexo  5.</w:t>
      </w:r>
      <w:r w:rsidRPr="007F3D68">
        <w:rPr>
          <w:rFonts w:ascii="Cambria" w:hAnsi="Cambria"/>
          <w:sz w:val="16"/>
          <w:szCs w:val="16"/>
          <w:lang w:val="es-VE"/>
        </w:rPr>
        <w:t xml:space="preserve"> Memorial presentado por el abogado defensor de Tirso Román Valenzuela Avila ante el Juez de Primera Instancia Penal, Narcoactividad y delitos contra el Ambiente. Anexo al escrito de observaciones de los peticionarios de 19 de julio de 2004.</w:t>
      </w:r>
    </w:p>
  </w:footnote>
  <w:footnote w:id="11">
    <w:p w:rsidR="00F40EB1" w:rsidRPr="007F3D68" w:rsidRDefault="00F40EB1" w:rsidP="00D914A2">
      <w:pPr>
        <w:pStyle w:val="FootnoteText"/>
        <w:ind w:firstLine="720"/>
        <w:rPr>
          <w:rFonts w:ascii="Cambria" w:hAnsi="Cambria"/>
          <w:sz w:val="16"/>
          <w:szCs w:val="16"/>
          <w:lang w:val="es-VE"/>
        </w:rPr>
      </w:pPr>
      <w:r w:rsidRPr="007F3D68">
        <w:rPr>
          <w:rStyle w:val="FootnoteReference"/>
          <w:rFonts w:ascii="Cambria" w:hAnsi="Cambria"/>
          <w:sz w:val="16"/>
          <w:szCs w:val="16"/>
        </w:rPr>
        <w:footnoteRef/>
      </w:r>
      <w:r>
        <w:rPr>
          <w:rFonts w:ascii="Cambria" w:hAnsi="Cambria"/>
          <w:sz w:val="16"/>
          <w:szCs w:val="16"/>
          <w:lang w:val="es-VE"/>
        </w:rPr>
        <w:t xml:space="preserve"> Anexo  6</w:t>
      </w:r>
      <w:r w:rsidRPr="007F3D68">
        <w:rPr>
          <w:rFonts w:ascii="Cambria" w:hAnsi="Cambria"/>
          <w:sz w:val="16"/>
          <w:szCs w:val="16"/>
          <w:lang w:val="es-VE"/>
        </w:rPr>
        <w:t xml:space="preserve">. Carta de Tirso Román Valenzuela Ávila al licenciado Enríquez Cabrera. </w:t>
      </w:r>
    </w:p>
  </w:footnote>
  <w:footnote w:id="12">
    <w:p w:rsidR="00F40EB1" w:rsidRPr="007F3D68" w:rsidRDefault="00F40EB1" w:rsidP="00D914A2">
      <w:pPr>
        <w:pStyle w:val="FootnoteText"/>
        <w:ind w:firstLine="720"/>
        <w:rPr>
          <w:rFonts w:ascii="Cambria" w:hAnsi="Cambria"/>
          <w:sz w:val="16"/>
          <w:szCs w:val="16"/>
          <w:lang w:val="es-VE"/>
        </w:rPr>
      </w:pPr>
      <w:r w:rsidRPr="007F3D68">
        <w:rPr>
          <w:rStyle w:val="FootnoteReference"/>
          <w:rFonts w:ascii="Cambria" w:hAnsi="Cambria"/>
          <w:sz w:val="16"/>
          <w:szCs w:val="16"/>
        </w:rPr>
        <w:footnoteRef/>
      </w:r>
      <w:r>
        <w:rPr>
          <w:rFonts w:ascii="Cambria" w:hAnsi="Cambria"/>
          <w:sz w:val="16"/>
          <w:szCs w:val="16"/>
          <w:lang w:val="es-VE"/>
        </w:rPr>
        <w:t xml:space="preserve"> Anexo  7</w:t>
      </w:r>
      <w:r w:rsidRPr="007F3D68">
        <w:rPr>
          <w:rFonts w:ascii="Cambria" w:hAnsi="Cambria"/>
          <w:sz w:val="16"/>
          <w:szCs w:val="16"/>
          <w:lang w:val="es-VE"/>
        </w:rPr>
        <w:t>. Recurso de exhibición personal planteado por Tirso Román Valenzuela Ávila el 11 de julio de 2001.</w:t>
      </w:r>
    </w:p>
  </w:footnote>
  <w:footnote w:id="13">
    <w:p w:rsidR="00F40EB1" w:rsidRPr="007F3D68" w:rsidRDefault="00F40EB1" w:rsidP="00D914A2">
      <w:pPr>
        <w:pStyle w:val="FootnoteText"/>
        <w:ind w:firstLine="720"/>
        <w:rPr>
          <w:rFonts w:ascii="Cambria" w:hAnsi="Cambria"/>
          <w:sz w:val="16"/>
          <w:szCs w:val="16"/>
          <w:lang w:val="es-VE"/>
        </w:rPr>
      </w:pPr>
      <w:r w:rsidRPr="007F3D68">
        <w:rPr>
          <w:rStyle w:val="FootnoteReference"/>
          <w:rFonts w:ascii="Cambria" w:hAnsi="Cambria"/>
          <w:sz w:val="16"/>
          <w:szCs w:val="16"/>
        </w:rPr>
        <w:footnoteRef/>
      </w:r>
      <w:r>
        <w:rPr>
          <w:rFonts w:ascii="Cambria" w:hAnsi="Cambria"/>
          <w:sz w:val="16"/>
          <w:szCs w:val="16"/>
          <w:lang w:val="es-VE"/>
        </w:rPr>
        <w:t xml:space="preserve"> Anexo  8</w:t>
      </w:r>
      <w:r w:rsidRPr="007F3D68">
        <w:rPr>
          <w:rFonts w:ascii="Cambria" w:hAnsi="Cambria"/>
          <w:sz w:val="16"/>
          <w:szCs w:val="16"/>
          <w:lang w:val="es-VE"/>
        </w:rPr>
        <w:t>. Decisión de la Sala Tercera de la Corte de Apelaciones denegando recurso de exhibición personal de 30 de julio de 2001.</w:t>
      </w:r>
    </w:p>
  </w:footnote>
  <w:footnote w:id="14">
    <w:p w:rsidR="00F40EB1" w:rsidRPr="007F3D68" w:rsidRDefault="00F40EB1" w:rsidP="00D914A2">
      <w:pPr>
        <w:pStyle w:val="FootnoteText"/>
        <w:ind w:firstLine="720"/>
        <w:rPr>
          <w:lang w:val="es-VE"/>
        </w:rPr>
      </w:pPr>
      <w:r w:rsidRPr="007F3D68">
        <w:rPr>
          <w:rStyle w:val="FootnoteReference"/>
          <w:rFonts w:ascii="Cambria" w:hAnsi="Cambria"/>
          <w:sz w:val="16"/>
          <w:szCs w:val="16"/>
        </w:rPr>
        <w:footnoteRef/>
      </w:r>
      <w:r>
        <w:rPr>
          <w:rFonts w:ascii="Cambria" w:hAnsi="Cambria"/>
          <w:sz w:val="16"/>
          <w:szCs w:val="16"/>
          <w:lang w:val="es-VE"/>
        </w:rPr>
        <w:t xml:space="preserve"> Anexo 9</w:t>
      </w:r>
      <w:r w:rsidRPr="007F3D68">
        <w:rPr>
          <w:rFonts w:ascii="Cambria" w:hAnsi="Cambria"/>
          <w:sz w:val="16"/>
          <w:szCs w:val="16"/>
          <w:lang w:val="es-VE"/>
        </w:rPr>
        <w:t xml:space="preserve">. Declaración de Pablo Arturo Ruiz </w:t>
      </w:r>
      <w:proofErr w:type="spellStart"/>
      <w:r w:rsidRPr="007F3D68">
        <w:rPr>
          <w:rFonts w:ascii="Cambria" w:hAnsi="Cambria"/>
          <w:sz w:val="16"/>
          <w:szCs w:val="16"/>
          <w:lang w:val="es-VE"/>
        </w:rPr>
        <w:t>Almengor</w:t>
      </w:r>
      <w:proofErr w:type="spellEnd"/>
      <w:r w:rsidRPr="007F3D68">
        <w:rPr>
          <w:rFonts w:ascii="Cambria" w:hAnsi="Cambria"/>
          <w:sz w:val="16"/>
          <w:szCs w:val="16"/>
          <w:lang w:val="es-VE"/>
        </w:rPr>
        <w:t>. Anexo al escrito de observaciones de los peticionarios presentado el 19 de julio de 2004.</w:t>
      </w:r>
    </w:p>
  </w:footnote>
  <w:footnote w:id="15">
    <w:p w:rsidR="00F40EB1" w:rsidRPr="007F3D68" w:rsidRDefault="00F40EB1" w:rsidP="00942D0B">
      <w:pPr>
        <w:pStyle w:val="FootnoteText"/>
        <w:ind w:firstLine="720"/>
        <w:rPr>
          <w:rFonts w:ascii="Cambria" w:hAnsi="Cambria"/>
          <w:sz w:val="16"/>
          <w:szCs w:val="16"/>
          <w:lang w:val="es-VE"/>
        </w:rPr>
      </w:pPr>
      <w:r w:rsidRPr="007F3D68">
        <w:rPr>
          <w:rStyle w:val="FootnoteReference"/>
          <w:rFonts w:ascii="Cambria" w:hAnsi="Cambria"/>
          <w:sz w:val="16"/>
          <w:szCs w:val="16"/>
        </w:rPr>
        <w:footnoteRef/>
      </w:r>
      <w:r>
        <w:rPr>
          <w:rFonts w:ascii="Cambria" w:hAnsi="Cambria"/>
          <w:sz w:val="16"/>
          <w:szCs w:val="16"/>
          <w:lang w:val="es-VE"/>
        </w:rPr>
        <w:t xml:space="preserve"> Anexo 10</w:t>
      </w:r>
      <w:r w:rsidRPr="007F3D68">
        <w:rPr>
          <w:rFonts w:ascii="Cambria" w:hAnsi="Cambria"/>
          <w:sz w:val="16"/>
          <w:szCs w:val="16"/>
          <w:lang w:val="es-VE"/>
        </w:rPr>
        <w:t xml:space="preserve">. Oficio del médico Carlos Guillermo Quijada Sandoval a la Directora General del Sistema Penitenciario de Guatemala, 28 de febrero de 2005. </w:t>
      </w:r>
    </w:p>
  </w:footnote>
  <w:footnote w:id="16">
    <w:p w:rsidR="00F40EB1" w:rsidRPr="007F3D68" w:rsidRDefault="00F40EB1" w:rsidP="00D914A2">
      <w:pPr>
        <w:pStyle w:val="FootnoteText"/>
        <w:ind w:firstLine="720"/>
        <w:rPr>
          <w:rFonts w:ascii="Cambria" w:hAnsi="Cambria"/>
          <w:sz w:val="16"/>
          <w:szCs w:val="16"/>
          <w:lang w:val="es-VE"/>
        </w:rPr>
      </w:pPr>
      <w:r w:rsidRPr="007F3D68">
        <w:rPr>
          <w:rStyle w:val="FootnoteReference"/>
          <w:rFonts w:ascii="Cambria" w:hAnsi="Cambria"/>
          <w:sz w:val="16"/>
          <w:szCs w:val="16"/>
        </w:rPr>
        <w:footnoteRef/>
      </w:r>
      <w:r>
        <w:rPr>
          <w:rFonts w:ascii="Cambria" w:hAnsi="Cambria"/>
          <w:sz w:val="16"/>
          <w:szCs w:val="16"/>
          <w:lang w:val="es-VE"/>
        </w:rPr>
        <w:t xml:space="preserve"> Anexo 11</w:t>
      </w:r>
      <w:r w:rsidRPr="007F3D68">
        <w:rPr>
          <w:rFonts w:ascii="Cambria" w:hAnsi="Cambria"/>
          <w:sz w:val="16"/>
          <w:szCs w:val="16"/>
          <w:lang w:val="es-VE"/>
        </w:rPr>
        <w:t xml:space="preserve">. Informe del médico Edna Karina </w:t>
      </w:r>
      <w:proofErr w:type="spellStart"/>
      <w:r w:rsidRPr="007F3D68">
        <w:rPr>
          <w:rFonts w:ascii="Cambria" w:hAnsi="Cambria"/>
          <w:sz w:val="16"/>
          <w:szCs w:val="16"/>
          <w:lang w:val="es-VE"/>
        </w:rPr>
        <w:t>Vaquerano</w:t>
      </w:r>
      <w:proofErr w:type="spellEnd"/>
      <w:r w:rsidRPr="007F3D68">
        <w:rPr>
          <w:rFonts w:ascii="Cambria" w:hAnsi="Cambria"/>
          <w:sz w:val="16"/>
          <w:szCs w:val="16"/>
          <w:lang w:val="es-VE"/>
        </w:rPr>
        <w:t xml:space="preserve"> Martínez de 15 de junio de 2005. </w:t>
      </w:r>
    </w:p>
  </w:footnote>
  <w:footnote w:id="17">
    <w:p w:rsidR="00F40EB1" w:rsidRPr="007F3D68" w:rsidRDefault="00F40EB1" w:rsidP="008E7F97">
      <w:pPr>
        <w:pStyle w:val="FootnoteText"/>
        <w:ind w:firstLine="720"/>
        <w:rPr>
          <w:rFonts w:ascii="Cambria" w:hAnsi="Cambria"/>
          <w:sz w:val="16"/>
          <w:szCs w:val="16"/>
          <w:lang w:val="es-VE"/>
        </w:rPr>
      </w:pPr>
      <w:r w:rsidRPr="007F3D68">
        <w:rPr>
          <w:rStyle w:val="FootnoteReference"/>
          <w:rFonts w:ascii="Cambria" w:hAnsi="Cambria"/>
          <w:sz w:val="16"/>
          <w:szCs w:val="16"/>
        </w:rPr>
        <w:footnoteRef/>
      </w:r>
      <w:r>
        <w:rPr>
          <w:rFonts w:ascii="Cambria" w:hAnsi="Cambria"/>
          <w:sz w:val="16"/>
          <w:szCs w:val="16"/>
          <w:lang w:val="es-VE"/>
        </w:rPr>
        <w:t xml:space="preserve"> Anexo 11</w:t>
      </w:r>
      <w:r w:rsidRPr="007F3D68">
        <w:rPr>
          <w:rFonts w:ascii="Cambria" w:hAnsi="Cambria"/>
          <w:sz w:val="16"/>
          <w:szCs w:val="16"/>
          <w:lang w:val="es-VE"/>
        </w:rPr>
        <w:t xml:space="preserve">. Informe del médico Edna Karina </w:t>
      </w:r>
      <w:proofErr w:type="spellStart"/>
      <w:r w:rsidRPr="007F3D68">
        <w:rPr>
          <w:rFonts w:ascii="Cambria" w:hAnsi="Cambria"/>
          <w:sz w:val="16"/>
          <w:szCs w:val="16"/>
          <w:lang w:val="es-VE"/>
        </w:rPr>
        <w:t>Vaquerano</w:t>
      </w:r>
      <w:proofErr w:type="spellEnd"/>
      <w:r w:rsidRPr="007F3D68">
        <w:rPr>
          <w:rFonts w:ascii="Cambria" w:hAnsi="Cambria"/>
          <w:sz w:val="16"/>
          <w:szCs w:val="16"/>
          <w:lang w:val="es-VE"/>
        </w:rPr>
        <w:t xml:space="preserve"> Martínez de 15 de junio de 2005.</w:t>
      </w:r>
    </w:p>
  </w:footnote>
  <w:footnote w:id="18">
    <w:p w:rsidR="00F40EB1" w:rsidRPr="007F3D68" w:rsidRDefault="00F40EB1" w:rsidP="00D914A2">
      <w:pPr>
        <w:pStyle w:val="FootnoteText"/>
        <w:ind w:firstLine="720"/>
        <w:rPr>
          <w:rFonts w:ascii="Cambria" w:hAnsi="Cambria"/>
          <w:sz w:val="16"/>
          <w:szCs w:val="16"/>
          <w:lang w:val="es-VE"/>
        </w:rPr>
      </w:pPr>
      <w:r w:rsidRPr="007F3D68">
        <w:rPr>
          <w:rStyle w:val="FootnoteReference"/>
          <w:rFonts w:ascii="Cambria" w:hAnsi="Cambria"/>
          <w:sz w:val="16"/>
          <w:szCs w:val="16"/>
        </w:rPr>
        <w:footnoteRef/>
      </w:r>
      <w:r>
        <w:rPr>
          <w:rFonts w:ascii="Cambria" w:hAnsi="Cambria"/>
          <w:sz w:val="16"/>
          <w:szCs w:val="16"/>
          <w:lang w:val="es-VE"/>
        </w:rPr>
        <w:t xml:space="preserve"> Anexo 12</w:t>
      </w:r>
      <w:r w:rsidRPr="007F3D68">
        <w:rPr>
          <w:rFonts w:ascii="Cambria" w:hAnsi="Cambria"/>
          <w:sz w:val="16"/>
          <w:szCs w:val="16"/>
          <w:lang w:val="es-VE"/>
        </w:rPr>
        <w:t xml:space="preserve">. Peritaje psicológico de Tirso Román Valenzuela Ávila, realizado por el médico Juan Cristóbal Aldana Alfaro. </w:t>
      </w:r>
    </w:p>
  </w:footnote>
  <w:footnote w:id="19">
    <w:p w:rsidR="00F40EB1" w:rsidRPr="007F3D68" w:rsidRDefault="00F40EB1" w:rsidP="00D914A2">
      <w:pPr>
        <w:pStyle w:val="FootnoteText"/>
        <w:ind w:firstLine="720"/>
        <w:rPr>
          <w:rFonts w:ascii="Cambria" w:hAnsi="Cambria"/>
          <w:sz w:val="16"/>
          <w:szCs w:val="16"/>
          <w:lang w:val="es-VE"/>
        </w:rPr>
      </w:pPr>
      <w:r w:rsidRPr="007F3D68">
        <w:rPr>
          <w:rStyle w:val="FootnoteReference"/>
          <w:rFonts w:ascii="Cambria" w:hAnsi="Cambria"/>
          <w:sz w:val="16"/>
          <w:szCs w:val="16"/>
        </w:rPr>
        <w:footnoteRef/>
      </w:r>
      <w:r>
        <w:rPr>
          <w:rFonts w:ascii="Cambria" w:hAnsi="Cambria"/>
          <w:sz w:val="16"/>
          <w:szCs w:val="16"/>
          <w:lang w:val="es-VE"/>
        </w:rPr>
        <w:t xml:space="preserve"> Anexo 12</w:t>
      </w:r>
      <w:r w:rsidRPr="007F3D68">
        <w:rPr>
          <w:rFonts w:ascii="Cambria" w:hAnsi="Cambria"/>
          <w:sz w:val="16"/>
          <w:szCs w:val="16"/>
          <w:lang w:val="es-VE"/>
        </w:rPr>
        <w:t xml:space="preserve">. Peritaje psicológico de Tirso Román Valenzuela Ávila, realizado por el médico Juan Cristóbal Aldana Alfaro. </w:t>
      </w:r>
    </w:p>
  </w:footnote>
  <w:footnote w:id="20">
    <w:p w:rsidR="00F40EB1" w:rsidRPr="007F3D68" w:rsidRDefault="00F40EB1" w:rsidP="000A1A51">
      <w:pPr>
        <w:pStyle w:val="FootnoteText"/>
        <w:ind w:firstLine="720"/>
        <w:rPr>
          <w:rFonts w:asciiTheme="majorHAnsi" w:hAnsiTheme="majorHAnsi"/>
          <w:sz w:val="16"/>
          <w:szCs w:val="16"/>
          <w:lang w:val="es-VE"/>
        </w:rPr>
      </w:pPr>
      <w:r w:rsidRPr="007F3D68">
        <w:rPr>
          <w:rStyle w:val="FootnoteReference"/>
          <w:rFonts w:asciiTheme="majorHAnsi" w:hAnsiTheme="majorHAnsi"/>
          <w:sz w:val="16"/>
          <w:szCs w:val="16"/>
        </w:rPr>
        <w:footnoteRef/>
      </w:r>
      <w:r>
        <w:rPr>
          <w:rFonts w:asciiTheme="majorHAnsi" w:hAnsiTheme="majorHAnsi"/>
          <w:sz w:val="16"/>
          <w:szCs w:val="16"/>
          <w:lang w:val="es-VE"/>
        </w:rPr>
        <w:t xml:space="preserve"> Anexo 13</w:t>
      </w:r>
      <w:r w:rsidRPr="007F3D68">
        <w:rPr>
          <w:rFonts w:asciiTheme="majorHAnsi" w:hAnsiTheme="majorHAnsi"/>
          <w:sz w:val="16"/>
          <w:szCs w:val="16"/>
          <w:lang w:val="es-VE"/>
        </w:rPr>
        <w:t xml:space="preserve">. Escrito de acusación del Ministerio Público en contra de Tirso Román Valenzuela Ávila de 31 de mayo de 1999. </w:t>
      </w:r>
    </w:p>
  </w:footnote>
  <w:footnote w:id="21">
    <w:p w:rsidR="00F40EB1" w:rsidRPr="007F3D68" w:rsidRDefault="00F40EB1" w:rsidP="000A1A51">
      <w:pPr>
        <w:pStyle w:val="FootnoteText"/>
        <w:ind w:firstLine="720"/>
        <w:rPr>
          <w:rFonts w:asciiTheme="majorHAnsi" w:hAnsiTheme="majorHAnsi"/>
          <w:sz w:val="16"/>
          <w:szCs w:val="16"/>
          <w:lang w:val="es-VE"/>
        </w:rPr>
      </w:pPr>
      <w:r w:rsidRPr="007F3D68">
        <w:rPr>
          <w:rStyle w:val="FootnoteReference"/>
          <w:rFonts w:asciiTheme="majorHAnsi" w:hAnsiTheme="majorHAnsi"/>
          <w:sz w:val="16"/>
          <w:szCs w:val="16"/>
        </w:rPr>
        <w:footnoteRef/>
      </w:r>
      <w:r>
        <w:rPr>
          <w:rFonts w:asciiTheme="majorHAnsi" w:hAnsiTheme="majorHAnsi"/>
          <w:sz w:val="16"/>
          <w:szCs w:val="16"/>
          <w:lang w:val="es-VE"/>
        </w:rPr>
        <w:t xml:space="preserve"> Anexo 14</w:t>
      </w:r>
      <w:r w:rsidRPr="007F3D68">
        <w:rPr>
          <w:rFonts w:asciiTheme="majorHAnsi" w:hAnsiTheme="majorHAnsi"/>
          <w:sz w:val="16"/>
          <w:szCs w:val="16"/>
          <w:lang w:val="es-VE"/>
        </w:rPr>
        <w:t xml:space="preserve">. Resolución del Juzgado de Primera Instancia Penal que decreta sobreseimiento de 2 de julio de 1999. </w:t>
      </w:r>
    </w:p>
  </w:footnote>
  <w:footnote w:id="22">
    <w:p w:rsidR="00F40EB1" w:rsidRPr="007F3D68" w:rsidRDefault="00F40EB1" w:rsidP="000A1A51">
      <w:pPr>
        <w:pStyle w:val="FootnoteText"/>
        <w:ind w:firstLine="720"/>
        <w:rPr>
          <w:rFonts w:asciiTheme="majorHAnsi" w:hAnsiTheme="majorHAnsi"/>
          <w:sz w:val="16"/>
          <w:szCs w:val="16"/>
          <w:lang w:val="es-VE"/>
        </w:rPr>
      </w:pPr>
      <w:r w:rsidRPr="007F3D68">
        <w:rPr>
          <w:rStyle w:val="FootnoteReference"/>
          <w:rFonts w:asciiTheme="majorHAnsi" w:hAnsiTheme="majorHAnsi"/>
          <w:sz w:val="16"/>
          <w:szCs w:val="16"/>
        </w:rPr>
        <w:footnoteRef/>
      </w:r>
      <w:r>
        <w:rPr>
          <w:rFonts w:asciiTheme="majorHAnsi" w:hAnsiTheme="majorHAnsi"/>
          <w:sz w:val="16"/>
          <w:szCs w:val="16"/>
          <w:lang w:val="es-VE"/>
        </w:rPr>
        <w:t xml:space="preserve"> Anexo 15</w:t>
      </w:r>
      <w:r w:rsidRPr="007F3D68">
        <w:rPr>
          <w:rFonts w:asciiTheme="majorHAnsi" w:hAnsiTheme="majorHAnsi"/>
          <w:sz w:val="16"/>
          <w:szCs w:val="16"/>
          <w:lang w:val="es-VE"/>
        </w:rPr>
        <w:t xml:space="preserve">. Sentencia de Tribunal de Sentencia del Departamento de Quetzaltenango de 21 de octubre de 1999. </w:t>
      </w:r>
    </w:p>
  </w:footnote>
  <w:footnote w:id="23">
    <w:p w:rsidR="00F40EB1" w:rsidRPr="007F3D68" w:rsidRDefault="00F40EB1" w:rsidP="000A1A51">
      <w:pPr>
        <w:pStyle w:val="FootnoteText"/>
        <w:ind w:firstLine="720"/>
        <w:rPr>
          <w:rFonts w:asciiTheme="majorHAnsi" w:hAnsiTheme="majorHAnsi"/>
          <w:sz w:val="16"/>
          <w:szCs w:val="16"/>
          <w:lang w:val="es-VE"/>
        </w:rPr>
      </w:pPr>
      <w:r w:rsidRPr="007F3D68">
        <w:rPr>
          <w:rStyle w:val="FootnoteReference"/>
          <w:rFonts w:asciiTheme="majorHAnsi" w:hAnsiTheme="majorHAnsi"/>
          <w:sz w:val="16"/>
          <w:szCs w:val="16"/>
        </w:rPr>
        <w:footnoteRef/>
      </w:r>
      <w:r>
        <w:rPr>
          <w:rFonts w:asciiTheme="majorHAnsi" w:hAnsiTheme="majorHAnsi"/>
          <w:sz w:val="16"/>
          <w:szCs w:val="16"/>
          <w:lang w:val="es-VE"/>
        </w:rPr>
        <w:t xml:space="preserve"> Anexo 15</w:t>
      </w:r>
      <w:r w:rsidRPr="007F3D68">
        <w:rPr>
          <w:rFonts w:asciiTheme="majorHAnsi" w:hAnsiTheme="majorHAnsi"/>
          <w:sz w:val="16"/>
          <w:szCs w:val="16"/>
          <w:lang w:val="es-VE"/>
        </w:rPr>
        <w:t xml:space="preserve">. Sentencia de Tribunal de Sentencia del Departamento de Quetzaltenango de 21 de octubre de 1999. </w:t>
      </w:r>
    </w:p>
  </w:footnote>
  <w:footnote w:id="24">
    <w:p w:rsidR="00F40EB1" w:rsidRPr="007F3D68" w:rsidRDefault="00F40EB1" w:rsidP="000A1A51">
      <w:pPr>
        <w:pStyle w:val="FootnoteText"/>
        <w:ind w:firstLine="720"/>
        <w:rPr>
          <w:rFonts w:asciiTheme="majorHAnsi" w:hAnsiTheme="majorHAnsi"/>
          <w:sz w:val="16"/>
          <w:szCs w:val="16"/>
          <w:lang w:val="es-VE"/>
        </w:rPr>
      </w:pP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w:t>
      </w:r>
      <w:r>
        <w:rPr>
          <w:rFonts w:asciiTheme="majorHAnsi" w:hAnsiTheme="majorHAnsi"/>
          <w:sz w:val="16"/>
          <w:szCs w:val="16"/>
          <w:lang w:val="es-VE"/>
        </w:rPr>
        <w:t xml:space="preserve">Anexo 15. </w:t>
      </w:r>
      <w:r w:rsidRPr="007F3D68">
        <w:rPr>
          <w:rFonts w:asciiTheme="majorHAnsi" w:hAnsiTheme="majorHAnsi"/>
          <w:sz w:val="16"/>
          <w:szCs w:val="16"/>
          <w:lang w:val="es-VE"/>
        </w:rPr>
        <w:t xml:space="preserve">Sentencia de Tribunal de Sentencia del Departamento de Quetzaltenango de 21 de octubre de 1999. </w:t>
      </w:r>
    </w:p>
  </w:footnote>
  <w:footnote w:id="25">
    <w:p w:rsidR="00F40EB1" w:rsidRPr="007F3D68" w:rsidRDefault="00F40EB1" w:rsidP="000A1A51">
      <w:pPr>
        <w:pStyle w:val="FootnoteText"/>
        <w:ind w:firstLine="720"/>
        <w:rPr>
          <w:rFonts w:asciiTheme="majorHAnsi" w:hAnsiTheme="majorHAnsi"/>
          <w:sz w:val="16"/>
          <w:szCs w:val="16"/>
          <w:lang w:val="es-VE"/>
        </w:rPr>
      </w:pPr>
      <w:r w:rsidRPr="007F3D68">
        <w:rPr>
          <w:rStyle w:val="FootnoteReference"/>
          <w:rFonts w:asciiTheme="majorHAnsi" w:hAnsiTheme="majorHAnsi"/>
          <w:sz w:val="16"/>
          <w:szCs w:val="16"/>
        </w:rPr>
        <w:footnoteRef/>
      </w:r>
      <w:r>
        <w:rPr>
          <w:rFonts w:asciiTheme="majorHAnsi" w:hAnsiTheme="majorHAnsi"/>
          <w:sz w:val="16"/>
          <w:szCs w:val="16"/>
          <w:lang w:val="es-VE"/>
        </w:rPr>
        <w:t xml:space="preserve"> Anexo 16</w:t>
      </w:r>
      <w:r w:rsidRPr="007F3D68">
        <w:rPr>
          <w:rFonts w:asciiTheme="majorHAnsi" w:hAnsiTheme="majorHAnsi"/>
          <w:sz w:val="16"/>
          <w:szCs w:val="16"/>
          <w:lang w:val="es-VE"/>
        </w:rPr>
        <w:t xml:space="preserve">. Recurso de apelación especial interpuesto por Cristóbal Gerónimo Chales ante el Tribunal de Sentencia del Departamento de Quetzaltenango. </w:t>
      </w:r>
    </w:p>
  </w:footnote>
  <w:footnote w:id="26">
    <w:p w:rsidR="00F40EB1" w:rsidRPr="007F3D68" w:rsidRDefault="00F40EB1" w:rsidP="00056FA7">
      <w:pPr>
        <w:pStyle w:val="FootnoteText"/>
        <w:ind w:firstLine="720"/>
        <w:rPr>
          <w:rFonts w:asciiTheme="majorHAnsi" w:hAnsiTheme="majorHAnsi"/>
          <w:sz w:val="16"/>
          <w:szCs w:val="16"/>
          <w:lang w:val="es-VE"/>
        </w:rPr>
      </w:pPr>
      <w:r w:rsidRPr="007F3D68">
        <w:rPr>
          <w:rStyle w:val="FootnoteReference"/>
          <w:rFonts w:asciiTheme="majorHAnsi" w:hAnsiTheme="majorHAnsi"/>
          <w:sz w:val="16"/>
          <w:szCs w:val="16"/>
        </w:rPr>
        <w:footnoteRef/>
      </w:r>
      <w:r>
        <w:rPr>
          <w:rFonts w:asciiTheme="majorHAnsi" w:hAnsiTheme="majorHAnsi"/>
          <w:sz w:val="16"/>
          <w:szCs w:val="16"/>
          <w:lang w:val="es-VE"/>
        </w:rPr>
        <w:t xml:space="preserve"> Anexo 16</w:t>
      </w:r>
      <w:r w:rsidRPr="007F3D68">
        <w:rPr>
          <w:rFonts w:asciiTheme="majorHAnsi" w:hAnsiTheme="majorHAnsi"/>
          <w:sz w:val="16"/>
          <w:szCs w:val="16"/>
          <w:lang w:val="es-VE"/>
        </w:rPr>
        <w:t xml:space="preserve">. Recurso de apelación especial interpuesto por Cristóbal Gerónimo Chales ante el Tribunal de Sentencia del Departamento de Quetzaltenango. </w:t>
      </w:r>
    </w:p>
  </w:footnote>
  <w:footnote w:id="27">
    <w:p w:rsidR="00F40EB1" w:rsidRPr="007F3D68" w:rsidRDefault="00F40EB1" w:rsidP="000A1A51">
      <w:pPr>
        <w:pStyle w:val="FootnoteText"/>
        <w:ind w:firstLine="720"/>
        <w:rPr>
          <w:rFonts w:asciiTheme="majorHAnsi" w:hAnsiTheme="majorHAnsi"/>
          <w:sz w:val="16"/>
          <w:szCs w:val="16"/>
          <w:lang w:val="es-VE"/>
        </w:rPr>
      </w:pPr>
      <w:r w:rsidRPr="007F3D68">
        <w:rPr>
          <w:rStyle w:val="FootnoteReference"/>
          <w:rFonts w:asciiTheme="majorHAnsi" w:hAnsiTheme="majorHAnsi"/>
          <w:sz w:val="16"/>
          <w:szCs w:val="16"/>
        </w:rPr>
        <w:footnoteRef/>
      </w:r>
      <w:r>
        <w:rPr>
          <w:rFonts w:asciiTheme="majorHAnsi" w:hAnsiTheme="majorHAnsi"/>
          <w:sz w:val="16"/>
          <w:szCs w:val="16"/>
          <w:lang w:val="es-VE"/>
        </w:rPr>
        <w:t xml:space="preserve"> Anexo 17</w:t>
      </w:r>
      <w:r w:rsidRPr="007F3D68">
        <w:rPr>
          <w:rFonts w:asciiTheme="majorHAnsi" w:hAnsiTheme="majorHAnsi"/>
          <w:sz w:val="16"/>
          <w:szCs w:val="16"/>
          <w:lang w:val="es-VE"/>
        </w:rPr>
        <w:t xml:space="preserve">. Decisión de la Sala Séptima de la Corte de Apelaciones de Quetzaltenango de 7 de agosto de 2000 que deniega recurso de apelación especial. </w:t>
      </w:r>
    </w:p>
  </w:footnote>
  <w:footnote w:id="28">
    <w:p w:rsidR="00F40EB1" w:rsidRPr="007F3D68" w:rsidRDefault="00F40EB1" w:rsidP="000A1A51">
      <w:pPr>
        <w:pStyle w:val="FootnoteText"/>
        <w:ind w:firstLine="720"/>
        <w:rPr>
          <w:lang w:val="es-VE"/>
        </w:rPr>
      </w:pPr>
      <w:r w:rsidRPr="007F3D68">
        <w:rPr>
          <w:rStyle w:val="FootnoteReference"/>
          <w:rFonts w:asciiTheme="majorHAnsi" w:hAnsiTheme="majorHAnsi"/>
          <w:sz w:val="16"/>
          <w:szCs w:val="16"/>
        </w:rPr>
        <w:footnoteRef/>
      </w:r>
      <w:r>
        <w:rPr>
          <w:rFonts w:asciiTheme="majorHAnsi" w:hAnsiTheme="majorHAnsi"/>
          <w:sz w:val="16"/>
          <w:szCs w:val="16"/>
          <w:lang w:val="es-VE"/>
        </w:rPr>
        <w:t xml:space="preserve"> Anexo  17</w:t>
      </w:r>
      <w:r w:rsidRPr="007F3D68">
        <w:rPr>
          <w:rFonts w:asciiTheme="majorHAnsi" w:hAnsiTheme="majorHAnsi"/>
          <w:sz w:val="16"/>
          <w:szCs w:val="16"/>
          <w:lang w:val="es-VE"/>
        </w:rPr>
        <w:t>. Decisión de la Sala Séptima de la Corte de Apelaciones de Quetzaltenango de 7 de agosto de 2000 que deniega recurso de apelación especial.</w:t>
      </w:r>
      <w:r w:rsidRPr="007F3D68">
        <w:rPr>
          <w:lang w:val="es-VE"/>
        </w:rPr>
        <w:t xml:space="preserve"> </w:t>
      </w:r>
    </w:p>
  </w:footnote>
  <w:footnote w:id="29">
    <w:p w:rsidR="00F40EB1" w:rsidRPr="007F3D68" w:rsidRDefault="00F40EB1" w:rsidP="000516EB">
      <w:pPr>
        <w:pStyle w:val="FootnoteText"/>
        <w:ind w:firstLine="720"/>
        <w:rPr>
          <w:lang w:val="es-VE"/>
        </w:rPr>
      </w:pPr>
      <w:r w:rsidRPr="007F3D68">
        <w:rPr>
          <w:rStyle w:val="FootnoteReference"/>
          <w:rFonts w:asciiTheme="majorHAnsi" w:hAnsiTheme="majorHAnsi"/>
          <w:sz w:val="16"/>
          <w:szCs w:val="16"/>
        </w:rPr>
        <w:footnoteRef/>
      </w:r>
      <w:r>
        <w:rPr>
          <w:rFonts w:asciiTheme="majorHAnsi" w:hAnsiTheme="majorHAnsi"/>
          <w:sz w:val="16"/>
          <w:szCs w:val="16"/>
          <w:lang w:val="es-VE"/>
        </w:rPr>
        <w:t xml:space="preserve"> Anexo 17</w:t>
      </w:r>
      <w:r w:rsidRPr="007F3D68">
        <w:rPr>
          <w:rFonts w:asciiTheme="majorHAnsi" w:hAnsiTheme="majorHAnsi"/>
          <w:sz w:val="16"/>
          <w:szCs w:val="16"/>
          <w:lang w:val="es-VE"/>
        </w:rPr>
        <w:t>. Decisión de la Sala Séptima de la Corte de Apelaciones de Quetzaltenango de 7 de agosto de 2000 que deniega recurso de apelación especial.</w:t>
      </w:r>
      <w:r w:rsidRPr="007F3D68">
        <w:rPr>
          <w:lang w:val="es-VE"/>
        </w:rPr>
        <w:t xml:space="preserve"> </w:t>
      </w:r>
    </w:p>
  </w:footnote>
  <w:footnote w:id="30">
    <w:p w:rsidR="00F40EB1" w:rsidRPr="007F3D68" w:rsidRDefault="00F40EB1" w:rsidP="00AE5024">
      <w:pPr>
        <w:pStyle w:val="FootnoteText"/>
        <w:ind w:firstLine="720"/>
        <w:rPr>
          <w:lang w:val="es-VE"/>
        </w:rPr>
      </w:pPr>
      <w:r w:rsidRPr="007F3D68">
        <w:rPr>
          <w:rStyle w:val="FootnoteReference"/>
          <w:rFonts w:asciiTheme="majorHAnsi" w:hAnsiTheme="majorHAnsi"/>
          <w:sz w:val="16"/>
          <w:szCs w:val="16"/>
        </w:rPr>
        <w:footnoteRef/>
      </w:r>
      <w:r>
        <w:rPr>
          <w:rFonts w:asciiTheme="majorHAnsi" w:hAnsiTheme="majorHAnsi"/>
          <w:sz w:val="16"/>
          <w:szCs w:val="16"/>
          <w:lang w:val="es-VE"/>
        </w:rPr>
        <w:t xml:space="preserve"> Anexo 17</w:t>
      </w:r>
      <w:r w:rsidRPr="007F3D68">
        <w:rPr>
          <w:rFonts w:asciiTheme="majorHAnsi" w:hAnsiTheme="majorHAnsi"/>
          <w:sz w:val="16"/>
          <w:szCs w:val="16"/>
          <w:lang w:val="es-VE"/>
        </w:rPr>
        <w:t>. Decisión de la Sala Séptima de la Corte de Apelaciones de Quetzaltenango de 7 de agosto de 2000 que deniega recurso de apelación especial.</w:t>
      </w:r>
      <w:r w:rsidRPr="007F3D68">
        <w:rPr>
          <w:lang w:val="es-VE"/>
        </w:rPr>
        <w:t xml:space="preserve"> </w:t>
      </w:r>
    </w:p>
  </w:footnote>
  <w:footnote w:id="31">
    <w:p w:rsidR="00F40EB1" w:rsidRPr="007F3D68" w:rsidRDefault="00F40EB1" w:rsidP="000A1A51">
      <w:pPr>
        <w:pStyle w:val="FootnoteText"/>
        <w:ind w:firstLine="720"/>
        <w:rPr>
          <w:rFonts w:asciiTheme="majorHAnsi" w:hAnsiTheme="majorHAnsi"/>
          <w:sz w:val="16"/>
          <w:szCs w:val="16"/>
          <w:lang w:val="es-VE"/>
        </w:rPr>
      </w:pPr>
      <w:r w:rsidRPr="007F3D68">
        <w:rPr>
          <w:rStyle w:val="FootnoteReference"/>
          <w:rFonts w:asciiTheme="majorHAnsi" w:hAnsiTheme="majorHAnsi"/>
          <w:sz w:val="16"/>
          <w:szCs w:val="16"/>
        </w:rPr>
        <w:footnoteRef/>
      </w:r>
      <w:r>
        <w:rPr>
          <w:rFonts w:asciiTheme="majorHAnsi" w:hAnsiTheme="majorHAnsi"/>
          <w:sz w:val="16"/>
          <w:szCs w:val="16"/>
          <w:lang w:val="es-VE"/>
        </w:rPr>
        <w:t xml:space="preserve"> Anexo 18</w:t>
      </w:r>
      <w:r w:rsidRPr="007F3D68">
        <w:rPr>
          <w:rFonts w:asciiTheme="majorHAnsi" w:hAnsiTheme="majorHAnsi"/>
          <w:sz w:val="16"/>
          <w:szCs w:val="16"/>
          <w:lang w:val="es-VE"/>
        </w:rPr>
        <w:t xml:space="preserve">. Decisión de la Cámara Penal de la Corte Suprema de Justicia de 1 de diciembre de 2000 que declara sin lugar el recurso de casación interpuesto por la presunta víctima. </w:t>
      </w:r>
    </w:p>
  </w:footnote>
  <w:footnote w:id="32">
    <w:p w:rsidR="00F40EB1" w:rsidRPr="007F3D68" w:rsidRDefault="00F40EB1" w:rsidP="000A1A51">
      <w:pPr>
        <w:pStyle w:val="FootnoteText"/>
        <w:ind w:firstLine="720"/>
        <w:rPr>
          <w:rFonts w:asciiTheme="majorHAnsi" w:hAnsiTheme="majorHAnsi"/>
          <w:sz w:val="16"/>
          <w:szCs w:val="16"/>
          <w:lang w:val="es-VE"/>
        </w:rPr>
      </w:pPr>
      <w:r w:rsidRPr="007F3D68">
        <w:rPr>
          <w:rStyle w:val="FootnoteReference"/>
          <w:rFonts w:asciiTheme="majorHAnsi" w:hAnsiTheme="majorHAnsi"/>
          <w:sz w:val="16"/>
          <w:szCs w:val="16"/>
        </w:rPr>
        <w:footnoteRef/>
      </w:r>
      <w:r>
        <w:rPr>
          <w:rFonts w:asciiTheme="majorHAnsi" w:hAnsiTheme="majorHAnsi"/>
          <w:sz w:val="16"/>
          <w:szCs w:val="16"/>
          <w:lang w:val="es-VE"/>
        </w:rPr>
        <w:t xml:space="preserve"> Anexo 19</w:t>
      </w:r>
      <w:r w:rsidRPr="007F3D68">
        <w:rPr>
          <w:rFonts w:asciiTheme="majorHAnsi" w:hAnsiTheme="majorHAnsi"/>
          <w:sz w:val="16"/>
          <w:szCs w:val="16"/>
          <w:lang w:val="es-VE"/>
        </w:rPr>
        <w:t xml:space="preserve">. Decisión de la Cámara Penal de la Corte Suprema de justicia de 5 de julio de 2004 que deniega recurso de revisión. </w:t>
      </w:r>
    </w:p>
  </w:footnote>
  <w:footnote w:id="33">
    <w:p w:rsidR="00F40EB1" w:rsidRPr="007F3D68" w:rsidRDefault="00F40EB1" w:rsidP="000A1A51">
      <w:pPr>
        <w:pStyle w:val="FootnoteText"/>
        <w:ind w:firstLine="720"/>
        <w:rPr>
          <w:rFonts w:asciiTheme="majorHAnsi" w:hAnsiTheme="majorHAnsi"/>
          <w:sz w:val="16"/>
          <w:szCs w:val="16"/>
          <w:lang w:val="es-VE"/>
        </w:rPr>
      </w:pPr>
      <w:r w:rsidRPr="007F3D68">
        <w:rPr>
          <w:rStyle w:val="FootnoteReference"/>
          <w:rFonts w:asciiTheme="majorHAnsi" w:hAnsiTheme="majorHAnsi"/>
          <w:sz w:val="16"/>
          <w:szCs w:val="16"/>
        </w:rPr>
        <w:footnoteRef/>
      </w:r>
      <w:r>
        <w:rPr>
          <w:rFonts w:asciiTheme="majorHAnsi" w:hAnsiTheme="majorHAnsi"/>
          <w:sz w:val="16"/>
          <w:szCs w:val="16"/>
          <w:lang w:val="es-VE"/>
        </w:rPr>
        <w:t xml:space="preserve"> Anexo 19</w:t>
      </w:r>
      <w:r w:rsidRPr="007F3D68">
        <w:rPr>
          <w:rFonts w:asciiTheme="majorHAnsi" w:hAnsiTheme="majorHAnsi"/>
          <w:sz w:val="16"/>
          <w:szCs w:val="16"/>
          <w:lang w:val="es-VE"/>
        </w:rPr>
        <w:t xml:space="preserve">. Decisión de la Cámara Penal de la Corte Suprema de justicia de 5 de julio de 2004 que deniega recurso de revisión. </w:t>
      </w:r>
    </w:p>
  </w:footnote>
  <w:footnote w:id="34">
    <w:p w:rsidR="00F40EB1" w:rsidRPr="007F3D68" w:rsidRDefault="00F40EB1" w:rsidP="004D11E8">
      <w:pPr>
        <w:pStyle w:val="FootnoteText"/>
        <w:spacing w:after="120"/>
        <w:ind w:firstLine="720"/>
        <w:jc w:val="both"/>
        <w:rPr>
          <w:rFonts w:ascii="Cambria" w:hAnsi="Cambria"/>
          <w:sz w:val="16"/>
          <w:szCs w:val="16"/>
          <w:lang w:val="es-VE"/>
        </w:rPr>
      </w:pPr>
      <w:r w:rsidRPr="007F3D68">
        <w:rPr>
          <w:rStyle w:val="FootnoteReference"/>
          <w:rFonts w:ascii="Cambria" w:hAnsi="Cambria"/>
          <w:sz w:val="16"/>
          <w:szCs w:val="16"/>
        </w:rPr>
        <w:footnoteRef/>
      </w:r>
      <w:r w:rsidRPr="007F3D68">
        <w:rPr>
          <w:rFonts w:ascii="Cambria" w:hAnsi="Cambria"/>
          <w:sz w:val="16"/>
          <w:szCs w:val="16"/>
          <w:lang w:val="es-VE"/>
        </w:rPr>
        <w:t xml:space="preserve"> </w:t>
      </w:r>
      <w:hyperlink r:id="rId2" w:history="1">
        <w:r w:rsidRPr="007F3D68">
          <w:rPr>
            <w:rStyle w:val="Hyperlink"/>
            <w:rFonts w:ascii="Cambria" w:hAnsi="Cambria"/>
            <w:sz w:val="16"/>
            <w:szCs w:val="16"/>
            <w:lang w:val="es-VE"/>
          </w:rPr>
          <w:t>Constitución Política de la República de Guatemala</w:t>
        </w:r>
      </w:hyperlink>
      <w:r w:rsidRPr="007F3D68">
        <w:rPr>
          <w:rFonts w:ascii="Cambria" w:hAnsi="Cambria"/>
          <w:sz w:val="16"/>
          <w:szCs w:val="16"/>
          <w:lang w:val="es-VE"/>
        </w:rPr>
        <w:t xml:space="preserve"> de 1985. </w:t>
      </w:r>
    </w:p>
  </w:footnote>
  <w:footnote w:id="35">
    <w:p w:rsidR="00F40EB1" w:rsidRPr="007F3D68" w:rsidRDefault="00F40EB1" w:rsidP="004D11E8">
      <w:pPr>
        <w:pStyle w:val="FootnoteText"/>
        <w:spacing w:after="120"/>
        <w:ind w:firstLine="720"/>
        <w:jc w:val="both"/>
        <w:rPr>
          <w:rFonts w:ascii="Cambria" w:hAnsi="Cambria"/>
          <w:sz w:val="16"/>
          <w:szCs w:val="16"/>
          <w:lang w:val="pt-BR"/>
        </w:rPr>
      </w:pPr>
      <w:r w:rsidRPr="007F3D68">
        <w:rPr>
          <w:rStyle w:val="FootnoteReference"/>
          <w:rFonts w:ascii="Cambria" w:hAnsi="Cambria"/>
          <w:sz w:val="16"/>
          <w:szCs w:val="16"/>
        </w:rPr>
        <w:footnoteRef/>
      </w:r>
      <w:r w:rsidRPr="007F3D68">
        <w:rPr>
          <w:rFonts w:ascii="Cambria" w:hAnsi="Cambria"/>
          <w:sz w:val="16"/>
          <w:szCs w:val="16"/>
          <w:lang w:val="pt-BR"/>
        </w:rPr>
        <w:t xml:space="preserve"> Decreto Número 17-73, Código Penal de Guatemala.  </w:t>
      </w:r>
    </w:p>
  </w:footnote>
  <w:footnote w:id="36">
    <w:p w:rsidR="00F40EB1" w:rsidRPr="007F3D68" w:rsidRDefault="00F40EB1" w:rsidP="004D11E8">
      <w:pPr>
        <w:pStyle w:val="FootnoteText"/>
        <w:ind w:firstLine="720"/>
        <w:jc w:val="both"/>
        <w:rPr>
          <w:rFonts w:ascii="Cambria" w:hAnsi="Cambria"/>
          <w:sz w:val="16"/>
          <w:szCs w:val="16"/>
          <w:lang w:val="pt-BR"/>
        </w:rPr>
      </w:pPr>
      <w:r w:rsidRPr="007F3D68">
        <w:rPr>
          <w:rStyle w:val="FootnoteReference"/>
          <w:rFonts w:ascii="Cambria" w:hAnsi="Cambria"/>
          <w:sz w:val="16"/>
          <w:szCs w:val="16"/>
        </w:rPr>
        <w:footnoteRef/>
      </w:r>
      <w:r w:rsidRPr="007F3D68">
        <w:rPr>
          <w:rFonts w:ascii="Cambria" w:hAnsi="Cambria"/>
          <w:sz w:val="16"/>
          <w:szCs w:val="16"/>
          <w:lang w:val="pt-BR"/>
        </w:rPr>
        <w:t xml:space="preserve"> Decreto Número 17-73, Código Penal de Guatemala.  </w:t>
      </w:r>
    </w:p>
  </w:footnote>
  <w:footnote w:id="37">
    <w:p w:rsidR="00F40EB1" w:rsidRPr="007F3D68" w:rsidRDefault="00F40EB1" w:rsidP="004D11E8">
      <w:pPr>
        <w:pStyle w:val="FootnoteText"/>
        <w:ind w:firstLine="720"/>
        <w:jc w:val="both"/>
        <w:rPr>
          <w:rFonts w:ascii="Cambria" w:hAnsi="Cambria"/>
          <w:sz w:val="16"/>
          <w:szCs w:val="16"/>
          <w:lang w:val="es-VE"/>
        </w:rPr>
      </w:pPr>
      <w:r w:rsidRPr="007F3D68">
        <w:rPr>
          <w:rStyle w:val="FootnoteReference"/>
          <w:rFonts w:ascii="Cambria" w:hAnsi="Cambria"/>
          <w:sz w:val="16"/>
          <w:szCs w:val="16"/>
        </w:rPr>
        <w:footnoteRef/>
      </w:r>
      <w:r w:rsidRPr="007F3D68">
        <w:rPr>
          <w:rFonts w:ascii="Cambria" w:hAnsi="Cambria"/>
          <w:sz w:val="16"/>
          <w:szCs w:val="16"/>
          <w:lang w:val="es-VE"/>
        </w:rPr>
        <w:t xml:space="preserve"> Amnistía Internacional. Guatemala, El retorno de la pena de muerte. Marzo de 1997; ver también CIDH, Informe Anual de la Comisión Interamericana de Derechos Humanos, OEA/</w:t>
      </w:r>
      <w:proofErr w:type="spellStart"/>
      <w:r w:rsidRPr="007F3D68">
        <w:rPr>
          <w:rFonts w:ascii="Cambria" w:hAnsi="Cambria"/>
          <w:sz w:val="16"/>
          <w:szCs w:val="16"/>
          <w:lang w:val="es-VE"/>
        </w:rPr>
        <w:t>Ser.L</w:t>
      </w:r>
      <w:proofErr w:type="spellEnd"/>
      <w:r w:rsidRPr="007F3D68">
        <w:rPr>
          <w:rFonts w:ascii="Cambria" w:hAnsi="Cambria"/>
          <w:sz w:val="16"/>
          <w:szCs w:val="16"/>
          <w:lang w:val="es-VE"/>
        </w:rPr>
        <w:t>/V/II.63 doc.10, 28 de septiembre de 1984, Guatemala, párr. 9.</w:t>
      </w:r>
    </w:p>
  </w:footnote>
  <w:footnote w:id="38">
    <w:p w:rsidR="00F40EB1" w:rsidRPr="007F3D68" w:rsidRDefault="00F40EB1" w:rsidP="004D11E8">
      <w:pPr>
        <w:pStyle w:val="FootnoteText"/>
        <w:ind w:firstLine="720"/>
        <w:jc w:val="both"/>
        <w:rPr>
          <w:rFonts w:ascii="Cambria" w:hAnsi="Cambria"/>
          <w:sz w:val="16"/>
          <w:szCs w:val="16"/>
          <w:lang w:val="es-VE"/>
        </w:rPr>
      </w:pPr>
      <w:r w:rsidRPr="007F3D68">
        <w:rPr>
          <w:rStyle w:val="FootnoteReference"/>
          <w:rFonts w:ascii="Cambria" w:hAnsi="Cambria"/>
          <w:sz w:val="16"/>
          <w:szCs w:val="16"/>
        </w:rPr>
        <w:footnoteRef/>
      </w:r>
      <w:r w:rsidRPr="007F3D68">
        <w:rPr>
          <w:rFonts w:ascii="Cambria" w:hAnsi="Cambria"/>
          <w:sz w:val="16"/>
          <w:szCs w:val="16"/>
          <w:lang w:val="es-VE"/>
        </w:rPr>
        <w:t xml:space="preserve"> Al respecto el </w:t>
      </w:r>
      <w:hyperlink r:id="rId3" w:history="1">
        <w:r w:rsidRPr="007F3D68">
          <w:rPr>
            <w:rStyle w:val="Hyperlink"/>
            <w:rFonts w:ascii="Cambria" w:hAnsi="Cambria"/>
            <w:sz w:val="16"/>
            <w:szCs w:val="16"/>
            <w:lang w:val="es-VE"/>
          </w:rPr>
          <w:t>Decreto Número 100-96</w:t>
        </w:r>
      </w:hyperlink>
      <w:r w:rsidRPr="007F3D68">
        <w:rPr>
          <w:rFonts w:ascii="Cambria" w:hAnsi="Cambria"/>
          <w:sz w:val="16"/>
          <w:szCs w:val="16"/>
          <w:lang w:val="es-VE"/>
        </w:rPr>
        <w:t xml:space="preserve"> de 28 de noviembre de 1996, Ley que Establece el Procedimiento para la Ejecución de la Pena de Muerte. </w:t>
      </w:r>
    </w:p>
  </w:footnote>
  <w:footnote w:id="39">
    <w:p w:rsidR="00F40EB1" w:rsidRPr="007F3D68" w:rsidRDefault="00F40EB1" w:rsidP="004D11E8">
      <w:pPr>
        <w:pStyle w:val="FootnoteText"/>
        <w:ind w:firstLine="708"/>
        <w:jc w:val="both"/>
        <w:rPr>
          <w:rFonts w:ascii="Cambria" w:hAnsi="Cambria"/>
          <w:sz w:val="16"/>
          <w:szCs w:val="16"/>
          <w:lang w:val="es-VE"/>
        </w:rPr>
      </w:pPr>
      <w:r w:rsidRPr="007F3D68">
        <w:rPr>
          <w:rStyle w:val="FootnoteReference"/>
          <w:rFonts w:ascii="Cambria" w:hAnsi="Cambria"/>
          <w:sz w:val="16"/>
          <w:szCs w:val="16"/>
        </w:rPr>
        <w:footnoteRef/>
      </w:r>
      <w:r w:rsidRPr="007F3D68">
        <w:rPr>
          <w:rFonts w:ascii="Cambria" w:hAnsi="Cambria"/>
          <w:sz w:val="16"/>
          <w:szCs w:val="16"/>
          <w:lang w:val="es-VE"/>
        </w:rPr>
        <w:t xml:space="preserve"> Ver CIDH, Informe Anual de la Comisión Interamericana de Derechos Humanos de 1997,OEA/</w:t>
      </w:r>
      <w:proofErr w:type="spellStart"/>
      <w:r w:rsidRPr="007F3D68">
        <w:rPr>
          <w:rFonts w:ascii="Cambria" w:hAnsi="Cambria"/>
          <w:sz w:val="16"/>
          <w:szCs w:val="16"/>
          <w:lang w:val="es-VE"/>
        </w:rPr>
        <w:t>Ser.L</w:t>
      </w:r>
      <w:proofErr w:type="spellEnd"/>
      <w:r w:rsidRPr="007F3D68">
        <w:rPr>
          <w:rFonts w:ascii="Cambria" w:hAnsi="Cambria"/>
          <w:sz w:val="16"/>
          <w:szCs w:val="16"/>
          <w:lang w:val="es-VE"/>
        </w:rPr>
        <w:t>/V/II.doc.6, 17 de febrero de 1998, párr.26-29.</w:t>
      </w:r>
    </w:p>
  </w:footnote>
  <w:footnote w:id="40">
    <w:p w:rsidR="00F40EB1" w:rsidRPr="007F3D68" w:rsidRDefault="00F40EB1" w:rsidP="004D11E8">
      <w:pPr>
        <w:pStyle w:val="FootnoteText"/>
        <w:ind w:firstLine="708"/>
        <w:jc w:val="both"/>
        <w:rPr>
          <w:rFonts w:ascii="Cambria" w:hAnsi="Cambria"/>
          <w:sz w:val="16"/>
          <w:szCs w:val="16"/>
          <w:lang w:val="es-VE"/>
        </w:rPr>
      </w:pPr>
      <w:r w:rsidRPr="007F3D68">
        <w:rPr>
          <w:rStyle w:val="FootnoteReference"/>
          <w:rFonts w:ascii="Cambria" w:hAnsi="Cambria"/>
          <w:sz w:val="16"/>
          <w:szCs w:val="16"/>
        </w:rPr>
        <w:footnoteRef/>
      </w:r>
      <w:r w:rsidRPr="007F3D68">
        <w:rPr>
          <w:rFonts w:ascii="Cambria" w:hAnsi="Cambria"/>
          <w:sz w:val="16"/>
          <w:szCs w:val="16"/>
          <w:lang w:val="es-VE"/>
        </w:rPr>
        <w:t xml:space="preserve"> Corte de Constitucionalidad, Expediente 1015-96, Gaceta Jurisprudencial No. 41-Amparos en Única Instancia. </w:t>
      </w:r>
    </w:p>
  </w:footnote>
  <w:footnote w:id="41">
    <w:p w:rsidR="00F40EB1" w:rsidRPr="007F3D68" w:rsidRDefault="00F40EB1" w:rsidP="004D11E8">
      <w:pPr>
        <w:pStyle w:val="FootnoteText"/>
        <w:ind w:firstLine="708"/>
        <w:jc w:val="both"/>
        <w:rPr>
          <w:rFonts w:ascii="Cambria" w:hAnsi="Cambria"/>
          <w:sz w:val="16"/>
          <w:szCs w:val="16"/>
          <w:lang w:val="es-VE"/>
        </w:rPr>
      </w:pPr>
      <w:r w:rsidRPr="007F3D68">
        <w:rPr>
          <w:rStyle w:val="FootnoteReference"/>
          <w:rFonts w:ascii="Cambria" w:hAnsi="Cambria"/>
          <w:sz w:val="16"/>
          <w:szCs w:val="16"/>
        </w:rPr>
        <w:footnoteRef/>
      </w:r>
      <w:r w:rsidRPr="007F3D68">
        <w:rPr>
          <w:rFonts w:ascii="Cambria" w:hAnsi="Cambria"/>
          <w:sz w:val="16"/>
          <w:szCs w:val="16"/>
          <w:lang w:val="es-VE"/>
        </w:rPr>
        <w:t xml:space="preserve"> Ver </w:t>
      </w:r>
      <w:hyperlink r:id="rId4" w:history="1">
        <w:r w:rsidRPr="007F3D68">
          <w:rPr>
            <w:rStyle w:val="Hyperlink"/>
            <w:rFonts w:ascii="Cambria" w:hAnsi="Cambria"/>
            <w:sz w:val="16"/>
            <w:szCs w:val="16"/>
            <w:lang w:val="es-VE"/>
          </w:rPr>
          <w:t>Decreto número 32-2000</w:t>
        </w:r>
      </w:hyperlink>
      <w:r w:rsidRPr="007F3D68">
        <w:rPr>
          <w:rFonts w:ascii="Cambria" w:hAnsi="Cambria"/>
          <w:sz w:val="16"/>
          <w:szCs w:val="16"/>
          <w:lang w:val="es-VE"/>
        </w:rPr>
        <w:t xml:space="preserve"> publicado el 1 de junio de 2000.</w:t>
      </w:r>
    </w:p>
  </w:footnote>
  <w:footnote w:id="42">
    <w:p w:rsidR="00F40EB1" w:rsidRPr="007F3D68" w:rsidRDefault="00F40EB1" w:rsidP="004D11E8">
      <w:pPr>
        <w:pStyle w:val="FootnoteText"/>
        <w:ind w:firstLine="708"/>
        <w:jc w:val="both"/>
        <w:rPr>
          <w:rFonts w:ascii="Cambria" w:hAnsi="Cambria"/>
          <w:sz w:val="16"/>
          <w:szCs w:val="16"/>
          <w:lang w:val="es-VE"/>
        </w:rPr>
      </w:pPr>
      <w:r w:rsidRPr="007F3D68">
        <w:rPr>
          <w:rStyle w:val="FootnoteReference"/>
          <w:rFonts w:ascii="Cambria" w:hAnsi="Cambria"/>
          <w:sz w:val="16"/>
          <w:szCs w:val="16"/>
        </w:rPr>
        <w:footnoteRef/>
      </w:r>
      <w:r w:rsidRPr="007F3D68">
        <w:rPr>
          <w:rFonts w:ascii="Cambria" w:hAnsi="Cambria"/>
          <w:sz w:val="16"/>
          <w:szCs w:val="16"/>
          <w:lang w:val="es-VE"/>
        </w:rPr>
        <w:t xml:space="preserve"> Ver Artículo 132 del Decreto 17-73 del Congreso de la República de Guatemala, Código Penal. </w:t>
      </w:r>
    </w:p>
  </w:footnote>
  <w:footnote w:id="43">
    <w:p w:rsidR="00F40EB1" w:rsidRPr="007F3D68" w:rsidRDefault="00F40EB1" w:rsidP="004D11E8">
      <w:pPr>
        <w:pStyle w:val="FootnoteText"/>
        <w:ind w:firstLine="708"/>
        <w:jc w:val="both"/>
        <w:rPr>
          <w:rFonts w:ascii="Cambria" w:hAnsi="Cambria"/>
          <w:sz w:val="16"/>
          <w:szCs w:val="16"/>
          <w:lang w:val="es-VE"/>
        </w:rPr>
      </w:pPr>
      <w:r w:rsidRPr="007F3D68">
        <w:rPr>
          <w:rStyle w:val="FootnoteReference"/>
          <w:rFonts w:ascii="Cambria" w:hAnsi="Cambria"/>
          <w:sz w:val="16"/>
          <w:szCs w:val="16"/>
        </w:rPr>
        <w:footnoteRef/>
      </w:r>
      <w:r w:rsidRPr="007F3D68">
        <w:rPr>
          <w:rFonts w:ascii="Cambria" w:hAnsi="Cambria"/>
          <w:sz w:val="16"/>
          <w:szCs w:val="16"/>
          <w:lang w:val="es-VE"/>
        </w:rPr>
        <w:t xml:space="preserve"> Ver </w:t>
      </w:r>
      <w:hyperlink r:id="rId5" w:history="1">
        <w:r w:rsidRPr="007F3D68">
          <w:rPr>
            <w:rStyle w:val="Hyperlink"/>
            <w:rFonts w:ascii="Cambria" w:hAnsi="Cambria"/>
            <w:sz w:val="16"/>
            <w:szCs w:val="16"/>
            <w:lang w:val="es-VE"/>
          </w:rPr>
          <w:t>Artículo 5 del Decreto 20-96</w:t>
        </w:r>
      </w:hyperlink>
      <w:r w:rsidRPr="007F3D68">
        <w:rPr>
          <w:rFonts w:ascii="Cambria" w:hAnsi="Cambria"/>
          <w:sz w:val="16"/>
          <w:szCs w:val="16"/>
          <w:lang w:val="es-VE"/>
        </w:rPr>
        <w:t xml:space="preserve"> del Congreso de la República de Guatemala. </w:t>
      </w:r>
    </w:p>
  </w:footnote>
  <w:footnote w:id="44">
    <w:p w:rsidR="00F40EB1" w:rsidRPr="007F3D68" w:rsidRDefault="00F40EB1" w:rsidP="004D11E8">
      <w:pPr>
        <w:pStyle w:val="FootnoteText"/>
        <w:ind w:firstLine="708"/>
        <w:jc w:val="both"/>
        <w:rPr>
          <w:rFonts w:ascii="Cambria" w:hAnsi="Cambria"/>
          <w:sz w:val="16"/>
          <w:szCs w:val="16"/>
          <w:lang w:val="es-VE"/>
        </w:rPr>
      </w:pPr>
      <w:r w:rsidRPr="007F3D68">
        <w:rPr>
          <w:rStyle w:val="FootnoteReference"/>
          <w:rFonts w:ascii="Cambria" w:hAnsi="Cambria"/>
          <w:sz w:val="16"/>
          <w:szCs w:val="16"/>
        </w:rPr>
        <w:footnoteRef/>
      </w:r>
      <w:r w:rsidRPr="007F3D68">
        <w:rPr>
          <w:rFonts w:ascii="Cambria" w:hAnsi="Cambria"/>
          <w:sz w:val="16"/>
          <w:szCs w:val="16"/>
          <w:lang w:val="pt-BR"/>
        </w:rPr>
        <w:t xml:space="preserve"> Corte IDH. Caso Fermín Ramírez vs. Guatemala. </w:t>
      </w:r>
      <w:r w:rsidRPr="007F3D68">
        <w:rPr>
          <w:rFonts w:ascii="Cambria" w:hAnsi="Cambria"/>
          <w:sz w:val="16"/>
          <w:szCs w:val="16"/>
          <w:lang w:val="es-VE"/>
        </w:rPr>
        <w:t xml:space="preserve">Fondo, Reparaciones y Costas. Sentencia de 20 de junio de 2005. Serie C No. 126, párr.94 y ss. </w:t>
      </w:r>
    </w:p>
  </w:footnote>
  <w:footnote w:id="45">
    <w:p w:rsidR="00F40EB1" w:rsidRPr="007F3D68" w:rsidRDefault="00F40EB1" w:rsidP="004D11E8">
      <w:pPr>
        <w:pStyle w:val="FootnoteText"/>
        <w:ind w:firstLine="708"/>
        <w:jc w:val="both"/>
        <w:rPr>
          <w:rFonts w:ascii="Cambria" w:hAnsi="Cambria"/>
          <w:sz w:val="16"/>
          <w:szCs w:val="16"/>
          <w:lang w:val="es-VE"/>
        </w:rPr>
      </w:pPr>
      <w:r w:rsidRPr="007F3D68">
        <w:rPr>
          <w:rStyle w:val="FootnoteReference"/>
          <w:rFonts w:ascii="Cambria" w:hAnsi="Cambria"/>
          <w:sz w:val="16"/>
          <w:szCs w:val="16"/>
        </w:rPr>
        <w:footnoteRef/>
      </w:r>
      <w:r w:rsidRPr="007F3D68">
        <w:rPr>
          <w:rFonts w:ascii="Cambria" w:hAnsi="Cambria"/>
          <w:sz w:val="16"/>
          <w:szCs w:val="16"/>
          <w:lang w:val="es-VE"/>
        </w:rPr>
        <w:t xml:space="preserve"> Corte IDH. Caso Fermín Ramírez vs. Guatemala. Fondo, Reparaciones y Costas. Sentencia de 20 de junio de 2005. Serie C No. 126, párr.94 y ss. </w:t>
      </w:r>
    </w:p>
  </w:footnote>
  <w:footnote w:id="46">
    <w:p w:rsidR="00F40EB1" w:rsidRPr="007F3D68" w:rsidRDefault="00F40EB1" w:rsidP="004D11E8">
      <w:pPr>
        <w:pStyle w:val="FootnoteText"/>
        <w:spacing w:after="120"/>
        <w:ind w:firstLine="708"/>
        <w:jc w:val="both"/>
        <w:rPr>
          <w:rFonts w:ascii="Cambria" w:hAnsi="Cambria"/>
          <w:sz w:val="16"/>
          <w:szCs w:val="16"/>
          <w:lang w:val="es-VE"/>
        </w:rPr>
      </w:pPr>
      <w:r w:rsidRPr="007F3D68">
        <w:rPr>
          <w:rStyle w:val="FootnoteReference"/>
          <w:rFonts w:ascii="Cambria" w:hAnsi="Cambria"/>
          <w:sz w:val="16"/>
          <w:szCs w:val="16"/>
        </w:rPr>
        <w:footnoteRef/>
      </w:r>
      <w:r w:rsidRPr="007F3D68">
        <w:rPr>
          <w:rFonts w:ascii="Cambria" w:hAnsi="Cambria"/>
          <w:sz w:val="16"/>
          <w:szCs w:val="16"/>
          <w:lang w:val="es-VE"/>
        </w:rPr>
        <w:t xml:space="preserve"> Ver artículo de prensa publicado en Agencia Efe, </w:t>
      </w:r>
      <w:hyperlink r:id="rId6" w:history="1">
        <w:r w:rsidRPr="007F3D68">
          <w:rPr>
            <w:rStyle w:val="Hyperlink"/>
            <w:rFonts w:ascii="Cambria" w:hAnsi="Cambria"/>
            <w:sz w:val="16"/>
            <w:szCs w:val="16"/>
            <w:lang w:val="es-VE"/>
          </w:rPr>
          <w:t>Piden en Guatemala restituir figura de indulto, y con ella, la pena de muerte</w:t>
        </w:r>
      </w:hyperlink>
      <w:r w:rsidRPr="007F3D68">
        <w:rPr>
          <w:rFonts w:ascii="Cambria" w:hAnsi="Cambria"/>
          <w:sz w:val="16"/>
          <w:szCs w:val="16"/>
          <w:lang w:val="es-VE"/>
        </w:rPr>
        <w:t xml:space="preserve">, 10 de marzo de 2016, El periódico, </w:t>
      </w:r>
      <w:hyperlink r:id="rId7" w:history="1">
        <w:r w:rsidRPr="007F3D68">
          <w:rPr>
            <w:rStyle w:val="Hyperlink"/>
            <w:rFonts w:ascii="Cambria" w:hAnsi="Cambria"/>
            <w:sz w:val="16"/>
            <w:szCs w:val="16"/>
            <w:lang w:val="es-VE"/>
          </w:rPr>
          <w:t>conmutación de la pena de muerte</w:t>
        </w:r>
      </w:hyperlink>
      <w:r w:rsidRPr="007F3D68">
        <w:rPr>
          <w:rFonts w:ascii="Cambria" w:hAnsi="Cambria"/>
          <w:sz w:val="16"/>
          <w:szCs w:val="16"/>
          <w:lang w:val="es-VE"/>
        </w:rPr>
        <w:t>, 12 de febrero de 2016. La CIDH también ha documentado una serie de decisiones a nivel interno previas al año 2000, por medio de las cuales tribunales internos decidieron no aplicar la pena de muerte porque contrariaba los términos de aplicación del artículo 4.2 de la Convención Americana. Al respecto, en su informe anual de 1997 la CIDH indicó: “</w:t>
      </w:r>
      <w:r w:rsidRPr="007F3D68">
        <w:rPr>
          <w:rFonts w:ascii="Cambria" w:hAnsi="Cambria"/>
          <w:spacing w:val="-2"/>
          <w:sz w:val="16"/>
          <w:szCs w:val="16"/>
          <w:lang w:val="es-VE"/>
        </w:rPr>
        <w:t>En su último informe, la Comisión hizo referencia a la sentencia notable de la Sala Novena de la Corte de Apelaciones del 30 de enero de 1997, por la que conmutó tres sentencias de muerte en condenas de 50 años en base a lo dispuesto por el derecho interno, incluida la obligación que impone al Estado el artículo 4 de la Convención Americana.  La Comisión ha recibido información de que el Tribunal de Sentencia Penal, Narcoactividad y Delitos contra el Ambiente del Departamento de Santa Rosa, Cuilapa adoptó una decisión similar el 8 de mayo de 1997, en el caso de Guillermo López Contreras, habiendo dictaminado que, de acuerdo con los términos del régimen jurídico aplicable, el Tribunal no podía legalmente imponer la pena de muerte por un delito para el que no se preveía ese castigo a la fecha de la ratificación de la Convención.  La Comisión reconoce y valora tales decisiones que respetan y reflejan debidamente las obligaciones internacionales asumidas por el Estado en materia de derechos humanos”. Ver CIDH, Informe Anual de la Comisión Interamericana de Derechos Humanos de 1997, Guatemala, OEA/</w:t>
      </w:r>
      <w:proofErr w:type="spellStart"/>
      <w:r w:rsidRPr="007F3D68">
        <w:rPr>
          <w:rFonts w:ascii="Cambria" w:hAnsi="Cambria"/>
          <w:spacing w:val="-2"/>
          <w:sz w:val="16"/>
          <w:szCs w:val="16"/>
          <w:lang w:val="es-VE"/>
        </w:rPr>
        <w:t>Ser.L</w:t>
      </w:r>
      <w:proofErr w:type="spellEnd"/>
      <w:r w:rsidRPr="007F3D68">
        <w:rPr>
          <w:rFonts w:ascii="Cambria" w:hAnsi="Cambria"/>
          <w:spacing w:val="-2"/>
          <w:sz w:val="16"/>
          <w:szCs w:val="16"/>
          <w:lang w:val="es-VE"/>
        </w:rPr>
        <w:t>/V/II.98, Doc.6, 17 de febrero de 1998, párr.27.</w:t>
      </w:r>
    </w:p>
  </w:footnote>
  <w:footnote w:id="47">
    <w:p w:rsidR="00F40EB1" w:rsidRPr="007F3D68" w:rsidRDefault="00F40EB1" w:rsidP="004D11E8">
      <w:pPr>
        <w:pStyle w:val="FootnoteText"/>
        <w:ind w:firstLine="708"/>
        <w:jc w:val="both"/>
        <w:rPr>
          <w:rFonts w:ascii="Cambria" w:hAnsi="Cambria"/>
          <w:sz w:val="16"/>
          <w:szCs w:val="16"/>
          <w:lang w:val="es-VE"/>
        </w:rPr>
      </w:pPr>
      <w:r w:rsidRPr="007F3D68">
        <w:rPr>
          <w:rStyle w:val="FootnoteReference"/>
          <w:rFonts w:ascii="Cambria" w:hAnsi="Cambria"/>
          <w:sz w:val="16"/>
          <w:szCs w:val="16"/>
        </w:rPr>
        <w:footnoteRef/>
      </w:r>
      <w:r w:rsidRPr="007F3D68">
        <w:rPr>
          <w:rFonts w:ascii="Cambria" w:hAnsi="Cambria"/>
          <w:sz w:val="16"/>
          <w:szCs w:val="16"/>
          <w:lang w:val="es-VE"/>
        </w:rPr>
        <w:t xml:space="preserve"> Ver Congreso de la República de Guatemala,  Decreto Número 6-2008, </w:t>
      </w:r>
      <w:hyperlink r:id="rId8" w:history="1">
        <w:r w:rsidRPr="007F3D68">
          <w:rPr>
            <w:rStyle w:val="Hyperlink"/>
            <w:rFonts w:ascii="Cambria" w:hAnsi="Cambria"/>
            <w:sz w:val="16"/>
            <w:szCs w:val="16"/>
            <w:lang w:val="es-VE"/>
          </w:rPr>
          <w:t>Ley Reguladora de la Conmutación de la Pena para los Condenados a Muerte</w:t>
        </w:r>
      </w:hyperlink>
      <w:r w:rsidRPr="007F3D68">
        <w:rPr>
          <w:rFonts w:ascii="Cambria" w:hAnsi="Cambria"/>
          <w:sz w:val="16"/>
          <w:szCs w:val="16"/>
          <w:lang w:val="es-VE"/>
        </w:rPr>
        <w:t xml:space="preserve">. </w:t>
      </w:r>
    </w:p>
  </w:footnote>
  <w:footnote w:id="48">
    <w:p w:rsidR="00F40EB1" w:rsidRPr="007F3D68" w:rsidRDefault="00F40EB1" w:rsidP="004D11E8">
      <w:pPr>
        <w:pStyle w:val="FootnoteText"/>
        <w:ind w:firstLine="708"/>
        <w:jc w:val="both"/>
        <w:rPr>
          <w:rFonts w:ascii="Cambria" w:hAnsi="Cambria"/>
          <w:sz w:val="16"/>
          <w:szCs w:val="16"/>
          <w:lang w:val="es-VE"/>
        </w:rPr>
      </w:pPr>
      <w:r w:rsidRPr="007F3D68">
        <w:rPr>
          <w:rStyle w:val="FootnoteReference"/>
          <w:rFonts w:ascii="Cambria" w:hAnsi="Cambria"/>
          <w:sz w:val="16"/>
          <w:szCs w:val="16"/>
        </w:rPr>
        <w:footnoteRef/>
      </w:r>
      <w:r w:rsidRPr="007F3D68">
        <w:rPr>
          <w:rFonts w:ascii="Cambria" w:hAnsi="Cambria"/>
          <w:sz w:val="16"/>
          <w:szCs w:val="16"/>
          <w:lang w:val="es-VE"/>
        </w:rPr>
        <w:t xml:space="preserve"> Artículo de prensa publicado en elmundo.es,  </w:t>
      </w:r>
      <w:hyperlink r:id="rId9" w:history="1">
        <w:r w:rsidRPr="007F3D68">
          <w:rPr>
            <w:rStyle w:val="Hyperlink"/>
            <w:rFonts w:ascii="Cambria" w:hAnsi="Cambria"/>
            <w:sz w:val="16"/>
            <w:szCs w:val="16"/>
            <w:lang w:val="es-VE"/>
          </w:rPr>
          <w:t>Colom veta la ley que restituyó la pena de muerte en Guatemala</w:t>
        </w:r>
      </w:hyperlink>
      <w:r w:rsidRPr="007F3D68">
        <w:rPr>
          <w:rFonts w:ascii="Cambria" w:hAnsi="Cambria"/>
          <w:sz w:val="16"/>
          <w:szCs w:val="16"/>
          <w:lang w:val="es-VE"/>
        </w:rPr>
        <w:t xml:space="preserve">, 15 de marzo de 2008; Artículo de prensa publicado en BBCMundo.com, </w:t>
      </w:r>
      <w:hyperlink r:id="rId10" w:history="1">
        <w:r w:rsidRPr="007F3D68">
          <w:rPr>
            <w:rStyle w:val="Hyperlink"/>
            <w:rFonts w:ascii="Cambria" w:hAnsi="Cambria"/>
            <w:sz w:val="16"/>
            <w:szCs w:val="16"/>
            <w:lang w:val="es-VE"/>
          </w:rPr>
          <w:t>Colom vetó pena de muerte</w:t>
        </w:r>
      </w:hyperlink>
      <w:r w:rsidRPr="007F3D68">
        <w:rPr>
          <w:rFonts w:ascii="Cambria" w:hAnsi="Cambria"/>
          <w:sz w:val="16"/>
          <w:szCs w:val="16"/>
          <w:lang w:val="es-VE"/>
        </w:rPr>
        <w:t>, 15 de marzo de 2008.</w:t>
      </w:r>
    </w:p>
  </w:footnote>
  <w:footnote w:id="49">
    <w:p w:rsidR="00F40EB1" w:rsidRPr="007F3D68" w:rsidRDefault="00F40EB1" w:rsidP="004D11E8">
      <w:pPr>
        <w:pStyle w:val="FootnoteText"/>
        <w:ind w:firstLine="708"/>
        <w:jc w:val="both"/>
        <w:rPr>
          <w:rFonts w:ascii="Cambria" w:hAnsi="Cambria"/>
          <w:sz w:val="16"/>
          <w:szCs w:val="16"/>
          <w:lang w:val="es-VE"/>
        </w:rPr>
      </w:pPr>
      <w:r w:rsidRPr="007F3D68">
        <w:rPr>
          <w:rStyle w:val="FootnoteReference"/>
          <w:rFonts w:ascii="Cambria" w:hAnsi="Cambria"/>
          <w:sz w:val="16"/>
          <w:szCs w:val="16"/>
        </w:rPr>
        <w:footnoteRef/>
      </w:r>
      <w:r w:rsidRPr="007F3D68">
        <w:rPr>
          <w:rFonts w:ascii="Cambria" w:hAnsi="Cambria"/>
          <w:sz w:val="16"/>
          <w:szCs w:val="16"/>
          <w:lang w:val="es-VE"/>
        </w:rPr>
        <w:t xml:space="preserve"> Artículo de prensa publicado en laprensa.com.ni, </w:t>
      </w:r>
      <w:hyperlink r:id="rId11" w:history="1">
        <w:r w:rsidRPr="007F3D68">
          <w:rPr>
            <w:rStyle w:val="Hyperlink"/>
            <w:rFonts w:ascii="Cambria" w:hAnsi="Cambria"/>
            <w:sz w:val="16"/>
            <w:szCs w:val="16"/>
            <w:lang w:val="es-VE"/>
          </w:rPr>
          <w:t>Colom veta ley con que reactivarían pena de muerte</w:t>
        </w:r>
      </w:hyperlink>
      <w:r w:rsidRPr="007F3D68">
        <w:rPr>
          <w:rFonts w:ascii="Cambria" w:hAnsi="Cambria"/>
          <w:sz w:val="16"/>
          <w:szCs w:val="16"/>
          <w:lang w:val="es-VE"/>
        </w:rPr>
        <w:t xml:space="preserve">, 5 de noviembre de 2010. </w:t>
      </w:r>
    </w:p>
  </w:footnote>
  <w:footnote w:id="50">
    <w:p w:rsidR="00F40EB1" w:rsidRPr="007F3D68" w:rsidRDefault="00F40EB1" w:rsidP="004D11E8">
      <w:pPr>
        <w:pStyle w:val="FootnoteText"/>
        <w:ind w:firstLine="708"/>
        <w:jc w:val="both"/>
        <w:rPr>
          <w:rFonts w:ascii="Cambria" w:hAnsi="Cambria"/>
          <w:sz w:val="16"/>
          <w:szCs w:val="16"/>
          <w:lang w:val="es-VE"/>
        </w:rPr>
      </w:pPr>
      <w:r w:rsidRPr="007F3D68">
        <w:rPr>
          <w:rStyle w:val="FootnoteReference"/>
          <w:rFonts w:ascii="Cambria" w:hAnsi="Cambria"/>
          <w:sz w:val="16"/>
          <w:szCs w:val="16"/>
        </w:rPr>
        <w:footnoteRef/>
      </w:r>
      <w:r w:rsidRPr="007F3D68">
        <w:rPr>
          <w:rFonts w:ascii="Cambria" w:hAnsi="Cambria"/>
          <w:sz w:val="16"/>
          <w:szCs w:val="16"/>
          <w:lang w:val="es-VE"/>
        </w:rPr>
        <w:t xml:space="preserve"> </w:t>
      </w:r>
      <w:hyperlink r:id="rId12" w:history="1">
        <w:r w:rsidRPr="007F3D68">
          <w:rPr>
            <w:rStyle w:val="Hyperlink"/>
            <w:rFonts w:ascii="Cambria" w:hAnsi="Cambria"/>
            <w:sz w:val="16"/>
            <w:szCs w:val="16"/>
            <w:lang w:val="es-AR"/>
          </w:rPr>
          <w:t>Iniciativas de ley presentadas ante el Congreso de la República de Guatemala</w:t>
        </w:r>
      </w:hyperlink>
      <w:r w:rsidRPr="007F3D68">
        <w:rPr>
          <w:rFonts w:ascii="Cambria" w:hAnsi="Cambria"/>
          <w:sz w:val="16"/>
          <w:szCs w:val="16"/>
          <w:lang w:val="es-AR"/>
        </w:rPr>
        <w:t xml:space="preserve">. </w:t>
      </w:r>
    </w:p>
  </w:footnote>
  <w:footnote w:id="51">
    <w:p w:rsidR="00F40EB1" w:rsidRPr="007F3D68" w:rsidRDefault="00F40EB1" w:rsidP="00AB667A">
      <w:pPr>
        <w:pStyle w:val="FootnoteText"/>
        <w:spacing w:after="120"/>
        <w:ind w:firstLine="720"/>
        <w:jc w:val="both"/>
        <w:rPr>
          <w:rFonts w:asciiTheme="majorHAnsi" w:hAnsiTheme="majorHAnsi"/>
          <w:sz w:val="16"/>
          <w:szCs w:val="16"/>
          <w:lang w:val="es-VE"/>
        </w:rPr>
      </w:pP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Plan de Acción Interno No. 002-2005 “Operación Gavilán”.</w:t>
      </w:r>
    </w:p>
  </w:footnote>
  <w:footnote w:id="52">
    <w:p w:rsidR="00F40EB1" w:rsidRPr="007F3D68" w:rsidRDefault="00F40EB1" w:rsidP="00AB667A">
      <w:pPr>
        <w:pStyle w:val="FootnoteText"/>
        <w:spacing w:after="120"/>
        <w:ind w:firstLine="720"/>
        <w:jc w:val="both"/>
        <w:rPr>
          <w:rFonts w:asciiTheme="majorHAnsi" w:hAnsiTheme="majorHAnsi"/>
          <w:sz w:val="16"/>
          <w:szCs w:val="16"/>
          <w:lang w:val="es-VE"/>
        </w:rPr>
      </w:pP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Plan de acción interno No. 002-2005 “Operación Gavilán”. </w:t>
      </w:r>
    </w:p>
  </w:footnote>
  <w:footnote w:id="53">
    <w:p w:rsidR="00F40EB1" w:rsidRPr="007F3D68" w:rsidRDefault="00F40EB1" w:rsidP="00AB667A">
      <w:pPr>
        <w:pStyle w:val="FootnoteText"/>
        <w:spacing w:after="120"/>
        <w:ind w:firstLine="720"/>
        <w:jc w:val="both"/>
        <w:rPr>
          <w:rFonts w:asciiTheme="majorHAnsi" w:hAnsiTheme="majorHAnsi"/>
          <w:sz w:val="16"/>
          <w:szCs w:val="16"/>
          <w:lang w:val="es-VE"/>
        </w:rPr>
      </w:pP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Escrito de observaciones del Estado en el caso de Hugo Humberto Ruiz Fuentes de 18 de agosto de 2009.</w:t>
      </w:r>
    </w:p>
  </w:footnote>
  <w:footnote w:id="54">
    <w:p w:rsidR="00F40EB1" w:rsidRPr="007F3D68" w:rsidRDefault="00F40EB1" w:rsidP="00AB667A">
      <w:pPr>
        <w:pStyle w:val="FootnoteText"/>
        <w:spacing w:after="120"/>
        <w:ind w:firstLine="720"/>
        <w:jc w:val="both"/>
        <w:rPr>
          <w:rFonts w:asciiTheme="majorHAnsi" w:hAnsiTheme="majorHAnsi"/>
          <w:sz w:val="16"/>
          <w:szCs w:val="16"/>
          <w:lang w:val="es-VE"/>
        </w:rPr>
      </w:pP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Escrito de observaciones del Estado en el caso de Hugo Humberto Ruiz Fuentes de 27 de julio de 2009.</w:t>
      </w:r>
    </w:p>
  </w:footnote>
  <w:footnote w:id="55">
    <w:p w:rsidR="00F40EB1" w:rsidRPr="007F3D68" w:rsidRDefault="00F40EB1" w:rsidP="00AB667A">
      <w:pPr>
        <w:pStyle w:val="FootnoteText"/>
        <w:ind w:firstLine="720"/>
        <w:rPr>
          <w:rFonts w:asciiTheme="majorHAnsi" w:hAnsiTheme="majorHAnsi"/>
          <w:sz w:val="16"/>
          <w:szCs w:val="16"/>
          <w:lang w:val="es-VE"/>
        </w:rPr>
      </w:pP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Escrito de observaciones de los peticionarios de 30 de marzo de 2007. </w:t>
      </w:r>
    </w:p>
  </w:footnote>
  <w:footnote w:id="56">
    <w:p w:rsidR="00F40EB1" w:rsidRPr="007F3D68" w:rsidRDefault="00F40EB1" w:rsidP="00F50CA8">
      <w:pPr>
        <w:pStyle w:val="FootnoteText"/>
        <w:ind w:firstLine="720"/>
        <w:rPr>
          <w:rFonts w:asciiTheme="majorHAnsi" w:hAnsiTheme="majorHAnsi"/>
          <w:sz w:val="16"/>
          <w:szCs w:val="16"/>
          <w:lang w:val="es-VE"/>
        </w:rPr>
      </w:pP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Escrito de observaciones de los peticionarios de 2 de abril de 2001. </w:t>
      </w:r>
    </w:p>
  </w:footnote>
  <w:footnote w:id="57">
    <w:p w:rsidR="00F40EB1" w:rsidRPr="007F3D68" w:rsidRDefault="00F40EB1" w:rsidP="00FE2DE7">
      <w:pPr>
        <w:pStyle w:val="FootnoteText"/>
        <w:spacing w:after="120"/>
        <w:ind w:firstLine="720"/>
        <w:jc w:val="both"/>
        <w:rPr>
          <w:rFonts w:asciiTheme="majorHAnsi" w:hAnsiTheme="majorHAnsi"/>
          <w:sz w:val="16"/>
          <w:szCs w:val="16"/>
          <w:lang w:val="es-VE"/>
        </w:rPr>
      </w:pP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CICIG, Comunicado de prensa 041 </w:t>
      </w:r>
      <w:hyperlink r:id="rId13" w:history="1">
        <w:r w:rsidRPr="007F3D68">
          <w:rPr>
            <w:rStyle w:val="Hyperlink"/>
            <w:rFonts w:asciiTheme="majorHAnsi" w:hAnsiTheme="majorHAnsi"/>
            <w:sz w:val="16"/>
            <w:szCs w:val="16"/>
            <w:lang w:val="es-VE"/>
          </w:rPr>
          <w:t>Tribunal condena a responsables de ejecuciones extrajudiciales</w:t>
        </w:r>
      </w:hyperlink>
      <w:r w:rsidRPr="007F3D68">
        <w:rPr>
          <w:rFonts w:asciiTheme="majorHAnsi" w:hAnsiTheme="majorHAnsi"/>
          <w:sz w:val="16"/>
          <w:szCs w:val="16"/>
          <w:lang w:val="es-VE"/>
        </w:rPr>
        <w:t>, 8 de agosto de 2013.</w:t>
      </w:r>
    </w:p>
  </w:footnote>
  <w:footnote w:id="58">
    <w:p w:rsidR="00F40EB1" w:rsidRPr="007F3D68" w:rsidRDefault="00F40EB1" w:rsidP="00FE2DE7">
      <w:pPr>
        <w:pStyle w:val="FootnoteText"/>
        <w:spacing w:after="120"/>
        <w:ind w:firstLine="720"/>
        <w:jc w:val="both"/>
        <w:rPr>
          <w:rFonts w:asciiTheme="majorHAnsi" w:hAnsiTheme="majorHAnsi"/>
          <w:sz w:val="16"/>
          <w:szCs w:val="16"/>
          <w:lang w:val="es-VE"/>
        </w:rPr>
      </w:pP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CICIG, Comunicado de prensa 041 Tribunal condena a responsables de ejecuciones extrajudiciales, 8 de agosto de 2013; </w:t>
      </w:r>
      <w:r w:rsidRPr="007F3D68">
        <w:rPr>
          <w:rStyle w:val="Hyperlink"/>
          <w:rFonts w:asciiTheme="majorHAnsi" w:hAnsiTheme="majorHAnsi"/>
          <w:sz w:val="16"/>
          <w:szCs w:val="16"/>
          <w:u w:val="none"/>
          <w:lang w:val="es-VE"/>
        </w:rPr>
        <w:t xml:space="preserve">ver también </w:t>
      </w:r>
      <w:hyperlink r:id="rId14" w:history="1">
        <w:r w:rsidRPr="007F3D68">
          <w:rPr>
            <w:rStyle w:val="Hyperlink"/>
            <w:rFonts w:asciiTheme="majorHAnsi" w:hAnsiTheme="majorHAnsi"/>
            <w:sz w:val="16"/>
            <w:szCs w:val="16"/>
            <w:lang w:val="es-VE"/>
          </w:rPr>
          <w:t>Sentencias condenatorias en procesos que apoya la CICIG</w:t>
        </w:r>
      </w:hyperlink>
      <w:r w:rsidRPr="007F3D68">
        <w:rPr>
          <w:rStyle w:val="Hyperlink"/>
          <w:rFonts w:asciiTheme="majorHAnsi" w:hAnsiTheme="majorHAnsi"/>
          <w:sz w:val="16"/>
          <w:szCs w:val="16"/>
          <w:u w:val="none"/>
          <w:lang w:val="es-VE"/>
        </w:rPr>
        <w:t>.</w:t>
      </w:r>
    </w:p>
  </w:footnote>
  <w:footnote w:id="59">
    <w:p w:rsidR="00F40EB1" w:rsidRPr="007F3D68" w:rsidRDefault="00F40EB1" w:rsidP="00FE2DE7">
      <w:pPr>
        <w:pStyle w:val="FootnoteText"/>
        <w:spacing w:after="120"/>
        <w:ind w:firstLine="720"/>
        <w:jc w:val="both"/>
        <w:rPr>
          <w:rFonts w:asciiTheme="majorHAnsi" w:hAnsiTheme="majorHAnsi"/>
          <w:sz w:val="16"/>
          <w:szCs w:val="16"/>
          <w:lang w:val="es-VE"/>
        </w:rPr>
      </w:pP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CICIG, Comunicado de prensa 041 Tribunal condena a responsables de ejecuciones extrajudiciales, 8 de agosto de 2013.</w:t>
      </w:r>
    </w:p>
  </w:footnote>
  <w:footnote w:id="60">
    <w:p w:rsidR="00F40EB1" w:rsidRPr="007F3D68" w:rsidRDefault="00F40EB1" w:rsidP="00FE2DE7">
      <w:pPr>
        <w:pStyle w:val="FootnoteText"/>
        <w:spacing w:after="120"/>
        <w:ind w:firstLine="720"/>
        <w:jc w:val="both"/>
        <w:rPr>
          <w:rFonts w:asciiTheme="majorHAnsi" w:hAnsiTheme="majorHAnsi"/>
          <w:sz w:val="16"/>
          <w:szCs w:val="16"/>
          <w:lang w:val="es-VE"/>
        </w:rPr>
      </w:pP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Ver Noticia publicada en Prensa Libre, </w:t>
      </w:r>
      <w:hyperlink r:id="rId15" w:history="1">
        <w:r w:rsidRPr="007F3D68">
          <w:rPr>
            <w:rStyle w:val="Hyperlink"/>
            <w:rFonts w:asciiTheme="majorHAnsi" w:hAnsiTheme="majorHAnsi"/>
            <w:sz w:val="16"/>
            <w:szCs w:val="16"/>
            <w:lang w:val="es-VE"/>
          </w:rPr>
          <w:t xml:space="preserve">Fiscalía insiste en pedir 160 años de cárcel para Carlos </w:t>
        </w:r>
        <w:proofErr w:type="spellStart"/>
        <w:r w:rsidRPr="007F3D68">
          <w:rPr>
            <w:rStyle w:val="Hyperlink"/>
            <w:rFonts w:asciiTheme="majorHAnsi" w:hAnsiTheme="majorHAnsi"/>
            <w:sz w:val="16"/>
            <w:szCs w:val="16"/>
            <w:lang w:val="es-VE"/>
          </w:rPr>
          <w:t>Vielman</w:t>
        </w:r>
        <w:proofErr w:type="spellEnd"/>
      </w:hyperlink>
      <w:r w:rsidRPr="007F3D68">
        <w:rPr>
          <w:rFonts w:asciiTheme="majorHAnsi" w:hAnsiTheme="majorHAnsi"/>
          <w:sz w:val="16"/>
          <w:szCs w:val="16"/>
          <w:lang w:val="es-VE"/>
        </w:rPr>
        <w:t>, 21 de febrero de 2017.</w:t>
      </w:r>
    </w:p>
  </w:footnote>
  <w:footnote w:id="61">
    <w:p w:rsidR="00F40EB1" w:rsidRPr="007F3D68" w:rsidRDefault="00F40EB1" w:rsidP="00FE2DE7">
      <w:pPr>
        <w:pStyle w:val="FootnoteText"/>
        <w:spacing w:after="120"/>
        <w:ind w:firstLine="720"/>
        <w:jc w:val="both"/>
        <w:rPr>
          <w:rFonts w:asciiTheme="majorHAnsi" w:hAnsiTheme="majorHAnsi"/>
          <w:sz w:val="16"/>
          <w:szCs w:val="16"/>
          <w:lang w:val="es-VE"/>
        </w:rPr>
      </w:pP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Informe del Relator Especial, Philip Alston, sobre las ejecuciones extrajudiciales, sumarias o arbitrarias. Misión a Guatemala del 21 al 25 de agosto de 2006. A/HRC/4/20/Add.2, 19 de febrero de 2007.</w:t>
      </w:r>
    </w:p>
  </w:footnote>
  <w:footnote w:id="62">
    <w:p w:rsidR="00F40EB1" w:rsidRPr="007F3D68" w:rsidRDefault="00F40EB1" w:rsidP="00FE2DE7">
      <w:pPr>
        <w:pStyle w:val="FootnoteText"/>
        <w:spacing w:after="120"/>
        <w:ind w:firstLine="720"/>
        <w:jc w:val="both"/>
        <w:rPr>
          <w:rFonts w:asciiTheme="majorHAnsi" w:hAnsiTheme="majorHAnsi"/>
          <w:sz w:val="16"/>
          <w:szCs w:val="16"/>
          <w:lang w:val="es-VE"/>
        </w:rPr>
      </w:pP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Informe del Relator Especial, Philip Alston, sobre las ejecuciones extrajudiciales, sumarias o arbitrarias. Misión a Guatemala del 21 al 25 de agosto de 2006. A/HRC/4/20/Add.2, 19 de febrero de 2007.</w:t>
      </w:r>
    </w:p>
  </w:footnote>
  <w:footnote w:id="63">
    <w:p w:rsidR="00F40EB1" w:rsidRPr="007F3D68" w:rsidRDefault="00F40EB1" w:rsidP="00B5099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ind w:firstLine="720"/>
        <w:jc w:val="both"/>
        <w:rPr>
          <w:rFonts w:asciiTheme="majorHAnsi" w:hAnsiTheme="majorHAnsi"/>
          <w:sz w:val="16"/>
          <w:szCs w:val="16"/>
          <w:lang w:val="es-VE"/>
        </w:rPr>
      </w:pP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El artículo 4 de la Convención Americana establece en lo pertinente: </w:t>
      </w:r>
    </w:p>
    <w:p w:rsidR="00F40EB1" w:rsidRPr="007F3D68" w:rsidRDefault="00F40EB1" w:rsidP="00B50994">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75"/>
        <w:jc w:val="both"/>
        <w:rPr>
          <w:rFonts w:asciiTheme="majorHAnsi" w:hAnsiTheme="majorHAnsi" w:cs="Tahoma"/>
          <w:color w:val="000000"/>
          <w:sz w:val="16"/>
          <w:szCs w:val="16"/>
          <w:bdr w:val="none" w:sz="0" w:space="0" w:color="auto"/>
          <w:lang w:val="es-VE"/>
        </w:rPr>
      </w:pPr>
      <w:r w:rsidRPr="007F3D68">
        <w:rPr>
          <w:rFonts w:asciiTheme="majorHAnsi" w:hAnsiTheme="majorHAnsi" w:cs="Tahoma"/>
          <w:color w:val="000000"/>
          <w:sz w:val="16"/>
          <w:szCs w:val="16"/>
          <w:bdr w:val="none" w:sz="0" w:space="0" w:color="auto"/>
          <w:lang w:val="es-VE"/>
        </w:rPr>
        <w:t> 1. Toda persona tiene derecho a que se respete su vida.  Este derecho estará protegido por la ley y, en general, a partir del momento de la concepción.  Nadie puede ser privado de la vida arbitrariamente. </w:t>
      </w:r>
    </w:p>
    <w:p w:rsidR="00F40EB1" w:rsidRPr="007F3D68" w:rsidRDefault="00F40EB1" w:rsidP="00B50994">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75"/>
        <w:jc w:val="both"/>
        <w:rPr>
          <w:rFonts w:asciiTheme="majorHAnsi" w:hAnsiTheme="majorHAnsi" w:cs="Tahoma"/>
          <w:color w:val="000000"/>
          <w:sz w:val="16"/>
          <w:szCs w:val="16"/>
          <w:bdr w:val="none" w:sz="0" w:space="0" w:color="auto"/>
          <w:lang w:val="es-VE"/>
        </w:rPr>
      </w:pPr>
      <w:r w:rsidRPr="007F3D68">
        <w:rPr>
          <w:rFonts w:asciiTheme="majorHAnsi" w:hAnsiTheme="majorHAnsi" w:cs="Tahoma"/>
          <w:color w:val="000000"/>
          <w:sz w:val="16"/>
          <w:szCs w:val="16"/>
          <w:bdr w:val="none" w:sz="0" w:space="0" w:color="auto"/>
          <w:lang w:val="es-VE"/>
        </w:rPr>
        <w:t> 2. En los países que no han abolido la pena de muerte, ésta sólo podrá imponerse por los delitos más graves, en cumplimiento de sentencia ejecutoriada de tribunal competente y de conformidad con una ley que establezca tal pena, dictada con anterioridad a la comisión del delito.  Tampoco se extenderá su aplicación a delitos a los cuales no se la aplique actualmente. </w:t>
      </w:r>
    </w:p>
    <w:p w:rsidR="00F40EB1" w:rsidRPr="007F3D68" w:rsidRDefault="00F40EB1" w:rsidP="00B50994">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75"/>
        <w:jc w:val="both"/>
        <w:rPr>
          <w:rFonts w:asciiTheme="majorHAnsi" w:hAnsiTheme="majorHAnsi" w:cs="Tahoma"/>
          <w:color w:val="000000"/>
          <w:sz w:val="16"/>
          <w:szCs w:val="16"/>
          <w:bdr w:val="none" w:sz="0" w:space="0" w:color="auto"/>
          <w:lang w:val="es-VE"/>
        </w:rPr>
      </w:pPr>
      <w:r w:rsidRPr="007F3D68">
        <w:rPr>
          <w:rFonts w:asciiTheme="majorHAnsi" w:hAnsiTheme="majorHAnsi" w:cs="Tahoma"/>
          <w:color w:val="000000"/>
          <w:sz w:val="16"/>
          <w:szCs w:val="16"/>
          <w:bdr w:val="none" w:sz="0" w:space="0" w:color="auto"/>
          <w:lang w:val="es-VE"/>
        </w:rPr>
        <w:t> 3. No se restablecerá la pena de muerte en los Estados que la han abolido. </w:t>
      </w:r>
    </w:p>
    <w:p w:rsidR="00F40EB1" w:rsidRPr="007F3D68" w:rsidRDefault="00F40EB1" w:rsidP="00373C1C">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ight="75"/>
        <w:jc w:val="both"/>
        <w:rPr>
          <w:rFonts w:asciiTheme="majorHAnsi" w:hAnsiTheme="majorHAnsi" w:cs="Tahoma"/>
          <w:color w:val="000000"/>
          <w:sz w:val="16"/>
          <w:szCs w:val="16"/>
          <w:bdr w:val="none" w:sz="0" w:space="0" w:color="auto"/>
          <w:lang w:val="es-VE"/>
        </w:rPr>
      </w:pPr>
      <w:r w:rsidRPr="007F3D68">
        <w:rPr>
          <w:rFonts w:asciiTheme="majorHAnsi" w:hAnsiTheme="majorHAnsi" w:cs="Tahoma"/>
          <w:color w:val="000000"/>
          <w:sz w:val="16"/>
          <w:szCs w:val="16"/>
          <w:bdr w:val="none" w:sz="0" w:space="0" w:color="auto"/>
          <w:lang w:val="es-VE"/>
        </w:rPr>
        <w:t> (…)</w:t>
      </w:r>
    </w:p>
  </w:footnote>
  <w:footnote w:id="64">
    <w:p w:rsidR="00F40EB1" w:rsidRPr="007F3D68" w:rsidRDefault="00F40EB1" w:rsidP="00BC19C3">
      <w:pPr>
        <w:pStyle w:val="FootnoteText"/>
        <w:ind w:firstLine="720"/>
        <w:jc w:val="both"/>
        <w:rPr>
          <w:rFonts w:asciiTheme="majorHAnsi" w:hAnsiTheme="majorHAnsi"/>
          <w:sz w:val="16"/>
          <w:szCs w:val="16"/>
          <w:lang w:val="es-ES"/>
        </w:rPr>
      </w:pPr>
      <w:r w:rsidRPr="007F3D68">
        <w:rPr>
          <w:rStyle w:val="FootnoteReference"/>
          <w:rFonts w:asciiTheme="majorHAnsi" w:hAnsiTheme="majorHAnsi"/>
          <w:sz w:val="16"/>
          <w:szCs w:val="16"/>
        </w:rPr>
        <w:footnoteRef/>
      </w:r>
      <w:r w:rsidRPr="007F3D68">
        <w:rPr>
          <w:rFonts w:asciiTheme="majorHAnsi" w:hAnsiTheme="majorHAnsi"/>
          <w:sz w:val="16"/>
          <w:szCs w:val="16"/>
          <w:lang w:val="es-ES"/>
        </w:rPr>
        <w:t xml:space="preserve"> El artículo 9 de la Convención Americana establece lo siguiente: Nadie puede ser condenado por acciones u omisiones que en el momento de cometerse no fueran delictivos según el derecho aplicable. Tampoco se puede imponer pena más grave que la aplicable en el momento de la comisión del delito. Si con posterioridad a la comisión del delito la ley dispone la imposición de una pena más leve, el delincuente se beneficiará de ello.  </w:t>
      </w:r>
    </w:p>
  </w:footnote>
  <w:footnote w:id="65">
    <w:p w:rsidR="00F40EB1" w:rsidRPr="007F3D68" w:rsidRDefault="00F40EB1" w:rsidP="00B509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spacing w:after="120"/>
        <w:jc w:val="both"/>
        <w:rPr>
          <w:rFonts w:asciiTheme="majorHAnsi" w:hAnsiTheme="majorHAnsi"/>
          <w:sz w:val="16"/>
          <w:szCs w:val="16"/>
          <w:lang w:val="es-ES"/>
        </w:rPr>
      </w:pPr>
      <w:r w:rsidRPr="007F3D68">
        <w:rPr>
          <w:rFonts w:asciiTheme="majorHAnsi" w:hAnsiTheme="majorHAnsi"/>
          <w:sz w:val="16"/>
          <w:szCs w:val="16"/>
          <w:lang w:val="es-VE"/>
        </w:rPr>
        <w:tab/>
      </w: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El artículo 8 de la Convención Americana establece en lo pertinente, lo siguiente: </w:t>
      </w:r>
    </w:p>
    <w:p w:rsidR="00F40EB1" w:rsidRPr="007F3D68" w:rsidRDefault="00F40EB1" w:rsidP="004E102F">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spacing w:after="120"/>
        <w:ind w:left="0" w:firstLine="720"/>
        <w:jc w:val="both"/>
        <w:rPr>
          <w:rFonts w:asciiTheme="majorHAnsi" w:hAnsiTheme="majorHAnsi"/>
          <w:sz w:val="16"/>
          <w:szCs w:val="16"/>
          <w:lang w:val="es-VE"/>
        </w:rPr>
      </w:pPr>
      <w:r w:rsidRPr="007F3D68">
        <w:rPr>
          <w:rFonts w:asciiTheme="majorHAnsi" w:hAnsiTheme="majorHAnsi" w:cs="Tahoma"/>
          <w:sz w:val="16"/>
          <w:szCs w:val="16"/>
          <w:lang w:val="es-VE"/>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F40EB1" w:rsidRPr="007F3D68" w:rsidRDefault="00F40EB1" w:rsidP="004E102F">
      <w:pPr>
        <w:pStyle w:val="FootnoteText"/>
        <w:numPr>
          <w:ilvl w:val="0"/>
          <w:numId w:val="68"/>
        </w:numPr>
        <w:tabs>
          <w:tab w:val="left" w:pos="900"/>
        </w:tabs>
        <w:spacing w:after="120"/>
        <w:ind w:left="0" w:firstLine="720"/>
        <w:jc w:val="both"/>
        <w:rPr>
          <w:rFonts w:asciiTheme="majorHAnsi" w:hAnsiTheme="majorHAnsi"/>
          <w:sz w:val="16"/>
          <w:szCs w:val="16"/>
          <w:lang w:val="es-ES"/>
        </w:rPr>
      </w:pPr>
      <w:r w:rsidRPr="007F3D68">
        <w:rPr>
          <w:rFonts w:asciiTheme="majorHAnsi" w:hAnsiTheme="majorHAnsi" w:cs="Verdana"/>
          <w:sz w:val="16"/>
          <w:szCs w:val="16"/>
          <w:lang w:val="es-ES" w:bidi="en-US"/>
        </w:rPr>
        <w:t>Toda persona inculpada de delito tiene derecho a que se presuma su inocencia mientras no se establezca legalmente su culpabilidad. Durante el proceso, toda persona tiene derecho, en plena igualdad, a las siguientes garantías mínimas:</w:t>
      </w:r>
      <w:r w:rsidRPr="007F3D68">
        <w:rPr>
          <w:rFonts w:asciiTheme="majorHAnsi" w:hAnsiTheme="majorHAnsi" w:cs="Tahoma"/>
          <w:sz w:val="16"/>
          <w:szCs w:val="16"/>
          <w:lang w:val="es-VE"/>
        </w:rPr>
        <w:t xml:space="preserve"> (…) h) derecho de recurrir del fallo ante juez o tribunal superior.</w:t>
      </w:r>
    </w:p>
  </w:footnote>
  <w:footnote w:id="66">
    <w:p w:rsidR="00F40EB1" w:rsidRPr="007F3D68" w:rsidRDefault="00F40EB1" w:rsidP="00B50994">
      <w:pPr>
        <w:tabs>
          <w:tab w:val="left" w:pos="720"/>
        </w:tabs>
        <w:spacing w:after="120"/>
        <w:jc w:val="both"/>
        <w:rPr>
          <w:rFonts w:asciiTheme="majorHAnsi" w:hAnsiTheme="majorHAnsi"/>
          <w:sz w:val="16"/>
          <w:szCs w:val="16"/>
          <w:lang w:val="es-CO"/>
        </w:rPr>
      </w:pPr>
      <w:r w:rsidRPr="007F3D68">
        <w:rPr>
          <w:rFonts w:asciiTheme="majorHAnsi" w:hAnsiTheme="majorHAnsi"/>
          <w:sz w:val="16"/>
          <w:szCs w:val="16"/>
          <w:lang w:val="es-VE"/>
        </w:rPr>
        <w:tab/>
      </w: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El artículo 25 de la Convención Americana establece en lo pertinente, lo siguiente: </w:t>
      </w:r>
      <w:r w:rsidRPr="007F3D68">
        <w:rPr>
          <w:rFonts w:asciiTheme="majorHAnsi" w:hAnsiTheme="majorHAnsi" w:cs="Tahoma"/>
          <w:color w:val="000000"/>
          <w:sz w:val="16"/>
          <w:szCs w:val="16"/>
          <w:lang w:val="es-VE"/>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67">
    <w:p w:rsidR="00F40EB1" w:rsidRPr="007F3D68" w:rsidRDefault="00F40EB1" w:rsidP="00C42F74">
      <w:pPr>
        <w:pStyle w:val="FootnoteText"/>
        <w:ind w:firstLine="720"/>
        <w:jc w:val="both"/>
        <w:rPr>
          <w:rFonts w:asciiTheme="majorHAnsi" w:hAnsiTheme="majorHAnsi"/>
          <w:sz w:val="16"/>
          <w:szCs w:val="16"/>
          <w:lang w:val="es-VE"/>
        </w:rPr>
      </w:pP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CIDH. Informe No. 76/16, Caso 12.254. Fondo. </w:t>
      </w:r>
      <w:proofErr w:type="spellStart"/>
      <w:r w:rsidRPr="007F3D68">
        <w:rPr>
          <w:rFonts w:asciiTheme="majorHAnsi" w:hAnsiTheme="majorHAnsi"/>
          <w:sz w:val="16"/>
          <w:szCs w:val="16"/>
          <w:lang w:val="es-VE"/>
        </w:rPr>
        <w:t>Victor</w:t>
      </w:r>
      <w:proofErr w:type="spellEnd"/>
      <w:r w:rsidRPr="007F3D68">
        <w:rPr>
          <w:rFonts w:asciiTheme="majorHAnsi" w:hAnsiTheme="majorHAnsi"/>
          <w:sz w:val="16"/>
          <w:szCs w:val="16"/>
          <w:lang w:val="es-VE"/>
        </w:rPr>
        <w:t xml:space="preserve"> </w:t>
      </w:r>
      <w:proofErr w:type="spellStart"/>
      <w:r w:rsidRPr="007F3D68">
        <w:rPr>
          <w:rFonts w:asciiTheme="majorHAnsi" w:hAnsiTheme="majorHAnsi"/>
          <w:sz w:val="16"/>
          <w:szCs w:val="16"/>
          <w:lang w:val="es-VE"/>
        </w:rPr>
        <w:t>Saldaño</w:t>
      </w:r>
      <w:proofErr w:type="spellEnd"/>
      <w:r w:rsidRPr="007F3D68">
        <w:rPr>
          <w:rFonts w:asciiTheme="majorHAnsi" w:hAnsiTheme="majorHAnsi"/>
          <w:sz w:val="16"/>
          <w:szCs w:val="16"/>
          <w:lang w:val="es-VE"/>
        </w:rPr>
        <w:t>. Estados Unidos. 10 de diciembre de 2016, párr.169.</w:t>
      </w:r>
    </w:p>
  </w:footnote>
  <w:footnote w:id="68">
    <w:p w:rsidR="00F40EB1" w:rsidRPr="007F3D68" w:rsidRDefault="00F40EB1" w:rsidP="00C42F74">
      <w:pPr>
        <w:pStyle w:val="FootnoteText"/>
        <w:ind w:firstLine="720"/>
        <w:jc w:val="both"/>
        <w:rPr>
          <w:rFonts w:asciiTheme="majorHAnsi" w:hAnsiTheme="majorHAnsi"/>
          <w:sz w:val="16"/>
          <w:szCs w:val="16"/>
          <w:lang w:val="es-ES_tradnl"/>
        </w:rPr>
      </w:pPr>
      <w:r w:rsidRPr="007F3D68">
        <w:rPr>
          <w:rStyle w:val="FootnoteReference"/>
          <w:rFonts w:asciiTheme="majorHAnsi" w:hAnsiTheme="majorHAnsi"/>
          <w:sz w:val="16"/>
          <w:szCs w:val="16"/>
          <w:lang w:val="es-ES_tradnl"/>
        </w:rPr>
        <w:footnoteRef/>
      </w:r>
      <w:r w:rsidRPr="007F3D68">
        <w:rPr>
          <w:rFonts w:asciiTheme="majorHAnsi" w:hAnsiTheme="majorHAnsi"/>
          <w:sz w:val="16"/>
          <w:szCs w:val="16"/>
          <w:lang w:val="es-ES_tradnl"/>
        </w:rPr>
        <w:t xml:space="preserve"> Véase, en este sentido, CIDH, La pena de muerte en el Sistema Interamericano de Derechos Humanos: de restricciones a abolición, OEA/</w:t>
      </w:r>
      <w:proofErr w:type="spellStart"/>
      <w:r w:rsidRPr="007F3D68">
        <w:rPr>
          <w:rFonts w:asciiTheme="majorHAnsi" w:hAnsiTheme="majorHAnsi"/>
          <w:sz w:val="16"/>
          <w:szCs w:val="16"/>
          <w:lang w:val="es-ES_tradnl"/>
        </w:rPr>
        <w:t>Ser.L</w:t>
      </w:r>
      <w:proofErr w:type="spellEnd"/>
      <w:r w:rsidRPr="007F3D68">
        <w:rPr>
          <w:rFonts w:asciiTheme="majorHAnsi" w:hAnsiTheme="majorHAnsi"/>
          <w:sz w:val="16"/>
          <w:szCs w:val="16"/>
          <w:lang w:val="es-ES_tradnl"/>
        </w:rPr>
        <w:t>/V/II.Doc. 68, 31 de diciembre de 2011.</w:t>
      </w:r>
    </w:p>
  </w:footnote>
  <w:footnote w:id="69">
    <w:p w:rsidR="00F40EB1" w:rsidRPr="007F3D68" w:rsidRDefault="00F40EB1" w:rsidP="00C42F74">
      <w:pPr>
        <w:pStyle w:val="FootnoteText"/>
        <w:ind w:firstLine="720"/>
        <w:jc w:val="both"/>
        <w:rPr>
          <w:rFonts w:asciiTheme="majorHAnsi" w:hAnsiTheme="majorHAnsi"/>
          <w:sz w:val="16"/>
          <w:szCs w:val="16"/>
          <w:lang w:val="es-ES_tradnl"/>
        </w:rPr>
      </w:pPr>
      <w:r w:rsidRPr="007F3D68">
        <w:rPr>
          <w:rStyle w:val="FootnoteReference"/>
          <w:rFonts w:asciiTheme="majorHAnsi" w:hAnsiTheme="majorHAnsi"/>
          <w:sz w:val="16"/>
          <w:szCs w:val="16"/>
          <w:lang w:val="es-ES_tradnl"/>
        </w:rPr>
        <w:footnoteRef/>
      </w:r>
      <w:r w:rsidRPr="007F3D68">
        <w:rPr>
          <w:rFonts w:asciiTheme="majorHAnsi" w:hAnsiTheme="majorHAnsi"/>
          <w:sz w:val="16"/>
          <w:szCs w:val="16"/>
          <w:lang w:val="es-ES_tradnl"/>
        </w:rPr>
        <w:t xml:space="preserve"> Véase, por ejemplo, Corte IDH, Opinión Consultiva OC-16/99 (1 de octubre de 1999) “El Derecho a la Información sobre la Asistencia Consular en el Marco de las Garantías del Debido Proceso Legal”, párr. 136 (determinación de que “[s]</w:t>
      </w:r>
      <w:proofErr w:type="spellStart"/>
      <w:r w:rsidRPr="007F3D68">
        <w:rPr>
          <w:rFonts w:asciiTheme="majorHAnsi" w:hAnsiTheme="majorHAnsi"/>
          <w:sz w:val="16"/>
          <w:szCs w:val="16"/>
          <w:lang w:val="es-ES_tradnl"/>
        </w:rPr>
        <w:t>iendo</w:t>
      </w:r>
      <w:proofErr w:type="spellEnd"/>
      <w:r w:rsidRPr="007F3D68">
        <w:rPr>
          <w:rFonts w:asciiTheme="majorHAnsi" w:hAnsiTheme="majorHAnsi"/>
          <w:sz w:val="16"/>
          <w:szCs w:val="16"/>
          <w:lang w:val="es-ES_tradnl"/>
        </w:rPr>
        <w:t xml:space="preserve"> la ejecución de la pena de muerte una medida de carácter irreversible, exige del Estado el más estricto y riguroso respeto de las garantías judiciales, de modo a evitar una violación de éstas, que, a su vez, acarrearía una privación arbitraria de la vida”); CDH-ONU, </w:t>
      </w:r>
      <w:proofErr w:type="spellStart"/>
      <w:r w:rsidRPr="007F3D68">
        <w:rPr>
          <w:rFonts w:asciiTheme="majorHAnsi" w:hAnsiTheme="majorHAnsi"/>
          <w:iCs/>
          <w:sz w:val="16"/>
          <w:szCs w:val="16"/>
          <w:lang w:val="es-ES_tradnl"/>
        </w:rPr>
        <w:t>Baboheram-Adhin</w:t>
      </w:r>
      <w:proofErr w:type="spellEnd"/>
      <w:r w:rsidRPr="007F3D68">
        <w:rPr>
          <w:rFonts w:asciiTheme="majorHAnsi" w:hAnsiTheme="majorHAnsi"/>
          <w:iCs/>
          <w:sz w:val="16"/>
          <w:szCs w:val="16"/>
          <w:lang w:val="es-ES_tradnl"/>
        </w:rPr>
        <w:t xml:space="preserve"> et al. v. </w:t>
      </w:r>
      <w:proofErr w:type="spellStart"/>
      <w:r w:rsidRPr="007F3D68">
        <w:rPr>
          <w:rFonts w:asciiTheme="majorHAnsi" w:hAnsiTheme="majorHAnsi"/>
          <w:iCs/>
          <w:sz w:val="16"/>
          <w:szCs w:val="16"/>
          <w:lang w:val="es-ES_tradnl"/>
        </w:rPr>
        <w:t>Suriname</w:t>
      </w:r>
      <w:proofErr w:type="spellEnd"/>
      <w:r w:rsidRPr="007F3D68">
        <w:rPr>
          <w:rFonts w:asciiTheme="majorHAnsi" w:hAnsiTheme="majorHAnsi"/>
          <w:sz w:val="16"/>
          <w:szCs w:val="16"/>
          <w:lang w:val="es-ES_tradnl"/>
        </w:rPr>
        <w:t xml:space="preserve">, Comunicaciones Nos. 148-154/1983, aprobadas el 4 de abril de 1985, párr. 14.3 (donde se observa que la ley debe controlar y limitar estrictamente las circunstancias en que las autoridades del Estado pueden privar de la vida a una persona); Informe del Relator Especial de las Naciones Unidas sobre Ejecuciones Extrajudiciales, </w:t>
      </w:r>
      <w:proofErr w:type="spellStart"/>
      <w:r w:rsidRPr="007F3D68">
        <w:rPr>
          <w:rFonts w:asciiTheme="majorHAnsi" w:hAnsiTheme="majorHAnsi"/>
          <w:sz w:val="16"/>
          <w:szCs w:val="16"/>
          <w:lang w:val="es-ES_tradnl"/>
        </w:rPr>
        <w:t>Bacre</w:t>
      </w:r>
      <w:proofErr w:type="spellEnd"/>
      <w:r w:rsidRPr="007F3D68">
        <w:rPr>
          <w:rFonts w:asciiTheme="majorHAnsi" w:hAnsiTheme="majorHAnsi"/>
          <w:sz w:val="16"/>
          <w:szCs w:val="16"/>
          <w:lang w:val="es-ES_tradnl"/>
        </w:rPr>
        <w:t xml:space="preserve"> </w:t>
      </w:r>
      <w:proofErr w:type="spellStart"/>
      <w:r w:rsidRPr="007F3D68">
        <w:rPr>
          <w:rFonts w:asciiTheme="majorHAnsi" w:hAnsiTheme="majorHAnsi"/>
          <w:sz w:val="16"/>
          <w:szCs w:val="16"/>
          <w:lang w:val="es-ES_tradnl"/>
        </w:rPr>
        <w:t>Waly</w:t>
      </w:r>
      <w:proofErr w:type="spellEnd"/>
      <w:r w:rsidRPr="007F3D68">
        <w:rPr>
          <w:rFonts w:asciiTheme="majorHAnsi" w:hAnsiTheme="majorHAnsi"/>
          <w:sz w:val="16"/>
          <w:szCs w:val="16"/>
          <w:lang w:val="es-ES_tradnl"/>
        </w:rPr>
        <w:t xml:space="preserve"> </w:t>
      </w:r>
      <w:proofErr w:type="spellStart"/>
      <w:r w:rsidRPr="007F3D68">
        <w:rPr>
          <w:rFonts w:asciiTheme="majorHAnsi" w:hAnsiTheme="majorHAnsi"/>
          <w:sz w:val="16"/>
          <w:szCs w:val="16"/>
          <w:lang w:val="es-ES_tradnl"/>
        </w:rPr>
        <w:t>Ndiaye</w:t>
      </w:r>
      <w:proofErr w:type="spellEnd"/>
      <w:r w:rsidRPr="007F3D68">
        <w:rPr>
          <w:rFonts w:asciiTheme="majorHAnsi" w:hAnsiTheme="majorHAnsi"/>
          <w:sz w:val="16"/>
          <w:szCs w:val="16"/>
          <w:lang w:val="es-ES_tradnl"/>
        </w:rPr>
        <w:t xml:space="preserve">, presentado conforme a la Resolución de la Comisión Interamericana de Derechos Humanos 1994/82, Cuestión de la violación de los derechos humanos y libertades fundamentales en cualquier parte del mundo, con referencia particular a los países y territorios coloniales y otros territorios dependientes, UN </w:t>
      </w:r>
      <w:proofErr w:type="spellStart"/>
      <w:r w:rsidRPr="007F3D68">
        <w:rPr>
          <w:rFonts w:asciiTheme="majorHAnsi" w:hAnsiTheme="majorHAnsi"/>
          <w:sz w:val="16"/>
          <w:szCs w:val="16"/>
          <w:lang w:val="es-ES_tradnl"/>
        </w:rPr>
        <w:t>Doc.E</w:t>
      </w:r>
      <w:proofErr w:type="spellEnd"/>
      <w:r w:rsidRPr="007F3D68">
        <w:rPr>
          <w:rFonts w:asciiTheme="majorHAnsi" w:hAnsiTheme="majorHAnsi"/>
          <w:sz w:val="16"/>
          <w:szCs w:val="16"/>
          <w:lang w:val="es-ES_tradnl"/>
        </w:rPr>
        <w:t xml:space="preserve">/CN.4/1995/61 (14 de diciembre de 1994) (en adelante el “Informe </w:t>
      </w:r>
      <w:proofErr w:type="spellStart"/>
      <w:r w:rsidRPr="007F3D68">
        <w:rPr>
          <w:rFonts w:asciiTheme="majorHAnsi" w:hAnsiTheme="majorHAnsi"/>
          <w:sz w:val="16"/>
          <w:szCs w:val="16"/>
          <w:lang w:val="es-ES_tradnl"/>
        </w:rPr>
        <w:t>Ndiaye</w:t>
      </w:r>
      <w:proofErr w:type="spellEnd"/>
      <w:r w:rsidRPr="007F3D68">
        <w:rPr>
          <w:rFonts w:asciiTheme="majorHAnsi" w:hAnsiTheme="majorHAnsi"/>
          <w:sz w:val="16"/>
          <w:szCs w:val="16"/>
          <w:lang w:val="es-ES_tradnl"/>
        </w:rPr>
        <w:t xml:space="preserve">”), párr. 378 (en el que se subraya que en casos relacionados con la pena capital, es la aplicación de las normas de juicio imparcial a todos y cada uno de los casos lo que se debe garantizar y, en caso de indicios en contrario, verificados, en conformidad con la obligación que impone el derecho internacional, realizar investigaciones exhaustivas e imparciales de todas las denuncias de violación del derecho a la vida).  </w:t>
      </w:r>
    </w:p>
  </w:footnote>
  <w:footnote w:id="70">
    <w:p w:rsidR="00F40EB1" w:rsidRPr="007F3D68" w:rsidRDefault="00F40EB1" w:rsidP="00C42F74">
      <w:pPr>
        <w:pStyle w:val="FootnoteText"/>
        <w:ind w:firstLine="720"/>
        <w:jc w:val="both"/>
        <w:rPr>
          <w:rFonts w:asciiTheme="majorHAnsi" w:hAnsiTheme="majorHAnsi"/>
          <w:sz w:val="16"/>
          <w:szCs w:val="16"/>
          <w:lang w:val="es-ES"/>
        </w:rPr>
      </w:pPr>
      <w:r w:rsidRPr="007F3D68">
        <w:rPr>
          <w:rStyle w:val="FootnoteReference"/>
          <w:rFonts w:asciiTheme="majorHAnsi" w:hAnsiTheme="majorHAnsi"/>
          <w:sz w:val="16"/>
          <w:szCs w:val="16"/>
          <w:lang w:val="es-ES_tradnl"/>
        </w:rPr>
        <w:footnoteRef/>
      </w:r>
      <w:r w:rsidRPr="007F3D68">
        <w:rPr>
          <w:rFonts w:asciiTheme="majorHAnsi" w:hAnsiTheme="majorHAnsi"/>
          <w:sz w:val="16"/>
          <w:szCs w:val="16"/>
          <w:lang w:val="es-ES_tradnl"/>
        </w:rPr>
        <w:t xml:space="preserve"> CIDH, Informe No. 11/15, Caso 12.833, Fondo (</w:t>
      </w:r>
      <w:r w:rsidRPr="007F3D68">
        <w:rPr>
          <w:rFonts w:asciiTheme="majorHAnsi" w:hAnsiTheme="majorHAnsi"/>
          <w:sz w:val="16"/>
          <w:szCs w:val="16"/>
          <w:lang w:val="es-ES"/>
        </w:rPr>
        <w:t>Publicación), Félix Rocha Díaz, Estados Unidos, 23 de marzo de 2015, párrafo 54; Informe No. 44/14, Caso 12.873, Fondo (publicación), Edgar Tamayo Arias, Estados Unidos, 17 de julio de 2014, párrafo. 127;</w:t>
      </w:r>
      <w:r w:rsidRPr="007F3D68">
        <w:rPr>
          <w:rFonts w:asciiTheme="majorHAnsi" w:hAnsiTheme="majorHAnsi"/>
          <w:iCs/>
          <w:sz w:val="16"/>
          <w:szCs w:val="16"/>
          <w:lang w:val="es-ES"/>
        </w:rPr>
        <w:t xml:space="preserve"> </w:t>
      </w:r>
      <w:r w:rsidRPr="007F3D68">
        <w:rPr>
          <w:rFonts w:asciiTheme="majorHAnsi" w:hAnsiTheme="majorHAnsi"/>
          <w:sz w:val="16"/>
          <w:szCs w:val="16"/>
          <w:lang w:val="es-ES"/>
        </w:rPr>
        <w:t xml:space="preserve">Informe No. 57/96, </w:t>
      </w:r>
      <w:r w:rsidRPr="007F3D68">
        <w:rPr>
          <w:rFonts w:asciiTheme="majorHAnsi" w:hAnsiTheme="majorHAnsi"/>
          <w:iCs/>
          <w:sz w:val="16"/>
          <w:szCs w:val="16"/>
          <w:lang w:val="es-ES"/>
        </w:rPr>
        <w:t>Andrews, Estados Unidos</w:t>
      </w:r>
      <w:r w:rsidRPr="007F3D68">
        <w:rPr>
          <w:rFonts w:asciiTheme="majorHAnsi" w:hAnsiTheme="majorHAnsi"/>
          <w:sz w:val="16"/>
          <w:szCs w:val="16"/>
          <w:lang w:val="es-ES"/>
        </w:rPr>
        <w:t>, Informe Anual de la CIDH, 1997, párrafos 170-171.</w:t>
      </w:r>
    </w:p>
  </w:footnote>
  <w:footnote w:id="71">
    <w:p w:rsidR="00F40EB1" w:rsidRPr="007F3D68" w:rsidRDefault="00F40EB1" w:rsidP="00C42F74">
      <w:pPr>
        <w:autoSpaceDE w:val="0"/>
        <w:autoSpaceDN w:val="0"/>
        <w:adjustRightInd w:val="0"/>
        <w:ind w:firstLine="720"/>
        <w:jc w:val="both"/>
        <w:rPr>
          <w:rFonts w:asciiTheme="majorHAnsi" w:hAnsiTheme="majorHAnsi"/>
          <w:sz w:val="16"/>
          <w:szCs w:val="16"/>
          <w:lang w:val="es-ES"/>
        </w:rPr>
      </w:pPr>
      <w:r w:rsidRPr="007F3D68">
        <w:rPr>
          <w:rStyle w:val="FootnoteReference"/>
          <w:rFonts w:asciiTheme="majorHAnsi" w:hAnsiTheme="majorHAnsi"/>
          <w:sz w:val="16"/>
          <w:szCs w:val="16"/>
        </w:rPr>
        <w:footnoteRef/>
      </w:r>
      <w:r w:rsidRPr="007F3D68">
        <w:rPr>
          <w:rFonts w:asciiTheme="majorHAnsi" w:hAnsiTheme="majorHAnsi"/>
          <w:sz w:val="16"/>
          <w:szCs w:val="16"/>
          <w:lang w:val="es-ES"/>
        </w:rPr>
        <w:t xml:space="preserve"> CIDH, La pena de muerte en el Sistema Interamericano de Derechos Humanos: de restricciones a abolición, OEA/</w:t>
      </w:r>
      <w:proofErr w:type="spellStart"/>
      <w:r w:rsidRPr="007F3D68">
        <w:rPr>
          <w:rFonts w:asciiTheme="majorHAnsi" w:hAnsiTheme="majorHAnsi"/>
          <w:sz w:val="16"/>
          <w:szCs w:val="16"/>
          <w:lang w:val="es-ES"/>
        </w:rPr>
        <w:t>Ser.L</w:t>
      </w:r>
      <w:proofErr w:type="spellEnd"/>
      <w:r w:rsidRPr="007F3D68">
        <w:rPr>
          <w:rFonts w:asciiTheme="majorHAnsi" w:hAnsiTheme="majorHAnsi"/>
          <w:sz w:val="16"/>
          <w:szCs w:val="16"/>
          <w:lang w:val="es-ES"/>
        </w:rPr>
        <w:t>/V/II.Doc. 68, 31 de diciembre de 2011</w:t>
      </w:r>
      <w:r w:rsidRPr="007F3D68">
        <w:rPr>
          <w:rFonts w:asciiTheme="majorHAnsi" w:hAnsiTheme="majorHAnsi" w:cs="Calibri"/>
          <w:sz w:val="16"/>
          <w:szCs w:val="16"/>
          <w:lang w:val="es-ES"/>
        </w:rPr>
        <w:t>, párrafo</w:t>
      </w:r>
      <w:r w:rsidRPr="007F3D68">
        <w:rPr>
          <w:rFonts w:asciiTheme="majorHAnsi" w:hAnsiTheme="majorHAnsi"/>
          <w:sz w:val="16"/>
          <w:szCs w:val="16"/>
          <w:lang w:val="es-ES"/>
        </w:rPr>
        <w:t xml:space="preserve"> 41.</w:t>
      </w:r>
    </w:p>
  </w:footnote>
  <w:footnote w:id="72">
    <w:p w:rsidR="00F40EB1" w:rsidRPr="007F3D68" w:rsidRDefault="00F40EB1" w:rsidP="00C42F74">
      <w:pPr>
        <w:autoSpaceDE w:val="0"/>
        <w:autoSpaceDN w:val="0"/>
        <w:adjustRightInd w:val="0"/>
        <w:ind w:firstLine="720"/>
        <w:jc w:val="both"/>
        <w:rPr>
          <w:rFonts w:asciiTheme="majorHAnsi" w:hAnsiTheme="majorHAnsi"/>
          <w:sz w:val="16"/>
          <w:szCs w:val="16"/>
          <w:lang w:val="es-ES"/>
        </w:rPr>
      </w:pPr>
      <w:r w:rsidRPr="007F3D68">
        <w:rPr>
          <w:rStyle w:val="FootnoteReference"/>
          <w:rFonts w:asciiTheme="majorHAnsi" w:hAnsiTheme="majorHAnsi"/>
          <w:sz w:val="16"/>
          <w:szCs w:val="16"/>
        </w:rPr>
        <w:footnoteRef/>
      </w:r>
      <w:r w:rsidRPr="007F3D68">
        <w:rPr>
          <w:rFonts w:asciiTheme="majorHAnsi" w:hAnsiTheme="majorHAnsi"/>
          <w:sz w:val="16"/>
          <w:szCs w:val="16"/>
          <w:lang w:val="es-ES"/>
        </w:rPr>
        <w:t xml:space="preserve"> CIDH, Informe No. 78/07, Caso 12.265, Fondo (Publicación), Chad Roger Goodman, Bahamas, 15 de octubre de 2007, párrafo 34.</w:t>
      </w:r>
    </w:p>
  </w:footnote>
  <w:footnote w:id="73">
    <w:p w:rsidR="00F40EB1" w:rsidRPr="007F3D68" w:rsidRDefault="00F40EB1" w:rsidP="000655ED">
      <w:pPr>
        <w:pStyle w:val="FootnoteText"/>
        <w:ind w:firstLine="720"/>
        <w:jc w:val="both"/>
        <w:rPr>
          <w:rFonts w:asciiTheme="majorHAnsi" w:hAnsiTheme="majorHAnsi"/>
          <w:sz w:val="16"/>
          <w:szCs w:val="16"/>
          <w:lang w:val="es-VE"/>
        </w:rPr>
      </w:pP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CIDH; Informe No. 76/16, Caso 12.254. Fondo. </w:t>
      </w:r>
      <w:proofErr w:type="spellStart"/>
      <w:r w:rsidRPr="007F3D68">
        <w:rPr>
          <w:rFonts w:asciiTheme="majorHAnsi" w:hAnsiTheme="majorHAnsi"/>
          <w:sz w:val="16"/>
          <w:szCs w:val="16"/>
          <w:lang w:val="es-VE"/>
        </w:rPr>
        <w:t>Victor</w:t>
      </w:r>
      <w:proofErr w:type="spellEnd"/>
      <w:r w:rsidRPr="007F3D68">
        <w:rPr>
          <w:rFonts w:asciiTheme="majorHAnsi" w:hAnsiTheme="majorHAnsi"/>
          <w:sz w:val="16"/>
          <w:szCs w:val="16"/>
          <w:lang w:val="es-VE"/>
        </w:rPr>
        <w:t xml:space="preserve"> </w:t>
      </w:r>
      <w:proofErr w:type="spellStart"/>
      <w:r w:rsidRPr="007F3D68">
        <w:rPr>
          <w:rFonts w:asciiTheme="majorHAnsi" w:hAnsiTheme="majorHAnsi"/>
          <w:sz w:val="16"/>
          <w:szCs w:val="16"/>
          <w:lang w:val="es-VE"/>
        </w:rPr>
        <w:t>Saldaño</w:t>
      </w:r>
      <w:proofErr w:type="spellEnd"/>
      <w:r w:rsidRPr="007F3D68">
        <w:rPr>
          <w:rFonts w:asciiTheme="majorHAnsi" w:hAnsiTheme="majorHAnsi"/>
          <w:sz w:val="16"/>
          <w:szCs w:val="16"/>
          <w:lang w:val="es-VE"/>
        </w:rPr>
        <w:t>. Estados Unidos. 10 de diciembre de 2016, párr. 148.</w:t>
      </w:r>
    </w:p>
  </w:footnote>
  <w:footnote w:id="74">
    <w:p w:rsidR="00F40EB1" w:rsidRPr="007F3D68" w:rsidRDefault="00F40EB1" w:rsidP="000655ED">
      <w:pPr>
        <w:spacing w:after="120"/>
        <w:ind w:firstLine="720"/>
        <w:jc w:val="both"/>
        <w:rPr>
          <w:rFonts w:asciiTheme="majorHAnsi" w:hAnsiTheme="majorHAnsi"/>
          <w:sz w:val="16"/>
          <w:szCs w:val="16"/>
          <w:lang w:val="pt-BR"/>
        </w:rPr>
      </w:pPr>
      <w:r w:rsidRPr="007F3D68">
        <w:rPr>
          <w:rStyle w:val="FootnoteReference"/>
          <w:rFonts w:asciiTheme="majorHAnsi" w:hAnsiTheme="majorHAnsi"/>
          <w:sz w:val="16"/>
          <w:szCs w:val="16"/>
        </w:rPr>
        <w:footnoteRef/>
      </w:r>
      <w:r w:rsidRPr="007F3D68">
        <w:rPr>
          <w:rFonts w:asciiTheme="majorHAnsi" w:hAnsiTheme="majorHAnsi"/>
          <w:sz w:val="16"/>
          <w:szCs w:val="16"/>
          <w:lang w:val="es-ES"/>
        </w:rPr>
        <w:t xml:space="preserve"> Comité de Derechos Humanos del PIDCP. </w:t>
      </w:r>
      <w:r w:rsidRPr="007F3D68">
        <w:rPr>
          <w:rFonts w:asciiTheme="majorHAnsi" w:hAnsiTheme="majorHAnsi" w:cs="Georgia"/>
          <w:bCs/>
          <w:sz w:val="16"/>
          <w:szCs w:val="16"/>
          <w:lang w:val="es-CO"/>
        </w:rPr>
        <w:t xml:space="preserve">Robert John Fardon v. Australia, Comunicación No. 1629/2007, U.N. Doc. </w:t>
      </w:r>
      <w:r w:rsidRPr="007F3D68">
        <w:rPr>
          <w:rFonts w:asciiTheme="majorHAnsi" w:hAnsiTheme="majorHAnsi" w:cs="Georgia"/>
          <w:bCs/>
          <w:sz w:val="16"/>
          <w:szCs w:val="16"/>
          <w:lang w:val="pt-BR"/>
        </w:rPr>
        <w:t xml:space="preserve">CCPR/C/98/D/1629/2007 (2010). Párr. 7.4. </w:t>
      </w:r>
    </w:p>
  </w:footnote>
  <w:footnote w:id="75">
    <w:p w:rsidR="00F40EB1" w:rsidRPr="007F3D68" w:rsidRDefault="00F40EB1" w:rsidP="000655ED">
      <w:pPr>
        <w:pStyle w:val="FootnoteText"/>
        <w:ind w:firstLine="720"/>
        <w:jc w:val="both"/>
        <w:rPr>
          <w:rFonts w:asciiTheme="majorHAnsi" w:hAnsiTheme="majorHAnsi"/>
          <w:sz w:val="16"/>
          <w:szCs w:val="16"/>
          <w:lang w:val="es-ES"/>
        </w:rPr>
      </w:pPr>
      <w:r w:rsidRPr="007F3D68">
        <w:rPr>
          <w:rStyle w:val="FootnoteReference"/>
          <w:rFonts w:asciiTheme="majorHAnsi" w:hAnsiTheme="majorHAnsi"/>
          <w:sz w:val="16"/>
          <w:szCs w:val="16"/>
        </w:rPr>
        <w:footnoteRef/>
      </w:r>
      <w:r w:rsidRPr="007F3D68">
        <w:rPr>
          <w:rFonts w:asciiTheme="majorHAnsi" w:hAnsiTheme="majorHAnsi"/>
          <w:sz w:val="16"/>
          <w:szCs w:val="16"/>
          <w:lang w:val="pt-BR"/>
        </w:rPr>
        <w:t xml:space="preserve"> Corte IDH. Caso Fermín Ramírez vs. Guatemala. </w:t>
      </w:r>
      <w:r w:rsidRPr="007F3D68">
        <w:rPr>
          <w:rFonts w:asciiTheme="majorHAnsi" w:hAnsiTheme="majorHAnsi"/>
          <w:sz w:val="16"/>
          <w:szCs w:val="16"/>
          <w:lang w:val="es-VE"/>
        </w:rPr>
        <w:t xml:space="preserve">Fondo, Reparaciones y Costas. Sentencia de 20 de junio de 2005. Serie C No. 126. Párr. 94. </w:t>
      </w:r>
    </w:p>
  </w:footnote>
  <w:footnote w:id="76">
    <w:p w:rsidR="00F40EB1" w:rsidRPr="007F3D68" w:rsidRDefault="00F40EB1" w:rsidP="000655ED">
      <w:pPr>
        <w:pStyle w:val="FootnoteText"/>
        <w:ind w:firstLine="720"/>
        <w:jc w:val="both"/>
        <w:rPr>
          <w:rFonts w:asciiTheme="majorHAnsi" w:hAnsiTheme="majorHAnsi"/>
          <w:sz w:val="16"/>
          <w:szCs w:val="16"/>
          <w:lang w:val="es-ES"/>
        </w:rPr>
      </w:pPr>
      <w:r w:rsidRPr="007F3D68">
        <w:rPr>
          <w:rStyle w:val="FootnoteReference"/>
          <w:rFonts w:asciiTheme="majorHAnsi" w:hAnsiTheme="majorHAnsi"/>
          <w:sz w:val="16"/>
          <w:szCs w:val="16"/>
        </w:rPr>
        <w:footnoteRef/>
      </w:r>
      <w:r w:rsidRPr="007F3D68">
        <w:rPr>
          <w:rFonts w:asciiTheme="majorHAnsi" w:hAnsiTheme="majorHAnsi"/>
          <w:sz w:val="16"/>
          <w:szCs w:val="16"/>
          <w:lang w:val="es-ES"/>
        </w:rPr>
        <w:t xml:space="preserve"> </w:t>
      </w:r>
      <w:r w:rsidRPr="007F3D68">
        <w:rPr>
          <w:rStyle w:val="Strong"/>
          <w:rFonts w:asciiTheme="majorHAnsi" w:eastAsia="Times New Roman" w:hAnsiTheme="majorHAnsi"/>
          <w:b w:val="0"/>
          <w:sz w:val="16"/>
          <w:szCs w:val="16"/>
          <w:lang w:val="es-ES"/>
        </w:rPr>
        <w:t xml:space="preserve">Corte IDH. Caso Pollo Rivera y otros Vs. Perú. Fondo, Reparaciones y Costas. Sentencia de 21 de octubre de 2016. Serie C No. 319. Párr. 248. </w:t>
      </w:r>
    </w:p>
  </w:footnote>
  <w:footnote w:id="77">
    <w:p w:rsidR="00F40EB1" w:rsidRPr="007F3D68" w:rsidRDefault="00F40EB1" w:rsidP="000655ED">
      <w:pPr>
        <w:pStyle w:val="FootnoteText"/>
        <w:ind w:firstLine="720"/>
        <w:jc w:val="both"/>
        <w:rPr>
          <w:rFonts w:asciiTheme="majorHAnsi" w:hAnsiTheme="majorHAnsi"/>
          <w:sz w:val="16"/>
          <w:szCs w:val="16"/>
          <w:lang w:val="es-ES"/>
        </w:rPr>
      </w:pPr>
      <w:r w:rsidRPr="007F3D68">
        <w:rPr>
          <w:rStyle w:val="FootnoteReference"/>
          <w:rFonts w:asciiTheme="majorHAnsi" w:hAnsiTheme="majorHAnsi"/>
          <w:sz w:val="16"/>
          <w:szCs w:val="16"/>
        </w:rPr>
        <w:footnoteRef/>
      </w:r>
      <w:r w:rsidRPr="007F3D68">
        <w:rPr>
          <w:rFonts w:asciiTheme="majorHAnsi" w:hAnsiTheme="majorHAnsi"/>
          <w:sz w:val="16"/>
          <w:szCs w:val="16"/>
          <w:lang w:val="es-ES"/>
        </w:rPr>
        <w:t xml:space="preserve"> </w:t>
      </w:r>
      <w:r w:rsidRPr="007F3D68">
        <w:rPr>
          <w:rStyle w:val="Strong"/>
          <w:rFonts w:asciiTheme="majorHAnsi" w:eastAsia="Times New Roman" w:hAnsiTheme="majorHAnsi"/>
          <w:b w:val="0"/>
          <w:sz w:val="16"/>
          <w:szCs w:val="16"/>
          <w:lang w:val="es-ES"/>
        </w:rPr>
        <w:t xml:space="preserve">Corte IDH. Caso Pollo Rivera y otros Vs. Perú. Fondo, Reparaciones y Costas. Sentencia de 21 de octubre de 2016. Serie C No. 319. Párr. 249. </w:t>
      </w:r>
    </w:p>
  </w:footnote>
  <w:footnote w:id="78">
    <w:p w:rsidR="00F40EB1" w:rsidRPr="007F3D68" w:rsidRDefault="00F40EB1" w:rsidP="000655ED">
      <w:pPr>
        <w:pStyle w:val="FootnoteText"/>
        <w:ind w:firstLine="720"/>
        <w:jc w:val="both"/>
        <w:rPr>
          <w:rFonts w:asciiTheme="majorHAnsi" w:hAnsiTheme="majorHAnsi"/>
          <w:sz w:val="16"/>
          <w:szCs w:val="16"/>
          <w:lang w:val="es-ES"/>
        </w:rPr>
      </w:pPr>
      <w:r w:rsidRPr="007F3D68">
        <w:rPr>
          <w:rStyle w:val="FootnoteReference"/>
          <w:rFonts w:asciiTheme="majorHAnsi" w:hAnsiTheme="majorHAnsi"/>
          <w:sz w:val="16"/>
          <w:szCs w:val="16"/>
        </w:rPr>
        <w:footnoteRef/>
      </w:r>
      <w:r w:rsidRPr="007F3D68">
        <w:rPr>
          <w:rFonts w:asciiTheme="majorHAnsi" w:hAnsiTheme="majorHAnsi"/>
          <w:sz w:val="16"/>
          <w:szCs w:val="16"/>
          <w:lang w:val="es-ES"/>
        </w:rPr>
        <w:t xml:space="preserve"> Corte IDH. Caso Fermín Ramírez vs. Guatemala. </w:t>
      </w:r>
      <w:r w:rsidRPr="007F3D68">
        <w:rPr>
          <w:rFonts w:asciiTheme="majorHAnsi" w:hAnsiTheme="majorHAnsi"/>
          <w:sz w:val="16"/>
          <w:szCs w:val="16"/>
          <w:lang w:val="es-VE"/>
        </w:rPr>
        <w:t xml:space="preserve">Fondo, Reparaciones y Costas. Sentencia de 20 de junio de 2005. Serie C No. 126. Párr. 95 y 96. </w:t>
      </w:r>
    </w:p>
  </w:footnote>
  <w:footnote w:id="79">
    <w:p w:rsidR="00F40EB1" w:rsidRPr="007F3D68" w:rsidRDefault="00F40EB1" w:rsidP="004A2395">
      <w:pPr>
        <w:pStyle w:val="FootnoteText"/>
        <w:spacing w:after="120"/>
        <w:ind w:firstLine="720"/>
        <w:jc w:val="both"/>
        <w:rPr>
          <w:rFonts w:asciiTheme="majorHAnsi" w:hAnsiTheme="majorHAnsi"/>
          <w:sz w:val="16"/>
          <w:szCs w:val="16"/>
          <w:lang w:val="es-VE"/>
        </w:rPr>
      </w:pPr>
      <w:r w:rsidRPr="007F3D68">
        <w:rPr>
          <w:rStyle w:val="FootnoteReference"/>
          <w:rFonts w:asciiTheme="majorHAnsi" w:hAnsiTheme="majorHAnsi"/>
          <w:sz w:val="16"/>
          <w:szCs w:val="16"/>
        </w:rPr>
        <w:footnoteRef/>
      </w:r>
      <w:r w:rsidRPr="007F3D68">
        <w:rPr>
          <w:rFonts w:asciiTheme="majorHAnsi" w:hAnsiTheme="majorHAnsi"/>
          <w:sz w:val="16"/>
          <w:szCs w:val="16"/>
          <w:lang w:val="pt-BR"/>
        </w:rPr>
        <w:t xml:space="preserve"> Corte IDH. Caso Mohamed vs. Argentina. </w:t>
      </w:r>
      <w:r w:rsidRPr="007F3D68">
        <w:rPr>
          <w:rFonts w:asciiTheme="majorHAnsi" w:hAnsiTheme="majorHAnsi"/>
          <w:sz w:val="16"/>
          <w:szCs w:val="16"/>
          <w:lang w:val="es-VE"/>
        </w:rPr>
        <w:t xml:space="preserve">Excepción Preliminar, Fondo, Reparaciones y Costas. Sentencia de 23 de noviembre de 2012. Serie C No. 255, párr.100. </w:t>
      </w:r>
    </w:p>
  </w:footnote>
  <w:footnote w:id="80">
    <w:p w:rsidR="00F40EB1" w:rsidRPr="007F3D68" w:rsidRDefault="00F40EB1" w:rsidP="004A2395">
      <w:pPr>
        <w:pStyle w:val="FootnoteText"/>
        <w:tabs>
          <w:tab w:val="left" w:pos="720"/>
        </w:tabs>
        <w:spacing w:after="120"/>
        <w:ind w:firstLine="720"/>
        <w:jc w:val="both"/>
        <w:rPr>
          <w:rFonts w:asciiTheme="majorHAnsi" w:hAnsiTheme="majorHAnsi"/>
          <w:sz w:val="16"/>
          <w:szCs w:val="16"/>
          <w:lang w:val="es-ES_tradnl"/>
        </w:rPr>
      </w:pPr>
      <w:r w:rsidRPr="007F3D68">
        <w:rPr>
          <w:rStyle w:val="FootnoteReference"/>
          <w:rFonts w:asciiTheme="majorHAnsi" w:hAnsiTheme="majorHAnsi"/>
          <w:sz w:val="16"/>
          <w:szCs w:val="16"/>
        </w:rPr>
        <w:footnoteRef/>
      </w:r>
      <w:r w:rsidRPr="007F3D68">
        <w:rPr>
          <w:rFonts w:asciiTheme="majorHAnsi" w:hAnsiTheme="majorHAnsi"/>
          <w:sz w:val="16"/>
          <w:szCs w:val="16"/>
          <w:lang w:val="es-ES_tradnl"/>
        </w:rPr>
        <w:t xml:space="preserve"> CIDH, Informe No. 33/14, Caso 12.820, Fondo, </w:t>
      </w:r>
      <w:proofErr w:type="spellStart"/>
      <w:r w:rsidRPr="007F3D68">
        <w:rPr>
          <w:rFonts w:asciiTheme="majorHAnsi" w:hAnsiTheme="majorHAnsi"/>
          <w:sz w:val="16"/>
          <w:szCs w:val="16"/>
          <w:lang w:val="es-ES_tradnl"/>
        </w:rPr>
        <w:t>Manfred</w:t>
      </w:r>
      <w:proofErr w:type="spellEnd"/>
      <w:r w:rsidRPr="007F3D68">
        <w:rPr>
          <w:rFonts w:asciiTheme="majorHAnsi" w:hAnsiTheme="majorHAnsi"/>
          <w:sz w:val="16"/>
          <w:szCs w:val="16"/>
          <w:lang w:val="es-ES_tradnl"/>
        </w:rPr>
        <w:t xml:space="preserve"> </w:t>
      </w:r>
      <w:proofErr w:type="spellStart"/>
      <w:r w:rsidRPr="007F3D68">
        <w:rPr>
          <w:rFonts w:asciiTheme="majorHAnsi" w:hAnsiTheme="majorHAnsi"/>
          <w:sz w:val="16"/>
          <w:szCs w:val="16"/>
          <w:lang w:val="es-ES_tradnl"/>
        </w:rPr>
        <w:t>Amrhein</w:t>
      </w:r>
      <w:proofErr w:type="spellEnd"/>
      <w:r w:rsidRPr="007F3D68">
        <w:rPr>
          <w:rFonts w:asciiTheme="majorHAnsi" w:hAnsiTheme="majorHAnsi"/>
          <w:sz w:val="16"/>
          <w:szCs w:val="16"/>
          <w:lang w:val="es-ES_tradnl"/>
        </w:rPr>
        <w:t xml:space="preserve"> y otros, Costa Rica, 4 de abril de 2014, Párr.192.</w:t>
      </w:r>
    </w:p>
  </w:footnote>
  <w:footnote w:id="81">
    <w:p w:rsidR="00F40EB1" w:rsidRPr="007F3D68" w:rsidRDefault="00F40EB1" w:rsidP="004A2395">
      <w:pPr>
        <w:pStyle w:val="FootnoteText"/>
        <w:spacing w:after="120"/>
        <w:ind w:firstLine="720"/>
        <w:jc w:val="both"/>
        <w:rPr>
          <w:rFonts w:asciiTheme="majorHAnsi" w:hAnsiTheme="majorHAnsi"/>
          <w:sz w:val="16"/>
          <w:szCs w:val="16"/>
          <w:lang w:val="es-CO"/>
        </w:rPr>
      </w:pPr>
      <w:r w:rsidRPr="007F3D68">
        <w:rPr>
          <w:rStyle w:val="FootnoteReference"/>
          <w:rFonts w:asciiTheme="majorHAnsi" w:hAnsiTheme="majorHAnsi"/>
          <w:sz w:val="16"/>
          <w:szCs w:val="16"/>
        </w:rPr>
        <w:footnoteRef/>
      </w:r>
      <w:r w:rsidRPr="007F3D68">
        <w:rPr>
          <w:rFonts w:asciiTheme="majorHAnsi" w:hAnsiTheme="majorHAnsi"/>
          <w:sz w:val="16"/>
          <w:szCs w:val="16"/>
          <w:lang w:val="es-ES_tradnl"/>
        </w:rPr>
        <w:t xml:space="preserve"> CIDH, Informe No. 172/10, Caso 12.561, Fondo, César Alberto Mendoza y otros (Prisión y reclusión perpetuas de adolescentes), Argentina, 2 de noviembre de 2010, párr. </w:t>
      </w:r>
      <w:r w:rsidRPr="007F3D68">
        <w:rPr>
          <w:rFonts w:asciiTheme="majorHAnsi" w:hAnsiTheme="majorHAnsi"/>
          <w:sz w:val="16"/>
          <w:szCs w:val="16"/>
          <w:lang w:val="es-CO"/>
        </w:rPr>
        <w:t>189.</w:t>
      </w:r>
    </w:p>
  </w:footnote>
  <w:footnote w:id="82">
    <w:p w:rsidR="00F40EB1" w:rsidRPr="007F3D68" w:rsidRDefault="00F40EB1" w:rsidP="006D1B01">
      <w:pPr>
        <w:pStyle w:val="FootnoteText"/>
        <w:ind w:firstLine="720"/>
        <w:jc w:val="both"/>
        <w:rPr>
          <w:rFonts w:asciiTheme="majorHAnsi" w:hAnsiTheme="majorHAnsi"/>
          <w:sz w:val="16"/>
          <w:szCs w:val="16"/>
          <w:lang w:val="es-VE"/>
        </w:rPr>
      </w:pP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Corte IDH, Restricciones a la Pena de Muerte (arts. 4.2 y 4.4 Convención Americana sobre Derechos Humanos). Opinión Consultiva OC</w:t>
      </w:r>
      <w:r w:rsidRPr="007F3D68">
        <w:rPr>
          <w:rFonts w:asciiTheme="majorHAnsi" w:hAnsiTheme="majorHAnsi" w:cs="Cambria Math"/>
          <w:sz w:val="16"/>
          <w:szCs w:val="16"/>
          <w:lang w:val="es-VE"/>
        </w:rPr>
        <w:t>‐</w:t>
      </w:r>
      <w:r w:rsidRPr="007F3D68">
        <w:rPr>
          <w:rFonts w:asciiTheme="majorHAnsi" w:hAnsiTheme="majorHAnsi"/>
          <w:sz w:val="16"/>
          <w:szCs w:val="16"/>
          <w:lang w:val="es-VE"/>
        </w:rPr>
        <w:t>3/83 del 8 de septiembre de 1983. Serie A No. 3, párr. 54.</w:t>
      </w:r>
    </w:p>
  </w:footnote>
  <w:footnote w:id="83">
    <w:p w:rsidR="00F40EB1" w:rsidRPr="007F3D68" w:rsidRDefault="00F40EB1" w:rsidP="006D1B01">
      <w:pPr>
        <w:pStyle w:val="FootnoteText"/>
        <w:ind w:firstLine="720"/>
        <w:jc w:val="both"/>
        <w:rPr>
          <w:rFonts w:asciiTheme="majorHAnsi" w:hAnsiTheme="majorHAnsi"/>
          <w:sz w:val="16"/>
          <w:szCs w:val="16"/>
          <w:lang w:val="es-VE"/>
        </w:rPr>
      </w:pP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CIDH, La pena de muerte en el Sistema Interamericano de Derechos Humanos: de restricciones a abolición, OEA/</w:t>
      </w:r>
      <w:proofErr w:type="spellStart"/>
      <w:r w:rsidRPr="007F3D68">
        <w:rPr>
          <w:rFonts w:asciiTheme="majorHAnsi" w:hAnsiTheme="majorHAnsi"/>
          <w:sz w:val="16"/>
          <w:szCs w:val="16"/>
          <w:lang w:val="es-VE"/>
        </w:rPr>
        <w:t>Ser.L</w:t>
      </w:r>
      <w:proofErr w:type="spellEnd"/>
      <w:r w:rsidRPr="007F3D68">
        <w:rPr>
          <w:rFonts w:asciiTheme="majorHAnsi" w:hAnsiTheme="majorHAnsi"/>
          <w:sz w:val="16"/>
          <w:szCs w:val="16"/>
          <w:lang w:val="es-VE"/>
        </w:rPr>
        <w:t>/V/II.Doc.68, 31 de diciembre de 2011, párr.88.</w:t>
      </w:r>
    </w:p>
  </w:footnote>
  <w:footnote w:id="84">
    <w:p w:rsidR="00F40EB1" w:rsidRPr="007F3D68" w:rsidRDefault="00F40EB1" w:rsidP="006D1B01">
      <w:pPr>
        <w:pStyle w:val="FootnoteText"/>
        <w:ind w:firstLine="720"/>
        <w:jc w:val="both"/>
        <w:rPr>
          <w:rFonts w:asciiTheme="majorHAnsi" w:hAnsiTheme="majorHAnsi"/>
          <w:sz w:val="16"/>
          <w:szCs w:val="16"/>
          <w:lang w:val="es-VE"/>
        </w:rPr>
      </w:pP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Ver CIDH, La pena de muerte en el Sistema Interamericano de Derechos Humanos: de restricciones a abolición, OEA/</w:t>
      </w:r>
      <w:proofErr w:type="spellStart"/>
      <w:r w:rsidRPr="007F3D68">
        <w:rPr>
          <w:rFonts w:asciiTheme="majorHAnsi" w:hAnsiTheme="majorHAnsi"/>
          <w:sz w:val="16"/>
          <w:szCs w:val="16"/>
          <w:lang w:val="es-VE"/>
        </w:rPr>
        <w:t>Ser.L</w:t>
      </w:r>
      <w:proofErr w:type="spellEnd"/>
      <w:r w:rsidRPr="007F3D68">
        <w:rPr>
          <w:rFonts w:asciiTheme="majorHAnsi" w:hAnsiTheme="majorHAnsi"/>
          <w:sz w:val="16"/>
          <w:szCs w:val="16"/>
          <w:lang w:val="es-VE"/>
        </w:rPr>
        <w:t>/V/II.Doc.68, 31 de diciembre de 2011.</w:t>
      </w:r>
    </w:p>
  </w:footnote>
  <w:footnote w:id="85">
    <w:p w:rsidR="00F40EB1" w:rsidRPr="00E152A0" w:rsidRDefault="00F40EB1" w:rsidP="00E152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20"/>
        <w:jc w:val="both"/>
        <w:rPr>
          <w:rFonts w:asciiTheme="majorHAnsi" w:hAnsiTheme="majorHAnsi"/>
          <w:sz w:val="16"/>
          <w:szCs w:val="16"/>
          <w:lang w:val="es-VE"/>
        </w:rPr>
      </w:pPr>
      <w:r w:rsidRPr="007F3D68">
        <w:rPr>
          <w:rFonts w:asciiTheme="majorHAnsi" w:hAnsiTheme="majorHAnsi"/>
          <w:sz w:val="16"/>
          <w:szCs w:val="16"/>
          <w:lang w:val="es-VE"/>
        </w:rPr>
        <w:tab/>
      </w: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El artículo 5 de la Convención Americ</w:t>
      </w:r>
      <w:r>
        <w:rPr>
          <w:rFonts w:asciiTheme="majorHAnsi" w:hAnsiTheme="majorHAnsi"/>
          <w:sz w:val="16"/>
          <w:szCs w:val="16"/>
          <w:lang w:val="es-VE"/>
        </w:rPr>
        <w:t xml:space="preserve">ana establece en lo pertinente: </w:t>
      </w:r>
      <w:r w:rsidRPr="007F3D68">
        <w:rPr>
          <w:rFonts w:asciiTheme="majorHAnsi" w:hAnsiTheme="majorHAnsi" w:cs="Tahoma"/>
          <w:color w:val="000000"/>
          <w:sz w:val="16"/>
          <w:szCs w:val="16"/>
          <w:lang w:val="es-VE"/>
        </w:rPr>
        <w:t xml:space="preserve">1. Toda </w:t>
      </w:r>
      <w:r w:rsidRPr="007F3D68">
        <w:rPr>
          <w:rFonts w:asciiTheme="majorHAnsi" w:hAnsiTheme="majorHAnsi"/>
          <w:sz w:val="16"/>
          <w:szCs w:val="16"/>
          <w:lang w:val="es-VE"/>
        </w:rPr>
        <w:t>persona</w:t>
      </w:r>
      <w:r w:rsidRPr="007F3D68">
        <w:rPr>
          <w:rFonts w:asciiTheme="majorHAnsi" w:hAnsiTheme="majorHAnsi" w:cs="Tahoma"/>
          <w:color w:val="000000"/>
          <w:sz w:val="16"/>
          <w:szCs w:val="16"/>
          <w:lang w:val="es-VE"/>
        </w:rPr>
        <w:t xml:space="preserve"> tiene derecho a que se respete su integrida</w:t>
      </w:r>
      <w:r>
        <w:rPr>
          <w:rFonts w:asciiTheme="majorHAnsi" w:hAnsiTheme="majorHAnsi" w:cs="Tahoma"/>
          <w:color w:val="000000"/>
          <w:sz w:val="16"/>
          <w:szCs w:val="16"/>
          <w:lang w:val="es-VE"/>
        </w:rPr>
        <w:t xml:space="preserve">d física, psíquica y moral; </w:t>
      </w:r>
      <w:r w:rsidRPr="007F3D68">
        <w:rPr>
          <w:rFonts w:asciiTheme="majorHAnsi" w:hAnsiTheme="majorHAnsi" w:cs="Tahoma"/>
          <w:sz w:val="16"/>
          <w:szCs w:val="16"/>
          <w:lang w:val="es-VE"/>
        </w:rPr>
        <w:t xml:space="preserve">2. Nadie debe ser sometido a torturas ni a penas o tratos crueles, inhumanos o degradantes. Toda persona </w:t>
      </w:r>
      <w:r w:rsidRPr="007F3D68">
        <w:rPr>
          <w:rFonts w:asciiTheme="majorHAnsi" w:hAnsiTheme="majorHAnsi"/>
          <w:sz w:val="16"/>
          <w:szCs w:val="16"/>
          <w:lang w:val="es-VE"/>
        </w:rPr>
        <w:t>privada</w:t>
      </w:r>
      <w:r w:rsidRPr="007F3D68">
        <w:rPr>
          <w:rFonts w:asciiTheme="majorHAnsi" w:hAnsiTheme="majorHAnsi" w:cs="Tahoma"/>
          <w:sz w:val="16"/>
          <w:szCs w:val="16"/>
          <w:lang w:val="es-VE"/>
        </w:rPr>
        <w:t xml:space="preserve"> de libertad será tratada con el respeto debido a la dignidad inherente al ser humano.</w:t>
      </w:r>
    </w:p>
  </w:footnote>
  <w:footnote w:id="86">
    <w:p w:rsidR="00F40EB1" w:rsidRDefault="00F40EB1" w:rsidP="00E152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pacing w:after="120"/>
        <w:jc w:val="both"/>
        <w:rPr>
          <w:rFonts w:asciiTheme="majorHAnsi" w:hAnsiTheme="majorHAnsi"/>
          <w:sz w:val="16"/>
          <w:szCs w:val="16"/>
          <w:lang w:val="es-VE"/>
        </w:rPr>
      </w:pPr>
      <w:r w:rsidRPr="007F3D68">
        <w:rPr>
          <w:rFonts w:asciiTheme="majorHAnsi" w:hAnsiTheme="majorHAnsi"/>
          <w:sz w:val="16"/>
          <w:szCs w:val="16"/>
          <w:lang w:val="es-VE"/>
        </w:rPr>
        <w:tab/>
      </w: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Los artículos 1 y 6 de la </w:t>
      </w:r>
      <w:r>
        <w:rPr>
          <w:rFonts w:asciiTheme="majorHAnsi" w:hAnsiTheme="majorHAnsi"/>
          <w:sz w:val="16"/>
          <w:szCs w:val="16"/>
          <w:lang w:val="es-VE"/>
        </w:rPr>
        <w:t xml:space="preserve">CIPST establecen que: </w:t>
      </w:r>
      <w:r w:rsidRPr="007F3D68">
        <w:rPr>
          <w:rFonts w:asciiTheme="majorHAnsi" w:hAnsiTheme="majorHAnsi"/>
          <w:sz w:val="16"/>
          <w:szCs w:val="16"/>
          <w:lang w:val="es-VE"/>
        </w:rPr>
        <w:t>Artículo 1. Los Estados partes se obligan a prevenir y sancionar la tortura en lo</w:t>
      </w:r>
      <w:r>
        <w:rPr>
          <w:rFonts w:asciiTheme="majorHAnsi" w:hAnsiTheme="majorHAnsi"/>
          <w:sz w:val="16"/>
          <w:szCs w:val="16"/>
          <w:lang w:val="es-VE"/>
        </w:rPr>
        <w:t xml:space="preserve">s términos de dicha Convención. </w:t>
      </w:r>
    </w:p>
    <w:p w:rsidR="00F40EB1" w:rsidRPr="00E152A0" w:rsidRDefault="00F40EB1" w:rsidP="00E152A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pacing w:after="120"/>
        <w:jc w:val="both"/>
        <w:rPr>
          <w:rFonts w:asciiTheme="majorHAnsi" w:hAnsiTheme="majorHAnsi"/>
          <w:sz w:val="16"/>
          <w:szCs w:val="16"/>
          <w:lang w:val="es-VE"/>
        </w:rPr>
      </w:pPr>
      <w:r>
        <w:rPr>
          <w:rFonts w:asciiTheme="majorHAnsi" w:hAnsiTheme="majorHAnsi"/>
          <w:sz w:val="16"/>
          <w:szCs w:val="16"/>
          <w:lang w:val="es-VE"/>
        </w:rPr>
        <w:tab/>
      </w:r>
      <w:r w:rsidRPr="007F3D68">
        <w:rPr>
          <w:rFonts w:asciiTheme="majorHAnsi" w:hAnsiTheme="majorHAnsi"/>
          <w:sz w:val="16"/>
          <w:szCs w:val="16"/>
          <w:lang w:val="es-VE"/>
        </w:rPr>
        <w:t>Artículo 6. De conformidad con lo dispuesto en el artículo 1, los Estados partes tomarán medidas efectivas para prevenir y sancionar la tortura en el ámbito de su jurisdicción. Los Estados partes se asegurarán de que todos los actos de tortura y los intentos de cometer tales actos constituyan delitos conforme a su derecho penal, estableciendo para castigarlos sanciones severas que tengan en cuenta su gravedad. Igualmente, los Estados partes tomarán medidas efectivas para prevenir y sancionar, además, otros tratos o penas crueles, inhumanos o degradantes en el ámbito de su jurisdicción.</w:t>
      </w:r>
    </w:p>
  </w:footnote>
  <w:footnote w:id="87">
    <w:p w:rsidR="00F40EB1" w:rsidRPr="007F3D68" w:rsidRDefault="00F40EB1" w:rsidP="005818A2">
      <w:pPr>
        <w:autoSpaceDE w:val="0"/>
        <w:autoSpaceDN w:val="0"/>
        <w:adjustRightInd w:val="0"/>
        <w:spacing w:after="120"/>
        <w:ind w:firstLine="720"/>
        <w:jc w:val="both"/>
        <w:rPr>
          <w:rFonts w:asciiTheme="majorHAnsi" w:hAnsiTheme="majorHAnsi"/>
          <w:sz w:val="16"/>
          <w:szCs w:val="16"/>
        </w:rPr>
      </w:pPr>
      <w:r w:rsidRPr="007F3D68">
        <w:rPr>
          <w:rStyle w:val="FootnoteReference"/>
          <w:rFonts w:asciiTheme="majorHAnsi" w:hAnsiTheme="majorHAnsi"/>
          <w:sz w:val="16"/>
          <w:szCs w:val="16"/>
        </w:rPr>
        <w:footnoteRef/>
      </w:r>
      <w:r w:rsidRPr="007F3D68">
        <w:rPr>
          <w:rFonts w:asciiTheme="majorHAnsi" w:hAnsiTheme="majorHAnsi"/>
          <w:sz w:val="16"/>
          <w:szCs w:val="16"/>
          <w:lang w:val="es-CO"/>
        </w:rPr>
        <w:t xml:space="preserve"> Naciones Unidas. Informe del Relator Especial sobre la tortura y otros tratos o penas crueles, </w:t>
      </w:r>
      <w:proofErr w:type="gramStart"/>
      <w:r w:rsidRPr="007F3D68">
        <w:rPr>
          <w:rFonts w:asciiTheme="majorHAnsi" w:hAnsiTheme="majorHAnsi"/>
          <w:sz w:val="16"/>
          <w:szCs w:val="16"/>
          <w:lang w:val="es-CO"/>
        </w:rPr>
        <w:t>inhumanos</w:t>
      </w:r>
      <w:proofErr w:type="gramEnd"/>
      <w:r w:rsidRPr="007F3D68">
        <w:rPr>
          <w:rFonts w:asciiTheme="majorHAnsi" w:hAnsiTheme="majorHAnsi"/>
          <w:sz w:val="16"/>
          <w:szCs w:val="16"/>
          <w:lang w:val="es-CO"/>
        </w:rPr>
        <w:t xml:space="preserve"> o degradantes. </w:t>
      </w:r>
      <w:proofErr w:type="gramStart"/>
      <w:r w:rsidRPr="007F3D68">
        <w:rPr>
          <w:rFonts w:asciiTheme="majorHAnsi" w:hAnsiTheme="majorHAnsi"/>
          <w:sz w:val="16"/>
          <w:szCs w:val="16"/>
        </w:rPr>
        <w:t xml:space="preserve">9 de </w:t>
      </w:r>
      <w:proofErr w:type="spellStart"/>
      <w:r w:rsidRPr="007F3D68">
        <w:rPr>
          <w:rFonts w:asciiTheme="majorHAnsi" w:hAnsiTheme="majorHAnsi"/>
          <w:sz w:val="16"/>
          <w:szCs w:val="16"/>
        </w:rPr>
        <w:t>agosto</w:t>
      </w:r>
      <w:proofErr w:type="spellEnd"/>
      <w:r w:rsidRPr="007F3D68">
        <w:rPr>
          <w:rFonts w:asciiTheme="majorHAnsi" w:hAnsiTheme="majorHAnsi"/>
          <w:sz w:val="16"/>
          <w:szCs w:val="16"/>
        </w:rPr>
        <w:t xml:space="preserve"> de 2012.</w:t>
      </w:r>
      <w:proofErr w:type="gramEnd"/>
      <w:r w:rsidRPr="007F3D68">
        <w:rPr>
          <w:rFonts w:asciiTheme="majorHAnsi" w:hAnsiTheme="majorHAnsi"/>
          <w:sz w:val="16"/>
          <w:szCs w:val="16"/>
        </w:rPr>
        <w:t xml:space="preserve"> </w:t>
      </w:r>
      <w:proofErr w:type="gramStart"/>
      <w:r w:rsidRPr="007F3D68">
        <w:rPr>
          <w:rFonts w:asciiTheme="majorHAnsi" w:hAnsiTheme="majorHAnsi"/>
          <w:bCs/>
          <w:sz w:val="16"/>
          <w:szCs w:val="16"/>
        </w:rPr>
        <w:t xml:space="preserve">A/67/279, </w:t>
      </w:r>
      <w:proofErr w:type="spellStart"/>
      <w:r w:rsidRPr="007F3D68">
        <w:rPr>
          <w:rFonts w:asciiTheme="majorHAnsi" w:hAnsiTheme="majorHAnsi"/>
          <w:bCs/>
          <w:sz w:val="16"/>
          <w:szCs w:val="16"/>
        </w:rPr>
        <w:t>Párr</w:t>
      </w:r>
      <w:proofErr w:type="spellEnd"/>
      <w:r w:rsidRPr="007F3D68">
        <w:rPr>
          <w:rFonts w:asciiTheme="majorHAnsi" w:hAnsiTheme="majorHAnsi"/>
          <w:bCs/>
          <w:sz w:val="16"/>
          <w:szCs w:val="16"/>
        </w:rPr>
        <w:t>.</w:t>
      </w:r>
      <w:proofErr w:type="gramEnd"/>
      <w:r w:rsidRPr="007F3D68">
        <w:rPr>
          <w:rFonts w:asciiTheme="majorHAnsi" w:hAnsiTheme="majorHAnsi"/>
          <w:bCs/>
          <w:sz w:val="16"/>
          <w:szCs w:val="16"/>
        </w:rPr>
        <w:t xml:space="preserve"> 42. </w:t>
      </w:r>
      <w:proofErr w:type="spellStart"/>
      <w:r w:rsidRPr="007F3D68">
        <w:rPr>
          <w:rFonts w:asciiTheme="majorHAnsi" w:hAnsiTheme="majorHAnsi"/>
          <w:bCs/>
          <w:sz w:val="16"/>
          <w:szCs w:val="16"/>
        </w:rPr>
        <w:t>Citando</w:t>
      </w:r>
      <w:proofErr w:type="spellEnd"/>
      <w:r w:rsidRPr="007F3D68">
        <w:rPr>
          <w:rFonts w:asciiTheme="majorHAnsi" w:hAnsiTheme="majorHAnsi"/>
          <w:bCs/>
          <w:sz w:val="16"/>
          <w:szCs w:val="16"/>
        </w:rPr>
        <w:t xml:space="preserve">. </w:t>
      </w:r>
      <w:r w:rsidRPr="007F3D68">
        <w:rPr>
          <w:rFonts w:asciiTheme="majorHAnsi" w:hAnsiTheme="majorHAnsi" w:cs="TimesNewRoman"/>
          <w:sz w:val="16"/>
          <w:szCs w:val="16"/>
        </w:rPr>
        <w:t xml:space="preserve">Patrick Hudson, “Does the Death Row Phenomenon Violate a Prisoner’s Rights Under International Law”, </w:t>
      </w:r>
      <w:r w:rsidRPr="007F3D68">
        <w:rPr>
          <w:rFonts w:asciiTheme="majorHAnsi" w:hAnsiTheme="majorHAnsi" w:cs="TimesNewRoman,Italic"/>
          <w:iCs/>
          <w:sz w:val="16"/>
          <w:szCs w:val="16"/>
        </w:rPr>
        <w:t>European Journal of International Law</w:t>
      </w:r>
      <w:r w:rsidRPr="007F3D68">
        <w:rPr>
          <w:rFonts w:asciiTheme="majorHAnsi" w:hAnsiTheme="majorHAnsi" w:cs="TimesNewRoman"/>
          <w:sz w:val="16"/>
          <w:szCs w:val="16"/>
        </w:rPr>
        <w:t xml:space="preserve">, vol. 11, </w:t>
      </w:r>
      <w:proofErr w:type="spellStart"/>
      <w:r w:rsidRPr="007F3D68">
        <w:rPr>
          <w:rFonts w:asciiTheme="majorHAnsi" w:hAnsiTheme="majorHAnsi" w:cs="TimesNewRoman"/>
          <w:sz w:val="16"/>
          <w:szCs w:val="16"/>
        </w:rPr>
        <w:t>núm</w:t>
      </w:r>
      <w:proofErr w:type="spellEnd"/>
      <w:r w:rsidRPr="007F3D68">
        <w:rPr>
          <w:rFonts w:asciiTheme="majorHAnsi" w:hAnsiTheme="majorHAnsi" w:cs="TimesNewRoman"/>
          <w:sz w:val="16"/>
          <w:szCs w:val="16"/>
        </w:rPr>
        <w:t xml:space="preserve">. </w:t>
      </w:r>
      <w:proofErr w:type="gramStart"/>
      <w:r w:rsidRPr="007F3D68">
        <w:rPr>
          <w:rFonts w:asciiTheme="majorHAnsi" w:hAnsiTheme="majorHAnsi" w:cs="TimesNewRoman"/>
          <w:sz w:val="16"/>
          <w:szCs w:val="16"/>
        </w:rPr>
        <w:t xml:space="preserve">No. 4, </w:t>
      </w:r>
      <w:proofErr w:type="spellStart"/>
      <w:r w:rsidRPr="007F3D68">
        <w:rPr>
          <w:rFonts w:asciiTheme="majorHAnsi" w:hAnsiTheme="majorHAnsi" w:cs="TimesNewRoman"/>
          <w:sz w:val="16"/>
          <w:szCs w:val="16"/>
        </w:rPr>
        <w:t>págs</w:t>
      </w:r>
      <w:proofErr w:type="spellEnd"/>
      <w:r w:rsidRPr="007F3D68">
        <w:rPr>
          <w:rFonts w:asciiTheme="majorHAnsi" w:hAnsiTheme="majorHAnsi" w:cs="TimesNewRoman"/>
          <w:sz w:val="16"/>
          <w:szCs w:val="16"/>
        </w:rPr>
        <w:t>.</w:t>
      </w:r>
      <w:proofErr w:type="gramEnd"/>
      <w:r w:rsidRPr="007F3D68">
        <w:rPr>
          <w:rFonts w:asciiTheme="majorHAnsi" w:hAnsiTheme="majorHAnsi" w:cs="TimesNewRoman"/>
          <w:sz w:val="16"/>
          <w:szCs w:val="16"/>
        </w:rPr>
        <w:t xml:space="preserve"> 834 </w:t>
      </w:r>
      <w:proofErr w:type="gramStart"/>
      <w:r w:rsidRPr="007F3D68">
        <w:rPr>
          <w:rFonts w:asciiTheme="majorHAnsi" w:hAnsiTheme="majorHAnsi" w:cs="TimesNewRoman"/>
          <w:sz w:val="16"/>
          <w:szCs w:val="16"/>
        </w:rPr>
        <w:t>a</w:t>
      </w:r>
      <w:proofErr w:type="gramEnd"/>
      <w:r w:rsidRPr="007F3D68">
        <w:rPr>
          <w:rFonts w:asciiTheme="majorHAnsi" w:hAnsiTheme="majorHAnsi" w:cs="TimesNewRoman"/>
          <w:sz w:val="16"/>
          <w:szCs w:val="16"/>
        </w:rPr>
        <w:t xml:space="preserve"> 837.</w:t>
      </w:r>
    </w:p>
  </w:footnote>
  <w:footnote w:id="88">
    <w:p w:rsidR="00F40EB1" w:rsidRPr="007F3D68" w:rsidRDefault="00F40EB1" w:rsidP="005818A2">
      <w:pPr>
        <w:autoSpaceDE w:val="0"/>
        <w:autoSpaceDN w:val="0"/>
        <w:adjustRightInd w:val="0"/>
        <w:spacing w:after="120"/>
        <w:ind w:firstLine="720"/>
        <w:jc w:val="both"/>
        <w:rPr>
          <w:rFonts w:asciiTheme="majorHAnsi" w:hAnsiTheme="majorHAnsi"/>
          <w:sz w:val="16"/>
          <w:szCs w:val="16"/>
        </w:rPr>
      </w:pPr>
      <w:r w:rsidRPr="007F3D68">
        <w:rPr>
          <w:rStyle w:val="FootnoteReference"/>
          <w:rFonts w:asciiTheme="majorHAnsi" w:hAnsiTheme="majorHAnsi"/>
          <w:sz w:val="16"/>
          <w:szCs w:val="16"/>
        </w:rPr>
        <w:footnoteRef/>
      </w:r>
      <w:r w:rsidRPr="007F3D68">
        <w:rPr>
          <w:rFonts w:asciiTheme="majorHAnsi" w:hAnsiTheme="majorHAnsi"/>
          <w:sz w:val="16"/>
          <w:szCs w:val="16"/>
        </w:rPr>
        <w:t xml:space="preserve"> </w:t>
      </w:r>
      <w:proofErr w:type="spellStart"/>
      <w:r w:rsidRPr="007F3D68">
        <w:rPr>
          <w:rFonts w:asciiTheme="majorHAnsi" w:hAnsiTheme="majorHAnsi"/>
          <w:sz w:val="16"/>
          <w:szCs w:val="16"/>
        </w:rPr>
        <w:t>Naciones</w:t>
      </w:r>
      <w:proofErr w:type="spellEnd"/>
      <w:r w:rsidRPr="007F3D68">
        <w:rPr>
          <w:rFonts w:asciiTheme="majorHAnsi" w:hAnsiTheme="majorHAnsi"/>
          <w:sz w:val="16"/>
          <w:szCs w:val="16"/>
        </w:rPr>
        <w:t xml:space="preserve"> </w:t>
      </w:r>
      <w:proofErr w:type="spellStart"/>
      <w:r w:rsidRPr="007F3D68">
        <w:rPr>
          <w:rFonts w:asciiTheme="majorHAnsi" w:hAnsiTheme="majorHAnsi"/>
          <w:sz w:val="16"/>
          <w:szCs w:val="16"/>
        </w:rPr>
        <w:t>Unidas</w:t>
      </w:r>
      <w:proofErr w:type="spellEnd"/>
      <w:r w:rsidRPr="007F3D68">
        <w:rPr>
          <w:rFonts w:asciiTheme="majorHAnsi" w:hAnsiTheme="majorHAnsi"/>
          <w:sz w:val="16"/>
          <w:szCs w:val="16"/>
        </w:rPr>
        <w:t xml:space="preserve">. </w:t>
      </w:r>
      <w:proofErr w:type="spellStart"/>
      <w:r w:rsidRPr="007F3D68">
        <w:rPr>
          <w:rFonts w:asciiTheme="majorHAnsi" w:hAnsiTheme="majorHAnsi"/>
          <w:sz w:val="16"/>
          <w:szCs w:val="16"/>
        </w:rPr>
        <w:t>Informe</w:t>
      </w:r>
      <w:proofErr w:type="spellEnd"/>
      <w:r w:rsidRPr="007F3D68">
        <w:rPr>
          <w:rFonts w:asciiTheme="majorHAnsi" w:hAnsiTheme="majorHAnsi"/>
          <w:sz w:val="16"/>
          <w:szCs w:val="16"/>
        </w:rPr>
        <w:t xml:space="preserve"> </w:t>
      </w:r>
      <w:proofErr w:type="gramStart"/>
      <w:r w:rsidRPr="007F3D68">
        <w:rPr>
          <w:rFonts w:asciiTheme="majorHAnsi" w:hAnsiTheme="majorHAnsi"/>
          <w:sz w:val="16"/>
          <w:szCs w:val="16"/>
        </w:rPr>
        <w:t>del</w:t>
      </w:r>
      <w:proofErr w:type="gramEnd"/>
      <w:r w:rsidRPr="007F3D68">
        <w:rPr>
          <w:rFonts w:asciiTheme="majorHAnsi" w:hAnsiTheme="majorHAnsi"/>
          <w:sz w:val="16"/>
          <w:szCs w:val="16"/>
        </w:rPr>
        <w:t xml:space="preserve"> Relator Especial </w:t>
      </w:r>
      <w:proofErr w:type="spellStart"/>
      <w:r w:rsidRPr="007F3D68">
        <w:rPr>
          <w:rFonts w:asciiTheme="majorHAnsi" w:hAnsiTheme="majorHAnsi"/>
          <w:sz w:val="16"/>
          <w:szCs w:val="16"/>
        </w:rPr>
        <w:t>sobre</w:t>
      </w:r>
      <w:proofErr w:type="spellEnd"/>
      <w:r w:rsidRPr="007F3D68">
        <w:rPr>
          <w:rFonts w:asciiTheme="majorHAnsi" w:hAnsiTheme="majorHAnsi"/>
          <w:sz w:val="16"/>
          <w:szCs w:val="16"/>
        </w:rPr>
        <w:t xml:space="preserve"> la </w:t>
      </w:r>
      <w:proofErr w:type="spellStart"/>
      <w:r w:rsidRPr="007F3D68">
        <w:rPr>
          <w:rFonts w:asciiTheme="majorHAnsi" w:hAnsiTheme="majorHAnsi"/>
          <w:sz w:val="16"/>
          <w:szCs w:val="16"/>
        </w:rPr>
        <w:t>tortura</w:t>
      </w:r>
      <w:proofErr w:type="spellEnd"/>
      <w:r w:rsidRPr="007F3D68">
        <w:rPr>
          <w:rFonts w:asciiTheme="majorHAnsi" w:hAnsiTheme="majorHAnsi"/>
          <w:sz w:val="16"/>
          <w:szCs w:val="16"/>
        </w:rPr>
        <w:t xml:space="preserve"> y </w:t>
      </w:r>
      <w:proofErr w:type="spellStart"/>
      <w:r w:rsidRPr="007F3D68">
        <w:rPr>
          <w:rFonts w:asciiTheme="majorHAnsi" w:hAnsiTheme="majorHAnsi"/>
          <w:sz w:val="16"/>
          <w:szCs w:val="16"/>
        </w:rPr>
        <w:t>otros</w:t>
      </w:r>
      <w:proofErr w:type="spellEnd"/>
      <w:r w:rsidRPr="007F3D68">
        <w:rPr>
          <w:rFonts w:asciiTheme="majorHAnsi" w:hAnsiTheme="majorHAnsi"/>
          <w:sz w:val="16"/>
          <w:szCs w:val="16"/>
        </w:rPr>
        <w:t xml:space="preserve"> </w:t>
      </w:r>
      <w:proofErr w:type="spellStart"/>
      <w:r w:rsidRPr="007F3D68">
        <w:rPr>
          <w:rFonts w:asciiTheme="majorHAnsi" w:hAnsiTheme="majorHAnsi"/>
          <w:sz w:val="16"/>
          <w:szCs w:val="16"/>
        </w:rPr>
        <w:t>tratos</w:t>
      </w:r>
      <w:proofErr w:type="spellEnd"/>
      <w:r w:rsidRPr="007F3D68">
        <w:rPr>
          <w:rFonts w:asciiTheme="majorHAnsi" w:hAnsiTheme="majorHAnsi"/>
          <w:sz w:val="16"/>
          <w:szCs w:val="16"/>
        </w:rPr>
        <w:t xml:space="preserve"> o </w:t>
      </w:r>
      <w:proofErr w:type="spellStart"/>
      <w:r w:rsidRPr="007F3D68">
        <w:rPr>
          <w:rFonts w:asciiTheme="majorHAnsi" w:hAnsiTheme="majorHAnsi"/>
          <w:sz w:val="16"/>
          <w:szCs w:val="16"/>
        </w:rPr>
        <w:t>penas</w:t>
      </w:r>
      <w:proofErr w:type="spellEnd"/>
      <w:r w:rsidRPr="007F3D68">
        <w:rPr>
          <w:rFonts w:asciiTheme="majorHAnsi" w:hAnsiTheme="majorHAnsi"/>
          <w:sz w:val="16"/>
          <w:szCs w:val="16"/>
        </w:rPr>
        <w:t xml:space="preserve"> </w:t>
      </w:r>
      <w:proofErr w:type="spellStart"/>
      <w:r w:rsidRPr="007F3D68">
        <w:rPr>
          <w:rFonts w:asciiTheme="majorHAnsi" w:hAnsiTheme="majorHAnsi"/>
          <w:sz w:val="16"/>
          <w:szCs w:val="16"/>
        </w:rPr>
        <w:t>crueles</w:t>
      </w:r>
      <w:proofErr w:type="spellEnd"/>
      <w:r w:rsidRPr="007F3D68">
        <w:rPr>
          <w:rFonts w:asciiTheme="majorHAnsi" w:hAnsiTheme="majorHAnsi"/>
          <w:sz w:val="16"/>
          <w:szCs w:val="16"/>
        </w:rPr>
        <w:t xml:space="preserve">, </w:t>
      </w:r>
      <w:proofErr w:type="spellStart"/>
      <w:r w:rsidRPr="007F3D68">
        <w:rPr>
          <w:rFonts w:asciiTheme="majorHAnsi" w:hAnsiTheme="majorHAnsi"/>
          <w:sz w:val="16"/>
          <w:szCs w:val="16"/>
        </w:rPr>
        <w:t>inhumanos</w:t>
      </w:r>
      <w:proofErr w:type="spellEnd"/>
      <w:r w:rsidRPr="007F3D68">
        <w:rPr>
          <w:rFonts w:asciiTheme="majorHAnsi" w:hAnsiTheme="majorHAnsi"/>
          <w:sz w:val="16"/>
          <w:szCs w:val="16"/>
        </w:rPr>
        <w:t xml:space="preserve"> o </w:t>
      </w:r>
      <w:proofErr w:type="spellStart"/>
      <w:r w:rsidRPr="007F3D68">
        <w:rPr>
          <w:rFonts w:asciiTheme="majorHAnsi" w:hAnsiTheme="majorHAnsi"/>
          <w:sz w:val="16"/>
          <w:szCs w:val="16"/>
        </w:rPr>
        <w:t>degradantes</w:t>
      </w:r>
      <w:proofErr w:type="spellEnd"/>
      <w:r w:rsidRPr="007F3D68">
        <w:rPr>
          <w:rFonts w:asciiTheme="majorHAnsi" w:hAnsiTheme="majorHAnsi"/>
          <w:sz w:val="16"/>
          <w:szCs w:val="16"/>
        </w:rPr>
        <w:t xml:space="preserve">. </w:t>
      </w:r>
      <w:proofErr w:type="gramStart"/>
      <w:r w:rsidRPr="007F3D68">
        <w:rPr>
          <w:rFonts w:asciiTheme="majorHAnsi" w:hAnsiTheme="majorHAnsi"/>
          <w:sz w:val="16"/>
          <w:szCs w:val="16"/>
        </w:rPr>
        <w:t xml:space="preserve">9 de </w:t>
      </w:r>
      <w:proofErr w:type="spellStart"/>
      <w:r w:rsidRPr="007F3D68">
        <w:rPr>
          <w:rFonts w:asciiTheme="majorHAnsi" w:hAnsiTheme="majorHAnsi"/>
          <w:sz w:val="16"/>
          <w:szCs w:val="16"/>
        </w:rPr>
        <w:t>agosto</w:t>
      </w:r>
      <w:proofErr w:type="spellEnd"/>
      <w:r w:rsidRPr="007F3D68">
        <w:rPr>
          <w:rFonts w:asciiTheme="majorHAnsi" w:hAnsiTheme="majorHAnsi"/>
          <w:sz w:val="16"/>
          <w:szCs w:val="16"/>
        </w:rPr>
        <w:t xml:space="preserve"> de 2012.</w:t>
      </w:r>
      <w:proofErr w:type="gramEnd"/>
      <w:r w:rsidRPr="007F3D68">
        <w:rPr>
          <w:rFonts w:asciiTheme="majorHAnsi" w:hAnsiTheme="majorHAnsi"/>
          <w:sz w:val="16"/>
          <w:szCs w:val="16"/>
        </w:rPr>
        <w:t xml:space="preserve"> </w:t>
      </w:r>
      <w:proofErr w:type="gramStart"/>
      <w:r w:rsidRPr="007F3D68">
        <w:rPr>
          <w:rFonts w:asciiTheme="majorHAnsi" w:hAnsiTheme="majorHAnsi"/>
          <w:bCs/>
          <w:sz w:val="16"/>
          <w:szCs w:val="16"/>
        </w:rPr>
        <w:t xml:space="preserve">A/67/279, </w:t>
      </w:r>
      <w:proofErr w:type="spellStart"/>
      <w:r w:rsidRPr="007F3D68">
        <w:rPr>
          <w:rFonts w:asciiTheme="majorHAnsi" w:hAnsiTheme="majorHAnsi"/>
          <w:bCs/>
          <w:sz w:val="16"/>
          <w:szCs w:val="16"/>
        </w:rPr>
        <w:t>Párr</w:t>
      </w:r>
      <w:proofErr w:type="spellEnd"/>
      <w:r w:rsidRPr="007F3D68">
        <w:rPr>
          <w:rFonts w:asciiTheme="majorHAnsi" w:hAnsiTheme="majorHAnsi"/>
          <w:bCs/>
          <w:sz w:val="16"/>
          <w:szCs w:val="16"/>
        </w:rPr>
        <w:t>.</w:t>
      </w:r>
      <w:proofErr w:type="gramEnd"/>
      <w:r w:rsidRPr="007F3D68">
        <w:rPr>
          <w:rFonts w:asciiTheme="majorHAnsi" w:hAnsiTheme="majorHAnsi"/>
          <w:bCs/>
          <w:sz w:val="16"/>
          <w:szCs w:val="16"/>
        </w:rPr>
        <w:t xml:space="preserve"> 42. </w:t>
      </w:r>
    </w:p>
  </w:footnote>
  <w:footnote w:id="89">
    <w:p w:rsidR="00F40EB1" w:rsidRPr="007F3D68" w:rsidRDefault="00F40EB1" w:rsidP="005818A2">
      <w:pPr>
        <w:pStyle w:val="FootnoteText"/>
        <w:tabs>
          <w:tab w:val="right" w:pos="540"/>
        </w:tabs>
        <w:spacing w:after="120"/>
        <w:ind w:left="720"/>
        <w:jc w:val="both"/>
        <w:rPr>
          <w:rFonts w:asciiTheme="majorHAnsi" w:hAnsiTheme="majorHAnsi"/>
          <w:sz w:val="16"/>
          <w:szCs w:val="16"/>
        </w:rPr>
      </w:pPr>
      <w:r w:rsidRPr="007F3D68">
        <w:rPr>
          <w:rStyle w:val="FootnoteReference"/>
          <w:rFonts w:asciiTheme="majorHAnsi" w:hAnsiTheme="majorHAnsi"/>
          <w:sz w:val="16"/>
          <w:szCs w:val="16"/>
        </w:rPr>
        <w:footnoteRef/>
      </w:r>
      <w:r w:rsidRPr="007F3D68">
        <w:rPr>
          <w:rFonts w:asciiTheme="majorHAnsi" w:hAnsiTheme="majorHAnsi"/>
          <w:sz w:val="16"/>
          <w:szCs w:val="16"/>
        </w:rPr>
        <w:t xml:space="preserve"> </w:t>
      </w:r>
      <w:proofErr w:type="gramStart"/>
      <w:r w:rsidRPr="007F3D68">
        <w:rPr>
          <w:rFonts w:asciiTheme="majorHAnsi" w:hAnsiTheme="majorHAnsi"/>
          <w:bCs/>
          <w:sz w:val="16"/>
          <w:szCs w:val="16"/>
        </w:rPr>
        <w:t>ECtHR.</w:t>
      </w:r>
      <w:proofErr w:type="gramEnd"/>
      <w:r w:rsidRPr="007F3D68">
        <w:rPr>
          <w:rFonts w:asciiTheme="majorHAnsi" w:hAnsiTheme="majorHAnsi"/>
          <w:bCs/>
          <w:sz w:val="16"/>
          <w:szCs w:val="16"/>
        </w:rPr>
        <w:t xml:space="preserve"> </w:t>
      </w:r>
      <w:proofErr w:type="gramStart"/>
      <w:r w:rsidRPr="007F3D68">
        <w:rPr>
          <w:rFonts w:asciiTheme="majorHAnsi" w:hAnsiTheme="majorHAnsi"/>
          <w:bCs/>
          <w:sz w:val="16"/>
          <w:szCs w:val="16"/>
        </w:rPr>
        <w:t xml:space="preserve">Case of </w:t>
      </w:r>
      <w:proofErr w:type="spellStart"/>
      <w:r w:rsidRPr="007F3D68">
        <w:rPr>
          <w:rFonts w:asciiTheme="majorHAnsi" w:hAnsiTheme="majorHAnsi"/>
          <w:bCs/>
          <w:sz w:val="16"/>
          <w:szCs w:val="16"/>
        </w:rPr>
        <w:t>Soering</w:t>
      </w:r>
      <w:proofErr w:type="spellEnd"/>
      <w:r w:rsidRPr="007F3D68">
        <w:rPr>
          <w:rFonts w:asciiTheme="majorHAnsi" w:hAnsiTheme="majorHAnsi"/>
          <w:bCs/>
          <w:sz w:val="16"/>
          <w:szCs w:val="16"/>
        </w:rPr>
        <w:t xml:space="preserve"> v.</w:t>
      </w:r>
      <w:proofErr w:type="gramEnd"/>
      <w:r w:rsidRPr="007F3D68">
        <w:rPr>
          <w:rFonts w:asciiTheme="majorHAnsi" w:hAnsiTheme="majorHAnsi"/>
          <w:bCs/>
          <w:sz w:val="16"/>
          <w:szCs w:val="16"/>
        </w:rPr>
        <w:t xml:space="preserve"> </w:t>
      </w:r>
      <w:proofErr w:type="gramStart"/>
      <w:r w:rsidRPr="007F3D68">
        <w:rPr>
          <w:rFonts w:asciiTheme="majorHAnsi" w:hAnsiTheme="majorHAnsi"/>
          <w:bCs/>
          <w:sz w:val="16"/>
          <w:szCs w:val="16"/>
        </w:rPr>
        <w:t>The United Kingdom.</w:t>
      </w:r>
      <w:proofErr w:type="gramEnd"/>
      <w:r w:rsidRPr="007F3D68">
        <w:rPr>
          <w:rFonts w:asciiTheme="majorHAnsi" w:hAnsiTheme="majorHAnsi"/>
          <w:bCs/>
          <w:sz w:val="16"/>
          <w:szCs w:val="16"/>
        </w:rPr>
        <w:t xml:space="preserve"> </w:t>
      </w:r>
      <w:proofErr w:type="gramStart"/>
      <w:r w:rsidRPr="007F3D68">
        <w:rPr>
          <w:rFonts w:asciiTheme="majorHAnsi" w:hAnsiTheme="majorHAnsi"/>
          <w:bCs/>
          <w:sz w:val="16"/>
          <w:szCs w:val="16"/>
        </w:rPr>
        <w:t>Application No. 14038/88.</w:t>
      </w:r>
      <w:proofErr w:type="gramEnd"/>
      <w:r w:rsidRPr="007F3D68">
        <w:rPr>
          <w:rFonts w:asciiTheme="majorHAnsi" w:hAnsiTheme="majorHAnsi"/>
          <w:bCs/>
          <w:sz w:val="16"/>
          <w:szCs w:val="16"/>
        </w:rPr>
        <w:t xml:space="preserve"> Judgment, 07 July 1989. </w:t>
      </w:r>
      <w:proofErr w:type="gramStart"/>
      <w:r w:rsidRPr="007F3D68">
        <w:rPr>
          <w:rFonts w:asciiTheme="majorHAnsi" w:hAnsiTheme="majorHAnsi"/>
          <w:bCs/>
          <w:sz w:val="16"/>
          <w:szCs w:val="16"/>
        </w:rPr>
        <w:t>Para.</w:t>
      </w:r>
      <w:proofErr w:type="gramEnd"/>
      <w:r w:rsidRPr="007F3D68">
        <w:rPr>
          <w:rFonts w:asciiTheme="majorHAnsi" w:hAnsiTheme="majorHAnsi"/>
          <w:bCs/>
          <w:sz w:val="16"/>
          <w:szCs w:val="16"/>
        </w:rPr>
        <w:t xml:space="preserve"> 104.</w:t>
      </w:r>
    </w:p>
  </w:footnote>
  <w:footnote w:id="90">
    <w:p w:rsidR="00F40EB1" w:rsidRPr="007F3D68" w:rsidRDefault="00F40EB1" w:rsidP="005818A2">
      <w:pPr>
        <w:pStyle w:val="FootnoteText"/>
        <w:tabs>
          <w:tab w:val="right" w:pos="540"/>
          <w:tab w:val="left" w:pos="720"/>
          <w:tab w:val="left" w:pos="900"/>
        </w:tabs>
        <w:spacing w:after="120"/>
        <w:ind w:left="720"/>
        <w:jc w:val="both"/>
        <w:rPr>
          <w:rFonts w:asciiTheme="majorHAnsi" w:hAnsiTheme="majorHAnsi"/>
          <w:sz w:val="16"/>
          <w:szCs w:val="16"/>
        </w:rPr>
      </w:pPr>
      <w:r w:rsidRPr="007F3D68">
        <w:rPr>
          <w:rStyle w:val="FootnoteReference"/>
          <w:rFonts w:asciiTheme="majorHAnsi" w:hAnsiTheme="majorHAnsi"/>
          <w:sz w:val="16"/>
          <w:szCs w:val="16"/>
        </w:rPr>
        <w:footnoteRef/>
      </w:r>
      <w:r w:rsidRPr="007F3D68">
        <w:rPr>
          <w:rFonts w:asciiTheme="majorHAnsi" w:hAnsiTheme="majorHAnsi"/>
          <w:sz w:val="16"/>
          <w:szCs w:val="16"/>
        </w:rPr>
        <w:t xml:space="preserve"> </w:t>
      </w:r>
      <w:proofErr w:type="gramStart"/>
      <w:r w:rsidRPr="007F3D68">
        <w:rPr>
          <w:rFonts w:asciiTheme="majorHAnsi" w:hAnsiTheme="majorHAnsi"/>
          <w:bCs/>
          <w:sz w:val="16"/>
          <w:szCs w:val="16"/>
        </w:rPr>
        <w:t>ECtHR.</w:t>
      </w:r>
      <w:proofErr w:type="gramEnd"/>
      <w:r w:rsidRPr="007F3D68">
        <w:rPr>
          <w:rFonts w:asciiTheme="majorHAnsi" w:hAnsiTheme="majorHAnsi"/>
          <w:bCs/>
          <w:sz w:val="16"/>
          <w:szCs w:val="16"/>
        </w:rPr>
        <w:t xml:space="preserve"> </w:t>
      </w:r>
      <w:proofErr w:type="gramStart"/>
      <w:r w:rsidRPr="007F3D68">
        <w:rPr>
          <w:rFonts w:asciiTheme="majorHAnsi" w:hAnsiTheme="majorHAnsi"/>
          <w:bCs/>
          <w:sz w:val="16"/>
          <w:szCs w:val="16"/>
        </w:rPr>
        <w:t xml:space="preserve">Case of </w:t>
      </w:r>
      <w:proofErr w:type="spellStart"/>
      <w:r w:rsidRPr="007F3D68">
        <w:rPr>
          <w:rFonts w:asciiTheme="majorHAnsi" w:hAnsiTheme="majorHAnsi"/>
          <w:bCs/>
          <w:sz w:val="16"/>
          <w:szCs w:val="16"/>
        </w:rPr>
        <w:t>Soering</w:t>
      </w:r>
      <w:proofErr w:type="spellEnd"/>
      <w:r w:rsidRPr="007F3D68">
        <w:rPr>
          <w:rFonts w:asciiTheme="majorHAnsi" w:hAnsiTheme="majorHAnsi"/>
          <w:bCs/>
          <w:sz w:val="16"/>
          <w:szCs w:val="16"/>
        </w:rPr>
        <w:t xml:space="preserve"> v.</w:t>
      </w:r>
      <w:proofErr w:type="gramEnd"/>
      <w:r w:rsidRPr="007F3D68">
        <w:rPr>
          <w:rFonts w:asciiTheme="majorHAnsi" w:hAnsiTheme="majorHAnsi"/>
          <w:bCs/>
          <w:sz w:val="16"/>
          <w:szCs w:val="16"/>
        </w:rPr>
        <w:t xml:space="preserve"> </w:t>
      </w:r>
      <w:proofErr w:type="gramStart"/>
      <w:r w:rsidRPr="007F3D68">
        <w:rPr>
          <w:rFonts w:asciiTheme="majorHAnsi" w:hAnsiTheme="majorHAnsi"/>
          <w:bCs/>
          <w:sz w:val="16"/>
          <w:szCs w:val="16"/>
        </w:rPr>
        <w:t>The United Kingdom.</w:t>
      </w:r>
      <w:proofErr w:type="gramEnd"/>
      <w:r w:rsidRPr="007F3D68">
        <w:rPr>
          <w:rFonts w:asciiTheme="majorHAnsi" w:hAnsiTheme="majorHAnsi"/>
          <w:bCs/>
          <w:sz w:val="16"/>
          <w:szCs w:val="16"/>
        </w:rPr>
        <w:t xml:space="preserve"> </w:t>
      </w:r>
      <w:proofErr w:type="gramStart"/>
      <w:r w:rsidRPr="007F3D68">
        <w:rPr>
          <w:rFonts w:asciiTheme="majorHAnsi" w:hAnsiTheme="majorHAnsi"/>
          <w:bCs/>
          <w:sz w:val="16"/>
          <w:szCs w:val="16"/>
        </w:rPr>
        <w:t>Application No. 14038/88.</w:t>
      </w:r>
      <w:proofErr w:type="gramEnd"/>
      <w:r w:rsidRPr="007F3D68">
        <w:rPr>
          <w:rFonts w:asciiTheme="majorHAnsi" w:hAnsiTheme="majorHAnsi"/>
          <w:bCs/>
          <w:sz w:val="16"/>
          <w:szCs w:val="16"/>
        </w:rPr>
        <w:t xml:space="preserve"> Judgment, 07 July 1989. </w:t>
      </w:r>
      <w:proofErr w:type="gramStart"/>
      <w:r w:rsidRPr="007F3D68">
        <w:rPr>
          <w:rFonts w:asciiTheme="majorHAnsi" w:hAnsiTheme="majorHAnsi"/>
          <w:bCs/>
          <w:sz w:val="16"/>
          <w:szCs w:val="16"/>
        </w:rPr>
        <w:t>Para.</w:t>
      </w:r>
      <w:proofErr w:type="gramEnd"/>
      <w:r w:rsidRPr="007F3D68">
        <w:rPr>
          <w:rFonts w:asciiTheme="majorHAnsi" w:hAnsiTheme="majorHAnsi"/>
          <w:bCs/>
          <w:sz w:val="16"/>
          <w:szCs w:val="16"/>
        </w:rPr>
        <w:t xml:space="preserve"> 106.</w:t>
      </w:r>
    </w:p>
  </w:footnote>
  <w:footnote w:id="91">
    <w:p w:rsidR="00F40EB1" w:rsidRPr="007F3D68" w:rsidRDefault="00F40EB1" w:rsidP="005818A2">
      <w:pPr>
        <w:pStyle w:val="FootnoteText"/>
        <w:spacing w:after="120"/>
        <w:ind w:firstLine="720"/>
        <w:jc w:val="both"/>
        <w:rPr>
          <w:rFonts w:asciiTheme="majorHAnsi" w:hAnsiTheme="majorHAnsi"/>
          <w:sz w:val="16"/>
          <w:szCs w:val="16"/>
        </w:rPr>
      </w:pPr>
      <w:r w:rsidRPr="007F3D68">
        <w:rPr>
          <w:rStyle w:val="FootnoteReference"/>
          <w:rFonts w:asciiTheme="majorHAnsi" w:hAnsiTheme="majorHAnsi"/>
          <w:sz w:val="16"/>
          <w:szCs w:val="16"/>
        </w:rPr>
        <w:footnoteRef/>
      </w:r>
      <w:r w:rsidRPr="007F3D68">
        <w:rPr>
          <w:rFonts w:asciiTheme="majorHAnsi" w:hAnsiTheme="majorHAnsi"/>
          <w:sz w:val="16"/>
          <w:szCs w:val="16"/>
        </w:rPr>
        <w:t xml:space="preserve"> </w:t>
      </w:r>
      <w:proofErr w:type="spellStart"/>
      <w:proofErr w:type="gramStart"/>
      <w:r w:rsidRPr="007F3D68">
        <w:rPr>
          <w:rFonts w:asciiTheme="majorHAnsi" w:hAnsiTheme="majorHAnsi"/>
          <w:sz w:val="16"/>
          <w:szCs w:val="16"/>
        </w:rPr>
        <w:t>ECthr</w:t>
      </w:r>
      <w:proofErr w:type="spellEnd"/>
      <w:r w:rsidRPr="007F3D68">
        <w:rPr>
          <w:rFonts w:asciiTheme="majorHAnsi" w:hAnsiTheme="majorHAnsi"/>
          <w:sz w:val="16"/>
          <w:szCs w:val="16"/>
        </w:rPr>
        <w:t>.</w:t>
      </w:r>
      <w:proofErr w:type="gramEnd"/>
      <w:r w:rsidRPr="007F3D68">
        <w:rPr>
          <w:rFonts w:asciiTheme="majorHAnsi" w:hAnsiTheme="majorHAnsi"/>
          <w:sz w:val="16"/>
          <w:szCs w:val="16"/>
        </w:rPr>
        <w:t xml:space="preserve"> </w:t>
      </w:r>
      <w:proofErr w:type="gramStart"/>
      <w:r w:rsidRPr="007F3D68">
        <w:rPr>
          <w:rFonts w:asciiTheme="majorHAnsi" w:hAnsiTheme="majorHAnsi"/>
          <w:sz w:val="16"/>
          <w:szCs w:val="16"/>
        </w:rPr>
        <w:t>Case of Al-</w:t>
      </w:r>
      <w:proofErr w:type="spellStart"/>
      <w:r w:rsidRPr="007F3D68">
        <w:rPr>
          <w:rFonts w:asciiTheme="majorHAnsi" w:hAnsiTheme="majorHAnsi"/>
          <w:sz w:val="16"/>
          <w:szCs w:val="16"/>
        </w:rPr>
        <w:t>Saadon</w:t>
      </w:r>
      <w:proofErr w:type="spellEnd"/>
      <w:r w:rsidRPr="007F3D68">
        <w:rPr>
          <w:rFonts w:asciiTheme="majorHAnsi" w:hAnsiTheme="majorHAnsi"/>
          <w:sz w:val="16"/>
          <w:szCs w:val="16"/>
        </w:rPr>
        <w:t xml:space="preserve"> and </w:t>
      </w:r>
      <w:proofErr w:type="spellStart"/>
      <w:r w:rsidRPr="007F3D68">
        <w:rPr>
          <w:rFonts w:asciiTheme="majorHAnsi" w:hAnsiTheme="majorHAnsi"/>
          <w:sz w:val="16"/>
          <w:szCs w:val="16"/>
        </w:rPr>
        <w:t>Mufdhi</w:t>
      </w:r>
      <w:proofErr w:type="spellEnd"/>
      <w:r w:rsidRPr="007F3D68">
        <w:rPr>
          <w:rFonts w:asciiTheme="majorHAnsi" w:hAnsiTheme="majorHAnsi"/>
          <w:sz w:val="16"/>
          <w:szCs w:val="16"/>
        </w:rPr>
        <w:t xml:space="preserve"> v.</w:t>
      </w:r>
      <w:proofErr w:type="gramEnd"/>
      <w:r w:rsidRPr="007F3D68">
        <w:rPr>
          <w:rFonts w:asciiTheme="majorHAnsi" w:hAnsiTheme="majorHAnsi"/>
          <w:sz w:val="16"/>
          <w:szCs w:val="16"/>
        </w:rPr>
        <w:t xml:space="preserve"> </w:t>
      </w:r>
      <w:proofErr w:type="gramStart"/>
      <w:r w:rsidRPr="007F3D68">
        <w:rPr>
          <w:rFonts w:asciiTheme="majorHAnsi" w:hAnsiTheme="majorHAnsi"/>
          <w:sz w:val="16"/>
          <w:szCs w:val="16"/>
        </w:rPr>
        <w:t>The United Kingdom.</w:t>
      </w:r>
      <w:proofErr w:type="gramEnd"/>
      <w:r w:rsidRPr="007F3D68">
        <w:rPr>
          <w:rFonts w:asciiTheme="majorHAnsi" w:hAnsiTheme="majorHAnsi"/>
          <w:sz w:val="16"/>
          <w:szCs w:val="16"/>
        </w:rPr>
        <w:t xml:space="preserve"> </w:t>
      </w:r>
      <w:proofErr w:type="gramStart"/>
      <w:r w:rsidRPr="007F3D68">
        <w:rPr>
          <w:rFonts w:asciiTheme="majorHAnsi" w:hAnsiTheme="majorHAnsi"/>
          <w:sz w:val="16"/>
          <w:szCs w:val="16"/>
        </w:rPr>
        <w:t>Application No. 61498/08.</w:t>
      </w:r>
      <w:proofErr w:type="gramEnd"/>
      <w:r w:rsidRPr="007F3D68">
        <w:rPr>
          <w:rFonts w:asciiTheme="majorHAnsi" w:hAnsiTheme="majorHAnsi"/>
          <w:sz w:val="16"/>
          <w:szCs w:val="16"/>
        </w:rPr>
        <w:t xml:space="preserve"> Judgment 2 march 2010 Para. 115. </w:t>
      </w:r>
      <w:r w:rsidRPr="007F3D68">
        <w:rPr>
          <w:rFonts w:asciiTheme="majorHAnsi" w:hAnsiTheme="majorHAnsi"/>
          <w:sz w:val="16"/>
          <w:szCs w:val="16"/>
          <w:lang w:val="es-VE"/>
        </w:rPr>
        <w:t xml:space="preserve">Ver también el caso </w:t>
      </w:r>
      <w:proofErr w:type="spellStart"/>
      <w:r w:rsidRPr="007F3D68">
        <w:rPr>
          <w:rFonts w:asciiTheme="majorHAnsi" w:hAnsiTheme="majorHAnsi"/>
          <w:sz w:val="16"/>
          <w:szCs w:val="16"/>
          <w:lang w:val="es-VE"/>
        </w:rPr>
        <w:t>Bader</w:t>
      </w:r>
      <w:proofErr w:type="spellEnd"/>
      <w:r w:rsidRPr="007F3D68">
        <w:rPr>
          <w:rFonts w:asciiTheme="majorHAnsi" w:hAnsiTheme="majorHAnsi"/>
          <w:sz w:val="16"/>
          <w:szCs w:val="16"/>
          <w:lang w:val="es-VE"/>
        </w:rPr>
        <w:t xml:space="preserve"> y </w:t>
      </w:r>
      <w:proofErr w:type="spellStart"/>
      <w:r w:rsidRPr="007F3D68">
        <w:rPr>
          <w:rFonts w:asciiTheme="majorHAnsi" w:hAnsiTheme="majorHAnsi"/>
          <w:sz w:val="16"/>
          <w:szCs w:val="16"/>
          <w:lang w:val="es-VE"/>
        </w:rPr>
        <w:t>Knabor</w:t>
      </w:r>
      <w:proofErr w:type="spellEnd"/>
      <w:r w:rsidRPr="007F3D68">
        <w:rPr>
          <w:rFonts w:asciiTheme="majorHAnsi" w:hAnsiTheme="majorHAnsi"/>
          <w:sz w:val="16"/>
          <w:szCs w:val="16"/>
          <w:lang w:val="es-VE"/>
        </w:rPr>
        <w:t xml:space="preserve"> vs. Suecia, en el que el Tribunal Europeo indicó que </w:t>
      </w:r>
      <w:r w:rsidRPr="007F3D68">
        <w:rPr>
          <w:rFonts w:asciiTheme="majorHAnsi" w:hAnsiTheme="majorHAnsi" w:cs="Arial"/>
          <w:color w:val="212121"/>
          <w:sz w:val="16"/>
          <w:szCs w:val="16"/>
          <w:shd w:val="clear" w:color="auto" w:fill="FFFFFF"/>
          <w:lang w:val="es-VE"/>
        </w:rPr>
        <w:t xml:space="preserve">imponer una sentencia de muerte a una persona después de un juicio injusto, en circunstancias en que exista una posibilidad real de que se ejecute la sentencia, genera un grado significativo de angustia y temor humano, contrario al artículo 3 de la Convención. </w:t>
      </w:r>
      <w:proofErr w:type="spellStart"/>
      <w:proofErr w:type="gramStart"/>
      <w:r w:rsidRPr="007F3D68">
        <w:rPr>
          <w:rFonts w:asciiTheme="majorHAnsi" w:hAnsiTheme="majorHAnsi" w:cs="Arial"/>
          <w:color w:val="212121"/>
          <w:sz w:val="16"/>
          <w:szCs w:val="16"/>
          <w:shd w:val="clear" w:color="auto" w:fill="FFFFFF"/>
        </w:rPr>
        <w:t>ECthr</w:t>
      </w:r>
      <w:proofErr w:type="spellEnd"/>
      <w:r w:rsidRPr="007F3D68">
        <w:rPr>
          <w:rFonts w:asciiTheme="majorHAnsi" w:hAnsiTheme="majorHAnsi" w:cs="Arial"/>
          <w:color w:val="212121"/>
          <w:sz w:val="16"/>
          <w:szCs w:val="16"/>
          <w:shd w:val="clear" w:color="auto" w:fill="FFFFFF"/>
        </w:rPr>
        <w:t>.</w:t>
      </w:r>
      <w:proofErr w:type="gramEnd"/>
      <w:r w:rsidRPr="007F3D68">
        <w:rPr>
          <w:rFonts w:asciiTheme="majorHAnsi" w:hAnsiTheme="majorHAnsi" w:cs="Arial"/>
          <w:color w:val="212121"/>
          <w:sz w:val="16"/>
          <w:szCs w:val="16"/>
          <w:shd w:val="clear" w:color="auto" w:fill="FFFFFF"/>
        </w:rPr>
        <w:t xml:space="preserve"> </w:t>
      </w:r>
      <w:proofErr w:type="gramStart"/>
      <w:r w:rsidRPr="007F3D68">
        <w:rPr>
          <w:rFonts w:asciiTheme="majorHAnsi" w:hAnsiTheme="majorHAnsi" w:cs="Arial"/>
          <w:color w:val="212121"/>
          <w:sz w:val="16"/>
          <w:szCs w:val="16"/>
          <w:shd w:val="clear" w:color="auto" w:fill="FFFFFF"/>
        </w:rPr>
        <w:t xml:space="preserve">Case of Bader and </w:t>
      </w:r>
      <w:proofErr w:type="spellStart"/>
      <w:r w:rsidRPr="007F3D68">
        <w:rPr>
          <w:rFonts w:asciiTheme="majorHAnsi" w:hAnsiTheme="majorHAnsi" w:cs="Arial"/>
          <w:color w:val="212121"/>
          <w:sz w:val="16"/>
          <w:szCs w:val="16"/>
          <w:shd w:val="clear" w:color="auto" w:fill="FFFFFF"/>
        </w:rPr>
        <w:t>Kanbor</w:t>
      </w:r>
      <w:proofErr w:type="spellEnd"/>
      <w:r w:rsidRPr="007F3D68">
        <w:rPr>
          <w:rFonts w:asciiTheme="majorHAnsi" w:hAnsiTheme="majorHAnsi" w:cs="Arial"/>
          <w:color w:val="212121"/>
          <w:sz w:val="16"/>
          <w:szCs w:val="16"/>
          <w:shd w:val="clear" w:color="auto" w:fill="FFFFFF"/>
        </w:rPr>
        <w:t xml:space="preserve"> v. Sweden.</w:t>
      </w:r>
      <w:proofErr w:type="gramEnd"/>
      <w:r w:rsidRPr="007F3D68">
        <w:rPr>
          <w:rFonts w:asciiTheme="majorHAnsi" w:hAnsiTheme="majorHAnsi" w:cs="Arial"/>
          <w:color w:val="212121"/>
          <w:sz w:val="16"/>
          <w:szCs w:val="16"/>
          <w:shd w:val="clear" w:color="auto" w:fill="FFFFFF"/>
        </w:rPr>
        <w:t xml:space="preserve"> </w:t>
      </w:r>
      <w:proofErr w:type="gramStart"/>
      <w:r w:rsidRPr="007F3D68">
        <w:rPr>
          <w:rFonts w:asciiTheme="majorHAnsi" w:hAnsiTheme="majorHAnsi" w:cs="Arial"/>
          <w:color w:val="212121"/>
          <w:sz w:val="16"/>
          <w:szCs w:val="16"/>
          <w:shd w:val="clear" w:color="auto" w:fill="FFFFFF"/>
        </w:rPr>
        <w:t>Application no.13284/04.</w:t>
      </w:r>
      <w:proofErr w:type="gramEnd"/>
      <w:r w:rsidRPr="007F3D68">
        <w:rPr>
          <w:rFonts w:asciiTheme="majorHAnsi" w:hAnsiTheme="majorHAnsi" w:cs="Arial"/>
          <w:color w:val="212121"/>
          <w:sz w:val="16"/>
          <w:szCs w:val="16"/>
          <w:shd w:val="clear" w:color="auto" w:fill="FFFFFF"/>
        </w:rPr>
        <w:t xml:space="preserve"> Judgment 8 </w:t>
      </w:r>
      <w:proofErr w:type="spellStart"/>
      <w:proofErr w:type="gramStart"/>
      <w:r w:rsidRPr="007F3D68">
        <w:rPr>
          <w:rFonts w:asciiTheme="majorHAnsi" w:hAnsiTheme="majorHAnsi" w:cs="Arial"/>
          <w:color w:val="212121"/>
          <w:sz w:val="16"/>
          <w:szCs w:val="16"/>
          <w:shd w:val="clear" w:color="auto" w:fill="FFFFFF"/>
        </w:rPr>
        <w:t>november</w:t>
      </w:r>
      <w:proofErr w:type="spellEnd"/>
      <w:proofErr w:type="gramEnd"/>
      <w:r w:rsidRPr="007F3D68">
        <w:rPr>
          <w:rFonts w:asciiTheme="majorHAnsi" w:hAnsiTheme="majorHAnsi" w:cs="Arial"/>
          <w:color w:val="212121"/>
          <w:sz w:val="16"/>
          <w:szCs w:val="16"/>
          <w:shd w:val="clear" w:color="auto" w:fill="FFFFFF"/>
        </w:rPr>
        <w:t xml:space="preserve"> 2005. </w:t>
      </w:r>
      <w:proofErr w:type="gramStart"/>
      <w:r w:rsidRPr="007F3D68">
        <w:rPr>
          <w:rFonts w:asciiTheme="majorHAnsi" w:hAnsiTheme="majorHAnsi" w:cs="Arial"/>
          <w:color w:val="212121"/>
          <w:sz w:val="16"/>
          <w:szCs w:val="16"/>
          <w:shd w:val="clear" w:color="auto" w:fill="FFFFFF"/>
        </w:rPr>
        <w:t>Pág.10.</w:t>
      </w:r>
      <w:proofErr w:type="gramEnd"/>
    </w:p>
  </w:footnote>
  <w:footnote w:id="92">
    <w:p w:rsidR="00F40EB1" w:rsidRPr="007F3D68" w:rsidRDefault="00F40EB1" w:rsidP="005818A2">
      <w:pPr>
        <w:pStyle w:val="FootnoteText"/>
        <w:spacing w:after="120"/>
        <w:ind w:firstLine="720"/>
        <w:jc w:val="both"/>
        <w:rPr>
          <w:rFonts w:asciiTheme="majorHAnsi" w:hAnsiTheme="majorHAnsi"/>
          <w:sz w:val="16"/>
          <w:szCs w:val="16"/>
        </w:rPr>
      </w:pPr>
      <w:r w:rsidRPr="007F3D68">
        <w:rPr>
          <w:rStyle w:val="FootnoteReference"/>
          <w:rFonts w:asciiTheme="majorHAnsi" w:hAnsiTheme="majorHAnsi"/>
          <w:sz w:val="16"/>
          <w:szCs w:val="16"/>
        </w:rPr>
        <w:footnoteRef/>
      </w:r>
      <w:r w:rsidRPr="007F3D68">
        <w:rPr>
          <w:rFonts w:asciiTheme="majorHAnsi" w:hAnsiTheme="majorHAnsi"/>
          <w:sz w:val="16"/>
          <w:szCs w:val="16"/>
        </w:rPr>
        <w:t xml:space="preserve"> </w:t>
      </w:r>
      <w:proofErr w:type="spellStart"/>
      <w:proofErr w:type="gramStart"/>
      <w:r w:rsidRPr="007F3D68">
        <w:rPr>
          <w:rFonts w:asciiTheme="majorHAnsi" w:hAnsiTheme="majorHAnsi"/>
          <w:sz w:val="16"/>
          <w:szCs w:val="16"/>
        </w:rPr>
        <w:t>ECthr</w:t>
      </w:r>
      <w:proofErr w:type="spellEnd"/>
      <w:r w:rsidRPr="007F3D68">
        <w:rPr>
          <w:rFonts w:asciiTheme="majorHAnsi" w:hAnsiTheme="majorHAnsi"/>
          <w:sz w:val="16"/>
          <w:szCs w:val="16"/>
        </w:rPr>
        <w:t>.</w:t>
      </w:r>
      <w:proofErr w:type="gramEnd"/>
      <w:r w:rsidRPr="007F3D68">
        <w:rPr>
          <w:rFonts w:asciiTheme="majorHAnsi" w:hAnsiTheme="majorHAnsi"/>
          <w:sz w:val="16"/>
          <w:szCs w:val="16"/>
        </w:rPr>
        <w:t xml:space="preserve"> </w:t>
      </w:r>
      <w:proofErr w:type="gramStart"/>
      <w:r w:rsidRPr="007F3D68">
        <w:rPr>
          <w:rFonts w:asciiTheme="majorHAnsi" w:hAnsiTheme="majorHAnsi"/>
          <w:sz w:val="16"/>
          <w:szCs w:val="16"/>
        </w:rPr>
        <w:t>Case of Al-</w:t>
      </w:r>
      <w:proofErr w:type="spellStart"/>
      <w:r w:rsidRPr="007F3D68">
        <w:rPr>
          <w:rFonts w:asciiTheme="majorHAnsi" w:hAnsiTheme="majorHAnsi"/>
          <w:sz w:val="16"/>
          <w:szCs w:val="16"/>
        </w:rPr>
        <w:t>Saadon</w:t>
      </w:r>
      <w:proofErr w:type="spellEnd"/>
      <w:r w:rsidRPr="007F3D68">
        <w:rPr>
          <w:rFonts w:asciiTheme="majorHAnsi" w:hAnsiTheme="majorHAnsi"/>
          <w:sz w:val="16"/>
          <w:szCs w:val="16"/>
        </w:rPr>
        <w:t xml:space="preserve"> and </w:t>
      </w:r>
      <w:proofErr w:type="spellStart"/>
      <w:r w:rsidRPr="007F3D68">
        <w:rPr>
          <w:rFonts w:asciiTheme="majorHAnsi" w:hAnsiTheme="majorHAnsi"/>
          <w:sz w:val="16"/>
          <w:szCs w:val="16"/>
        </w:rPr>
        <w:t>Mufdhi</w:t>
      </w:r>
      <w:proofErr w:type="spellEnd"/>
      <w:r w:rsidRPr="007F3D68">
        <w:rPr>
          <w:rFonts w:asciiTheme="majorHAnsi" w:hAnsiTheme="majorHAnsi"/>
          <w:sz w:val="16"/>
          <w:szCs w:val="16"/>
        </w:rPr>
        <w:t xml:space="preserve"> v.</w:t>
      </w:r>
      <w:proofErr w:type="gramEnd"/>
      <w:r w:rsidRPr="007F3D68">
        <w:rPr>
          <w:rFonts w:asciiTheme="majorHAnsi" w:hAnsiTheme="majorHAnsi"/>
          <w:sz w:val="16"/>
          <w:szCs w:val="16"/>
        </w:rPr>
        <w:t xml:space="preserve"> </w:t>
      </w:r>
      <w:proofErr w:type="gramStart"/>
      <w:r w:rsidRPr="007F3D68">
        <w:rPr>
          <w:rFonts w:asciiTheme="majorHAnsi" w:hAnsiTheme="majorHAnsi"/>
          <w:sz w:val="16"/>
          <w:szCs w:val="16"/>
        </w:rPr>
        <w:t>The United Kingdom.</w:t>
      </w:r>
      <w:proofErr w:type="gramEnd"/>
      <w:r w:rsidRPr="007F3D68">
        <w:rPr>
          <w:rFonts w:asciiTheme="majorHAnsi" w:hAnsiTheme="majorHAnsi"/>
          <w:sz w:val="16"/>
          <w:szCs w:val="16"/>
        </w:rPr>
        <w:t xml:space="preserve"> </w:t>
      </w:r>
      <w:proofErr w:type="gramStart"/>
      <w:r w:rsidRPr="007F3D68">
        <w:rPr>
          <w:rFonts w:asciiTheme="majorHAnsi" w:hAnsiTheme="majorHAnsi"/>
          <w:sz w:val="16"/>
          <w:szCs w:val="16"/>
        </w:rPr>
        <w:t>Application No. 61498/08.</w:t>
      </w:r>
      <w:proofErr w:type="gramEnd"/>
      <w:r w:rsidRPr="007F3D68">
        <w:rPr>
          <w:rFonts w:asciiTheme="majorHAnsi" w:hAnsiTheme="majorHAnsi"/>
          <w:sz w:val="16"/>
          <w:szCs w:val="16"/>
        </w:rPr>
        <w:t xml:space="preserve"> Judgment 2 march 2010 Para. 137.</w:t>
      </w:r>
    </w:p>
  </w:footnote>
  <w:footnote w:id="93">
    <w:p w:rsidR="00F40EB1" w:rsidRPr="007F3D68" w:rsidRDefault="00F40EB1" w:rsidP="005818A2">
      <w:pPr>
        <w:pStyle w:val="FootnoteText"/>
        <w:spacing w:after="120"/>
        <w:ind w:firstLine="720"/>
        <w:jc w:val="both"/>
        <w:rPr>
          <w:rFonts w:asciiTheme="majorHAnsi" w:hAnsiTheme="majorHAnsi"/>
          <w:sz w:val="16"/>
          <w:szCs w:val="16"/>
        </w:rPr>
      </w:pPr>
      <w:r w:rsidRPr="007F3D68">
        <w:rPr>
          <w:rStyle w:val="FootnoteReference"/>
          <w:rFonts w:asciiTheme="majorHAnsi" w:hAnsiTheme="majorHAnsi"/>
          <w:sz w:val="16"/>
          <w:szCs w:val="16"/>
        </w:rPr>
        <w:footnoteRef/>
      </w:r>
      <w:r w:rsidRPr="007F3D68">
        <w:rPr>
          <w:rFonts w:asciiTheme="majorHAnsi" w:hAnsiTheme="majorHAnsi"/>
          <w:sz w:val="16"/>
          <w:szCs w:val="16"/>
        </w:rPr>
        <w:t xml:space="preserve"> </w:t>
      </w:r>
      <w:proofErr w:type="gramStart"/>
      <w:r w:rsidRPr="007F3D68">
        <w:rPr>
          <w:rFonts w:asciiTheme="majorHAnsi" w:hAnsiTheme="majorHAnsi"/>
          <w:sz w:val="16"/>
          <w:szCs w:val="16"/>
        </w:rPr>
        <w:t xml:space="preserve">Supreme Court of Uganda in </w:t>
      </w:r>
      <w:r w:rsidRPr="007F3D68">
        <w:rPr>
          <w:rFonts w:asciiTheme="majorHAnsi" w:hAnsiTheme="majorHAnsi"/>
          <w:i/>
          <w:sz w:val="16"/>
          <w:szCs w:val="16"/>
        </w:rPr>
        <w:t xml:space="preserve">Attorney General v. Susan </w:t>
      </w:r>
      <w:proofErr w:type="spellStart"/>
      <w:r w:rsidRPr="007F3D68">
        <w:rPr>
          <w:rFonts w:asciiTheme="majorHAnsi" w:hAnsiTheme="majorHAnsi"/>
          <w:i/>
          <w:sz w:val="16"/>
          <w:szCs w:val="16"/>
        </w:rPr>
        <w:t>Kigula</w:t>
      </w:r>
      <w:proofErr w:type="spellEnd"/>
      <w:r w:rsidRPr="007F3D68">
        <w:rPr>
          <w:rFonts w:asciiTheme="majorHAnsi" w:hAnsiTheme="majorHAnsi"/>
          <w:sz w:val="16"/>
          <w:szCs w:val="16"/>
        </w:rPr>
        <w:t xml:space="preserve"> and 417 others (Constitutional Appeal No. 3 of 2006), 2009.</w:t>
      </w:r>
      <w:proofErr w:type="gramEnd"/>
    </w:p>
  </w:footnote>
  <w:footnote w:id="94">
    <w:p w:rsidR="00F40EB1" w:rsidRPr="007F3D68" w:rsidRDefault="00F40EB1" w:rsidP="005818A2">
      <w:pPr>
        <w:pStyle w:val="FootnoteText"/>
        <w:spacing w:after="120"/>
        <w:ind w:firstLine="720"/>
        <w:jc w:val="both"/>
        <w:rPr>
          <w:rFonts w:asciiTheme="majorHAnsi" w:hAnsiTheme="majorHAnsi"/>
          <w:sz w:val="16"/>
          <w:szCs w:val="16"/>
        </w:rPr>
      </w:pPr>
      <w:r w:rsidRPr="007F3D68">
        <w:rPr>
          <w:rStyle w:val="FootnoteReference"/>
          <w:rFonts w:asciiTheme="majorHAnsi" w:hAnsiTheme="majorHAnsi"/>
          <w:sz w:val="16"/>
          <w:szCs w:val="16"/>
        </w:rPr>
        <w:footnoteRef/>
      </w:r>
      <w:r w:rsidRPr="007F3D68">
        <w:rPr>
          <w:rFonts w:asciiTheme="majorHAnsi" w:hAnsiTheme="majorHAnsi"/>
          <w:sz w:val="16"/>
          <w:szCs w:val="16"/>
        </w:rPr>
        <w:t xml:space="preserve"> </w:t>
      </w:r>
      <w:proofErr w:type="gramStart"/>
      <w:r w:rsidRPr="007F3D68">
        <w:rPr>
          <w:rFonts w:asciiTheme="majorHAnsi" w:hAnsiTheme="majorHAnsi"/>
          <w:sz w:val="16"/>
          <w:szCs w:val="16"/>
        </w:rPr>
        <w:t xml:space="preserve">Judgment of the Supreme Court of Zimbabwe of 24 June 1993 in </w:t>
      </w:r>
      <w:r w:rsidRPr="007F3D68">
        <w:rPr>
          <w:rFonts w:asciiTheme="majorHAnsi" w:hAnsiTheme="majorHAnsi"/>
          <w:i/>
          <w:iCs/>
          <w:sz w:val="16"/>
          <w:szCs w:val="16"/>
        </w:rPr>
        <w:t>Catholic Commissioner for Justice and Peace in Zimbabwe v. Attorney General</w:t>
      </w:r>
      <w:r w:rsidRPr="007F3D68">
        <w:rPr>
          <w:rFonts w:asciiTheme="majorHAnsi" w:hAnsiTheme="majorHAnsi"/>
          <w:sz w:val="16"/>
          <w:szCs w:val="16"/>
        </w:rPr>
        <w:t xml:space="preserve"> (4) SA 239 (ZS).</w:t>
      </w:r>
      <w:proofErr w:type="gramEnd"/>
    </w:p>
  </w:footnote>
  <w:footnote w:id="95">
    <w:p w:rsidR="00F40EB1" w:rsidRPr="007F3D68" w:rsidRDefault="00F40EB1" w:rsidP="00165264">
      <w:pPr>
        <w:pStyle w:val="FootnoteText"/>
        <w:spacing w:after="120"/>
        <w:ind w:firstLine="720"/>
        <w:jc w:val="both"/>
        <w:rPr>
          <w:rFonts w:asciiTheme="majorHAnsi" w:hAnsiTheme="majorHAnsi"/>
          <w:sz w:val="16"/>
          <w:szCs w:val="16"/>
          <w:lang w:val="es-ES"/>
        </w:rPr>
      </w:pP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w:t>
      </w:r>
      <w:r w:rsidRPr="007F3D68">
        <w:rPr>
          <w:rFonts w:asciiTheme="majorHAnsi" w:hAnsiTheme="majorHAnsi"/>
          <w:sz w:val="16"/>
          <w:szCs w:val="16"/>
          <w:lang w:val="es-ES"/>
        </w:rPr>
        <w:t xml:space="preserve">El contenido relevante del artículo 5 de la Convención ya fue transcrito anteriormente. </w:t>
      </w:r>
    </w:p>
  </w:footnote>
  <w:footnote w:id="96">
    <w:p w:rsidR="00F40EB1" w:rsidRPr="007F3D68" w:rsidRDefault="00F40EB1" w:rsidP="00C11CA8">
      <w:pPr>
        <w:pStyle w:val="NormalWeb"/>
        <w:spacing w:before="90" w:beforeAutospacing="0" w:after="45" w:afterAutospacing="0" w:line="360" w:lineRule="auto"/>
        <w:ind w:left="75" w:right="75" w:firstLine="645"/>
        <w:rPr>
          <w:rFonts w:asciiTheme="majorHAnsi" w:eastAsia="Arial Unicode MS" w:hAnsiTheme="majorHAnsi"/>
          <w:sz w:val="16"/>
          <w:szCs w:val="16"/>
          <w:bdr w:val="nil"/>
          <w:lang w:val="es-ES" w:eastAsia="es-ES"/>
        </w:rPr>
      </w:pPr>
      <w:r w:rsidRPr="007F3D68">
        <w:rPr>
          <w:rStyle w:val="FootnoteReference"/>
          <w:rFonts w:asciiTheme="majorHAnsi" w:hAnsiTheme="majorHAnsi"/>
          <w:sz w:val="16"/>
          <w:szCs w:val="16"/>
        </w:rPr>
        <w:footnoteRef/>
      </w:r>
      <w:r w:rsidRPr="007F3D68">
        <w:rPr>
          <w:rFonts w:asciiTheme="majorHAnsi" w:hAnsiTheme="majorHAnsi"/>
          <w:sz w:val="16"/>
          <w:szCs w:val="16"/>
          <w:lang w:val="es-CO"/>
        </w:rPr>
        <w:t xml:space="preserve"> </w:t>
      </w:r>
      <w:r w:rsidRPr="007F3D68">
        <w:rPr>
          <w:rFonts w:asciiTheme="majorHAnsi" w:eastAsia="Arial Unicode MS" w:hAnsiTheme="majorHAnsi"/>
          <w:sz w:val="16"/>
          <w:szCs w:val="16"/>
          <w:bdr w:val="nil"/>
          <w:lang w:val="es-ES" w:eastAsia="es-ES"/>
        </w:rPr>
        <w:t>El Artículo 11 de la Convención American establece: 1. Toda persona tiene derecho al respeto de su honra y al reconocimiento de su dignidad;  2. Nadie puede ser objeto de injerencias arbitrarias o abusivas en su vida privada, en la de su familia, en su domicilio o en su correspondencia, ni de ataques ilegales a su honra o reputación; 3. Toda persona tiene derecho a la protección de la ley contra esas injerencias o esos ataques.</w:t>
      </w:r>
      <w:r w:rsidRPr="007F3D68">
        <w:rPr>
          <w:rFonts w:asciiTheme="majorHAnsi" w:hAnsiTheme="majorHAnsi" w:cs="Tahoma"/>
          <w:color w:val="000000"/>
          <w:sz w:val="16"/>
          <w:szCs w:val="16"/>
          <w:lang w:val="es-CO"/>
        </w:rPr>
        <w:t xml:space="preserve"> </w:t>
      </w:r>
    </w:p>
  </w:footnote>
  <w:footnote w:id="97">
    <w:p w:rsidR="00F40EB1" w:rsidRPr="007F3D68" w:rsidRDefault="00F40EB1" w:rsidP="00165264">
      <w:pPr>
        <w:pStyle w:val="FootnoteText"/>
        <w:spacing w:after="120"/>
        <w:ind w:firstLine="720"/>
        <w:jc w:val="both"/>
        <w:rPr>
          <w:rFonts w:asciiTheme="majorHAnsi" w:hAnsiTheme="majorHAnsi"/>
          <w:sz w:val="16"/>
          <w:szCs w:val="16"/>
          <w:lang w:val="es-ES"/>
        </w:rPr>
      </w:pP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w:t>
      </w:r>
      <w:r w:rsidRPr="007F3D68">
        <w:rPr>
          <w:rFonts w:asciiTheme="majorHAnsi" w:hAnsiTheme="majorHAnsi"/>
          <w:sz w:val="16"/>
          <w:szCs w:val="16"/>
          <w:lang w:val="es-ES"/>
        </w:rPr>
        <w:t xml:space="preserve">El contenido relevante del artículo 8 de la Convención ya fue transcrito anteriormente. Se agrega en este punto los artículos 8.2 g) y 8.3 de dicho instrumento que consagran “el derecho a no ser obligado a declarar contra sí mismo ni a declararse culpable”; y que “la confesión del inculpado solamente es válida si es hecha sin coacción de ninguna naturaleza”.  </w:t>
      </w:r>
    </w:p>
  </w:footnote>
  <w:footnote w:id="98">
    <w:p w:rsidR="00F40EB1" w:rsidRPr="007F3D68" w:rsidRDefault="00F40EB1" w:rsidP="00165264">
      <w:pPr>
        <w:pStyle w:val="FootnoteText"/>
        <w:spacing w:after="120"/>
        <w:ind w:firstLine="720"/>
        <w:jc w:val="both"/>
        <w:rPr>
          <w:rFonts w:asciiTheme="majorHAnsi" w:hAnsiTheme="majorHAnsi"/>
          <w:sz w:val="16"/>
          <w:szCs w:val="16"/>
          <w:lang w:val="es-ES"/>
        </w:rPr>
      </w:pP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w:t>
      </w:r>
      <w:r w:rsidRPr="007F3D68">
        <w:rPr>
          <w:rFonts w:asciiTheme="majorHAnsi" w:hAnsiTheme="majorHAnsi"/>
          <w:sz w:val="16"/>
          <w:szCs w:val="16"/>
          <w:lang w:val="es-ES"/>
        </w:rPr>
        <w:t xml:space="preserve">El contenido relevante del artículo 25 de la Convención ya fue transcrito anteriormente. </w:t>
      </w:r>
    </w:p>
  </w:footnote>
  <w:footnote w:id="99">
    <w:p w:rsidR="00F40EB1" w:rsidRPr="007F3D68" w:rsidRDefault="00F40EB1" w:rsidP="0016526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ind w:firstLine="720"/>
        <w:jc w:val="both"/>
        <w:rPr>
          <w:rFonts w:asciiTheme="majorHAnsi" w:hAnsiTheme="majorHAnsi"/>
          <w:sz w:val="16"/>
          <w:szCs w:val="16"/>
          <w:lang w:val="es-ES" w:eastAsia="es-ES"/>
        </w:rPr>
      </w:pP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w:t>
      </w:r>
      <w:r w:rsidRPr="007F3D68">
        <w:rPr>
          <w:rFonts w:asciiTheme="majorHAnsi" w:hAnsiTheme="majorHAnsi"/>
          <w:sz w:val="16"/>
          <w:szCs w:val="16"/>
          <w:lang w:val="es-ES"/>
        </w:rPr>
        <w:t xml:space="preserve">El contenido relevante de los artículos 1 y 6 de la CIPST ya fue transcrito anteriormente. Se agrega en este punto el artículo 8 de dicho instrumento que señala: </w:t>
      </w:r>
      <w:r w:rsidRPr="007F3D68">
        <w:rPr>
          <w:rFonts w:asciiTheme="majorHAnsi" w:hAnsiTheme="majorHAnsi"/>
          <w:sz w:val="16"/>
          <w:szCs w:val="16"/>
          <w:lang w:val="es-ES" w:eastAsia="es-ES"/>
        </w:rPr>
        <w:t xml:space="preserve">Los Estados partes garantizarán a toda persona que denuncie haber sido sometida a tortura en el ámbito de su jurisdicción el derecho a que el caso sea examinado imparcialmente. 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 Además, el artículo 10 de la CIPST establece: Ninguna declaración que se compruebe haber sido obtenida mediante tortura, podrá ser admitida como medio de prueba en un proceso, salvo en el que se siga contra la persona o personas acusadas de haberla obtenido mediante actos de tortura y únicamente como prueba de que por ese medio el acusado obtuvo tal declaración.   </w:t>
      </w:r>
    </w:p>
  </w:footnote>
  <w:footnote w:id="100">
    <w:p w:rsidR="00F40EB1" w:rsidRPr="007F3D68" w:rsidRDefault="00F40EB1" w:rsidP="00BF224D">
      <w:pPr>
        <w:pStyle w:val="FootnoteText"/>
        <w:keepNext/>
        <w:spacing w:after="120"/>
        <w:ind w:firstLine="720"/>
        <w:jc w:val="both"/>
        <w:rPr>
          <w:rFonts w:asciiTheme="majorHAnsi" w:hAnsiTheme="majorHAnsi"/>
          <w:sz w:val="16"/>
          <w:szCs w:val="16"/>
          <w:lang w:val="es-ES_tradnl"/>
        </w:rPr>
      </w:pPr>
      <w:r w:rsidRPr="007F3D68">
        <w:rPr>
          <w:rStyle w:val="FootnoteReference"/>
          <w:rFonts w:asciiTheme="majorHAnsi" w:hAnsiTheme="majorHAnsi"/>
          <w:color w:val="auto"/>
          <w:sz w:val="16"/>
          <w:szCs w:val="16"/>
        </w:rPr>
        <w:footnoteRef/>
      </w:r>
      <w:r w:rsidRPr="007F3D68">
        <w:rPr>
          <w:rFonts w:asciiTheme="majorHAnsi" w:hAnsiTheme="majorHAnsi"/>
          <w:color w:val="auto"/>
          <w:sz w:val="16"/>
          <w:szCs w:val="16"/>
          <w:lang w:val="es-ES_tradnl"/>
        </w:rPr>
        <w:t xml:space="preserve"> CIDH, Informe sobre Terrorismo y Derechos Humanos, OEA/SER.L/V/II.116, Doc. 5 </w:t>
      </w:r>
      <w:proofErr w:type="spellStart"/>
      <w:r w:rsidRPr="007F3D68">
        <w:rPr>
          <w:rFonts w:asciiTheme="majorHAnsi" w:hAnsiTheme="majorHAnsi"/>
          <w:color w:val="auto"/>
          <w:sz w:val="16"/>
          <w:szCs w:val="16"/>
          <w:lang w:val="es-ES_tradnl"/>
        </w:rPr>
        <w:t>rev.</w:t>
      </w:r>
      <w:proofErr w:type="spellEnd"/>
      <w:r w:rsidRPr="007F3D68">
        <w:rPr>
          <w:rFonts w:asciiTheme="majorHAnsi" w:hAnsiTheme="majorHAnsi"/>
          <w:color w:val="auto"/>
          <w:sz w:val="16"/>
          <w:szCs w:val="16"/>
          <w:lang w:val="es-ES_tradnl"/>
        </w:rPr>
        <w:t xml:space="preserve"> 1, </w:t>
      </w:r>
      <w:proofErr w:type="spellStart"/>
      <w:r w:rsidRPr="007F3D68">
        <w:rPr>
          <w:rFonts w:asciiTheme="majorHAnsi" w:hAnsiTheme="majorHAnsi"/>
          <w:color w:val="auto"/>
          <w:sz w:val="16"/>
          <w:szCs w:val="16"/>
          <w:lang w:val="es-ES_tradnl"/>
        </w:rPr>
        <w:t>corr</w:t>
      </w:r>
      <w:proofErr w:type="spellEnd"/>
      <w:r w:rsidRPr="007F3D68">
        <w:rPr>
          <w:rFonts w:asciiTheme="majorHAnsi" w:hAnsiTheme="majorHAnsi"/>
          <w:color w:val="auto"/>
          <w:sz w:val="16"/>
          <w:szCs w:val="16"/>
          <w:lang w:val="es-ES_tradnl"/>
        </w:rPr>
        <w:t>., 22 de octubre de 2002. Citando. CIDH, Informe sobre la Situación de Derechos Humanos de los Solicitantes de Asilo en el Marco del Sistema Canadiense de Determinación de la Condición de Refugiado, OEA/</w:t>
      </w:r>
      <w:proofErr w:type="spellStart"/>
      <w:r w:rsidRPr="007F3D68">
        <w:rPr>
          <w:rFonts w:asciiTheme="majorHAnsi" w:hAnsiTheme="majorHAnsi"/>
          <w:color w:val="auto"/>
          <w:sz w:val="16"/>
          <w:szCs w:val="16"/>
          <w:lang w:val="es-ES_tradnl"/>
        </w:rPr>
        <w:t>Ser.L</w:t>
      </w:r>
      <w:proofErr w:type="spellEnd"/>
      <w:r w:rsidRPr="007F3D68">
        <w:rPr>
          <w:rFonts w:asciiTheme="majorHAnsi" w:hAnsiTheme="majorHAnsi"/>
          <w:color w:val="auto"/>
          <w:sz w:val="16"/>
          <w:szCs w:val="16"/>
          <w:lang w:val="es-ES_tradnl"/>
        </w:rPr>
        <w:t xml:space="preserve">/V/II.106, Doc. 40 </w:t>
      </w:r>
      <w:proofErr w:type="spellStart"/>
      <w:r w:rsidRPr="007F3D68">
        <w:rPr>
          <w:rFonts w:asciiTheme="majorHAnsi" w:hAnsiTheme="majorHAnsi"/>
          <w:color w:val="auto"/>
          <w:sz w:val="16"/>
          <w:szCs w:val="16"/>
          <w:lang w:val="es-ES_tradnl"/>
        </w:rPr>
        <w:t>rev.</w:t>
      </w:r>
      <w:proofErr w:type="spellEnd"/>
      <w:r w:rsidRPr="007F3D68">
        <w:rPr>
          <w:rFonts w:asciiTheme="majorHAnsi" w:hAnsiTheme="majorHAnsi"/>
          <w:color w:val="auto"/>
          <w:sz w:val="16"/>
          <w:szCs w:val="16"/>
          <w:lang w:val="es-ES_tradnl"/>
        </w:rPr>
        <w:t xml:space="preserve">, 28 de febrero de 2000, párr. 118. </w:t>
      </w:r>
    </w:p>
  </w:footnote>
  <w:footnote w:id="101">
    <w:p w:rsidR="00F40EB1" w:rsidRPr="007F3D68" w:rsidRDefault="00F40EB1" w:rsidP="00BF224D">
      <w:pPr>
        <w:pStyle w:val="FootnoteText"/>
        <w:spacing w:after="120"/>
        <w:ind w:firstLine="720"/>
        <w:jc w:val="both"/>
        <w:rPr>
          <w:rFonts w:asciiTheme="majorHAnsi" w:hAnsiTheme="majorHAnsi"/>
          <w:sz w:val="16"/>
          <w:szCs w:val="16"/>
          <w:lang w:val="es-ES_tradnl"/>
        </w:rPr>
      </w:pPr>
      <w:r w:rsidRPr="007F3D68">
        <w:rPr>
          <w:rStyle w:val="FootnoteReference"/>
          <w:rFonts w:asciiTheme="majorHAnsi" w:hAnsiTheme="majorHAnsi"/>
          <w:sz w:val="16"/>
          <w:szCs w:val="16"/>
        </w:rPr>
        <w:footnoteRef/>
      </w:r>
      <w:r w:rsidRPr="007F3D68">
        <w:rPr>
          <w:rFonts w:asciiTheme="majorHAnsi" w:hAnsiTheme="majorHAnsi"/>
          <w:sz w:val="16"/>
          <w:szCs w:val="16"/>
          <w:lang w:val="es-ES_tradnl"/>
        </w:rPr>
        <w:t xml:space="preserve"> CIDH, Informe sobre Terrorismo y Derechos Humanos, OEA/SER.L/V/II.116, Doc. 5 </w:t>
      </w:r>
      <w:proofErr w:type="spellStart"/>
      <w:r w:rsidRPr="007F3D68">
        <w:rPr>
          <w:rFonts w:asciiTheme="majorHAnsi" w:hAnsiTheme="majorHAnsi"/>
          <w:sz w:val="16"/>
          <w:szCs w:val="16"/>
          <w:lang w:val="es-ES_tradnl"/>
        </w:rPr>
        <w:t>rev.</w:t>
      </w:r>
      <w:proofErr w:type="spellEnd"/>
      <w:r w:rsidRPr="007F3D68">
        <w:rPr>
          <w:rFonts w:asciiTheme="majorHAnsi" w:hAnsiTheme="majorHAnsi"/>
          <w:sz w:val="16"/>
          <w:szCs w:val="16"/>
          <w:lang w:val="es-ES_tradnl"/>
        </w:rPr>
        <w:t xml:space="preserve"> 1, </w:t>
      </w:r>
      <w:proofErr w:type="spellStart"/>
      <w:r w:rsidRPr="007F3D68">
        <w:rPr>
          <w:rFonts w:asciiTheme="majorHAnsi" w:hAnsiTheme="majorHAnsi"/>
          <w:sz w:val="16"/>
          <w:szCs w:val="16"/>
          <w:lang w:val="es-ES_tradnl"/>
        </w:rPr>
        <w:t>corr</w:t>
      </w:r>
      <w:proofErr w:type="spellEnd"/>
      <w:r w:rsidRPr="007F3D68">
        <w:rPr>
          <w:rFonts w:asciiTheme="majorHAnsi" w:hAnsiTheme="majorHAnsi"/>
          <w:sz w:val="16"/>
          <w:szCs w:val="16"/>
          <w:lang w:val="es-ES_tradnl"/>
        </w:rPr>
        <w:t>., 22 de octubre de 2002. Citando. CIDH, Informe sobre la Situación de Derechos Humanos de los Solicitantes de Asilo en el Marco del Sistema Canadiense de Determinación de la Condición de Refugiado, OEA/</w:t>
      </w:r>
      <w:proofErr w:type="spellStart"/>
      <w:r w:rsidRPr="007F3D68">
        <w:rPr>
          <w:rFonts w:asciiTheme="majorHAnsi" w:hAnsiTheme="majorHAnsi"/>
          <w:sz w:val="16"/>
          <w:szCs w:val="16"/>
          <w:lang w:val="es-ES_tradnl"/>
        </w:rPr>
        <w:t>Ser.L</w:t>
      </w:r>
      <w:proofErr w:type="spellEnd"/>
      <w:r w:rsidRPr="007F3D68">
        <w:rPr>
          <w:rFonts w:asciiTheme="majorHAnsi" w:hAnsiTheme="majorHAnsi"/>
          <w:sz w:val="16"/>
          <w:szCs w:val="16"/>
          <w:lang w:val="es-ES_tradnl"/>
        </w:rPr>
        <w:t xml:space="preserve">/V/II.106, Doc. 40 </w:t>
      </w:r>
      <w:proofErr w:type="spellStart"/>
      <w:r w:rsidRPr="007F3D68">
        <w:rPr>
          <w:rFonts w:asciiTheme="majorHAnsi" w:hAnsiTheme="majorHAnsi"/>
          <w:sz w:val="16"/>
          <w:szCs w:val="16"/>
          <w:lang w:val="es-ES_tradnl"/>
        </w:rPr>
        <w:t>rev.</w:t>
      </w:r>
      <w:proofErr w:type="spellEnd"/>
      <w:r w:rsidRPr="007F3D68">
        <w:rPr>
          <w:rFonts w:asciiTheme="majorHAnsi" w:hAnsiTheme="majorHAnsi"/>
          <w:sz w:val="16"/>
          <w:szCs w:val="16"/>
          <w:lang w:val="es-ES_tradnl"/>
        </w:rPr>
        <w:t xml:space="preserve">, 28 de febrero de 2000. Párr. 154. </w:t>
      </w:r>
    </w:p>
  </w:footnote>
  <w:footnote w:id="102">
    <w:p w:rsidR="00F40EB1" w:rsidRPr="007F3D68" w:rsidRDefault="00F40EB1" w:rsidP="00BF224D">
      <w:pPr>
        <w:keepNext/>
        <w:tabs>
          <w:tab w:val="left" w:pos="900"/>
          <w:tab w:val="left" w:pos="1080"/>
        </w:tabs>
        <w:spacing w:after="120"/>
        <w:ind w:firstLine="720"/>
        <w:jc w:val="both"/>
        <w:rPr>
          <w:rFonts w:asciiTheme="majorHAnsi" w:hAnsiTheme="majorHAnsi"/>
          <w:sz w:val="16"/>
          <w:szCs w:val="16"/>
          <w:lang w:val="es-ES_tradnl"/>
        </w:rPr>
      </w:pPr>
      <w:r w:rsidRPr="007F3D68">
        <w:rPr>
          <w:rStyle w:val="FootnoteReference"/>
          <w:rFonts w:asciiTheme="majorHAnsi" w:hAnsiTheme="majorHAnsi"/>
          <w:sz w:val="16"/>
          <w:szCs w:val="16"/>
        </w:rPr>
        <w:footnoteRef/>
      </w:r>
      <w:r w:rsidRPr="007F3D68">
        <w:rPr>
          <w:rFonts w:asciiTheme="majorHAnsi" w:hAnsiTheme="majorHAnsi"/>
          <w:sz w:val="16"/>
          <w:szCs w:val="16"/>
          <w:lang w:val="es-ES"/>
        </w:rPr>
        <w:t xml:space="preserve"> Corte IDH. Caso Bueno Alves Vs. Argentina. Fondo, Reparaciones y Costas. Sentencia de 11 de mayo de 2007. Serie C No. 164, párr. 76; Corte IDH. Caso del Penal Miguel Castro </w:t>
      </w:r>
      <w:proofErr w:type="spellStart"/>
      <w:r w:rsidRPr="007F3D68">
        <w:rPr>
          <w:rFonts w:asciiTheme="majorHAnsi" w:hAnsiTheme="majorHAnsi"/>
          <w:sz w:val="16"/>
          <w:szCs w:val="16"/>
          <w:lang w:val="es-ES"/>
        </w:rPr>
        <w:t>Castro</w:t>
      </w:r>
      <w:proofErr w:type="spellEnd"/>
      <w:r w:rsidRPr="007F3D68">
        <w:rPr>
          <w:rFonts w:asciiTheme="majorHAnsi" w:hAnsiTheme="majorHAnsi"/>
          <w:sz w:val="16"/>
          <w:szCs w:val="16"/>
          <w:lang w:val="es-ES"/>
        </w:rPr>
        <w:t xml:space="preserve"> Vs. Perú. Fondo, Reparaciones y Costas. Sentencia de 25 de noviembre de 2006. Serie C No. 160, párr. 271; y Corte IDH. Caso </w:t>
      </w:r>
      <w:proofErr w:type="spellStart"/>
      <w:r w:rsidRPr="007F3D68">
        <w:rPr>
          <w:rFonts w:asciiTheme="majorHAnsi" w:hAnsiTheme="majorHAnsi"/>
          <w:sz w:val="16"/>
          <w:szCs w:val="16"/>
          <w:lang w:val="es-ES"/>
        </w:rPr>
        <w:t>Baldeón</w:t>
      </w:r>
      <w:proofErr w:type="spellEnd"/>
      <w:r w:rsidRPr="007F3D68">
        <w:rPr>
          <w:rFonts w:asciiTheme="majorHAnsi" w:hAnsiTheme="majorHAnsi"/>
          <w:sz w:val="16"/>
          <w:szCs w:val="16"/>
          <w:lang w:val="es-ES"/>
        </w:rPr>
        <w:t xml:space="preserve"> García Vs. Perú. Fondo, Reparaciones y Costas. Sentencia de 6 de abril de 2006. Serie C No. 147, párr. 117. </w:t>
      </w:r>
    </w:p>
  </w:footnote>
  <w:footnote w:id="103">
    <w:p w:rsidR="00F40EB1" w:rsidRPr="007F3D68" w:rsidRDefault="00F40EB1" w:rsidP="00BF224D">
      <w:pPr>
        <w:tabs>
          <w:tab w:val="left" w:pos="900"/>
          <w:tab w:val="left" w:pos="1080"/>
        </w:tabs>
        <w:spacing w:after="120"/>
        <w:ind w:firstLine="720"/>
        <w:jc w:val="both"/>
        <w:rPr>
          <w:rFonts w:asciiTheme="majorHAnsi" w:hAnsiTheme="majorHAnsi"/>
          <w:sz w:val="16"/>
          <w:szCs w:val="16"/>
          <w:lang w:val="es-CO"/>
        </w:rPr>
      </w:pPr>
      <w:r w:rsidRPr="007F3D68">
        <w:rPr>
          <w:rStyle w:val="FootnoteReference"/>
          <w:rFonts w:asciiTheme="majorHAnsi" w:hAnsiTheme="majorHAnsi"/>
          <w:color w:val="000000"/>
          <w:sz w:val="16"/>
          <w:szCs w:val="16"/>
        </w:rPr>
        <w:footnoteRef/>
      </w:r>
      <w:r w:rsidRPr="00F40EB1">
        <w:rPr>
          <w:rFonts w:asciiTheme="majorHAnsi" w:hAnsiTheme="majorHAnsi"/>
          <w:sz w:val="16"/>
          <w:szCs w:val="16"/>
          <w:lang w:val="es-ES"/>
        </w:rPr>
        <w:t xml:space="preserve"> Corte IDH, Caso Bueno Alves.  </w:t>
      </w:r>
      <w:r w:rsidRPr="007F3D68">
        <w:rPr>
          <w:rFonts w:asciiTheme="majorHAnsi" w:hAnsiTheme="majorHAnsi"/>
          <w:sz w:val="16"/>
          <w:szCs w:val="16"/>
          <w:lang w:val="es-ES"/>
        </w:rPr>
        <w:t xml:space="preserve">Sentencia de 11 de mayo de 2007.  Serie C. No. 164. </w:t>
      </w:r>
      <w:r w:rsidRPr="007F3D68">
        <w:rPr>
          <w:rFonts w:asciiTheme="majorHAnsi" w:hAnsiTheme="majorHAnsi"/>
          <w:sz w:val="16"/>
          <w:szCs w:val="16"/>
          <w:lang w:val="es-ES_tradnl"/>
        </w:rPr>
        <w:t xml:space="preserve">Párr. 76; </w:t>
      </w:r>
      <w:r>
        <w:rPr>
          <w:rFonts w:asciiTheme="majorHAnsi" w:hAnsiTheme="majorHAnsi"/>
          <w:sz w:val="16"/>
          <w:szCs w:val="16"/>
          <w:lang w:val="es-ES"/>
        </w:rPr>
        <w:t>Corte IDH</w:t>
      </w:r>
      <w:r w:rsidRPr="007F3D68">
        <w:rPr>
          <w:rFonts w:asciiTheme="majorHAnsi" w:hAnsiTheme="majorHAnsi"/>
          <w:sz w:val="16"/>
          <w:szCs w:val="16"/>
          <w:lang w:val="es-ES"/>
        </w:rPr>
        <w:t xml:space="preserve">, </w:t>
      </w:r>
      <w:r w:rsidRPr="007F3D68">
        <w:rPr>
          <w:rFonts w:asciiTheme="majorHAnsi" w:hAnsiTheme="majorHAnsi"/>
          <w:bCs/>
          <w:color w:val="000000"/>
          <w:sz w:val="16"/>
          <w:szCs w:val="16"/>
          <w:lang w:val="es-ES"/>
        </w:rPr>
        <w:t xml:space="preserve">Caso del Penal Miguel Castro </w:t>
      </w:r>
      <w:proofErr w:type="spellStart"/>
      <w:r w:rsidRPr="007F3D68">
        <w:rPr>
          <w:rFonts w:asciiTheme="majorHAnsi" w:hAnsiTheme="majorHAnsi"/>
          <w:bCs/>
          <w:color w:val="000000"/>
          <w:sz w:val="16"/>
          <w:szCs w:val="16"/>
          <w:lang w:val="es-ES"/>
        </w:rPr>
        <w:t>Castro</w:t>
      </w:r>
      <w:proofErr w:type="spellEnd"/>
      <w:r w:rsidRPr="007F3D68">
        <w:rPr>
          <w:rFonts w:asciiTheme="majorHAnsi" w:hAnsiTheme="majorHAnsi"/>
          <w:bCs/>
          <w:color w:val="000000"/>
          <w:sz w:val="16"/>
          <w:szCs w:val="16"/>
          <w:lang w:val="es-ES"/>
        </w:rPr>
        <w:t xml:space="preserve">. </w:t>
      </w:r>
      <w:r w:rsidRPr="007F3D68">
        <w:rPr>
          <w:rFonts w:asciiTheme="majorHAnsi" w:hAnsiTheme="majorHAnsi"/>
          <w:color w:val="000000"/>
          <w:sz w:val="16"/>
          <w:szCs w:val="16"/>
          <w:lang w:val="es-ES"/>
        </w:rPr>
        <w:t>Sentencia de 25 de noviembre de 2006. Serie C No. 160.</w:t>
      </w:r>
      <w:r w:rsidRPr="007F3D68">
        <w:rPr>
          <w:rFonts w:asciiTheme="majorHAnsi" w:hAnsiTheme="majorHAnsi"/>
          <w:sz w:val="16"/>
          <w:szCs w:val="16"/>
          <w:lang w:val="es-ES"/>
        </w:rPr>
        <w:t xml:space="preserve"> P</w:t>
      </w:r>
      <w:proofErr w:type="spellStart"/>
      <w:r>
        <w:rPr>
          <w:rFonts w:asciiTheme="majorHAnsi" w:hAnsiTheme="majorHAnsi"/>
          <w:sz w:val="16"/>
          <w:szCs w:val="16"/>
          <w:lang w:val="es-CO"/>
        </w:rPr>
        <w:t>árr</w:t>
      </w:r>
      <w:proofErr w:type="spellEnd"/>
      <w:r>
        <w:rPr>
          <w:rFonts w:asciiTheme="majorHAnsi" w:hAnsiTheme="majorHAnsi"/>
          <w:sz w:val="16"/>
          <w:szCs w:val="16"/>
          <w:lang w:val="es-CO"/>
        </w:rPr>
        <w:t>. 271; y Corte IDH</w:t>
      </w:r>
      <w:r w:rsidRPr="007F3D68">
        <w:rPr>
          <w:rFonts w:asciiTheme="majorHAnsi" w:hAnsiTheme="majorHAnsi"/>
          <w:sz w:val="16"/>
          <w:szCs w:val="16"/>
          <w:lang w:val="es-CO"/>
        </w:rPr>
        <w:t xml:space="preserve">, Caso </w:t>
      </w:r>
      <w:proofErr w:type="spellStart"/>
      <w:r w:rsidRPr="007F3D68">
        <w:rPr>
          <w:rFonts w:asciiTheme="majorHAnsi" w:hAnsiTheme="majorHAnsi"/>
          <w:sz w:val="16"/>
          <w:szCs w:val="16"/>
          <w:lang w:val="es-CO"/>
        </w:rPr>
        <w:t>Baldeón</w:t>
      </w:r>
      <w:proofErr w:type="spellEnd"/>
      <w:r w:rsidRPr="007F3D68">
        <w:rPr>
          <w:rFonts w:asciiTheme="majorHAnsi" w:hAnsiTheme="majorHAnsi"/>
          <w:sz w:val="16"/>
          <w:szCs w:val="16"/>
          <w:lang w:val="es-CO"/>
        </w:rPr>
        <w:t xml:space="preserve"> García. Sentencia de 6 de abril de 2006. Serie C No. 147. Párr. 117. </w:t>
      </w:r>
    </w:p>
  </w:footnote>
  <w:footnote w:id="104">
    <w:p w:rsidR="00F40EB1" w:rsidRPr="007F3D68" w:rsidRDefault="00F40EB1" w:rsidP="00BF224D">
      <w:pPr>
        <w:pStyle w:val="FootnoteText"/>
        <w:tabs>
          <w:tab w:val="left" w:pos="720"/>
          <w:tab w:val="left" w:pos="900"/>
          <w:tab w:val="left" w:pos="1080"/>
        </w:tabs>
        <w:spacing w:after="120"/>
        <w:ind w:firstLine="720"/>
        <w:jc w:val="both"/>
        <w:rPr>
          <w:rFonts w:asciiTheme="majorHAnsi" w:hAnsiTheme="majorHAnsi"/>
          <w:sz w:val="16"/>
          <w:szCs w:val="16"/>
          <w:lang w:val="es-ES_tradnl"/>
        </w:rPr>
      </w:pPr>
      <w:r w:rsidRPr="007F3D68">
        <w:rPr>
          <w:rStyle w:val="FootnoteReference"/>
          <w:rFonts w:asciiTheme="majorHAnsi" w:hAnsiTheme="majorHAnsi"/>
          <w:sz w:val="16"/>
          <w:szCs w:val="16"/>
        </w:rPr>
        <w:footnoteRef/>
      </w:r>
      <w:r w:rsidRPr="00F40EB1">
        <w:rPr>
          <w:rFonts w:asciiTheme="majorHAnsi" w:hAnsiTheme="majorHAnsi"/>
          <w:sz w:val="16"/>
          <w:szCs w:val="16"/>
          <w:lang w:val="es-CO"/>
        </w:rPr>
        <w:t xml:space="preserve"> Corte IDH, Caso Bueno Alves.  </w:t>
      </w:r>
      <w:r w:rsidRPr="007F3D68">
        <w:rPr>
          <w:rFonts w:asciiTheme="majorHAnsi" w:hAnsiTheme="majorHAnsi"/>
          <w:sz w:val="16"/>
          <w:szCs w:val="16"/>
          <w:lang w:val="es-ES"/>
        </w:rPr>
        <w:t xml:space="preserve">Sentencia de 11 de mayo de 2007.  Serie C. No. 164. </w:t>
      </w:r>
      <w:r w:rsidRPr="007F3D68">
        <w:rPr>
          <w:rFonts w:asciiTheme="majorHAnsi" w:hAnsiTheme="majorHAnsi"/>
          <w:sz w:val="16"/>
          <w:szCs w:val="16"/>
          <w:lang w:val="es-ES_tradnl"/>
        </w:rPr>
        <w:t xml:space="preserve">Párr. 77. Citando: Pacto Internacional de Derechos Civiles y Políticos, Art. 7; Convención contra la Tortura y Otros Tratos o Penas Crueles, Inhumanos o Degradantes, Art. 2; Convención sobre los Derechos del Niño, Art. 37, y Convención internacional sobre la protección de los derechos de todos los trabajadores migratorios y de sus familiares, Art. 10; Convención Interamericana para Prevenir y Sancionar la Tortura, art. 2; Carta Africana de los Derechos del Hombre y de los Pueblos, Art. 5; Carta Africana de los Derechos y Bienestar del Niño, Art. 16; Convención Interamericana para Prevenir, Erradicar y Sancionar la Violencia contra la Mujer (Convención de Belém do Pará), Art. 4, y Convenio Europeo para la Protección de los Derechos Humanos y de las Libertades Fundamentales, Art. 3; Conjunto de Principios para la protección de todas las personas sometidas a cualquier forma de detención o prisión, Principio 6; Código de conducta para funcionarios encargados de hacer cumplir la ley, Art. 5; Reglas de las Naciones Unidas para la protección de los menores privados de libertad, Regla 87(a); Declaración sobre los derechos humanos de los individuos que no son nacionales del país en que viven, Art. 6; Reglas mínimas de las Naciones Unidas para la administración de la justicia de menores (Reglas de Beijing), Regla 17.3; Declaración sobre la protección de la mujer y el niño en estados de emergencia o de conflicto armado, Art. 4, y Líneas directrices del Comité de Ministros del Consejo de Europa sobre los derechos humanos y la lucha contra el terrorismo, Directriz IV; y Art. 3 común a los cuatro Convenios de Ginebra; Convenio de Ginebra relativo al trato debido a los prisioneros de guerra (Convenio III), Arts. 49, 52, 87 y 89, 97; Convenio de Ginebra relativo a la protección debida a las personas civiles en tiempo de guerra (Convenio IV), Arts. 40, 51, 95, 96, 100 y 119; Protocolo Adicional a los Convenios de Ginebra del 12 de agosto de 1949 relativo a la Protección de las Víctimas de los Conflictos Armados Internacionales (Protocolo I), Art. 75.2.ii, y Protocolo adicional a los Convenios de Ginebra del 12 de agosto de 1949 relativo a la protección de las víctimas de los conflictos armados sin carácter internacional (Protocolo II), Art. 4.2.a. </w:t>
      </w:r>
    </w:p>
  </w:footnote>
  <w:footnote w:id="105">
    <w:p w:rsidR="00F40EB1" w:rsidRPr="007F3D68" w:rsidRDefault="00F40EB1" w:rsidP="00BF224D">
      <w:pPr>
        <w:pStyle w:val="FootnoteText"/>
        <w:keepNext/>
        <w:spacing w:after="120"/>
        <w:ind w:firstLine="720"/>
        <w:jc w:val="both"/>
        <w:rPr>
          <w:rFonts w:asciiTheme="majorHAnsi" w:hAnsiTheme="majorHAnsi"/>
          <w:sz w:val="16"/>
          <w:szCs w:val="16"/>
          <w:lang w:val="es-ES"/>
        </w:rPr>
      </w:pPr>
      <w:r w:rsidRPr="007F3D68">
        <w:rPr>
          <w:rStyle w:val="FootnoteReference"/>
          <w:rFonts w:asciiTheme="majorHAnsi" w:hAnsiTheme="majorHAnsi"/>
          <w:color w:val="auto"/>
          <w:sz w:val="16"/>
          <w:szCs w:val="16"/>
        </w:rPr>
        <w:footnoteRef/>
      </w:r>
      <w:r w:rsidRPr="007F3D68">
        <w:rPr>
          <w:rFonts w:asciiTheme="majorHAnsi" w:hAnsiTheme="majorHAnsi"/>
          <w:color w:val="auto"/>
          <w:sz w:val="16"/>
          <w:szCs w:val="16"/>
          <w:lang w:val="es-ES"/>
        </w:rPr>
        <w:t xml:space="preserve"> CIDH, Informe No. 5/96, Caso 10.970, Fondo, Raquel Martin Mejía, Perú, 1 de marzo de 1996, sección 3. análisis y Corte IDH. Caso Bueno Alves Vs. Argentina. Fondo, Reparaciones y Costas. Sentencia de 11 de mayo de 2007. Serie C No. 164, </w:t>
      </w:r>
      <w:r w:rsidRPr="007F3D68">
        <w:rPr>
          <w:rFonts w:asciiTheme="majorHAnsi" w:hAnsiTheme="majorHAnsi"/>
          <w:color w:val="auto"/>
          <w:sz w:val="16"/>
          <w:szCs w:val="16"/>
          <w:lang w:val="es-ES_tradnl"/>
        </w:rPr>
        <w:t>párr. 79.</w:t>
      </w:r>
      <w:r w:rsidRPr="007F3D68">
        <w:rPr>
          <w:rFonts w:asciiTheme="majorHAnsi" w:hAnsiTheme="majorHAnsi"/>
          <w:color w:val="auto"/>
          <w:sz w:val="16"/>
          <w:szCs w:val="16"/>
          <w:lang w:val="es-ES"/>
        </w:rPr>
        <w:t xml:space="preserve"> </w:t>
      </w:r>
    </w:p>
  </w:footnote>
  <w:footnote w:id="106">
    <w:p w:rsidR="00F40EB1" w:rsidRPr="007F3D68" w:rsidRDefault="00F40EB1" w:rsidP="00BF224D">
      <w:pPr>
        <w:pStyle w:val="FootnoteText"/>
        <w:spacing w:after="120"/>
        <w:ind w:firstLine="720"/>
        <w:jc w:val="both"/>
        <w:rPr>
          <w:rFonts w:asciiTheme="majorHAnsi" w:hAnsiTheme="majorHAnsi"/>
          <w:sz w:val="16"/>
          <w:szCs w:val="16"/>
          <w:lang w:val="es-ES_tradnl"/>
        </w:rPr>
      </w:pPr>
      <w:r w:rsidRPr="007F3D68">
        <w:rPr>
          <w:rStyle w:val="FootnoteReference"/>
          <w:rFonts w:asciiTheme="majorHAnsi" w:hAnsiTheme="majorHAnsi"/>
          <w:color w:val="auto"/>
          <w:sz w:val="16"/>
          <w:szCs w:val="16"/>
        </w:rPr>
        <w:footnoteRef/>
      </w:r>
      <w:r w:rsidRPr="007F3D68">
        <w:rPr>
          <w:rFonts w:asciiTheme="majorHAnsi" w:hAnsiTheme="majorHAnsi"/>
          <w:sz w:val="16"/>
          <w:szCs w:val="16"/>
          <w:lang w:val="es-ES_tradnl"/>
        </w:rPr>
        <w:t xml:space="preserve"> CIDH. Informe 172/10. César Alberto Mendoza y otros (Prisión y Reclusión perpetuas de adolescentes). Fondo. Argentina. 2 de noviembre de 2010. Párr. 298; </w:t>
      </w:r>
      <w:r w:rsidRPr="007F3D68">
        <w:rPr>
          <w:rFonts w:asciiTheme="majorHAnsi" w:hAnsiTheme="majorHAnsi"/>
          <w:color w:val="auto"/>
          <w:sz w:val="16"/>
          <w:szCs w:val="16"/>
          <w:lang w:val="es-ES"/>
        </w:rPr>
        <w:t xml:space="preserve">Corte IDH. Caso Cabrera García y Montiel Flores Vs. México. Excepción Preliminar, Fondo, Reparaciones y Costas. Sentencia de 26 de noviembre de 2010 Serie C No. 220, párr. </w:t>
      </w:r>
      <w:r w:rsidRPr="007F3D68">
        <w:rPr>
          <w:rFonts w:asciiTheme="majorHAnsi" w:hAnsiTheme="majorHAnsi"/>
          <w:color w:val="auto"/>
          <w:sz w:val="16"/>
          <w:szCs w:val="16"/>
          <w:lang w:val="es-MX"/>
        </w:rPr>
        <w:t>134 y Corte IDH. Caso Mendoza y otros Vs. Argentina. Excepciones Preliminares, Fondo y Reparaciones. Sentencia de 14 de mayo de 2013 Serie C No. 260.</w:t>
      </w:r>
    </w:p>
  </w:footnote>
  <w:footnote w:id="107">
    <w:p w:rsidR="00F40EB1" w:rsidRPr="007F3D68" w:rsidRDefault="00F40EB1" w:rsidP="00BF224D">
      <w:pPr>
        <w:pStyle w:val="FootnoteText"/>
        <w:spacing w:after="120"/>
        <w:ind w:firstLine="720"/>
        <w:jc w:val="both"/>
        <w:rPr>
          <w:rFonts w:asciiTheme="majorHAnsi" w:hAnsiTheme="majorHAnsi"/>
          <w:sz w:val="16"/>
          <w:szCs w:val="16"/>
          <w:lang w:val="es-ES"/>
        </w:rPr>
      </w:pPr>
      <w:r w:rsidRPr="007F3D68">
        <w:rPr>
          <w:rStyle w:val="FootnoteReference"/>
          <w:rFonts w:asciiTheme="majorHAnsi" w:hAnsiTheme="majorHAnsi"/>
          <w:sz w:val="16"/>
          <w:szCs w:val="16"/>
          <w:lang w:val="es-ES"/>
        </w:rPr>
        <w:footnoteRef/>
      </w:r>
      <w:r w:rsidRPr="007F3D68">
        <w:rPr>
          <w:rFonts w:asciiTheme="majorHAnsi" w:hAnsiTheme="majorHAnsi"/>
          <w:sz w:val="16"/>
          <w:szCs w:val="16"/>
          <w:lang w:val="es-ES"/>
        </w:rPr>
        <w:t xml:space="preserve"> Corte IDH, </w:t>
      </w:r>
      <w:r w:rsidRPr="007F3D68">
        <w:rPr>
          <w:rFonts w:asciiTheme="majorHAnsi" w:hAnsiTheme="majorHAnsi"/>
          <w:bCs/>
          <w:i/>
          <w:sz w:val="16"/>
          <w:szCs w:val="16"/>
          <w:lang w:val="es-ES"/>
        </w:rPr>
        <w:t xml:space="preserve">Caso </w:t>
      </w:r>
      <w:proofErr w:type="spellStart"/>
      <w:r w:rsidRPr="007F3D68">
        <w:rPr>
          <w:rFonts w:asciiTheme="majorHAnsi" w:hAnsiTheme="majorHAnsi"/>
          <w:bCs/>
          <w:i/>
          <w:sz w:val="16"/>
          <w:szCs w:val="16"/>
          <w:lang w:val="es-ES"/>
        </w:rPr>
        <w:t>Baldeón</w:t>
      </w:r>
      <w:proofErr w:type="spellEnd"/>
      <w:r w:rsidRPr="007F3D68">
        <w:rPr>
          <w:rFonts w:asciiTheme="majorHAnsi" w:hAnsiTheme="majorHAnsi"/>
          <w:bCs/>
          <w:i/>
          <w:sz w:val="16"/>
          <w:szCs w:val="16"/>
          <w:lang w:val="es-ES"/>
        </w:rPr>
        <w:t xml:space="preserve"> García</w:t>
      </w:r>
      <w:r w:rsidRPr="007F3D68">
        <w:rPr>
          <w:rFonts w:asciiTheme="majorHAnsi" w:hAnsiTheme="majorHAnsi"/>
          <w:bCs/>
          <w:sz w:val="16"/>
          <w:szCs w:val="16"/>
          <w:lang w:val="es-ES"/>
        </w:rPr>
        <w:t>.</w:t>
      </w:r>
      <w:r w:rsidRPr="007F3D68">
        <w:rPr>
          <w:rFonts w:asciiTheme="majorHAnsi" w:hAnsiTheme="majorHAnsi"/>
          <w:b/>
          <w:bCs/>
          <w:sz w:val="16"/>
          <w:szCs w:val="16"/>
          <w:lang w:val="es-ES"/>
        </w:rPr>
        <w:t xml:space="preserve"> </w:t>
      </w:r>
      <w:r w:rsidRPr="007F3D68">
        <w:rPr>
          <w:rFonts w:asciiTheme="majorHAnsi" w:hAnsiTheme="majorHAnsi"/>
          <w:sz w:val="16"/>
          <w:szCs w:val="16"/>
          <w:lang w:val="es-ES"/>
        </w:rPr>
        <w:t xml:space="preserve">Fondo, Reparaciones y Costas. Sentencia de 6 de abril de 2006. Serie C No. 147, párr. 156; </w:t>
      </w:r>
      <w:r w:rsidRPr="007F3D68">
        <w:rPr>
          <w:rFonts w:asciiTheme="majorHAnsi" w:hAnsiTheme="majorHAnsi"/>
          <w:bCs/>
          <w:i/>
          <w:sz w:val="16"/>
          <w:szCs w:val="16"/>
          <w:lang w:val="es-ES"/>
        </w:rPr>
        <w:t>Caso Gutiérrez Soler</w:t>
      </w:r>
      <w:r w:rsidRPr="007F3D68">
        <w:rPr>
          <w:rFonts w:asciiTheme="majorHAnsi" w:hAnsiTheme="majorHAnsi"/>
          <w:bCs/>
          <w:sz w:val="16"/>
          <w:szCs w:val="16"/>
          <w:lang w:val="es-ES"/>
        </w:rPr>
        <w:t>.</w:t>
      </w:r>
      <w:r w:rsidRPr="007F3D68">
        <w:rPr>
          <w:rFonts w:asciiTheme="majorHAnsi" w:hAnsiTheme="majorHAnsi"/>
          <w:b/>
          <w:bCs/>
          <w:sz w:val="16"/>
          <w:szCs w:val="16"/>
          <w:lang w:val="es-ES"/>
        </w:rPr>
        <w:t xml:space="preserve"> </w:t>
      </w:r>
      <w:r w:rsidRPr="007F3D68">
        <w:rPr>
          <w:rFonts w:asciiTheme="majorHAnsi" w:hAnsiTheme="majorHAnsi"/>
          <w:sz w:val="16"/>
          <w:szCs w:val="16"/>
          <w:lang w:val="es-ES"/>
        </w:rPr>
        <w:t xml:space="preserve">Fondo, Reparaciones y Costas. Sentencia de 12 de septiembre de 2005. Serie C No. 132, párr. 54; </w:t>
      </w:r>
      <w:r w:rsidRPr="007F3D68">
        <w:rPr>
          <w:rFonts w:asciiTheme="majorHAnsi" w:hAnsiTheme="majorHAnsi"/>
          <w:i/>
          <w:sz w:val="16"/>
          <w:szCs w:val="16"/>
          <w:lang w:val="es-ES"/>
        </w:rPr>
        <w:t>Caso Tibi</w:t>
      </w:r>
      <w:r w:rsidRPr="007F3D68">
        <w:rPr>
          <w:rFonts w:asciiTheme="majorHAnsi" w:hAnsiTheme="majorHAnsi"/>
          <w:sz w:val="16"/>
          <w:szCs w:val="16"/>
          <w:lang w:val="es-ES"/>
        </w:rPr>
        <w:t xml:space="preserve">. Sentencia de 7 de septiembre de 2004. Serie C No. 114, párr. 159 y </w:t>
      </w:r>
      <w:r w:rsidRPr="007F3D68">
        <w:rPr>
          <w:rFonts w:asciiTheme="majorHAnsi" w:hAnsiTheme="majorHAnsi"/>
          <w:bCs/>
          <w:sz w:val="16"/>
          <w:szCs w:val="16"/>
          <w:lang w:val="es-ES"/>
        </w:rPr>
        <w:t xml:space="preserve">Caso </w:t>
      </w:r>
      <w:proofErr w:type="spellStart"/>
      <w:r w:rsidRPr="007F3D68">
        <w:rPr>
          <w:rFonts w:asciiTheme="majorHAnsi" w:hAnsiTheme="majorHAnsi"/>
          <w:bCs/>
          <w:sz w:val="16"/>
          <w:szCs w:val="16"/>
          <w:lang w:val="es-ES"/>
        </w:rPr>
        <w:t>Ximenes</w:t>
      </w:r>
      <w:proofErr w:type="spellEnd"/>
      <w:r w:rsidRPr="007F3D68">
        <w:rPr>
          <w:rFonts w:asciiTheme="majorHAnsi" w:hAnsiTheme="majorHAnsi"/>
          <w:bCs/>
          <w:sz w:val="16"/>
          <w:szCs w:val="16"/>
          <w:lang w:val="es-ES"/>
        </w:rPr>
        <w:t xml:space="preserve"> </w:t>
      </w:r>
      <w:proofErr w:type="spellStart"/>
      <w:r w:rsidRPr="007F3D68">
        <w:rPr>
          <w:rFonts w:asciiTheme="majorHAnsi" w:hAnsiTheme="majorHAnsi"/>
          <w:bCs/>
          <w:sz w:val="16"/>
          <w:szCs w:val="16"/>
          <w:lang w:val="es-ES"/>
        </w:rPr>
        <w:t>Lopes</w:t>
      </w:r>
      <w:proofErr w:type="spellEnd"/>
      <w:r w:rsidRPr="007F3D68">
        <w:rPr>
          <w:rFonts w:asciiTheme="majorHAnsi" w:hAnsiTheme="majorHAnsi"/>
          <w:bCs/>
          <w:sz w:val="16"/>
          <w:szCs w:val="16"/>
          <w:lang w:val="es-ES"/>
        </w:rPr>
        <w:t>.</w:t>
      </w:r>
      <w:r w:rsidRPr="007F3D68">
        <w:rPr>
          <w:rFonts w:asciiTheme="majorHAnsi" w:hAnsiTheme="majorHAnsi"/>
          <w:b/>
          <w:bCs/>
          <w:sz w:val="16"/>
          <w:szCs w:val="16"/>
          <w:lang w:val="es-ES"/>
        </w:rPr>
        <w:t xml:space="preserve"> </w:t>
      </w:r>
      <w:r w:rsidRPr="007F3D68">
        <w:rPr>
          <w:rFonts w:asciiTheme="majorHAnsi" w:hAnsiTheme="majorHAnsi"/>
          <w:sz w:val="16"/>
          <w:szCs w:val="16"/>
          <w:lang w:val="es-ES"/>
        </w:rPr>
        <w:t xml:space="preserve">Fondo, Reparaciones y Costas. Sentencia de 4 de julio de 2006. Serie C No. 149, párr. 148. En el mismo sentido, </w:t>
      </w:r>
      <w:proofErr w:type="spellStart"/>
      <w:r w:rsidRPr="007F3D68">
        <w:rPr>
          <w:rFonts w:asciiTheme="majorHAnsi" w:hAnsiTheme="majorHAnsi"/>
          <w:i/>
          <w:sz w:val="16"/>
          <w:szCs w:val="16"/>
          <w:lang w:val="es-ES"/>
        </w:rPr>
        <w:t>Eur.C.H.R</w:t>
      </w:r>
      <w:proofErr w:type="spellEnd"/>
      <w:r w:rsidRPr="007F3D68">
        <w:rPr>
          <w:rFonts w:asciiTheme="majorHAnsi" w:hAnsiTheme="majorHAnsi"/>
          <w:i/>
          <w:sz w:val="16"/>
          <w:szCs w:val="16"/>
          <w:lang w:val="es-ES"/>
        </w:rPr>
        <w:t>.</w:t>
      </w:r>
      <w:r w:rsidRPr="007F3D68">
        <w:rPr>
          <w:rFonts w:asciiTheme="majorHAnsi" w:hAnsiTheme="majorHAnsi"/>
          <w:sz w:val="16"/>
          <w:szCs w:val="16"/>
          <w:lang w:val="es-ES"/>
        </w:rPr>
        <w:t xml:space="preserve">, </w:t>
      </w:r>
      <w:proofErr w:type="spellStart"/>
      <w:r w:rsidRPr="007F3D68">
        <w:rPr>
          <w:rFonts w:asciiTheme="majorHAnsi" w:hAnsiTheme="majorHAnsi"/>
          <w:i/>
          <w:sz w:val="16"/>
          <w:szCs w:val="16"/>
          <w:lang w:val="es-ES"/>
        </w:rPr>
        <w:t>Assenov</w:t>
      </w:r>
      <w:proofErr w:type="spellEnd"/>
      <w:r w:rsidRPr="007F3D68">
        <w:rPr>
          <w:rFonts w:asciiTheme="majorHAnsi" w:hAnsiTheme="majorHAnsi"/>
          <w:i/>
          <w:sz w:val="16"/>
          <w:szCs w:val="16"/>
          <w:lang w:val="es-ES"/>
        </w:rPr>
        <w:t xml:space="preserve"> and </w:t>
      </w:r>
      <w:proofErr w:type="spellStart"/>
      <w:r w:rsidRPr="007F3D68">
        <w:rPr>
          <w:rFonts w:asciiTheme="majorHAnsi" w:hAnsiTheme="majorHAnsi"/>
          <w:i/>
          <w:sz w:val="16"/>
          <w:szCs w:val="16"/>
          <w:lang w:val="es-ES"/>
        </w:rPr>
        <w:t>others</w:t>
      </w:r>
      <w:proofErr w:type="spellEnd"/>
      <w:r w:rsidRPr="007F3D68">
        <w:rPr>
          <w:rFonts w:asciiTheme="majorHAnsi" w:hAnsiTheme="majorHAnsi"/>
          <w:i/>
          <w:sz w:val="16"/>
          <w:szCs w:val="16"/>
          <w:lang w:val="es-ES"/>
        </w:rPr>
        <w:t xml:space="preserve"> v. Bulgaria, </w:t>
      </w:r>
      <w:r w:rsidRPr="007F3D68">
        <w:rPr>
          <w:rFonts w:asciiTheme="majorHAnsi" w:hAnsiTheme="majorHAnsi"/>
          <w:sz w:val="16"/>
          <w:szCs w:val="16"/>
          <w:lang w:val="es-ES"/>
        </w:rPr>
        <w:t xml:space="preserve">no. 90/1997/874/1086, </w:t>
      </w:r>
      <w:proofErr w:type="spellStart"/>
      <w:r w:rsidRPr="007F3D68">
        <w:rPr>
          <w:rFonts w:asciiTheme="majorHAnsi" w:hAnsiTheme="majorHAnsi"/>
          <w:sz w:val="16"/>
          <w:szCs w:val="16"/>
          <w:lang w:val="es-ES"/>
        </w:rPr>
        <w:t>Judgment</w:t>
      </w:r>
      <w:proofErr w:type="spellEnd"/>
      <w:r w:rsidRPr="007F3D68">
        <w:rPr>
          <w:rFonts w:asciiTheme="majorHAnsi" w:hAnsiTheme="majorHAnsi"/>
          <w:sz w:val="16"/>
          <w:szCs w:val="16"/>
          <w:lang w:val="es-ES"/>
        </w:rPr>
        <w:t xml:space="preserve"> of 28 </w:t>
      </w:r>
      <w:proofErr w:type="spellStart"/>
      <w:r w:rsidRPr="007F3D68">
        <w:rPr>
          <w:rFonts w:asciiTheme="majorHAnsi" w:hAnsiTheme="majorHAnsi"/>
          <w:sz w:val="16"/>
          <w:szCs w:val="16"/>
          <w:lang w:val="es-ES"/>
        </w:rPr>
        <w:t>October</w:t>
      </w:r>
      <w:proofErr w:type="spellEnd"/>
      <w:r w:rsidRPr="007F3D68">
        <w:rPr>
          <w:rFonts w:asciiTheme="majorHAnsi" w:hAnsiTheme="majorHAnsi"/>
          <w:sz w:val="16"/>
          <w:szCs w:val="16"/>
          <w:lang w:val="es-ES"/>
        </w:rPr>
        <w:t xml:space="preserve"> 1998, par. 102 y </w:t>
      </w:r>
      <w:proofErr w:type="spellStart"/>
      <w:r w:rsidRPr="007F3D68">
        <w:rPr>
          <w:rFonts w:asciiTheme="majorHAnsi" w:hAnsiTheme="majorHAnsi"/>
          <w:i/>
          <w:sz w:val="16"/>
          <w:szCs w:val="16"/>
          <w:lang w:val="es-ES"/>
        </w:rPr>
        <w:t>Eur.C.H.R</w:t>
      </w:r>
      <w:proofErr w:type="spellEnd"/>
      <w:r w:rsidRPr="007F3D68">
        <w:rPr>
          <w:rFonts w:asciiTheme="majorHAnsi" w:hAnsiTheme="majorHAnsi"/>
          <w:i/>
          <w:sz w:val="16"/>
          <w:szCs w:val="16"/>
          <w:lang w:val="es-ES"/>
        </w:rPr>
        <w:t>.</w:t>
      </w:r>
      <w:r w:rsidRPr="007F3D68">
        <w:rPr>
          <w:rFonts w:asciiTheme="majorHAnsi" w:hAnsiTheme="majorHAnsi"/>
          <w:sz w:val="16"/>
          <w:szCs w:val="16"/>
          <w:lang w:val="es-ES"/>
        </w:rPr>
        <w:t xml:space="preserve">, </w:t>
      </w:r>
      <w:proofErr w:type="spellStart"/>
      <w:r w:rsidRPr="007F3D68">
        <w:rPr>
          <w:rFonts w:asciiTheme="majorHAnsi" w:hAnsiTheme="majorHAnsi"/>
          <w:i/>
          <w:sz w:val="16"/>
          <w:szCs w:val="16"/>
          <w:lang w:val="es-ES"/>
        </w:rPr>
        <w:t>Ilhan</w:t>
      </w:r>
      <w:proofErr w:type="spellEnd"/>
      <w:r w:rsidRPr="007F3D68">
        <w:rPr>
          <w:rFonts w:asciiTheme="majorHAnsi" w:hAnsiTheme="majorHAnsi"/>
          <w:i/>
          <w:sz w:val="16"/>
          <w:szCs w:val="16"/>
          <w:lang w:val="es-ES"/>
        </w:rPr>
        <w:t xml:space="preserve"> v. </w:t>
      </w:r>
      <w:proofErr w:type="spellStart"/>
      <w:r w:rsidRPr="007F3D68">
        <w:rPr>
          <w:rFonts w:asciiTheme="majorHAnsi" w:hAnsiTheme="majorHAnsi"/>
          <w:i/>
          <w:sz w:val="16"/>
          <w:szCs w:val="16"/>
          <w:lang w:val="es-ES"/>
        </w:rPr>
        <w:t>Turkey</w:t>
      </w:r>
      <w:proofErr w:type="spellEnd"/>
      <w:r w:rsidRPr="007F3D68">
        <w:rPr>
          <w:rFonts w:asciiTheme="majorHAnsi" w:hAnsiTheme="majorHAnsi"/>
          <w:i/>
          <w:sz w:val="16"/>
          <w:szCs w:val="16"/>
          <w:lang w:val="es-ES"/>
        </w:rPr>
        <w:t xml:space="preserve"> </w:t>
      </w:r>
      <w:r w:rsidRPr="007F3D68">
        <w:rPr>
          <w:rFonts w:asciiTheme="majorHAnsi" w:hAnsiTheme="majorHAnsi"/>
          <w:sz w:val="16"/>
          <w:szCs w:val="16"/>
          <w:lang w:val="es-ES"/>
        </w:rPr>
        <w:t>[GC]</w:t>
      </w:r>
      <w:r w:rsidRPr="007F3D68">
        <w:rPr>
          <w:rFonts w:asciiTheme="majorHAnsi" w:hAnsiTheme="majorHAnsi"/>
          <w:i/>
          <w:sz w:val="16"/>
          <w:szCs w:val="16"/>
          <w:lang w:val="es-ES"/>
        </w:rPr>
        <w:t xml:space="preserve">, </w:t>
      </w:r>
      <w:r w:rsidRPr="007F3D68">
        <w:rPr>
          <w:rFonts w:asciiTheme="majorHAnsi" w:hAnsiTheme="majorHAnsi"/>
          <w:sz w:val="16"/>
          <w:szCs w:val="16"/>
          <w:lang w:val="es-ES"/>
        </w:rPr>
        <w:t xml:space="preserve">no. 22277/93, </w:t>
      </w:r>
      <w:proofErr w:type="spellStart"/>
      <w:r w:rsidRPr="007F3D68">
        <w:rPr>
          <w:rFonts w:asciiTheme="majorHAnsi" w:hAnsiTheme="majorHAnsi"/>
          <w:sz w:val="16"/>
          <w:szCs w:val="16"/>
          <w:lang w:val="es-ES"/>
        </w:rPr>
        <w:t>Judgment</w:t>
      </w:r>
      <w:proofErr w:type="spellEnd"/>
      <w:r w:rsidRPr="007F3D68">
        <w:rPr>
          <w:rFonts w:asciiTheme="majorHAnsi" w:hAnsiTheme="majorHAnsi"/>
          <w:sz w:val="16"/>
          <w:szCs w:val="16"/>
          <w:lang w:val="es-ES"/>
        </w:rPr>
        <w:t xml:space="preserve"> of 27 June 2000, paras. 89-93.</w:t>
      </w:r>
    </w:p>
  </w:footnote>
  <w:footnote w:id="108">
    <w:p w:rsidR="00F40EB1" w:rsidRPr="007F3D68" w:rsidRDefault="00F40EB1" w:rsidP="00BF224D">
      <w:pPr>
        <w:pStyle w:val="FootnoteText"/>
        <w:spacing w:after="120"/>
        <w:ind w:firstLine="720"/>
        <w:jc w:val="both"/>
        <w:rPr>
          <w:rFonts w:asciiTheme="majorHAnsi" w:hAnsiTheme="majorHAnsi"/>
          <w:sz w:val="16"/>
          <w:szCs w:val="16"/>
          <w:lang w:val="es-VE"/>
        </w:rPr>
      </w:pP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Corte IDH. Caso Montero Aranguren y </w:t>
      </w:r>
      <w:proofErr w:type="gramStart"/>
      <w:r w:rsidRPr="007F3D68">
        <w:rPr>
          <w:rFonts w:asciiTheme="majorHAnsi" w:hAnsiTheme="majorHAnsi"/>
          <w:sz w:val="16"/>
          <w:szCs w:val="16"/>
          <w:lang w:val="es-VE"/>
        </w:rPr>
        <w:t>otros</w:t>
      </w:r>
      <w:proofErr w:type="gramEnd"/>
      <w:r w:rsidRPr="007F3D68">
        <w:rPr>
          <w:rFonts w:asciiTheme="majorHAnsi" w:hAnsiTheme="majorHAnsi"/>
          <w:sz w:val="16"/>
          <w:szCs w:val="16"/>
          <w:lang w:val="es-VE"/>
        </w:rPr>
        <w:t xml:space="preserve"> (Retén de Catia) vs. Venezuela. Fondo, Reparaciones y Costas. Sentencia de 5 de julio de 2006. Serie C No. 150, párr.79.</w:t>
      </w:r>
    </w:p>
  </w:footnote>
  <w:footnote w:id="109">
    <w:p w:rsidR="00F40EB1" w:rsidRPr="007F3D68" w:rsidRDefault="00F40EB1" w:rsidP="00BF224D">
      <w:pPr>
        <w:pStyle w:val="FootnoteText"/>
        <w:spacing w:after="120"/>
        <w:ind w:firstLine="720"/>
        <w:jc w:val="both"/>
        <w:rPr>
          <w:rFonts w:asciiTheme="majorHAnsi" w:hAnsiTheme="majorHAnsi"/>
          <w:sz w:val="16"/>
          <w:szCs w:val="16"/>
          <w:lang w:val="es-VE"/>
        </w:rPr>
      </w:pP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Corte IDH. Caso Bueno Alves vs. Argentina. Fondo, Reparaciones y Costas. Sentencia de 11 de mayo de 2007. Serie C No. 16, párr.109.</w:t>
      </w:r>
    </w:p>
  </w:footnote>
  <w:footnote w:id="110">
    <w:p w:rsidR="00F40EB1" w:rsidRPr="007F3D68" w:rsidRDefault="00F40EB1" w:rsidP="00BF224D">
      <w:pPr>
        <w:pStyle w:val="FootnoteText"/>
        <w:spacing w:after="120"/>
        <w:ind w:firstLine="720"/>
        <w:jc w:val="both"/>
        <w:rPr>
          <w:rFonts w:asciiTheme="majorHAnsi" w:hAnsiTheme="majorHAnsi"/>
          <w:sz w:val="16"/>
          <w:szCs w:val="16"/>
          <w:lang w:val="es-VE"/>
        </w:rPr>
      </w:pP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Corte IDH. Caso Bueno Alves vs. Argentina. Fondo, Reparaciones y Costas. Sentencia de 11 de mayo de 2007. Serie C No. 16, párr.111.</w:t>
      </w:r>
    </w:p>
  </w:footnote>
  <w:footnote w:id="111">
    <w:p w:rsidR="00F40EB1" w:rsidRPr="007F3D68" w:rsidRDefault="00F40EB1" w:rsidP="00BF224D">
      <w:pPr>
        <w:pStyle w:val="FootnoteText"/>
        <w:keepNext/>
        <w:spacing w:after="120"/>
        <w:ind w:firstLine="720"/>
        <w:jc w:val="both"/>
        <w:rPr>
          <w:rFonts w:asciiTheme="majorHAnsi" w:hAnsiTheme="majorHAnsi"/>
          <w:sz w:val="16"/>
          <w:szCs w:val="16"/>
          <w:lang w:val="es-CO"/>
        </w:rPr>
      </w:pPr>
      <w:r w:rsidRPr="007F3D68">
        <w:rPr>
          <w:rStyle w:val="FootnoteReference"/>
          <w:rFonts w:asciiTheme="majorHAnsi" w:hAnsiTheme="majorHAnsi"/>
          <w:color w:val="auto"/>
          <w:sz w:val="16"/>
          <w:szCs w:val="16"/>
          <w:lang w:val="es-ES"/>
        </w:rPr>
        <w:footnoteRef/>
      </w:r>
      <w:r w:rsidRPr="007F3D68">
        <w:rPr>
          <w:rFonts w:asciiTheme="majorHAnsi" w:hAnsiTheme="majorHAnsi"/>
          <w:color w:val="auto"/>
          <w:sz w:val="16"/>
          <w:szCs w:val="16"/>
          <w:lang w:val="es-ES"/>
        </w:rPr>
        <w:t xml:space="preserve"> Comité contra la Tortura. Examen de informes presentados por los Estados Partes en virtud del artículo 19 de la Convención.  CAT/c/MEX/CO/4. 6 de febrero de 2007. </w:t>
      </w:r>
    </w:p>
  </w:footnote>
  <w:footnote w:id="112">
    <w:p w:rsidR="00F40EB1" w:rsidRPr="007F3D68" w:rsidRDefault="00F40EB1" w:rsidP="00BF224D">
      <w:pPr>
        <w:pStyle w:val="FootnoteText"/>
        <w:keepNext/>
        <w:spacing w:after="120"/>
        <w:ind w:firstLine="720"/>
        <w:jc w:val="both"/>
        <w:rPr>
          <w:rFonts w:asciiTheme="majorHAnsi" w:hAnsiTheme="majorHAnsi"/>
          <w:sz w:val="16"/>
          <w:szCs w:val="16"/>
          <w:lang w:val="es-CO"/>
        </w:rPr>
      </w:pPr>
      <w:r w:rsidRPr="007F3D68">
        <w:rPr>
          <w:rStyle w:val="FootnoteReference"/>
          <w:rFonts w:asciiTheme="majorHAnsi" w:hAnsiTheme="majorHAnsi"/>
          <w:color w:val="auto"/>
          <w:sz w:val="16"/>
          <w:szCs w:val="16"/>
          <w:lang w:val="es-ES"/>
        </w:rPr>
        <w:footnoteRef/>
      </w:r>
      <w:r w:rsidRPr="007F3D68">
        <w:rPr>
          <w:rFonts w:asciiTheme="majorHAnsi" w:hAnsiTheme="majorHAnsi"/>
          <w:color w:val="auto"/>
          <w:sz w:val="16"/>
          <w:szCs w:val="16"/>
          <w:lang w:val="es-ES"/>
        </w:rPr>
        <w:t xml:space="preserve"> Véase: Manual para la investigación y documentación eficaces de la tortura y otros tratos o penas crueles, </w:t>
      </w:r>
      <w:proofErr w:type="gramStart"/>
      <w:r w:rsidRPr="007F3D68">
        <w:rPr>
          <w:rFonts w:asciiTheme="majorHAnsi" w:hAnsiTheme="majorHAnsi"/>
          <w:color w:val="auto"/>
          <w:sz w:val="16"/>
          <w:szCs w:val="16"/>
          <w:lang w:val="es-ES"/>
        </w:rPr>
        <w:t>inhumanos</w:t>
      </w:r>
      <w:proofErr w:type="gramEnd"/>
      <w:r w:rsidRPr="007F3D68">
        <w:rPr>
          <w:rFonts w:asciiTheme="majorHAnsi" w:hAnsiTheme="majorHAnsi"/>
          <w:color w:val="auto"/>
          <w:sz w:val="16"/>
          <w:szCs w:val="16"/>
          <w:lang w:val="es-ES"/>
        </w:rPr>
        <w:t xml:space="preserve"> o degradantes "Protocolo de Estambul". Oficina del Alto Comisionado de las Naciones Unidas para los Derechos Humanos, Naciones Unidas, Nueva Cork y Ginebra, 2001. </w:t>
      </w:r>
    </w:p>
  </w:footnote>
  <w:footnote w:id="113">
    <w:p w:rsidR="00F40EB1" w:rsidRPr="007F3D68" w:rsidRDefault="00F40EB1" w:rsidP="00A5569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CO"/>
        </w:rPr>
      </w:pPr>
      <w:r w:rsidRPr="007F3D68">
        <w:rPr>
          <w:rStyle w:val="FootnoteReference"/>
          <w:rFonts w:ascii="Cambria" w:hAnsi="Cambria"/>
          <w:color w:val="auto"/>
          <w:sz w:val="16"/>
          <w:szCs w:val="16"/>
        </w:rPr>
        <w:footnoteRef/>
      </w:r>
      <w:r w:rsidRPr="007F3D68">
        <w:rPr>
          <w:rFonts w:ascii="Cambria" w:hAnsi="Cambria"/>
          <w:color w:val="auto"/>
          <w:sz w:val="16"/>
          <w:szCs w:val="16"/>
          <w:lang w:val="es-ES"/>
        </w:rPr>
        <w:t xml:space="preserve"> El artículo 15 de la Convención contra la Tortura y Otros Tratos o Penas Crueles, Inhumanos o Degradantes establece que “[t]</w:t>
      </w:r>
      <w:proofErr w:type="spellStart"/>
      <w:r w:rsidRPr="007F3D68">
        <w:rPr>
          <w:rFonts w:ascii="Cambria" w:hAnsi="Cambria"/>
          <w:color w:val="auto"/>
          <w:sz w:val="16"/>
          <w:szCs w:val="16"/>
          <w:lang w:val="es-ES"/>
        </w:rPr>
        <w:t>odo</w:t>
      </w:r>
      <w:proofErr w:type="spellEnd"/>
      <w:r w:rsidRPr="007F3D68">
        <w:rPr>
          <w:rFonts w:ascii="Cambria" w:hAnsi="Cambria"/>
          <w:color w:val="auto"/>
          <w:sz w:val="16"/>
          <w:szCs w:val="16"/>
          <w:lang w:val="es-ES"/>
        </w:rPr>
        <w:t xml:space="preserve"> Estado Parte se asegurará de que ninguna declaración que se demuestre que ha sido hecha como resultado de tortura pueda ser invocada como prueba en ningún procedimiento, salvo en contra de una persona acusada de tortura como prueba de que se ha formulado la declaración”. Por su parte, el  artículo 10 de la Convención Interamericana para Prevenir y Sancionar la Tortura indica que “[n]</w:t>
      </w:r>
      <w:proofErr w:type="spellStart"/>
      <w:r w:rsidRPr="007F3D68">
        <w:rPr>
          <w:rFonts w:ascii="Cambria" w:hAnsi="Cambria"/>
          <w:color w:val="auto"/>
          <w:sz w:val="16"/>
          <w:szCs w:val="16"/>
          <w:lang w:val="es-ES"/>
        </w:rPr>
        <w:t>inguna</w:t>
      </w:r>
      <w:proofErr w:type="spellEnd"/>
      <w:r w:rsidRPr="007F3D68">
        <w:rPr>
          <w:rFonts w:ascii="Cambria" w:hAnsi="Cambria"/>
          <w:color w:val="auto"/>
          <w:sz w:val="16"/>
          <w:szCs w:val="16"/>
          <w:lang w:val="es-ES"/>
        </w:rPr>
        <w:t xml:space="preserve"> declaración que se compruebe haber sido obtenida mediante tortura podrá ser admitida como medio de prueba en un proceso, salvo en el que se siga contra la persona o personas acusadas de haberla obtenido mediante actos de tortura y únicamente como prueba de que por ese medio el acusado obtuvo tal declaración”.</w:t>
      </w:r>
    </w:p>
  </w:footnote>
  <w:footnote w:id="114">
    <w:p w:rsidR="00F40EB1" w:rsidRPr="007F3D68" w:rsidRDefault="00F40EB1" w:rsidP="00A5569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CO"/>
        </w:rPr>
      </w:pPr>
      <w:r w:rsidRPr="007F3D68">
        <w:rPr>
          <w:rStyle w:val="FootnoteReference"/>
          <w:rFonts w:ascii="Cambria" w:hAnsi="Cambria"/>
          <w:color w:val="auto"/>
          <w:sz w:val="16"/>
          <w:szCs w:val="16"/>
        </w:rPr>
        <w:footnoteRef/>
      </w:r>
      <w:r w:rsidRPr="007F3D68">
        <w:rPr>
          <w:rFonts w:ascii="Cambria" w:hAnsi="Cambria"/>
          <w:color w:val="auto"/>
          <w:sz w:val="16"/>
          <w:szCs w:val="16"/>
          <w:lang w:val="es-ES"/>
        </w:rPr>
        <w:t xml:space="preserve"> Al respecto, el Comité  contra  la  Tortura  ha  señalado que “las obligaciones previstas en los artículos 2 (según el cual “en ningún caso podrán invocarse circunstancias excepcionales como justificación de la tortura”), 15 (que prohíbe admitir como prueba las confesiones obtenidas mediante tortura, salvo en contra del torturador) y 16 (que prohíbe los tratos o penas crueles, inhumanos o degradantes) deben respetarse en todo momento”.  Cfr. Naciones Unidas. Comité contra la Tortura. Observación General No. 2, ‘Aplicación del artículo 2 por los Estados Partes’ de 24 de enero de 2008 (CAT/C/GC/2), párr. 6. Por su parte, el Comité de Derechos Humanos ha indicado lo siguiente: “Las garantías procesales nunca podrán ser objeto de medidas derogatorias que soslayen la protección de derechos que no son susceptibles de suspensión.  (…) ninguna declaración o confesión o, en principio, ninguna prueba que se obtenga en violación de esta disposición podrá admitirse en los procesos previstos por el artículo 14, incluso durante un estado de excepción, salvo si una declaración o confesión obtenida en violación del artículo 7 se utiliza como prueba de tortura u otro trato prohibido por esta disposición”. Naciones Unidas. Comité de Derechos humanos. Observación general N° 32, El derecho a un juicio imparcial y a la igualdad ante los tribunales y cortes de justicia (HRI/GEN/1/Rev.9 (vol. I)), </w:t>
      </w:r>
      <w:proofErr w:type="spellStart"/>
      <w:r w:rsidRPr="007F3D68">
        <w:rPr>
          <w:rFonts w:ascii="Cambria" w:hAnsi="Cambria"/>
          <w:color w:val="auto"/>
          <w:sz w:val="16"/>
          <w:szCs w:val="16"/>
          <w:lang w:val="es-ES"/>
        </w:rPr>
        <w:t>párr</w:t>
      </w:r>
      <w:proofErr w:type="spellEnd"/>
      <w:r w:rsidRPr="007F3D68">
        <w:rPr>
          <w:rFonts w:ascii="Cambria" w:hAnsi="Cambria"/>
          <w:color w:val="auto"/>
          <w:sz w:val="16"/>
          <w:szCs w:val="16"/>
          <w:lang w:val="es-ES"/>
        </w:rPr>
        <w:t xml:space="preserve"> 6.</w:t>
      </w:r>
    </w:p>
  </w:footnote>
  <w:footnote w:id="115">
    <w:p w:rsidR="00F40EB1" w:rsidRPr="007F3D68" w:rsidRDefault="00F40EB1" w:rsidP="00A5569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CO"/>
        </w:rPr>
      </w:pPr>
      <w:r w:rsidRPr="007F3D68">
        <w:rPr>
          <w:rStyle w:val="FootnoteReference"/>
          <w:rFonts w:ascii="Cambria" w:hAnsi="Cambria"/>
          <w:color w:val="auto"/>
          <w:sz w:val="16"/>
          <w:szCs w:val="16"/>
        </w:rPr>
        <w:footnoteRef/>
      </w:r>
      <w:r w:rsidRPr="007F3D68">
        <w:rPr>
          <w:rFonts w:ascii="Cambria" w:hAnsi="Cambria"/>
          <w:color w:val="auto"/>
          <w:sz w:val="16"/>
          <w:szCs w:val="16"/>
          <w:lang w:val="es-ES"/>
        </w:rPr>
        <w:t xml:space="preserve"> </w:t>
      </w:r>
      <w:r w:rsidRPr="007F3D68">
        <w:rPr>
          <w:rFonts w:ascii="Cambria" w:hAnsi="Cambria" w:cs="Arial"/>
          <w:color w:val="auto"/>
          <w:sz w:val="16"/>
          <w:szCs w:val="16"/>
          <w:shd w:val="clear" w:color="auto" w:fill="FFFFFF"/>
          <w:lang w:val="es-ES"/>
        </w:rPr>
        <w:t xml:space="preserve">Corte IDH. Caso Cabrera García y Montiel Flores Vs. México. Supervisión de Cumplimiento de Sentencia. Resolución de la Corte Interamericana de Derechos Humanos de 21 de agosto de 2013, párr. 165. </w:t>
      </w:r>
    </w:p>
  </w:footnote>
  <w:footnote w:id="116">
    <w:p w:rsidR="00F40EB1" w:rsidRPr="007F3D68" w:rsidRDefault="00F40EB1" w:rsidP="00A5569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CO"/>
        </w:rPr>
      </w:pPr>
      <w:r w:rsidRPr="007F3D68">
        <w:rPr>
          <w:rStyle w:val="FootnoteReference"/>
          <w:rFonts w:ascii="Cambria" w:hAnsi="Cambria"/>
          <w:color w:val="auto"/>
          <w:sz w:val="16"/>
          <w:szCs w:val="16"/>
        </w:rPr>
        <w:footnoteRef/>
      </w:r>
      <w:r w:rsidRPr="007F3D68">
        <w:rPr>
          <w:rFonts w:ascii="Cambria" w:hAnsi="Cambria"/>
          <w:color w:val="auto"/>
          <w:sz w:val="16"/>
          <w:szCs w:val="16"/>
          <w:lang w:val="es-MX"/>
        </w:rPr>
        <w:t xml:space="preserve"> CIDH, Informe sobre la Situación de los Derechos Humanos en México, Capítulo IV: el derecho a la integridad personal, OEA/</w:t>
      </w:r>
      <w:proofErr w:type="spellStart"/>
      <w:r w:rsidRPr="007F3D68">
        <w:rPr>
          <w:rFonts w:ascii="Cambria" w:hAnsi="Cambria"/>
          <w:color w:val="auto"/>
          <w:sz w:val="16"/>
          <w:szCs w:val="16"/>
          <w:lang w:val="es-MX"/>
        </w:rPr>
        <w:t>Ser.L</w:t>
      </w:r>
      <w:proofErr w:type="spellEnd"/>
      <w:r w:rsidRPr="007F3D68">
        <w:rPr>
          <w:rFonts w:ascii="Cambria" w:hAnsi="Cambria"/>
          <w:color w:val="auto"/>
          <w:sz w:val="16"/>
          <w:szCs w:val="16"/>
          <w:lang w:val="es-MX"/>
        </w:rPr>
        <w:t xml:space="preserve">/V/II.100, Doc. 7. </w:t>
      </w:r>
      <w:proofErr w:type="spellStart"/>
      <w:r w:rsidRPr="007F3D68">
        <w:rPr>
          <w:rFonts w:ascii="Cambria" w:hAnsi="Cambria"/>
          <w:color w:val="auto"/>
          <w:sz w:val="16"/>
          <w:szCs w:val="16"/>
          <w:lang w:val="es-MX"/>
        </w:rPr>
        <w:t>rev.</w:t>
      </w:r>
      <w:proofErr w:type="spellEnd"/>
      <w:r w:rsidRPr="007F3D68">
        <w:rPr>
          <w:rFonts w:ascii="Cambria" w:hAnsi="Cambria"/>
          <w:color w:val="auto"/>
          <w:sz w:val="16"/>
          <w:szCs w:val="16"/>
          <w:lang w:val="es-MX"/>
        </w:rPr>
        <w:t xml:space="preserve"> 1, 24 de septiembre de 1998, párr. 320.</w:t>
      </w:r>
    </w:p>
  </w:footnote>
  <w:footnote w:id="117">
    <w:p w:rsidR="00F40EB1" w:rsidRPr="007F3D68" w:rsidRDefault="00F40EB1" w:rsidP="00A5569C">
      <w:pPr>
        <w:pBdr>
          <w:top w:val="none" w:sz="0" w:space="0" w:color="auto"/>
          <w:left w:val="none" w:sz="0" w:space="0" w:color="auto"/>
          <w:bottom w:val="none" w:sz="0" w:space="0" w:color="auto"/>
          <w:right w:val="none" w:sz="0" w:space="0" w:color="auto"/>
          <w:bar w:val="none" w:sz="0" w:color="auto"/>
        </w:pBdr>
        <w:spacing w:after="120"/>
        <w:ind w:firstLine="720"/>
        <w:jc w:val="both"/>
        <w:rPr>
          <w:lang w:val="es-CO"/>
        </w:rPr>
      </w:pPr>
      <w:r w:rsidRPr="007F3D68">
        <w:rPr>
          <w:rStyle w:val="FootnoteReference"/>
          <w:rFonts w:ascii="Cambria" w:hAnsi="Cambria"/>
          <w:sz w:val="16"/>
          <w:szCs w:val="16"/>
        </w:rPr>
        <w:footnoteRef/>
      </w:r>
      <w:r w:rsidRPr="007F3D68">
        <w:rPr>
          <w:rFonts w:ascii="Cambria" w:hAnsi="Cambria"/>
          <w:sz w:val="16"/>
          <w:szCs w:val="16"/>
          <w:lang w:val="es-CO"/>
        </w:rPr>
        <w:t xml:space="preserve"> </w:t>
      </w:r>
      <w:r w:rsidRPr="007F3D68">
        <w:rPr>
          <w:rFonts w:ascii="Cambria" w:hAnsi="Cambria"/>
          <w:sz w:val="16"/>
          <w:szCs w:val="16"/>
          <w:shd w:val="clear" w:color="auto" w:fill="FFFFFF"/>
          <w:lang w:val="es-CO"/>
        </w:rPr>
        <w:t xml:space="preserve">Corte IDH. </w:t>
      </w:r>
      <w:r w:rsidRPr="007F3D68">
        <w:rPr>
          <w:rFonts w:ascii="Cambria" w:hAnsi="Cambria"/>
          <w:sz w:val="16"/>
          <w:szCs w:val="16"/>
          <w:shd w:val="clear" w:color="auto" w:fill="FFFFFF"/>
          <w:lang w:val="es-ES"/>
        </w:rPr>
        <w:t xml:space="preserve">Caso Cabrera García y Montiel Flores Vs. México. Supervisión de Cumplimiento de Sentencia. Resolución de la Corte Interamericana de Derechos Humanos de 21 de agosto de 2013, párr. 166. </w:t>
      </w:r>
      <w:r w:rsidRPr="007F3D68">
        <w:rPr>
          <w:rFonts w:ascii="Cambria" w:hAnsi="Cambria"/>
          <w:sz w:val="16"/>
          <w:szCs w:val="16"/>
          <w:lang w:val="es-ES"/>
        </w:rPr>
        <w:t>Corte IDH. Caso García Cruz y Sánchez Silvestre Vs. México. Fondo, Reparaciones y Costas. Sentencia de 26 de noviembre de 2013. Serie C No. 273, párr. 58, ver particularmente nota al pie 73.</w:t>
      </w:r>
    </w:p>
  </w:footnote>
  <w:footnote w:id="118">
    <w:p w:rsidR="00F40EB1" w:rsidRPr="007F3D68" w:rsidRDefault="00F40EB1" w:rsidP="00A5569C">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Theme="majorHAnsi" w:hAnsiTheme="majorHAnsi"/>
          <w:sz w:val="16"/>
          <w:szCs w:val="16"/>
          <w:lang w:val="es-CO"/>
        </w:rPr>
      </w:pPr>
      <w:r w:rsidRPr="007F3D68">
        <w:rPr>
          <w:rStyle w:val="FootnoteReference"/>
          <w:rFonts w:ascii="Cambria" w:hAnsi="Cambria"/>
          <w:color w:val="auto"/>
          <w:sz w:val="16"/>
          <w:szCs w:val="16"/>
        </w:rPr>
        <w:footnoteRef/>
      </w:r>
      <w:r w:rsidRPr="007F3D68">
        <w:rPr>
          <w:rFonts w:ascii="Cambria" w:hAnsi="Cambria"/>
          <w:color w:val="auto"/>
          <w:sz w:val="16"/>
          <w:szCs w:val="16"/>
          <w:lang w:val="es-ES"/>
        </w:rPr>
        <w:t xml:space="preserve"> </w:t>
      </w:r>
      <w:r w:rsidRPr="007F3D68">
        <w:rPr>
          <w:rFonts w:ascii="Cambria" w:hAnsi="Cambria" w:cs="Arial"/>
          <w:color w:val="auto"/>
          <w:sz w:val="16"/>
          <w:szCs w:val="16"/>
          <w:shd w:val="clear" w:color="auto" w:fill="FFFFFF"/>
          <w:lang w:val="es-ES"/>
        </w:rPr>
        <w:t xml:space="preserve">Corte IDH. Caso Cabrera García y Montiel Flores Vs. México. Supervisión de Cumplimiento de Sentencia. Resolución de la Corte </w:t>
      </w:r>
      <w:r w:rsidRPr="007F3D68">
        <w:rPr>
          <w:rFonts w:asciiTheme="majorHAnsi" w:hAnsiTheme="majorHAnsi" w:cs="Arial"/>
          <w:color w:val="auto"/>
          <w:sz w:val="16"/>
          <w:szCs w:val="16"/>
          <w:shd w:val="clear" w:color="auto" w:fill="FFFFFF"/>
          <w:lang w:val="es-ES"/>
        </w:rPr>
        <w:t xml:space="preserve">Interamericana de Derechos Humanos de 21 de agosto de 2013, párr. 166. </w:t>
      </w:r>
    </w:p>
  </w:footnote>
  <w:footnote w:id="119">
    <w:p w:rsidR="00F40EB1" w:rsidRPr="007F3D68" w:rsidRDefault="00F40EB1" w:rsidP="00602A16">
      <w:pPr>
        <w:pStyle w:val="FootnoteText"/>
        <w:ind w:firstLine="720"/>
        <w:jc w:val="both"/>
        <w:rPr>
          <w:rFonts w:asciiTheme="majorHAnsi" w:hAnsiTheme="majorHAnsi"/>
          <w:sz w:val="16"/>
          <w:szCs w:val="16"/>
          <w:lang w:val="es-CO"/>
        </w:rPr>
      </w:pPr>
      <w:r w:rsidRPr="007F3D68">
        <w:rPr>
          <w:rStyle w:val="FootnoteReference"/>
          <w:rFonts w:asciiTheme="majorHAnsi" w:hAnsiTheme="majorHAnsi"/>
          <w:sz w:val="16"/>
          <w:szCs w:val="16"/>
        </w:rPr>
        <w:footnoteRef/>
      </w:r>
      <w:r w:rsidRPr="007F3D68">
        <w:rPr>
          <w:rFonts w:asciiTheme="majorHAnsi" w:hAnsiTheme="majorHAnsi"/>
          <w:sz w:val="16"/>
          <w:szCs w:val="16"/>
          <w:lang w:val="es-CO"/>
        </w:rPr>
        <w:t xml:space="preserve"> CIDH. Informe No. 40/14. Caso 11.438. Admisibilidad y Fondo. Herrera Espinoza y otros. Ecuador. 17 de julio de 2011. Párr. 182.  </w:t>
      </w:r>
    </w:p>
  </w:footnote>
  <w:footnote w:id="120">
    <w:p w:rsidR="00F40EB1" w:rsidRPr="007F3D68" w:rsidRDefault="00F40EB1" w:rsidP="00242EAC">
      <w:pPr>
        <w:pStyle w:val="FootnoteText"/>
        <w:spacing w:after="120"/>
        <w:ind w:firstLine="720"/>
        <w:jc w:val="both"/>
        <w:rPr>
          <w:rFonts w:ascii="Cambria" w:hAnsi="Cambria"/>
          <w:sz w:val="16"/>
          <w:szCs w:val="16"/>
          <w:lang w:val="es-US"/>
        </w:rPr>
      </w:pPr>
      <w:r w:rsidRPr="007F3D68">
        <w:rPr>
          <w:rStyle w:val="FootnoteReference"/>
          <w:rFonts w:ascii="Cambria" w:hAnsi="Cambria"/>
          <w:sz w:val="16"/>
          <w:szCs w:val="16"/>
        </w:rPr>
        <w:footnoteRef/>
      </w:r>
      <w:r w:rsidRPr="007F3D68">
        <w:rPr>
          <w:rFonts w:ascii="Cambria" w:hAnsi="Cambria"/>
          <w:sz w:val="16"/>
          <w:szCs w:val="16"/>
          <w:lang w:val="es-US"/>
        </w:rPr>
        <w:t xml:space="preserve"> CIDH, Informe No. 5/96. Caso 10.970. Raquel Martín de Mejía (Perú), 1 de marzo de 1996. </w:t>
      </w:r>
    </w:p>
  </w:footnote>
  <w:footnote w:id="121">
    <w:p w:rsidR="00F40EB1" w:rsidRPr="007F3D68" w:rsidRDefault="00F40EB1" w:rsidP="00242EAC">
      <w:pPr>
        <w:pStyle w:val="FootnoteText"/>
        <w:spacing w:after="120"/>
        <w:ind w:firstLine="720"/>
        <w:jc w:val="both"/>
        <w:rPr>
          <w:rFonts w:ascii="Cambria" w:hAnsi="Cambria"/>
          <w:sz w:val="16"/>
          <w:szCs w:val="16"/>
          <w:lang w:val="es-US"/>
        </w:rPr>
      </w:pPr>
      <w:r w:rsidRPr="007F3D68">
        <w:rPr>
          <w:rStyle w:val="FootnoteReference"/>
          <w:rFonts w:ascii="Cambria" w:hAnsi="Cambria"/>
          <w:sz w:val="16"/>
          <w:szCs w:val="16"/>
        </w:rPr>
        <w:footnoteRef/>
      </w:r>
      <w:r w:rsidRPr="007F3D68">
        <w:rPr>
          <w:rFonts w:ascii="Cambria" w:hAnsi="Cambria"/>
          <w:sz w:val="16"/>
          <w:szCs w:val="16"/>
          <w:lang w:val="es-US"/>
        </w:rPr>
        <w:t xml:space="preserve"> CIDH, Informe No. 53/01. Caso 11.565. Ana, Beatriz y Celia González Pérez. México. 4 de abril de 2001. </w:t>
      </w:r>
    </w:p>
  </w:footnote>
  <w:footnote w:id="122">
    <w:p w:rsidR="00F40EB1" w:rsidRPr="007F3D68" w:rsidRDefault="00F40EB1" w:rsidP="00242EAC">
      <w:pPr>
        <w:pStyle w:val="FootnoteText"/>
        <w:spacing w:after="120"/>
        <w:ind w:firstLine="720"/>
        <w:jc w:val="both"/>
        <w:rPr>
          <w:rFonts w:ascii="Cambria" w:hAnsi="Cambria"/>
          <w:sz w:val="16"/>
          <w:szCs w:val="16"/>
          <w:lang w:val="es-US"/>
        </w:rPr>
      </w:pPr>
      <w:r w:rsidRPr="007F3D68">
        <w:rPr>
          <w:rStyle w:val="FootnoteReference"/>
          <w:rFonts w:ascii="Cambria" w:hAnsi="Cambria"/>
          <w:sz w:val="16"/>
          <w:szCs w:val="16"/>
        </w:rPr>
        <w:footnoteRef/>
      </w:r>
      <w:r w:rsidRPr="007F3D68">
        <w:rPr>
          <w:rFonts w:ascii="Cambria" w:hAnsi="Cambria"/>
          <w:sz w:val="16"/>
          <w:szCs w:val="16"/>
          <w:lang w:val="es-US"/>
        </w:rPr>
        <w:t xml:space="preserve"> Ver, entre otros: CIDH, Informe No. 33/16, Caso 12.797. Fondo. Linda Loaiza López Soto y familiares. Venezuela. 29 de julio de 2016, párr.175; </w:t>
      </w:r>
      <w:r w:rsidRPr="007F3D68">
        <w:rPr>
          <w:rFonts w:ascii="Cambria" w:hAnsi="Cambria"/>
          <w:sz w:val="16"/>
          <w:szCs w:val="16"/>
          <w:lang w:val="es-ES_tradnl"/>
        </w:rPr>
        <w:t xml:space="preserve">CIDH, Informe 76/11, Caso 11.769, Fondo, J., Perú, 20 de julio de 2011; y </w:t>
      </w:r>
      <w:r w:rsidRPr="007F3D68">
        <w:rPr>
          <w:rFonts w:ascii="Cambria" w:eastAsia="Times New Roman" w:hAnsi="Cambria"/>
          <w:bCs/>
          <w:sz w:val="16"/>
          <w:szCs w:val="16"/>
          <w:shd w:val="clear" w:color="auto" w:fill="FFFFFF"/>
          <w:lang w:val="es-ES"/>
        </w:rPr>
        <w:t xml:space="preserve">Corte IDH. Caso Fernández Ortega y otros. Vs. México. Excepción Preliminar, Fondo, Reparaciones y Costas. Sentencia de 30 de agosto de 2010 Serie C No. 215. </w:t>
      </w:r>
    </w:p>
  </w:footnote>
  <w:footnote w:id="123">
    <w:p w:rsidR="00F40EB1" w:rsidRPr="007F3D68" w:rsidRDefault="00F40EB1" w:rsidP="00242EAC">
      <w:pPr>
        <w:pStyle w:val="FootnoteText"/>
        <w:spacing w:after="120"/>
        <w:ind w:firstLine="720"/>
        <w:jc w:val="both"/>
        <w:rPr>
          <w:rFonts w:ascii="Cambria" w:hAnsi="Cambria"/>
          <w:sz w:val="16"/>
          <w:szCs w:val="16"/>
          <w:lang w:val="es-US"/>
        </w:rPr>
      </w:pPr>
      <w:r w:rsidRPr="007F3D68">
        <w:rPr>
          <w:rStyle w:val="FootnoteReference"/>
          <w:rFonts w:ascii="Cambria" w:hAnsi="Cambria"/>
          <w:sz w:val="16"/>
          <w:szCs w:val="16"/>
        </w:rPr>
        <w:footnoteRef/>
      </w:r>
      <w:r w:rsidRPr="007F3D68">
        <w:rPr>
          <w:rFonts w:ascii="Cambria" w:hAnsi="Cambria"/>
          <w:sz w:val="16"/>
          <w:szCs w:val="16"/>
          <w:lang w:val="es-US"/>
        </w:rPr>
        <w:t xml:space="preserve"> </w:t>
      </w:r>
      <w:r w:rsidRPr="007F3D68">
        <w:rPr>
          <w:rFonts w:ascii="Cambria" w:hAnsi="Cambria"/>
          <w:sz w:val="16"/>
          <w:szCs w:val="16"/>
          <w:lang w:val="es-ES"/>
        </w:rPr>
        <w:t xml:space="preserve">Corte IDH, </w:t>
      </w:r>
      <w:r w:rsidRPr="007F3D68">
        <w:rPr>
          <w:rFonts w:ascii="Cambria" w:hAnsi="Cambria"/>
          <w:bCs/>
          <w:sz w:val="16"/>
          <w:szCs w:val="16"/>
          <w:lang w:val="es-US"/>
        </w:rPr>
        <w:t xml:space="preserve">Caso del Penal Miguel Castro </w:t>
      </w:r>
      <w:proofErr w:type="spellStart"/>
      <w:r w:rsidRPr="007F3D68">
        <w:rPr>
          <w:rFonts w:ascii="Cambria" w:hAnsi="Cambria"/>
          <w:bCs/>
          <w:sz w:val="16"/>
          <w:szCs w:val="16"/>
          <w:lang w:val="es-US"/>
        </w:rPr>
        <w:t>Castro</w:t>
      </w:r>
      <w:proofErr w:type="spellEnd"/>
      <w:r w:rsidRPr="007F3D68">
        <w:rPr>
          <w:rFonts w:ascii="Cambria" w:hAnsi="Cambria"/>
          <w:bCs/>
          <w:sz w:val="16"/>
          <w:szCs w:val="16"/>
          <w:lang w:val="es-US"/>
        </w:rPr>
        <w:t xml:space="preserve">. </w:t>
      </w:r>
      <w:r w:rsidRPr="007F3D68">
        <w:rPr>
          <w:rFonts w:ascii="Cambria" w:hAnsi="Cambria"/>
          <w:sz w:val="16"/>
          <w:szCs w:val="16"/>
          <w:lang w:val="es-ES"/>
        </w:rPr>
        <w:t>Fondo, Reparaciones y Costas.</w:t>
      </w:r>
      <w:r w:rsidRPr="007F3D68">
        <w:rPr>
          <w:rFonts w:ascii="Cambria" w:hAnsi="Cambria"/>
          <w:bCs/>
          <w:sz w:val="16"/>
          <w:szCs w:val="16"/>
          <w:lang w:val="es-US"/>
        </w:rPr>
        <w:t xml:space="preserve"> </w:t>
      </w:r>
      <w:r w:rsidRPr="007F3D68">
        <w:rPr>
          <w:rFonts w:ascii="Cambria" w:hAnsi="Cambria"/>
          <w:sz w:val="16"/>
          <w:szCs w:val="16"/>
          <w:lang w:val="es-US"/>
        </w:rPr>
        <w:t xml:space="preserve">Sentencia de 25 de noviembre de 2006. Serie C No. 160, párr. 310; y </w:t>
      </w:r>
      <w:r w:rsidRPr="007F3D68">
        <w:rPr>
          <w:rStyle w:val="Strong"/>
          <w:rFonts w:ascii="Cambria" w:hAnsi="Cambria"/>
          <w:b w:val="0"/>
          <w:sz w:val="16"/>
          <w:szCs w:val="16"/>
          <w:shd w:val="clear" w:color="auto" w:fill="FFFFFF"/>
          <w:lang w:val="es-US"/>
        </w:rPr>
        <w:t xml:space="preserve">Corte IDH. Caso J. Vs. </w:t>
      </w:r>
      <w:r w:rsidRPr="007F3D68">
        <w:rPr>
          <w:rStyle w:val="Strong"/>
          <w:rFonts w:ascii="Cambria" w:hAnsi="Cambria"/>
          <w:b w:val="0"/>
          <w:sz w:val="16"/>
          <w:szCs w:val="16"/>
          <w:shd w:val="clear" w:color="auto" w:fill="FFFFFF"/>
          <w:lang w:val="es-ES"/>
        </w:rPr>
        <w:t xml:space="preserve">Perú. Excepción Preliminar, Fondo, Reparaciones y Costas. Sentencia de 27 de noviembre de 2013. Serie C No. 275, párr. 359. </w:t>
      </w:r>
    </w:p>
  </w:footnote>
  <w:footnote w:id="124">
    <w:p w:rsidR="00F40EB1" w:rsidRPr="007F3D68" w:rsidRDefault="00F40EB1" w:rsidP="00242EAC">
      <w:pPr>
        <w:pStyle w:val="FootnoteText"/>
        <w:spacing w:after="120"/>
        <w:ind w:firstLine="720"/>
        <w:jc w:val="both"/>
        <w:rPr>
          <w:rFonts w:ascii="Cambria" w:hAnsi="Cambria"/>
          <w:sz w:val="16"/>
          <w:szCs w:val="16"/>
          <w:lang w:val="es-US"/>
        </w:rPr>
      </w:pPr>
      <w:r w:rsidRPr="007F3D68">
        <w:rPr>
          <w:rStyle w:val="FootnoteReference"/>
          <w:rFonts w:ascii="Cambria" w:hAnsi="Cambria"/>
          <w:sz w:val="16"/>
          <w:szCs w:val="16"/>
        </w:rPr>
        <w:footnoteRef/>
      </w:r>
      <w:r w:rsidRPr="007F3D68">
        <w:rPr>
          <w:rFonts w:ascii="Cambria" w:hAnsi="Cambria"/>
          <w:sz w:val="16"/>
          <w:szCs w:val="16"/>
          <w:lang w:val="es-US"/>
        </w:rPr>
        <w:t xml:space="preserve"> </w:t>
      </w:r>
      <w:r w:rsidRPr="007F3D68">
        <w:rPr>
          <w:rStyle w:val="Strong"/>
          <w:rFonts w:ascii="Cambria" w:hAnsi="Cambria"/>
          <w:b w:val="0"/>
          <w:sz w:val="16"/>
          <w:szCs w:val="16"/>
          <w:shd w:val="clear" w:color="auto" w:fill="FFFFFF"/>
          <w:lang w:val="es-US"/>
        </w:rPr>
        <w:t xml:space="preserve">Corte IDH. </w:t>
      </w:r>
      <w:r w:rsidRPr="007F3D68">
        <w:rPr>
          <w:rStyle w:val="Strong"/>
          <w:rFonts w:ascii="Cambria" w:hAnsi="Cambria"/>
          <w:b w:val="0"/>
          <w:i/>
          <w:sz w:val="16"/>
          <w:szCs w:val="16"/>
          <w:shd w:val="clear" w:color="auto" w:fill="FFFFFF"/>
          <w:lang w:val="es-US"/>
        </w:rPr>
        <w:t xml:space="preserve">Caso J. Vs. </w:t>
      </w:r>
      <w:r w:rsidRPr="007F3D68">
        <w:rPr>
          <w:rStyle w:val="Strong"/>
          <w:rFonts w:ascii="Cambria" w:hAnsi="Cambria"/>
          <w:b w:val="0"/>
          <w:i/>
          <w:sz w:val="16"/>
          <w:szCs w:val="16"/>
          <w:shd w:val="clear" w:color="auto" w:fill="FFFFFF"/>
          <w:lang w:val="es-ES"/>
        </w:rPr>
        <w:t>Perú</w:t>
      </w:r>
      <w:r w:rsidRPr="007F3D68">
        <w:rPr>
          <w:rStyle w:val="Strong"/>
          <w:rFonts w:ascii="Cambria" w:hAnsi="Cambria"/>
          <w:b w:val="0"/>
          <w:sz w:val="16"/>
          <w:szCs w:val="16"/>
          <w:shd w:val="clear" w:color="auto" w:fill="FFFFFF"/>
          <w:lang w:val="es-ES"/>
        </w:rPr>
        <w:t xml:space="preserve">. Excepción Preliminar, Fondo, Reparaciones y Costas. Sentencia de 27 de noviembre de 2013. Serie C No. 275, párr. 359. </w:t>
      </w:r>
    </w:p>
  </w:footnote>
  <w:footnote w:id="125">
    <w:p w:rsidR="00F40EB1" w:rsidRPr="007F3D68" w:rsidRDefault="00F40EB1" w:rsidP="00242EAC">
      <w:pPr>
        <w:pStyle w:val="FootnoteText"/>
        <w:spacing w:after="120"/>
        <w:ind w:firstLine="720"/>
        <w:jc w:val="both"/>
        <w:rPr>
          <w:rFonts w:ascii="Cambria" w:hAnsi="Cambria"/>
          <w:sz w:val="16"/>
          <w:szCs w:val="16"/>
          <w:lang w:val="es-US"/>
        </w:rPr>
      </w:pPr>
      <w:r w:rsidRPr="007F3D68">
        <w:rPr>
          <w:rStyle w:val="FootnoteReference"/>
          <w:rFonts w:ascii="Cambria" w:hAnsi="Cambria"/>
          <w:sz w:val="16"/>
          <w:szCs w:val="16"/>
        </w:rPr>
        <w:footnoteRef/>
      </w:r>
      <w:r w:rsidRPr="007F3D68">
        <w:rPr>
          <w:rFonts w:ascii="Cambria" w:hAnsi="Cambria"/>
          <w:sz w:val="16"/>
          <w:szCs w:val="16"/>
          <w:lang w:val="es-US"/>
        </w:rPr>
        <w:t xml:space="preserve"> Corte IDH, </w:t>
      </w:r>
      <w:r w:rsidRPr="007F3D68">
        <w:rPr>
          <w:rFonts w:ascii="Cambria" w:hAnsi="Cambria"/>
          <w:i/>
          <w:sz w:val="16"/>
          <w:szCs w:val="16"/>
          <w:lang w:val="es-US"/>
        </w:rPr>
        <w:t>Caso Rosendo Cantú y otra Vs. México</w:t>
      </w:r>
      <w:r w:rsidRPr="007F3D68">
        <w:rPr>
          <w:rFonts w:ascii="Cambria" w:hAnsi="Cambria"/>
          <w:sz w:val="16"/>
          <w:szCs w:val="16"/>
          <w:lang w:val="es-US"/>
        </w:rPr>
        <w:t xml:space="preserve">, Excepción Preliminar, Fondo, Reparaciones y Costas, Sentencia de 31 de agosto de 2010. Serie C No. 216, párr. 114. </w:t>
      </w:r>
    </w:p>
  </w:footnote>
  <w:footnote w:id="126">
    <w:p w:rsidR="00F40EB1" w:rsidRPr="007F3D68" w:rsidRDefault="00F40EB1" w:rsidP="00242EAC">
      <w:pPr>
        <w:pStyle w:val="FootnoteText"/>
        <w:spacing w:after="120"/>
        <w:ind w:firstLine="720"/>
        <w:jc w:val="both"/>
        <w:rPr>
          <w:rFonts w:ascii="Cambria" w:hAnsi="Cambria"/>
          <w:sz w:val="16"/>
          <w:szCs w:val="16"/>
          <w:lang w:val="es-ES"/>
        </w:rPr>
      </w:pPr>
      <w:r w:rsidRPr="007F3D68">
        <w:rPr>
          <w:rStyle w:val="FootnoteReference"/>
          <w:rFonts w:ascii="Cambria" w:hAnsi="Cambria"/>
          <w:sz w:val="16"/>
          <w:szCs w:val="16"/>
        </w:rPr>
        <w:footnoteRef/>
      </w:r>
      <w:r w:rsidRPr="007F3D68">
        <w:rPr>
          <w:rFonts w:ascii="Cambria" w:hAnsi="Cambria"/>
          <w:sz w:val="16"/>
          <w:szCs w:val="16"/>
          <w:lang w:val="es-ES"/>
        </w:rPr>
        <w:t xml:space="preserve"> CIDH. Informe No 53/01. Caso 11.565. </w:t>
      </w:r>
      <w:r w:rsidRPr="007F3D68">
        <w:rPr>
          <w:rFonts w:ascii="Cambria" w:hAnsi="Cambria"/>
          <w:i/>
          <w:sz w:val="16"/>
          <w:szCs w:val="16"/>
          <w:lang w:val="es-ES"/>
        </w:rPr>
        <w:t>Ana, Beatriz y Celia González Pérez</w:t>
      </w:r>
      <w:r w:rsidRPr="007F3D68">
        <w:rPr>
          <w:rFonts w:ascii="Cambria" w:hAnsi="Cambria"/>
          <w:sz w:val="16"/>
          <w:szCs w:val="16"/>
          <w:lang w:val="es-ES"/>
        </w:rPr>
        <w:t xml:space="preserve">. México. 4 de abril de 2001. Párr. 45; CIDH. Demanda ante la Corte Interamericana de Derechos Humanos. Caso 12.579, </w:t>
      </w:r>
      <w:r w:rsidRPr="007F3D68">
        <w:rPr>
          <w:rFonts w:ascii="Cambria" w:hAnsi="Cambria"/>
          <w:i/>
          <w:sz w:val="16"/>
          <w:szCs w:val="16"/>
          <w:lang w:val="es-ES"/>
        </w:rPr>
        <w:t>Valentina Rosendo Cantú y otra</w:t>
      </w:r>
      <w:r w:rsidRPr="007F3D68">
        <w:rPr>
          <w:rFonts w:ascii="Cambria" w:hAnsi="Cambria"/>
          <w:sz w:val="16"/>
          <w:szCs w:val="16"/>
          <w:lang w:val="es-ES"/>
        </w:rPr>
        <w:t xml:space="preserve">, México, 2 de agosto de 2009, párr. 90, Demanda ante la Corte Interamericana de Derechos Humanos. Caso 12.580. </w:t>
      </w:r>
      <w:r w:rsidRPr="007F3D68">
        <w:rPr>
          <w:rFonts w:ascii="Cambria" w:hAnsi="Cambria"/>
          <w:i/>
          <w:sz w:val="16"/>
          <w:szCs w:val="16"/>
          <w:lang w:val="es-ES"/>
        </w:rPr>
        <w:t>Inés Fernández Ortega</w:t>
      </w:r>
      <w:r w:rsidRPr="007F3D68">
        <w:rPr>
          <w:rFonts w:ascii="Cambria" w:hAnsi="Cambria"/>
          <w:sz w:val="16"/>
          <w:szCs w:val="16"/>
          <w:lang w:val="es-ES"/>
        </w:rPr>
        <w:t>, México, 7 de mayo de 2009, párr. 117.</w:t>
      </w:r>
    </w:p>
  </w:footnote>
  <w:footnote w:id="127">
    <w:p w:rsidR="00F40EB1" w:rsidRPr="007F3D68" w:rsidRDefault="00F40EB1" w:rsidP="00242EAC">
      <w:pPr>
        <w:pStyle w:val="FootnoteText"/>
        <w:spacing w:after="120"/>
        <w:ind w:firstLine="720"/>
        <w:jc w:val="both"/>
        <w:rPr>
          <w:rFonts w:ascii="Cambria" w:hAnsi="Cambria"/>
          <w:sz w:val="16"/>
          <w:szCs w:val="16"/>
          <w:lang w:val="es-CO"/>
        </w:rPr>
      </w:pPr>
      <w:r w:rsidRPr="007F3D68">
        <w:rPr>
          <w:rStyle w:val="FootnoteReference"/>
          <w:rFonts w:ascii="Cambria" w:hAnsi="Cambria"/>
          <w:sz w:val="16"/>
          <w:szCs w:val="16"/>
        </w:rPr>
        <w:footnoteRef/>
      </w:r>
      <w:r w:rsidRPr="007F3D68">
        <w:rPr>
          <w:rFonts w:ascii="Cambria" w:hAnsi="Cambria"/>
          <w:sz w:val="16"/>
          <w:szCs w:val="16"/>
          <w:lang w:val="es-CO"/>
        </w:rPr>
        <w:t xml:space="preserve"> Naciones Unidas, Manual para la Investigación y Documentación Eficaces de la Tortura y otros tratos o penas crueles, inhumanos o degradantes, Protocolo de Estambul, 2001. Párr. 249. </w:t>
      </w:r>
    </w:p>
  </w:footnote>
  <w:footnote w:id="128">
    <w:p w:rsidR="00F40EB1" w:rsidRPr="007F3D68" w:rsidRDefault="00F40EB1" w:rsidP="00A338B7">
      <w:pPr>
        <w:pStyle w:val="FootnoteText"/>
        <w:spacing w:after="120"/>
        <w:ind w:firstLine="720"/>
        <w:jc w:val="both"/>
        <w:rPr>
          <w:rFonts w:asciiTheme="majorHAnsi" w:hAnsiTheme="majorHAnsi"/>
          <w:sz w:val="16"/>
          <w:szCs w:val="16"/>
          <w:lang w:val="es-ES"/>
        </w:rPr>
      </w:pP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w:t>
      </w:r>
      <w:r w:rsidRPr="007F3D68">
        <w:rPr>
          <w:rFonts w:asciiTheme="majorHAnsi" w:hAnsiTheme="majorHAnsi"/>
          <w:sz w:val="16"/>
          <w:szCs w:val="16"/>
          <w:lang w:val="es-ES"/>
        </w:rPr>
        <w:t xml:space="preserve">El contenido relevante del artículo 4 de la Convención ya fue transcrito anteriormente. </w:t>
      </w:r>
    </w:p>
  </w:footnote>
  <w:footnote w:id="129">
    <w:p w:rsidR="00F40EB1" w:rsidRPr="007F3D68" w:rsidRDefault="00F40EB1" w:rsidP="00A338B7">
      <w:pPr>
        <w:pStyle w:val="FootnoteText"/>
        <w:spacing w:after="120"/>
        <w:ind w:firstLine="720"/>
        <w:jc w:val="both"/>
        <w:rPr>
          <w:rFonts w:asciiTheme="majorHAnsi" w:hAnsiTheme="majorHAnsi"/>
          <w:sz w:val="16"/>
          <w:szCs w:val="16"/>
          <w:lang w:val="es-ES"/>
        </w:rPr>
      </w:pP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w:t>
      </w:r>
      <w:r w:rsidRPr="007F3D68">
        <w:rPr>
          <w:rFonts w:asciiTheme="majorHAnsi" w:hAnsiTheme="majorHAnsi"/>
          <w:sz w:val="16"/>
          <w:szCs w:val="16"/>
          <w:lang w:val="es-ES"/>
        </w:rPr>
        <w:t xml:space="preserve">El contenido relevante del artículo 8 de la Convención ya fue transcrito anteriormente. </w:t>
      </w:r>
    </w:p>
  </w:footnote>
  <w:footnote w:id="130">
    <w:p w:rsidR="00F40EB1" w:rsidRPr="007F3D68" w:rsidRDefault="00F40EB1" w:rsidP="00A338B7">
      <w:pPr>
        <w:pStyle w:val="FootnoteText"/>
        <w:spacing w:after="120"/>
        <w:ind w:firstLine="720"/>
        <w:jc w:val="both"/>
        <w:rPr>
          <w:rFonts w:asciiTheme="majorHAnsi" w:hAnsiTheme="majorHAnsi"/>
          <w:sz w:val="16"/>
          <w:szCs w:val="16"/>
          <w:lang w:val="es-ES"/>
        </w:rPr>
      </w:pP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w:t>
      </w:r>
      <w:r w:rsidRPr="007F3D68">
        <w:rPr>
          <w:rFonts w:asciiTheme="majorHAnsi" w:hAnsiTheme="majorHAnsi"/>
          <w:sz w:val="16"/>
          <w:szCs w:val="16"/>
          <w:lang w:val="es-ES"/>
        </w:rPr>
        <w:t xml:space="preserve">El contenido relevante del artículo 25 de la Convención ya fue transcrito anteriormente. </w:t>
      </w:r>
    </w:p>
  </w:footnote>
  <w:footnote w:id="131">
    <w:p w:rsidR="00F40EB1" w:rsidRPr="007F3D68" w:rsidRDefault="00F40EB1" w:rsidP="0016507B">
      <w:pPr>
        <w:pStyle w:val="FootnoteText"/>
        <w:tabs>
          <w:tab w:val="left" w:pos="720"/>
          <w:tab w:val="left" w:pos="900"/>
          <w:tab w:val="left" w:pos="1080"/>
        </w:tabs>
        <w:spacing w:after="120"/>
        <w:ind w:firstLine="720"/>
        <w:jc w:val="both"/>
        <w:rPr>
          <w:rFonts w:asciiTheme="majorHAnsi" w:hAnsiTheme="majorHAnsi"/>
          <w:sz w:val="16"/>
          <w:szCs w:val="16"/>
        </w:rPr>
      </w:pPr>
      <w:r w:rsidRPr="007F3D68">
        <w:rPr>
          <w:rStyle w:val="FootnoteReference"/>
          <w:rFonts w:asciiTheme="majorHAnsi" w:hAnsiTheme="majorHAnsi"/>
          <w:sz w:val="16"/>
          <w:szCs w:val="16"/>
        </w:rPr>
        <w:footnoteRef/>
      </w:r>
      <w:r w:rsidRPr="007F3D68">
        <w:rPr>
          <w:rFonts w:asciiTheme="majorHAnsi" w:hAnsiTheme="majorHAnsi"/>
          <w:sz w:val="16"/>
          <w:szCs w:val="16"/>
          <w:lang w:val="es-ES"/>
        </w:rPr>
        <w:t xml:space="preserve"> CIDH, Caso 12.270, Informe No. 2/15, Fondo, Johan Alexis Ortiz Hernández, Venezuela, 29 de enero de 2015, párr. </w:t>
      </w:r>
      <w:r w:rsidRPr="007F3D68">
        <w:rPr>
          <w:rFonts w:asciiTheme="majorHAnsi" w:hAnsiTheme="majorHAnsi"/>
          <w:sz w:val="16"/>
          <w:szCs w:val="16"/>
        </w:rPr>
        <w:t>185</w:t>
      </w:r>
      <w:proofErr w:type="gramStart"/>
      <w:r w:rsidRPr="007F3D68">
        <w:rPr>
          <w:rFonts w:asciiTheme="majorHAnsi" w:hAnsiTheme="majorHAnsi"/>
          <w:sz w:val="16"/>
          <w:szCs w:val="16"/>
        </w:rPr>
        <w:t>.ECHR</w:t>
      </w:r>
      <w:proofErr w:type="gramEnd"/>
      <w:r w:rsidRPr="007F3D68">
        <w:rPr>
          <w:rFonts w:asciiTheme="majorHAnsi" w:hAnsiTheme="majorHAnsi"/>
          <w:sz w:val="16"/>
          <w:szCs w:val="16"/>
        </w:rPr>
        <w:t xml:space="preserve">, Case McCann and others v. </w:t>
      </w:r>
      <w:proofErr w:type="gramStart"/>
      <w:r w:rsidRPr="007F3D68">
        <w:rPr>
          <w:rFonts w:asciiTheme="majorHAnsi" w:hAnsiTheme="majorHAnsi"/>
          <w:sz w:val="16"/>
          <w:szCs w:val="16"/>
        </w:rPr>
        <w:t>The United Kingdom.</w:t>
      </w:r>
      <w:proofErr w:type="gramEnd"/>
      <w:r w:rsidRPr="007F3D68">
        <w:rPr>
          <w:rFonts w:asciiTheme="majorHAnsi" w:hAnsiTheme="majorHAnsi"/>
          <w:sz w:val="16"/>
          <w:szCs w:val="16"/>
        </w:rPr>
        <w:t xml:space="preserve"> </w:t>
      </w:r>
      <w:proofErr w:type="gramStart"/>
      <w:r w:rsidRPr="007F3D68">
        <w:rPr>
          <w:rFonts w:asciiTheme="majorHAnsi" w:hAnsiTheme="majorHAnsi"/>
          <w:sz w:val="16"/>
          <w:szCs w:val="16"/>
        </w:rPr>
        <w:t>Application No. 27229/95, 27 September 1995, § 146.</w:t>
      </w:r>
      <w:proofErr w:type="gramEnd"/>
    </w:p>
  </w:footnote>
  <w:footnote w:id="132">
    <w:p w:rsidR="00F40EB1" w:rsidRPr="007F3D68" w:rsidRDefault="00F40EB1" w:rsidP="0016507B">
      <w:pPr>
        <w:pStyle w:val="FootnoteText"/>
        <w:tabs>
          <w:tab w:val="left" w:pos="720"/>
          <w:tab w:val="left" w:pos="900"/>
          <w:tab w:val="left" w:pos="1080"/>
        </w:tabs>
        <w:spacing w:after="120"/>
        <w:ind w:firstLine="720"/>
        <w:jc w:val="both"/>
        <w:rPr>
          <w:rFonts w:asciiTheme="majorHAnsi" w:hAnsiTheme="majorHAnsi"/>
          <w:sz w:val="16"/>
          <w:szCs w:val="16"/>
        </w:rPr>
      </w:pPr>
      <w:r w:rsidRPr="007F3D68">
        <w:rPr>
          <w:rStyle w:val="FootnoteReference"/>
          <w:rFonts w:asciiTheme="majorHAnsi" w:hAnsiTheme="majorHAnsi"/>
          <w:sz w:val="16"/>
          <w:szCs w:val="16"/>
        </w:rPr>
        <w:footnoteRef/>
      </w:r>
      <w:r w:rsidRPr="007F3D68">
        <w:rPr>
          <w:rFonts w:asciiTheme="majorHAnsi" w:hAnsiTheme="majorHAnsi"/>
          <w:sz w:val="16"/>
          <w:szCs w:val="16"/>
          <w:lang w:val="es-ES"/>
        </w:rPr>
        <w:t xml:space="preserve"> </w:t>
      </w:r>
      <w:r w:rsidRPr="007F3D68">
        <w:rPr>
          <w:rFonts w:asciiTheme="majorHAnsi" w:hAnsiTheme="majorHAnsi"/>
          <w:sz w:val="16"/>
          <w:szCs w:val="16"/>
          <w:lang w:val="es-ES_tradnl"/>
        </w:rPr>
        <w:t xml:space="preserve">Corte IDH. </w:t>
      </w:r>
      <w:r w:rsidRPr="007F3D68">
        <w:rPr>
          <w:rFonts w:asciiTheme="majorHAnsi" w:hAnsiTheme="majorHAnsi"/>
          <w:bCs/>
          <w:sz w:val="16"/>
          <w:szCs w:val="16"/>
          <w:lang w:val="es-ES_tradnl"/>
        </w:rPr>
        <w:t xml:space="preserve">Caso Zambrano Vélez y otros Vs. Ecuador. </w:t>
      </w:r>
      <w:r w:rsidRPr="007F3D68">
        <w:rPr>
          <w:rFonts w:asciiTheme="majorHAnsi" w:hAnsiTheme="majorHAnsi"/>
          <w:sz w:val="16"/>
          <w:szCs w:val="16"/>
          <w:lang w:val="es-ES_tradnl"/>
        </w:rPr>
        <w:t xml:space="preserve">Fondo, Reparaciones y Costas. Sentencia de 4 de julio de 2007. Serie C No. 166, párr. 80. Asimismo, véase: </w:t>
      </w:r>
      <w:r w:rsidRPr="007F3D68">
        <w:rPr>
          <w:rFonts w:asciiTheme="majorHAnsi" w:hAnsiTheme="majorHAnsi"/>
          <w:sz w:val="16"/>
          <w:szCs w:val="16"/>
          <w:lang w:val="es-ES"/>
        </w:rPr>
        <w:t xml:space="preserve">CIDH, Caso 12.270, Informe No. 2/15, Fondo, Johan Alexis Ortiz Hernández, Venezuela, 29 de enero de 2015, párr. </w:t>
      </w:r>
      <w:r w:rsidRPr="007F3D68">
        <w:rPr>
          <w:rFonts w:asciiTheme="majorHAnsi" w:hAnsiTheme="majorHAnsi"/>
          <w:sz w:val="16"/>
          <w:szCs w:val="16"/>
        </w:rPr>
        <w:t>186.</w:t>
      </w:r>
    </w:p>
  </w:footnote>
  <w:footnote w:id="133">
    <w:p w:rsidR="00F40EB1" w:rsidRPr="007F3D68" w:rsidRDefault="00F40EB1" w:rsidP="0016507B">
      <w:pPr>
        <w:pStyle w:val="FootnoteText"/>
        <w:tabs>
          <w:tab w:val="left" w:pos="720"/>
          <w:tab w:val="left" w:pos="900"/>
          <w:tab w:val="left" w:pos="1080"/>
        </w:tabs>
        <w:spacing w:after="120"/>
        <w:ind w:firstLine="720"/>
        <w:jc w:val="both"/>
        <w:rPr>
          <w:rFonts w:asciiTheme="majorHAnsi" w:hAnsiTheme="majorHAnsi"/>
          <w:sz w:val="16"/>
          <w:szCs w:val="16"/>
          <w:lang w:val="es-CO"/>
        </w:rPr>
      </w:pPr>
      <w:r w:rsidRPr="007F3D68">
        <w:rPr>
          <w:rStyle w:val="FootnoteReference"/>
          <w:rFonts w:asciiTheme="majorHAnsi" w:hAnsiTheme="majorHAnsi"/>
          <w:sz w:val="16"/>
          <w:szCs w:val="16"/>
        </w:rPr>
        <w:footnoteRef/>
      </w:r>
      <w:r w:rsidRPr="007F3D68">
        <w:rPr>
          <w:rFonts w:asciiTheme="majorHAnsi" w:hAnsiTheme="majorHAnsi"/>
          <w:sz w:val="16"/>
          <w:szCs w:val="16"/>
        </w:rPr>
        <w:t xml:space="preserve"> </w:t>
      </w:r>
      <w:proofErr w:type="gramStart"/>
      <w:r w:rsidRPr="007F3D68">
        <w:rPr>
          <w:rFonts w:asciiTheme="majorHAnsi" w:hAnsiTheme="majorHAnsi"/>
          <w:sz w:val="16"/>
          <w:szCs w:val="16"/>
        </w:rPr>
        <w:t>ECHR, Case McCann and others v.</w:t>
      </w:r>
      <w:proofErr w:type="gramEnd"/>
      <w:r w:rsidRPr="007F3D68">
        <w:rPr>
          <w:rFonts w:asciiTheme="majorHAnsi" w:hAnsiTheme="majorHAnsi"/>
          <w:sz w:val="16"/>
          <w:szCs w:val="16"/>
        </w:rPr>
        <w:t xml:space="preserve"> </w:t>
      </w:r>
      <w:proofErr w:type="gramStart"/>
      <w:r w:rsidRPr="007F3D68">
        <w:rPr>
          <w:rFonts w:asciiTheme="majorHAnsi" w:hAnsiTheme="majorHAnsi"/>
          <w:sz w:val="16"/>
          <w:szCs w:val="16"/>
        </w:rPr>
        <w:t>The United Kingdom.</w:t>
      </w:r>
      <w:proofErr w:type="gramEnd"/>
      <w:r w:rsidRPr="007F3D68">
        <w:rPr>
          <w:rFonts w:asciiTheme="majorHAnsi" w:hAnsiTheme="majorHAnsi"/>
          <w:sz w:val="16"/>
          <w:szCs w:val="16"/>
        </w:rPr>
        <w:t xml:space="preserve"> </w:t>
      </w:r>
      <w:proofErr w:type="spellStart"/>
      <w:r w:rsidRPr="007F3D68">
        <w:rPr>
          <w:rFonts w:asciiTheme="majorHAnsi" w:hAnsiTheme="majorHAnsi"/>
          <w:sz w:val="16"/>
          <w:szCs w:val="16"/>
          <w:lang w:val="es-CO"/>
        </w:rPr>
        <w:t>Application</w:t>
      </w:r>
      <w:proofErr w:type="spellEnd"/>
      <w:r w:rsidRPr="007F3D68">
        <w:rPr>
          <w:rFonts w:asciiTheme="majorHAnsi" w:hAnsiTheme="majorHAnsi"/>
          <w:sz w:val="16"/>
          <w:szCs w:val="16"/>
          <w:lang w:val="es-CO"/>
        </w:rPr>
        <w:t xml:space="preserve"> No. 27229/95, 27 </w:t>
      </w:r>
      <w:proofErr w:type="spellStart"/>
      <w:r w:rsidRPr="007F3D68">
        <w:rPr>
          <w:rFonts w:asciiTheme="majorHAnsi" w:hAnsiTheme="majorHAnsi"/>
          <w:sz w:val="16"/>
          <w:szCs w:val="16"/>
          <w:lang w:val="es-CO"/>
        </w:rPr>
        <w:t>September</w:t>
      </w:r>
      <w:proofErr w:type="spellEnd"/>
      <w:r w:rsidRPr="007F3D68">
        <w:rPr>
          <w:rFonts w:asciiTheme="majorHAnsi" w:hAnsiTheme="majorHAnsi"/>
          <w:sz w:val="16"/>
          <w:szCs w:val="16"/>
          <w:lang w:val="es-CO"/>
        </w:rPr>
        <w:t xml:space="preserve"> 1995, § 146.</w:t>
      </w:r>
    </w:p>
  </w:footnote>
  <w:footnote w:id="134">
    <w:p w:rsidR="00F40EB1" w:rsidRPr="007F3D68" w:rsidRDefault="00F40EB1" w:rsidP="0016507B">
      <w:pPr>
        <w:pStyle w:val="FootnoteText"/>
        <w:tabs>
          <w:tab w:val="left" w:pos="720"/>
          <w:tab w:val="left" w:pos="900"/>
          <w:tab w:val="left" w:pos="1080"/>
        </w:tabs>
        <w:spacing w:after="120"/>
        <w:ind w:firstLine="720"/>
        <w:jc w:val="both"/>
        <w:rPr>
          <w:rFonts w:asciiTheme="majorHAnsi" w:hAnsiTheme="majorHAnsi"/>
          <w:sz w:val="16"/>
          <w:szCs w:val="16"/>
          <w:lang w:val="es-CO"/>
        </w:rPr>
      </w:pPr>
      <w:r w:rsidRPr="007F3D68">
        <w:rPr>
          <w:rStyle w:val="FootnoteReference"/>
          <w:rFonts w:asciiTheme="majorHAnsi" w:hAnsiTheme="majorHAnsi"/>
          <w:sz w:val="16"/>
          <w:szCs w:val="16"/>
        </w:rPr>
        <w:footnoteRef/>
      </w:r>
      <w:r w:rsidRPr="007F3D68">
        <w:rPr>
          <w:rFonts w:asciiTheme="majorHAnsi" w:hAnsiTheme="majorHAnsi"/>
          <w:sz w:val="16"/>
          <w:szCs w:val="16"/>
          <w:lang w:val="es-CO"/>
        </w:rPr>
        <w:t xml:space="preserve"> </w:t>
      </w:r>
      <w:r w:rsidRPr="007F3D68">
        <w:rPr>
          <w:rFonts w:asciiTheme="majorHAnsi" w:hAnsiTheme="majorHAnsi" w:cs="Verdana"/>
          <w:bCs/>
          <w:sz w:val="16"/>
          <w:szCs w:val="16"/>
          <w:lang w:val="es-CO"/>
        </w:rPr>
        <w:t xml:space="preserve">Corte IDH. Caso Hermanos Landaeta Mejías y otros vs. Venezuela. Excepciones Preliminares, Fondo, Reparaciones y Costas. Sentencia de 27 de agosto de 2014. Serie C No. 281, párr. 123; </w:t>
      </w:r>
      <w:r w:rsidRPr="007F3D68">
        <w:rPr>
          <w:rFonts w:asciiTheme="majorHAnsi" w:hAnsiTheme="majorHAnsi"/>
          <w:sz w:val="16"/>
          <w:szCs w:val="16"/>
          <w:lang w:val="es-VE"/>
        </w:rPr>
        <w:t>CIDH, Caso 11.442, Informe No. 90/14, Fondo, Luis Jorge Valencia Hinojosa, Ecuador, 4 de noviembre de 2014, párr. 123.</w:t>
      </w:r>
    </w:p>
  </w:footnote>
  <w:footnote w:id="135">
    <w:p w:rsidR="00F40EB1" w:rsidRPr="007F3D68" w:rsidRDefault="00F40EB1" w:rsidP="0016507B">
      <w:pPr>
        <w:pStyle w:val="FootnoteText"/>
        <w:tabs>
          <w:tab w:val="left" w:pos="720"/>
        </w:tabs>
        <w:spacing w:after="120"/>
        <w:ind w:firstLine="720"/>
        <w:jc w:val="both"/>
        <w:rPr>
          <w:rFonts w:asciiTheme="majorHAnsi" w:hAnsiTheme="majorHAnsi"/>
          <w:sz w:val="16"/>
          <w:szCs w:val="16"/>
          <w:lang w:val="es-ES_tradnl"/>
        </w:rPr>
      </w:pPr>
      <w:r w:rsidRPr="007F3D68">
        <w:rPr>
          <w:rStyle w:val="FootnoteReference"/>
          <w:rFonts w:asciiTheme="majorHAnsi" w:hAnsiTheme="majorHAnsi"/>
          <w:sz w:val="16"/>
          <w:szCs w:val="16"/>
        </w:rPr>
        <w:footnoteRef/>
      </w:r>
      <w:r w:rsidRPr="007F3D68">
        <w:rPr>
          <w:rFonts w:asciiTheme="majorHAnsi" w:hAnsiTheme="majorHAnsi"/>
          <w:sz w:val="16"/>
          <w:szCs w:val="16"/>
          <w:lang w:val="es-MX"/>
        </w:rPr>
        <w:t xml:space="preserve"> CIDH. Informe No. 11/10. </w:t>
      </w:r>
      <w:r w:rsidRPr="007F3D68">
        <w:rPr>
          <w:rFonts w:asciiTheme="majorHAnsi" w:hAnsiTheme="majorHAnsi"/>
          <w:sz w:val="16"/>
          <w:szCs w:val="16"/>
          <w:lang w:val="es-CO"/>
        </w:rPr>
        <w:t xml:space="preserve">Caso 12.488. Fondo. Miembros de la Familia Barrios. Venezuela. 16 de marzo de 2010. 91. </w:t>
      </w:r>
      <w:r w:rsidRPr="007F3D68">
        <w:rPr>
          <w:rFonts w:asciiTheme="majorHAnsi" w:hAnsiTheme="majorHAnsi"/>
          <w:sz w:val="16"/>
          <w:szCs w:val="16"/>
          <w:lang w:val="es-ES_tradnl"/>
        </w:rPr>
        <w:t xml:space="preserve">CIDH. Informe sobre Terrorismo y Derechos Humanos. Párr. 88. </w:t>
      </w:r>
    </w:p>
  </w:footnote>
  <w:footnote w:id="136">
    <w:p w:rsidR="00F40EB1" w:rsidRPr="007F3D68" w:rsidRDefault="00F40EB1" w:rsidP="0016507B">
      <w:pPr>
        <w:pStyle w:val="FootnoteText"/>
        <w:tabs>
          <w:tab w:val="left" w:pos="720"/>
          <w:tab w:val="left" w:pos="900"/>
        </w:tabs>
        <w:spacing w:after="120"/>
        <w:ind w:firstLine="720"/>
        <w:jc w:val="both"/>
        <w:rPr>
          <w:rFonts w:asciiTheme="majorHAnsi" w:hAnsiTheme="majorHAnsi" w:cs="Arial"/>
          <w:sz w:val="16"/>
          <w:szCs w:val="16"/>
          <w:lang w:val="es-CO"/>
        </w:rPr>
      </w:pPr>
      <w:r w:rsidRPr="007F3D68">
        <w:rPr>
          <w:rStyle w:val="FootnoteReference"/>
          <w:rFonts w:asciiTheme="majorHAnsi" w:hAnsiTheme="majorHAnsi"/>
          <w:sz w:val="16"/>
          <w:szCs w:val="16"/>
        </w:rPr>
        <w:footnoteRef/>
      </w:r>
      <w:r w:rsidRPr="007F3D68">
        <w:rPr>
          <w:rFonts w:asciiTheme="majorHAnsi" w:hAnsiTheme="majorHAnsi"/>
          <w:sz w:val="16"/>
          <w:szCs w:val="16"/>
          <w:lang w:val="es-CO"/>
        </w:rPr>
        <w:t xml:space="preserve"> Corte IDH. </w:t>
      </w:r>
      <w:r w:rsidRPr="007F3D68">
        <w:rPr>
          <w:rFonts w:asciiTheme="majorHAnsi" w:hAnsiTheme="majorHAnsi"/>
          <w:bCs/>
          <w:sz w:val="16"/>
          <w:szCs w:val="16"/>
          <w:lang w:val="es-CO"/>
        </w:rPr>
        <w:t xml:space="preserve">Caso Zambrano Vélez y otros Vs. Ecuador. </w:t>
      </w:r>
      <w:r w:rsidRPr="007F3D68">
        <w:rPr>
          <w:rFonts w:asciiTheme="majorHAnsi" w:hAnsiTheme="majorHAnsi"/>
          <w:sz w:val="16"/>
          <w:szCs w:val="16"/>
          <w:lang w:val="es-CO"/>
        </w:rPr>
        <w:t xml:space="preserve">Fondo, Reparaciones y Costas. Sentencia de 4 de julio de 2007. Serie C No. 166. Párr. 108; </w:t>
      </w:r>
      <w:r w:rsidRPr="007F3D68">
        <w:rPr>
          <w:rStyle w:val="Strong"/>
          <w:rFonts w:asciiTheme="majorHAnsi" w:hAnsiTheme="majorHAnsi"/>
          <w:b w:val="0"/>
          <w:sz w:val="16"/>
          <w:szCs w:val="16"/>
          <w:lang w:val="es-CO"/>
        </w:rPr>
        <w:t>Caso Cruz Sánchez y otros Vs. Perú. Excepciones Preliminares, Fondo, Reparaciones y Costas. Sentencia de 17 de abril de 2015. Serie C No. 292, párr. 291; y Caso Hermanos Landaeta Mejías y otros Vs. Venezuela. Excepciones Preliminares, Fondo, Reparaciones y Costas. Sentencia de 27 de agosto de 2014. Serie C No. 281. Párr. 132</w:t>
      </w:r>
      <w:r w:rsidRPr="007F3D68">
        <w:rPr>
          <w:rStyle w:val="Strong"/>
          <w:rFonts w:asciiTheme="majorHAnsi" w:hAnsiTheme="majorHAnsi"/>
          <w:sz w:val="16"/>
          <w:szCs w:val="16"/>
          <w:lang w:val="es-CO"/>
        </w:rPr>
        <w:t>.</w:t>
      </w:r>
    </w:p>
  </w:footnote>
  <w:footnote w:id="137">
    <w:p w:rsidR="00F40EB1" w:rsidRPr="007F3D68" w:rsidRDefault="00F40EB1" w:rsidP="0016507B">
      <w:pPr>
        <w:pStyle w:val="FootnoteText"/>
        <w:tabs>
          <w:tab w:val="left" w:pos="720"/>
        </w:tabs>
        <w:spacing w:after="120"/>
        <w:ind w:firstLine="720"/>
        <w:jc w:val="both"/>
        <w:rPr>
          <w:rFonts w:asciiTheme="majorHAnsi" w:hAnsiTheme="majorHAnsi"/>
          <w:sz w:val="16"/>
          <w:szCs w:val="16"/>
          <w:lang w:val="es-CO"/>
        </w:rPr>
      </w:pPr>
      <w:r w:rsidRPr="007F3D68">
        <w:rPr>
          <w:rStyle w:val="FootnoteReference"/>
          <w:rFonts w:asciiTheme="majorHAnsi" w:hAnsiTheme="majorHAnsi"/>
          <w:sz w:val="16"/>
          <w:szCs w:val="16"/>
        </w:rPr>
        <w:footnoteRef/>
      </w:r>
      <w:r w:rsidRPr="007F3D68">
        <w:rPr>
          <w:rFonts w:asciiTheme="majorHAnsi" w:hAnsiTheme="majorHAnsi"/>
          <w:sz w:val="16"/>
          <w:szCs w:val="16"/>
          <w:lang w:val="es-CO"/>
        </w:rPr>
        <w:t xml:space="preserve"> ONU, Comité de Derechos Humanos. </w:t>
      </w:r>
      <w:r w:rsidRPr="007F3D68">
        <w:rPr>
          <w:rFonts w:asciiTheme="majorHAnsi" w:hAnsiTheme="majorHAnsi"/>
          <w:iCs/>
          <w:sz w:val="16"/>
          <w:szCs w:val="16"/>
          <w:lang w:val="es-CO"/>
        </w:rPr>
        <w:t xml:space="preserve">Caso Irene </w:t>
      </w:r>
      <w:proofErr w:type="spellStart"/>
      <w:r w:rsidRPr="007F3D68">
        <w:rPr>
          <w:rFonts w:asciiTheme="majorHAnsi" w:hAnsiTheme="majorHAnsi"/>
          <w:iCs/>
          <w:sz w:val="16"/>
          <w:szCs w:val="16"/>
          <w:lang w:val="es-CO"/>
        </w:rPr>
        <w:t>Bleier</w:t>
      </w:r>
      <w:proofErr w:type="spellEnd"/>
      <w:r w:rsidRPr="007F3D68">
        <w:rPr>
          <w:rFonts w:asciiTheme="majorHAnsi" w:hAnsiTheme="majorHAnsi"/>
          <w:iCs/>
          <w:sz w:val="16"/>
          <w:szCs w:val="16"/>
          <w:lang w:val="es-CO"/>
        </w:rPr>
        <w:t xml:space="preserve"> </w:t>
      </w:r>
      <w:proofErr w:type="spellStart"/>
      <w:r w:rsidRPr="007F3D68">
        <w:rPr>
          <w:rFonts w:asciiTheme="majorHAnsi" w:hAnsiTheme="majorHAnsi"/>
          <w:iCs/>
          <w:sz w:val="16"/>
          <w:szCs w:val="16"/>
          <w:lang w:val="es-CO"/>
        </w:rPr>
        <w:t>Lewenhoff</w:t>
      </w:r>
      <w:proofErr w:type="spellEnd"/>
      <w:r w:rsidRPr="007F3D68">
        <w:rPr>
          <w:rFonts w:asciiTheme="majorHAnsi" w:hAnsiTheme="majorHAnsi"/>
          <w:iCs/>
          <w:sz w:val="16"/>
          <w:szCs w:val="16"/>
          <w:lang w:val="es-CO"/>
        </w:rPr>
        <w:t xml:space="preserve"> and Rosa </w:t>
      </w:r>
      <w:proofErr w:type="spellStart"/>
      <w:r w:rsidRPr="007F3D68">
        <w:rPr>
          <w:rFonts w:asciiTheme="majorHAnsi" w:hAnsiTheme="majorHAnsi"/>
          <w:iCs/>
          <w:sz w:val="16"/>
          <w:szCs w:val="16"/>
          <w:lang w:val="es-CO"/>
        </w:rPr>
        <w:t>Valiño</w:t>
      </w:r>
      <w:proofErr w:type="spellEnd"/>
      <w:r w:rsidRPr="007F3D68">
        <w:rPr>
          <w:rFonts w:asciiTheme="majorHAnsi" w:hAnsiTheme="majorHAnsi"/>
          <w:iCs/>
          <w:sz w:val="16"/>
          <w:szCs w:val="16"/>
          <w:lang w:val="es-CO"/>
        </w:rPr>
        <w:t xml:space="preserve"> de </w:t>
      </w:r>
      <w:proofErr w:type="spellStart"/>
      <w:r w:rsidRPr="007F3D68">
        <w:rPr>
          <w:rFonts w:asciiTheme="majorHAnsi" w:hAnsiTheme="majorHAnsi"/>
          <w:iCs/>
          <w:sz w:val="16"/>
          <w:szCs w:val="16"/>
          <w:lang w:val="es-CO"/>
        </w:rPr>
        <w:t>Bleier</w:t>
      </w:r>
      <w:proofErr w:type="spellEnd"/>
      <w:r w:rsidRPr="007F3D68">
        <w:rPr>
          <w:rFonts w:asciiTheme="majorHAnsi" w:hAnsiTheme="majorHAnsi"/>
          <w:iCs/>
          <w:sz w:val="16"/>
          <w:szCs w:val="16"/>
          <w:lang w:val="es-CO"/>
        </w:rPr>
        <w:t xml:space="preserve"> Vs. Uruguay. </w:t>
      </w:r>
      <w:r w:rsidRPr="007F3D68">
        <w:rPr>
          <w:rFonts w:asciiTheme="majorHAnsi" w:hAnsiTheme="majorHAnsi"/>
          <w:sz w:val="16"/>
          <w:szCs w:val="16"/>
          <w:lang w:val="es-CO"/>
        </w:rPr>
        <w:t xml:space="preserve">Comunicación No. 30/1978, UN Doc. CCPR/C/OP/1, de 29 de Marzo de 1982, párr. 13.3; </w:t>
      </w:r>
      <w:r w:rsidRPr="007F3D68">
        <w:rPr>
          <w:rFonts w:asciiTheme="majorHAnsi" w:hAnsiTheme="majorHAnsi"/>
          <w:iCs/>
          <w:sz w:val="16"/>
          <w:szCs w:val="16"/>
          <w:lang w:val="es-CO"/>
        </w:rPr>
        <w:t xml:space="preserve">Caso Albert </w:t>
      </w:r>
      <w:proofErr w:type="spellStart"/>
      <w:r w:rsidRPr="007F3D68">
        <w:rPr>
          <w:rFonts w:asciiTheme="majorHAnsi" w:hAnsiTheme="majorHAnsi"/>
          <w:iCs/>
          <w:sz w:val="16"/>
          <w:szCs w:val="16"/>
          <w:lang w:val="es-CO"/>
        </w:rPr>
        <w:t>Womah</w:t>
      </w:r>
      <w:proofErr w:type="spellEnd"/>
      <w:r w:rsidRPr="007F3D68">
        <w:rPr>
          <w:rFonts w:asciiTheme="majorHAnsi" w:hAnsiTheme="majorHAnsi"/>
          <w:iCs/>
          <w:sz w:val="16"/>
          <w:szCs w:val="16"/>
          <w:lang w:val="es-CO"/>
        </w:rPr>
        <w:t xml:space="preserve"> </w:t>
      </w:r>
      <w:proofErr w:type="spellStart"/>
      <w:r w:rsidRPr="007F3D68">
        <w:rPr>
          <w:rFonts w:asciiTheme="majorHAnsi" w:hAnsiTheme="majorHAnsi"/>
          <w:iCs/>
          <w:sz w:val="16"/>
          <w:szCs w:val="16"/>
          <w:lang w:val="es-CO"/>
        </w:rPr>
        <w:t>Mukong</w:t>
      </w:r>
      <w:proofErr w:type="spellEnd"/>
      <w:r w:rsidRPr="007F3D68">
        <w:rPr>
          <w:rFonts w:asciiTheme="majorHAnsi" w:hAnsiTheme="majorHAnsi"/>
          <w:iCs/>
          <w:sz w:val="16"/>
          <w:szCs w:val="16"/>
          <w:lang w:val="es-CO"/>
        </w:rPr>
        <w:t xml:space="preserve"> Vs. Camerún. </w:t>
      </w:r>
      <w:r w:rsidRPr="007F3D68">
        <w:rPr>
          <w:rFonts w:asciiTheme="majorHAnsi" w:hAnsiTheme="majorHAnsi"/>
          <w:sz w:val="16"/>
          <w:szCs w:val="16"/>
          <w:lang w:val="es-CO"/>
        </w:rPr>
        <w:t xml:space="preserve">Comunicación No. 458/1991, UN Doc. CCPR/C/51/D/458/1991, de 21 de julio de 1994, párr. 9.2, y </w:t>
      </w:r>
      <w:r w:rsidRPr="007F3D68">
        <w:rPr>
          <w:rFonts w:asciiTheme="majorHAnsi" w:hAnsiTheme="majorHAnsi"/>
          <w:iCs/>
          <w:sz w:val="16"/>
          <w:szCs w:val="16"/>
          <w:lang w:val="es-CO"/>
        </w:rPr>
        <w:t xml:space="preserve">Caso </w:t>
      </w:r>
      <w:proofErr w:type="spellStart"/>
      <w:r w:rsidRPr="007F3D68">
        <w:rPr>
          <w:rFonts w:asciiTheme="majorHAnsi" w:hAnsiTheme="majorHAnsi"/>
          <w:iCs/>
          <w:sz w:val="16"/>
          <w:szCs w:val="16"/>
          <w:lang w:val="es-CO"/>
        </w:rPr>
        <w:t>Turdukan</w:t>
      </w:r>
      <w:proofErr w:type="spellEnd"/>
      <w:r w:rsidRPr="007F3D68">
        <w:rPr>
          <w:rFonts w:asciiTheme="majorHAnsi" w:hAnsiTheme="majorHAnsi"/>
          <w:iCs/>
          <w:sz w:val="16"/>
          <w:szCs w:val="16"/>
          <w:lang w:val="es-CO"/>
        </w:rPr>
        <w:t xml:space="preserve"> </w:t>
      </w:r>
      <w:proofErr w:type="spellStart"/>
      <w:r w:rsidRPr="007F3D68">
        <w:rPr>
          <w:rFonts w:asciiTheme="majorHAnsi" w:hAnsiTheme="majorHAnsi"/>
          <w:iCs/>
          <w:sz w:val="16"/>
          <w:szCs w:val="16"/>
          <w:lang w:val="es-CO"/>
        </w:rPr>
        <w:t>Zhumbaeva</w:t>
      </w:r>
      <w:proofErr w:type="spellEnd"/>
      <w:r w:rsidRPr="007F3D68">
        <w:rPr>
          <w:rFonts w:asciiTheme="majorHAnsi" w:hAnsiTheme="majorHAnsi"/>
          <w:iCs/>
          <w:sz w:val="16"/>
          <w:szCs w:val="16"/>
          <w:lang w:val="es-CO"/>
        </w:rPr>
        <w:t xml:space="preserve"> Vs. </w:t>
      </w:r>
      <w:proofErr w:type="spellStart"/>
      <w:r w:rsidRPr="007F3D68">
        <w:rPr>
          <w:rFonts w:asciiTheme="majorHAnsi" w:hAnsiTheme="majorHAnsi"/>
          <w:iCs/>
          <w:sz w:val="16"/>
          <w:szCs w:val="16"/>
          <w:lang w:val="es-CO"/>
        </w:rPr>
        <w:t>Kyrgyzstan</w:t>
      </w:r>
      <w:proofErr w:type="spellEnd"/>
      <w:r w:rsidRPr="007F3D68">
        <w:rPr>
          <w:rFonts w:asciiTheme="majorHAnsi" w:hAnsiTheme="majorHAnsi"/>
          <w:sz w:val="16"/>
          <w:szCs w:val="16"/>
          <w:lang w:val="es-CO"/>
        </w:rPr>
        <w:t xml:space="preserve">. Comunicación Nº 1756/2008, UN Doc. CCPR/C/102/D/1756/2008, de 29 de julio de 2011, párr. 8.7.  </w:t>
      </w:r>
    </w:p>
  </w:footnote>
  <w:footnote w:id="138">
    <w:p w:rsidR="00F40EB1" w:rsidRPr="007F3D68" w:rsidRDefault="00F40EB1" w:rsidP="0016507B">
      <w:pPr>
        <w:pStyle w:val="FootnoteText"/>
        <w:tabs>
          <w:tab w:val="left" w:pos="720"/>
          <w:tab w:val="left" w:pos="900"/>
          <w:tab w:val="left" w:pos="1080"/>
        </w:tabs>
        <w:spacing w:after="120"/>
        <w:ind w:firstLine="720"/>
        <w:jc w:val="both"/>
        <w:rPr>
          <w:rFonts w:asciiTheme="majorHAnsi" w:hAnsiTheme="majorHAnsi"/>
          <w:sz w:val="16"/>
          <w:szCs w:val="16"/>
          <w:lang w:val="es-ES"/>
        </w:rPr>
      </w:pPr>
      <w:r w:rsidRPr="007F3D68">
        <w:rPr>
          <w:rStyle w:val="FootnoteReference"/>
          <w:rFonts w:asciiTheme="majorHAnsi" w:hAnsiTheme="majorHAnsi"/>
          <w:sz w:val="16"/>
          <w:szCs w:val="16"/>
        </w:rPr>
        <w:footnoteRef/>
      </w:r>
      <w:r w:rsidRPr="007F3D68">
        <w:rPr>
          <w:rFonts w:asciiTheme="majorHAnsi" w:hAnsiTheme="majorHAnsi"/>
          <w:sz w:val="16"/>
          <w:szCs w:val="16"/>
          <w:lang w:val="es-ES"/>
        </w:rPr>
        <w:t xml:space="preserve"> </w:t>
      </w:r>
      <w:r w:rsidRPr="007F3D68">
        <w:rPr>
          <w:rFonts w:asciiTheme="majorHAnsi" w:eastAsia="Arial Unicode MS" w:hAnsiTheme="majorHAnsi" w:cs="Times New Roman"/>
          <w:bCs/>
          <w:sz w:val="16"/>
          <w:szCs w:val="16"/>
          <w:shd w:val="clear" w:color="auto" w:fill="FFFFFF"/>
          <w:lang w:val="es-ES" w:eastAsia="en-US"/>
        </w:rPr>
        <w:t>Corte IDH. Caso Hermanos Landaeta Mejías y otros Vs. Venezuela. Excepciones Preliminares, Fondo, Reparaciones y Costas. Sentencia de 27 de agosto de 2014. Serie C No. 281, párr. 134.</w:t>
      </w:r>
    </w:p>
  </w:footnote>
  <w:footnote w:id="139">
    <w:p w:rsidR="00F40EB1" w:rsidRPr="007F3D68" w:rsidRDefault="00F40EB1" w:rsidP="0016507B">
      <w:pPr>
        <w:tabs>
          <w:tab w:val="left" w:pos="720"/>
          <w:tab w:val="left" w:pos="900"/>
          <w:tab w:val="left" w:pos="1080"/>
        </w:tabs>
        <w:spacing w:after="120"/>
        <w:ind w:firstLine="720"/>
        <w:jc w:val="both"/>
        <w:rPr>
          <w:rFonts w:asciiTheme="majorHAnsi" w:hAnsiTheme="majorHAnsi"/>
          <w:sz w:val="16"/>
          <w:szCs w:val="16"/>
          <w:lang w:val="es-PE"/>
        </w:rPr>
      </w:pPr>
      <w:r w:rsidRPr="007F3D68">
        <w:rPr>
          <w:rStyle w:val="FootnoteReference"/>
          <w:rFonts w:asciiTheme="majorHAnsi" w:hAnsiTheme="majorHAnsi"/>
          <w:sz w:val="16"/>
          <w:szCs w:val="16"/>
        </w:rPr>
        <w:footnoteRef/>
      </w:r>
      <w:r w:rsidRPr="007F3D68">
        <w:rPr>
          <w:rFonts w:asciiTheme="majorHAnsi" w:hAnsiTheme="majorHAnsi"/>
          <w:sz w:val="16"/>
          <w:szCs w:val="16"/>
          <w:lang w:val="es-MX"/>
        </w:rPr>
        <w:t xml:space="preserve"> Corte IDH. Caso </w:t>
      </w:r>
      <w:proofErr w:type="spellStart"/>
      <w:r w:rsidRPr="007F3D68">
        <w:rPr>
          <w:rFonts w:asciiTheme="majorHAnsi" w:hAnsiTheme="majorHAnsi"/>
          <w:sz w:val="16"/>
          <w:szCs w:val="16"/>
          <w:lang w:val="es-MX"/>
        </w:rPr>
        <w:t>Nadege</w:t>
      </w:r>
      <w:proofErr w:type="spellEnd"/>
      <w:r w:rsidRPr="007F3D68">
        <w:rPr>
          <w:rFonts w:asciiTheme="majorHAnsi" w:hAnsiTheme="majorHAnsi"/>
          <w:sz w:val="16"/>
          <w:szCs w:val="16"/>
          <w:lang w:val="es-MX"/>
        </w:rPr>
        <w:t xml:space="preserve"> </w:t>
      </w:r>
      <w:proofErr w:type="spellStart"/>
      <w:r w:rsidRPr="007F3D68">
        <w:rPr>
          <w:rFonts w:asciiTheme="majorHAnsi" w:hAnsiTheme="majorHAnsi"/>
          <w:sz w:val="16"/>
          <w:szCs w:val="16"/>
          <w:lang w:val="es-MX"/>
        </w:rPr>
        <w:t>Dorzema</w:t>
      </w:r>
      <w:proofErr w:type="spellEnd"/>
      <w:r w:rsidRPr="007F3D68">
        <w:rPr>
          <w:rFonts w:asciiTheme="majorHAnsi" w:hAnsiTheme="majorHAnsi"/>
          <w:sz w:val="16"/>
          <w:szCs w:val="16"/>
          <w:lang w:val="es-MX"/>
        </w:rPr>
        <w:t xml:space="preserve"> y otros Vs. República Dominicana. Fondo Reparaciones y Costas. Sentencia de 24 de octubre de 2012 Serie C No. 251, párr. 85.</w:t>
      </w:r>
    </w:p>
  </w:footnote>
  <w:footnote w:id="140">
    <w:p w:rsidR="00F40EB1" w:rsidRPr="007F3D68" w:rsidRDefault="00F40EB1" w:rsidP="0016507B">
      <w:pPr>
        <w:tabs>
          <w:tab w:val="left" w:pos="720"/>
          <w:tab w:val="left" w:pos="900"/>
          <w:tab w:val="left" w:pos="1080"/>
        </w:tabs>
        <w:spacing w:after="120"/>
        <w:ind w:firstLine="720"/>
        <w:jc w:val="both"/>
        <w:rPr>
          <w:rFonts w:asciiTheme="majorHAnsi" w:hAnsiTheme="majorHAnsi"/>
          <w:sz w:val="16"/>
          <w:szCs w:val="16"/>
          <w:lang w:val="es-PE"/>
        </w:rPr>
      </w:pPr>
      <w:r w:rsidRPr="007F3D68">
        <w:rPr>
          <w:rStyle w:val="FootnoteReference"/>
          <w:rFonts w:asciiTheme="majorHAnsi" w:hAnsiTheme="majorHAnsi"/>
          <w:sz w:val="16"/>
          <w:szCs w:val="16"/>
        </w:rPr>
        <w:footnoteRef/>
      </w:r>
      <w:r w:rsidRPr="007F3D68">
        <w:rPr>
          <w:rFonts w:asciiTheme="majorHAnsi" w:hAnsiTheme="majorHAnsi" w:cs="Arial"/>
          <w:sz w:val="16"/>
          <w:szCs w:val="16"/>
          <w:lang w:val="es-CO"/>
        </w:rPr>
        <w:t xml:space="preserve"> </w:t>
      </w:r>
      <w:r w:rsidRPr="007F3D68">
        <w:rPr>
          <w:rFonts w:asciiTheme="majorHAnsi" w:hAnsiTheme="majorHAnsi"/>
          <w:sz w:val="16"/>
          <w:szCs w:val="16"/>
          <w:lang w:val="es-ES"/>
        </w:rPr>
        <w:t xml:space="preserve">CIDH, Informe No. 85/13, Caso 12.251, Admisibilidad y Fondo, Vereda la Esperanza, Colombia, 4 de noviembre de 2013, párr. </w:t>
      </w:r>
      <w:r w:rsidRPr="007F3D68">
        <w:rPr>
          <w:rFonts w:asciiTheme="majorHAnsi" w:hAnsiTheme="majorHAnsi"/>
          <w:sz w:val="16"/>
          <w:szCs w:val="16"/>
          <w:lang w:val="es-MX"/>
        </w:rPr>
        <w:t xml:space="preserve">242; y </w:t>
      </w:r>
      <w:r w:rsidRPr="007F3D68">
        <w:rPr>
          <w:rFonts w:asciiTheme="majorHAnsi" w:hAnsiTheme="majorHAnsi" w:cs="Arial"/>
          <w:sz w:val="16"/>
          <w:szCs w:val="16"/>
          <w:lang w:val="es-CO"/>
        </w:rPr>
        <w:t xml:space="preserve">Corte IDH. Caso </w:t>
      </w:r>
      <w:proofErr w:type="spellStart"/>
      <w:r w:rsidRPr="007F3D68">
        <w:rPr>
          <w:rFonts w:asciiTheme="majorHAnsi" w:hAnsiTheme="majorHAnsi" w:cs="Arial"/>
          <w:sz w:val="16"/>
          <w:szCs w:val="16"/>
          <w:lang w:val="es-CO"/>
        </w:rPr>
        <w:t>Kawas</w:t>
      </w:r>
      <w:proofErr w:type="spellEnd"/>
      <w:r w:rsidRPr="007F3D68">
        <w:rPr>
          <w:rFonts w:asciiTheme="majorHAnsi" w:hAnsiTheme="majorHAnsi" w:cs="Arial"/>
          <w:sz w:val="16"/>
          <w:szCs w:val="16"/>
          <w:lang w:val="es-CO"/>
        </w:rPr>
        <w:t xml:space="preserve"> Fernández Vs. </w:t>
      </w:r>
      <w:r w:rsidRPr="007F3D68">
        <w:rPr>
          <w:rFonts w:asciiTheme="majorHAnsi" w:hAnsiTheme="majorHAnsi" w:cs="Arial"/>
          <w:sz w:val="16"/>
          <w:szCs w:val="16"/>
          <w:lang w:val="es-MX"/>
        </w:rPr>
        <w:t>Honduras. Fondo, Reparaciones y Costas. Sentencia de 3 de abril de 2009 Serie C No. 196, párr. 75</w:t>
      </w:r>
      <w:r w:rsidRPr="007F3D68">
        <w:rPr>
          <w:rFonts w:asciiTheme="majorHAnsi" w:hAnsiTheme="majorHAnsi"/>
          <w:sz w:val="16"/>
          <w:szCs w:val="16"/>
          <w:lang w:val="es-MX"/>
        </w:rPr>
        <w:t xml:space="preserve">. </w:t>
      </w:r>
    </w:p>
  </w:footnote>
  <w:footnote w:id="141">
    <w:p w:rsidR="00F40EB1" w:rsidRPr="007F3D68" w:rsidRDefault="00F40EB1" w:rsidP="0016507B">
      <w:pPr>
        <w:pStyle w:val="FootnoteText"/>
        <w:tabs>
          <w:tab w:val="left" w:pos="720"/>
          <w:tab w:val="left" w:pos="900"/>
          <w:tab w:val="left" w:pos="1080"/>
        </w:tabs>
        <w:spacing w:after="120"/>
        <w:ind w:firstLine="720"/>
        <w:jc w:val="both"/>
        <w:rPr>
          <w:rFonts w:asciiTheme="majorHAnsi" w:hAnsiTheme="majorHAnsi"/>
          <w:sz w:val="16"/>
          <w:szCs w:val="16"/>
        </w:rPr>
      </w:pPr>
      <w:r w:rsidRPr="007F3D68">
        <w:rPr>
          <w:rStyle w:val="FootnoteReference"/>
          <w:rFonts w:asciiTheme="majorHAnsi" w:hAnsiTheme="majorHAnsi"/>
          <w:sz w:val="16"/>
          <w:szCs w:val="16"/>
        </w:rPr>
        <w:footnoteRef/>
      </w:r>
      <w:r w:rsidRPr="007F3D68">
        <w:rPr>
          <w:rFonts w:asciiTheme="majorHAnsi" w:hAnsiTheme="majorHAnsi"/>
          <w:sz w:val="16"/>
          <w:szCs w:val="16"/>
        </w:rPr>
        <w:t xml:space="preserve"> ECHR, </w:t>
      </w:r>
      <w:r w:rsidRPr="007F3D68">
        <w:rPr>
          <w:rStyle w:val="ju-005fpara--char"/>
          <w:rFonts w:asciiTheme="majorHAnsi" w:hAnsiTheme="majorHAnsi"/>
          <w:iCs/>
          <w:sz w:val="16"/>
          <w:szCs w:val="16"/>
        </w:rPr>
        <w:t>McCann and Others v. the United Kingdom</w:t>
      </w:r>
      <w:r w:rsidRPr="007F3D68">
        <w:rPr>
          <w:rFonts w:asciiTheme="majorHAnsi" w:hAnsiTheme="majorHAnsi"/>
          <w:sz w:val="16"/>
          <w:szCs w:val="16"/>
        </w:rPr>
        <w:t xml:space="preserve">, Application no. </w:t>
      </w:r>
      <w:proofErr w:type="gramStart"/>
      <w:r w:rsidRPr="007F3D68">
        <w:rPr>
          <w:rFonts w:asciiTheme="majorHAnsi" w:hAnsiTheme="majorHAnsi"/>
          <w:sz w:val="16"/>
          <w:szCs w:val="16"/>
        </w:rPr>
        <w:t>No. 27229/95, September 1995, § 36.</w:t>
      </w:r>
      <w:proofErr w:type="gramEnd"/>
    </w:p>
  </w:footnote>
  <w:footnote w:id="142">
    <w:p w:rsidR="00F40EB1" w:rsidRPr="007F3D68" w:rsidRDefault="00F40EB1" w:rsidP="0016507B">
      <w:pPr>
        <w:pStyle w:val="FootnoteText"/>
        <w:tabs>
          <w:tab w:val="left" w:pos="720"/>
          <w:tab w:val="left" w:pos="900"/>
          <w:tab w:val="left" w:pos="1080"/>
        </w:tabs>
        <w:spacing w:after="120"/>
        <w:ind w:firstLine="720"/>
        <w:jc w:val="both"/>
        <w:rPr>
          <w:rFonts w:asciiTheme="majorHAnsi" w:hAnsiTheme="majorHAnsi"/>
          <w:sz w:val="16"/>
          <w:szCs w:val="16"/>
        </w:rPr>
      </w:pPr>
      <w:r w:rsidRPr="007F3D68">
        <w:rPr>
          <w:rStyle w:val="FootnoteReference"/>
          <w:rFonts w:asciiTheme="majorHAnsi" w:hAnsiTheme="majorHAnsi"/>
          <w:sz w:val="16"/>
          <w:szCs w:val="16"/>
        </w:rPr>
        <w:footnoteRef/>
      </w:r>
      <w:r w:rsidRPr="007F3D68">
        <w:rPr>
          <w:rFonts w:asciiTheme="majorHAnsi" w:hAnsiTheme="majorHAnsi"/>
          <w:sz w:val="16"/>
          <w:szCs w:val="16"/>
        </w:rPr>
        <w:t xml:space="preserve"> </w:t>
      </w:r>
      <w:proofErr w:type="gramStart"/>
      <w:r w:rsidRPr="007F3D68">
        <w:rPr>
          <w:rFonts w:asciiTheme="majorHAnsi" w:hAnsiTheme="majorHAnsi"/>
          <w:sz w:val="16"/>
          <w:szCs w:val="16"/>
        </w:rPr>
        <w:t xml:space="preserve">ECHR, </w:t>
      </w:r>
      <w:proofErr w:type="spellStart"/>
      <w:r w:rsidRPr="007F3D68">
        <w:rPr>
          <w:rFonts w:asciiTheme="majorHAnsi" w:hAnsiTheme="majorHAnsi"/>
          <w:sz w:val="16"/>
          <w:szCs w:val="16"/>
        </w:rPr>
        <w:t>Milkhalkova</w:t>
      </w:r>
      <w:proofErr w:type="spellEnd"/>
      <w:r w:rsidRPr="007F3D68">
        <w:rPr>
          <w:rFonts w:asciiTheme="majorHAnsi" w:hAnsiTheme="majorHAnsi"/>
          <w:sz w:val="16"/>
          <w:szCs w:val="16"/>
        </w:rPr>
        <w:t xml:space="preserve"> and others v. Ukraine, Application no. 10919/05, 13 January 2011, § 42.</w:t>
      </w:r>
      <w:proofErr w:type="gramEnd"/>
    </w:p>
  </w:footnote>
  <w:footnote w:id="143">
    <w:p w:rsidR="00F40EB1" w:rsidRPr="007F3D68" w:rsidRDefault="00F40EB1" w:rsidP="0016507B">
      <w:pPr>
        <w:pStyle w:val="FootnoteText"/>
        <w:spacing w:after="120"/>
        <w:ind w:firstLine="709"/>
        <w:jc w:val="both"/>
        <w:rPr>
          <w:rFonts w:asciiTheme="majorHAnsi" w:hAnsiTheme="majorHAnsi"/>
          <w:sz w:val="16"/>
          <w:szCs w:val="16"/>
          <w:lang w:val="es-PE"/>
        </w:rPr>
      </w:pPr>
      <w:r w:rsidRPr="007F3D68">
        <w:rPr>
          <w:rStyle w:val="FootnoteReference"/>
          <w:rFonts w:asciiTheme="majorHAnsi" w:hAnsiTheme="majorHAnsi"/>
          <w:sz w:val="16"/>
          <w:szCs w:val="16"/>
        </w:rPr>
        <w:footnoteRef/>
      </w:r>
      <w:r w:rsidRPr="007F3D68">
        <w:rPr>
          <w:rFonts w:asciiTheme="majorHAnsi" w:hAnsiTheme="majorHAnsi"/>
          <w:sz w:val="16"/>
          <w:szCs w:val="16"/>
          <w:lang w:val="es-MX"/>
        </w:rPr>
        <w:t xml:space="preserve"> Corte IDH. Caso Cantoral </w:t>
      </w:r>
      <w:proofErr w:type="spellStart"/>
      <w:r w:rsidRPr="007F3D68">
        <w:rPr>
          <w:rFonts w:asciiTheme="majorHAnsi" w:hAnsiTheme="majorHAnsi"/>
          <w:sz w:val="16"/>
          <w:szCs w:val="16"/>
          <w:lang w:val="es-MX"/>
        </w:rPr>
        <w:t>Huamaní</w:t>
      </w:r>
      <w:proofErr w:type="spellEnd"/>
      <w:r w:rsidRPr="007F3D68">
        <w:rPr>
          <w:rFonts w:asciiTheme="majorHAnsi" w:hAnsiTheme="majorHAnsi"/>
          <w:sz w:val="16"/>
          <w:szCs w:val="16"/>
          <w:lang w:val="es-MX"/>
        </w:rPr>
        <w:t xml:space="preserve"> y García Santa Cruz Vs. Perú. Excepción Preliminar, Fondo, Reparaciones y Costas. Sentencia de 10 de julio de 2007. Serie C No. 167, párr. 131.</w:t>
      </w:r>
    </w:p>
  </w:footnote>
  <w:footnote w:id="144">
    <w:p w:rsidR="00F40EB1" w:rsidRPr="007F3D68" w:rsidRDefault="00F40EB1" w:rsidP="0016507B">
      <w:pPr>
        <w:spacing w:after="120"/>
        <w:ind w:firstLine="709"/>
        <w:jc w:val="both"/>
        <w:rPr>
          <w:rFonts w:asciiTheme="majorHAnsi" w:hAnsiTheme="majorHAnsi"/>
          <w:sz w:val="16"/>
          <w:szCs w:val="16"/>
          <w:lang w:val="pt-BR"/>
        </w:rPr>
      </w:pPr>
      <w:r w:rsidRPr="007F3D68">
        <w:rPr>
          <w:rStyle w:val="FootnoteReference"/>
          <w:rFonts w:asciiTheme="majorHAnsi" w:hAnsiTheme="majorHAnsi"/>
          <w:sz w:val="16"/>
          <w:szCs w:val="16"/>
          <w:lang w:val="es-ES"/>
        </w:rPr>
        <w:footnoteRef/>
      </w:r>
      <w:r w:rsidRPr="007F3D68">
        <w:rPr>
          <w:rFonts w:asciiTheme="majorHAnsi" w:hAnsiTheme="majorHAnsi"/>
          <w:sz w:val="16"/>
          <w:szCs w:val="16"/>
          <w:lang w:val="es-ES"/>
        </w:rPr>
        <w:t xml:space="preserve"> CIDH, Informe de Fondo, N˚ 55/97, Juan Carlos Abella y Otros (Argentina), 18 de noviembre de 1997, párr. </w:t>
      </w:r>
      <w:r w:rsidRPr="007F3D68">
        <w:rPr>
          <w:rFonts w:asciiTheme="majorHAnsi" w:hAnsiTheme="majorHAnsi"/>
          <w:sz w:val="16"/>
          <w:szCs w:val="16"/>
          <w:lang w:val="pt-BR"/>
        </w:rPr>
        <w:t>412.</w:t>
      </w:r>
    </w:p>
  </w:footnote>
  <w:footnote w:id="145">
    <w:p w:rsidR="00F40EB1" w:rsidRPr="007F3D68" w:rsidRDefault="00F40EB1" w:rsidP="0016507B">
      <w:pPr>
        <w:pStyle w:val="FootnoteText"/>
        <w:spacing w:after="120"/>
        <w:ind w:firstLine="709"/>
        <w:jc w:val="both"/>
        <w:rPr>
          <w:rFonts w:asciiTheme="majorHAnsi" w:hAnsiTheme="majorHAnsi"/>
          <w:sz w:val="16"/>
          <w:szCs w:val="16"/>
          <w:lang w:val="es-PE"/>
        </w:rPr>
      </w:pPr>
      <w:r w:rsidRPr="007F3D68">
        <w:rPr>
          <w:rStyle w:val="FootnoteReference"/>
          <w:rFonts w:asciiTheme="majorHAnsi" w:hAnsiTheme="majorHAnsi"/>
          <w:sz w:val="16"/>
          <w:szCs w:val="16"/>
        </w:rPr>
        <w:footnoteRef/>
      </w:r>
      <w:r w:rsidRPr="007F3D68">
        <w:rPr>
          <w:rFonts w:asciiTheme="majorHAnsi" w:hAnsiTheme="majorHAnsi"/>
          <w:sz w:val="16"/>
          <w:szCs w:val="16"/>
          <w:lang w:val="pt-BR"/>
        </w:rPr>
        <w:t xml:space="preserve">CIDH, Informe No. 25/09 Fondo (Sebastião Camargo Filho) Brasil, 19 de marzo de 2009, párr. </w:t>
      </w:r>
      <w:r w:rsidRPr="007F3D68">
        <w:rPr>
          <w:rFonts w:asciiTheme="majorHAnsi" w:hAnsiTheme="majorHAnsi"/>
          <w:sz w:val="16"/>
          <w:szCs w:val="16"/>
          <w:lang w:val="es-ES_tradnl"/>
        </w:rPr>
        <w:t xml:space="preserve">109. Ver también, </w:t>
      </w:r>
      <w:r w:rsidRPr="007F3D68">
        <w:rPr>
          <w:rFonts w:asciiTheme="majorHAnsi" w:hAnsiTheme="majorHAnsi"/>
          <w:sz w:val="16"/>
          <w:szCs w:val="16"/>
          <w:lang w:val="es-VE"/>
        </w:rPr>
        <w:t xml:space="preserve">CIDH, Acceso a la Justicia para las Mujeres Víctimas de Violencia en las Américas, </w:t>
      </w:r>
      <w:r w:rsidRPr="007F3D68">
        <w:rPr>
          <w:rFonts w:asciiTheme="majorHAnsi" w:hAnsiTheme="majorHAnsi"/>
          <w:sz w:val="16"/>
          <w:szCs w:val="16"/>
          <w:lang w:val="es-ES_tradnl"/>
        </w:rPr>
        <w:t>OEA/Ser. L/V/II. doc.68, 20 de enero de 2007, párr. 41.</w:t>
      </w:r>
    </w:p>
  </w:footnote>
  <w:footnote w:id="146">
    <w:p w:rsidR="00F40EB1" w:rsidRPr="007F3D68" w:rsidRDefault="00F40EB1" w:rsidP="0016507B">
      <w:pPr>
        <w:pStyle w:val="FootnoteText"/>
        <w:spacing w:after="120"/>
        <w:ind w:firstLine="709"/>
        <w:jc w:val="both"/>
        <w:rPr>
          <w:rFonts w:asciiTheme="majorHAnsi" w:hAnsiTheme="majorHAnsi"/>
          <w:sz w:val="16"/>
          <w:szCs w:val="16"/>
          <w:lang w:val="es-PE"/>
        </w:rPr>
      </w:pPr>
      <w:r w:rsidRPr="007F3D68">
        <w:rPr>
          <w:rStyle w:val="FootnoteReference"/>
          <w:rFonts w:asciiTheme="majorHAnsi" w:hAnsiTheme="majorHAnsi"/>
          <w:sz w:val="16"/>
          <w:szCs w:val="16"/>
        </w:rPr>
        <w:footnoteRef/>
      </w:r>
      <w:r w:rsidRPr="007F3D68">
        <w:rPr>
          <w:rFonts w:asciiTheme="majorHAnsi" w:hAnsiTheme="majorHAnsi"/>
          <w:sz w:val="16"/>
          <w:szCs w:val="16"/>
          <w:lang w:val="es-MX"/>
        </w:rPr>
        <w:t xml:space="preserve"> </w:t>
      </w:r>
      <w:r w:rsidRPr="007F3D68">
        <w:rPr>
          <w:rFonts w:asciiTheme="majorHAnsi" w:hAnsiTheme="majorHAnsi"/>
          <w:sz w:val="16"/>
          <w:szCs w:val="16"/>
          <w:lang w:val="es-PE"/>
        </w:rPr>
        <w:t xml:space="preserve">Corte IDH. </w:t>
      </w:r>
      <w:r w:rsidRPr="007F3D68">
        <w:rPr>
          <w:rFonts w:asciiTheme="majorHAnsi" w:hAnsiTheme="majorHAnsi"/>
          <w:iCs/>
          <w:sz w:val="16"/>
          <w:szCs w:val="16"/>
          <w:lang w:val="es-ES_tradnl"/>
        </w:rPr>
        <w:t>Caso de los “Niños de la Calle” (Villagrán Morales y otros).</w:t>
      </w:r>
      <w:r w:rsidRPr="007F3D68">
        <w:rPr>
          <w:rFonts w:asciiTheme="majorHAnsi" w:hAnsiTheme="majorHAnsi"/>
          <w:sz w:val="16"/>
          <w:szCs w:val="16"/>
          <w:lang w:val="es-ES_tradnl"/>
        </w:rPr>
        <w:t xml:space="preserve"> Sentencia de 19 de noviembre de 1999. Serie C No. 63,</w:t>
      </w:r>
      <w:r w:rsidRPr="007F3D68">
        <w:rPr>
          <w:rFonts w:asciiTheme="majorHAnsi" w:hAnsiTheme="majorHAnsi"/>
          <w:sz w:val="16"/>
          <w:szCs w:val="16"/>
          <w:lang w:val="es-CR"/>
        </w:rPr>
        <w:t xml:space="preserve"> párr. 230. </w:t>
      </w:r>
      <w:r w:rsidRPr="007F3D68">
        <w:rPr>
          <w:rFonts w:asciiTheme="majorHAnsi" w:hAnsiTheme="majorHAnsi"/>
          <w:sz w:val="16"/>
          <w:szCs w:val="16"/>
          <w:lang w:val="es-ES_tradnl"/>
        </w:rPr>
        <w:t xml:space="preserve">Ver también, </w:t>
      </w:r>
      <w:r w:rsidRPr="007F3D68">
        <w:rPr>
          <w:rFonts w:asciiTheme="majorHAnsi" w:hAnsiTheme="majorHAnsi"/>
          <w:sz w:val="16"/>
          <w:szCs w:val="16"/>
          <w:lang w:val="es-VE"/>
        </w:rPr>
        <w:t xml:space="preserve">CIDH, Acceso a la Justicia para las Mujeres Víctimas de Violencia en las Américas, </w:t>
      </w:r>
      <w:r w:rsidRPr="007F3D68">
        <w:rPr>
          <w:rFonts w:asciiTheme="majorHAnsi" w:hAnsiTheme="majorHAnsi"/>
          <w:sz w:val="16"/>
          <w:szCs w:val="16"/>
          <w:lang w:val="es-ES_tradnl"/>
        </w:rPr>
        <w:t>OEA/Ser. L/V/II. doc.68, 20 de enero de 2007, párr. 41.</w:t>
      </w:r>
    </w:p>
  </w:footnote>
  <w:footnote w:id="147">
    <w:p w:rsidR="00F40EB1" w:rsidRPr="007F3D68" w:rsidRDefault="00F40EB1" w:rsidP="0016507B">
      <w:pPr>
        <w:pStyle w:val="FootnoteText"/>
        <w:spacing w:after="120"/>
        <w:ind w:firstLine="720"/>
        <w:jc w:val="both"/>
        <w:rPr>
          <w:rFonts w:asciiTheme="majorHAnsi" w:hAnsiTheme="majorHAnsi"/>
          <w:sz w:val="16"/>
          <w:szCs w:val="16"/>
          <w:lang w:val="es-VE"/>
        </w:rPr>
      </w:pPr>
      <w:r w:rsidRPr="007F3D68">
        <w:rPr>
          <w:rStyle w:val="FootnoteReference"/>
          <w:rFonts w:asciiTheme="majorHAnsi" w:hAnsiTheme="majorHAnsi"/>
          <w:sz w:val="16"/>
          <w:szCs w:val="16"/>
        </w:rPr>
        <w:footnoteRef/>
      </w:r>
      <w:r w:rsidRPr="007F3D68">
        <w:rPr>
          <w:rFonts w:asciiTheme="majorHAnsi" w:hAnsiTheme="majorHAnsi"/>
          <w:sz w:val="16"/>
          <w:szCs w:val="16"/>
          <w:lang w:val="es-VE"/>
        </w:rPr>
        <w:t xml:space="preserve"> Corte IDH. Caso Juan Humberto Sánchez vs. Honduras. Excepciones Preliminares, Fondo, Reparaciones y Costas. Sentencia de 7 de junio de 2003. Serie C No. 99, párr.128. </w:t>
      </w:r>
    </w:p>
  </w:footnote>
  <w:footnote w:id="148">
    <w:p w:rsidR="00F40EB1" w:rsidRPr="00BB0660" w:rsidRDefault="00F40EB1" w:rsidP="00722585">
      <w:pPr>
        <w:pStyle w:val="FootnoteText"/>
        <w:ind w:firstLine="720"/>
        <w:rPr>
          <w:rFonts w:ascii="Cambria" w:hAnsi="Cambria"/>
          <w:sz w:val="16"/>
          <w:szCs w:val="16"/>
          <w:lang w:val="es-VE"/>
        </w:rPr>
      </w:pPr>
      <w:r w:rsidRPr="007F3D68">
        <w:rPr>
          <w:rStyle w:val="FootnoteReference"/>
          <w:rFonts w:ascii="Cambria" w:hAnsi="Cambria"/>
          <w:sz w:val="16"/>
          <w:szCs w:val="16"/>
        </w:rPr>
        <w:footnoteRef/>
      </w:r>
      <w:r w:rsidRPr="007F3D68">
        <w:rPr>
          <w:rFonts w:ascii="Cambria" w:hAnsi="Cambria"/>
          <w:sz w:val="16"/>
          <w:szCs w:val="16"/>
          <w:lang w:val="es-VE"/>
        </w:rPr>
        <w:t xml:space="preserve"> CICIG, Comunicado de prensa 041 </w:t>
      </w:r>
      <w:hyperlink r:id="rId16" w:history="1">
        <w:r w:rsidRPr="007F3D68">
          <w:rPr>
            <w:rStyle w:val="Hyperlink"/>
            <w:rFonts w:ascii="Cambria" w:hAnsi="Cambria"/>
            <w:sz w:val="16"/>
            <w:szCs w:val="16"/>
            <w:lang w:val="es-VE"/>
          </w:rPr>
          <w:t>Tribunal condena a responsables de ejecuciones extrajudiciales</w:t>
        </w:r>
      </w:hyperlink>
      <w:r w:rsidRPr="007F3D68">
        <w:rPr>
          <w:rFonts w:ascii="Cambria" w:hAnsi="Cambria"/>
          <w:sz w:val="16"/>
          <w:szCs w:val="16"/>
          <w:lang w:val="es-VE"/>
        </w:rPr>
        <w:t>, 8 de agosto de 2013.</w:t>
      </w:r>
      <w:r w:rsidRPr="00BB0660">
        <w:rPr>
          <w:rFonts w:ascii="Cambria" w:hAnsi="Cambria"/>
          <w:sz w:val="16"/>
          <w:szCs w:val="16"/>
          <w:lang w:val="es-V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B1" w:rsidRDefault="00F40EB1" w:rsidP="004B31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F40EB1" w:rsidRDefault="00F40E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B1" w:rsidRDefault="00F40EB1" w:rsidP="00A50FCF">
    <w:pPr>
      <w:pStyle w:val="Header"/>
      <w:tabs>
        <w:tab w:val="clear" w:pos="4320"/>
        <w:tab w:val="clear" w:pos="8640"/>
      </w:tabs>
      <w:jc w:val="center"/>
      <w:rPr>
        <w:sz w:val="22"/>
        <w:szCs w:val="22"/>
      </w:rPr>
    </w:pPr>
    <w:r>
      <w:rPr>
        <w:noProof/>
        <w:sz w:val="22"/>
        <w:szCs w:val="22"/>
      </w:rPr>
      <w:drawing>
        <wp:inline distT="0" distB="0" distL="0" distR="0" wp14:anchorId="72F4E517" wp14:editId="38059A1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F40EB1" w:rsidRPr="00EC7D62" w:rsidRDefault="006D7B67" w:rsidP="00A50FCF">
    <w:pPr>
      <w:pStyle w:val="Header"/>
      <w:tabs>
        <w:tab w:val="clear" w:pos="4320"/>
        <w:tab w:val="clear" w:pos="8640"/>
      </w:tabs>
      <w:jc w:val="center"/>
      <w:rPr>
        <w:sz w:val="22"/>
        <w:szCs w:val="22"/>
      </w:rPr>
    </w:pPr>
    <w:r>
      <w:rPr>
        <w:sz w:val="22"/>
        <w:szCs w:val="22"/>
      </w:rPr>
      <w:pict w14:anchorId="49F646FE">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90328C"/>
    <w:lvl w:ilvl="0">
      <w:start w:val="1"/>
      <w:numFmt w:val="bullet"/>
      <w:pStyle w:val="NoSpacing"/>
      <w:lvlText w:val=""/>
      <w:lvlJc w:val="left"/>
      <w:pPr>
        <w:tabs>
          <w:tab w:val="num" w:pos="0"/>
        </w:tabs>
      </w:pPr>
      <w:rPr>
        <w:rFonts w:ascii="Symbol" w:hAnsi="Symbol" w:hint="default"/>
      </w:rPr>
    </w:lvl>
    <w:lvl w:ilvl="1">
      <w:start w:val="1"/>
      <w:numFmt w:val="bullet"/>
      <w:pStyle w:val="LightShading1"/>
      <w:lvlText w:val=""/>
      <w:lvlJc w:val="left"/>
      <w:pPr>
        <w:tabs>
          <w:tab w:val="num" w:pos="720"/>
        </w:tabs>
        <w:ind w:left="1080" w:hanging="360"/>
      </w:pPr>
      <w:rPr>
        <w:rFonts w:ascii="Symbol" w:hAnsi="Symbol" w:hint="default"/>
      </w:rPr>
    </w:lvl>
    <w:lvl w:ilvl="2">
      <w:start w:val="1"/>
      <w:numFmt w:val="bullet"/>
      <w:pStyle w:val="LightList1"/>
      <w:lvlText w:val="o"/>
      <w:lvlJc w:val="left"/>
      <w:pPr>
        <w:tabs>
          <w:tab w:val="num" w:pos="1440"/>
        </w:tabs>
        <w:ind w:left="1800" w:hanging="360"/>
      </w:pPr>
      <w:rPr>
        <w:rFonts w:ascii="Courier New" w:hAnsi="Courier New" w:hint="default"/>
      </w:rPr>
    </w:lvl>
    <w:lvl w:ilvl="3">
      <w:start w:val="1"/>
      <w:numFmt w:val="bullet"/>
      <w:pStyle w:val="LightGrid1"/>
      <w:lvlText w:val=""/>
      <w:lvlJc w:val="left"/>
      <w:pPr>
        <w:tabs>
          <w:tab w:val="num" w:pos="2160"/>
        </w:tabs>
        <w:ind w:left="2520" w:hanging="360"/>
      </w:pPr>
      <w:rPr>
        <w:rFonts w:ascii="Wingdings" w:hAnsi="Wingdings" w:hint="default"/>
      </w:rPr>
    </w:lvl>
    <w:lvl w:ilvl="4">
      <w:start w:val="1"/>
      <w:numFmt w:val="bullet"/>
      <w:pStyle w:val="MediumShading11"/>
      <w:lvlText w:val=""/>
      <w:lvlJc w:val="left"/>
      <w:pPr>
        <w:tabs>
          <w:tab w:val="num" w:pos="2880"/>
        </w:tabs>
        <w:ind w:left="3240" w:hanging="360"/>
      </w:pPr>
      <w:rPr>
        <w:rFonts w:ascii="Wingdings" w:hAnsi="Wingdings" w:hint="default"/>
      </w:rPr>
    </w:lvl>
    <w:lvl w:ilvl="5">
      <w:start w:val="1"/>
      <w:numFmt w:val="bullet"/>
      <w:pStyle w:val="MediumShading21"/>
      <w:lvlText w:val=""/>
      <w:lvlJc w:val="left"/>
      <w:pPr>
        <w:tabs>
          <w:tab w:val="num" w:pos="3600"/>
        </w:tabs>
        <w:ind w:left="3960" w:hanging="360"/>
      </w:pPr>
      <w:rPr>
        <w:rFonts w:ascii="Symbol" w:hAnsi="Symbol" w:hint="default"/>
      </w:rPr>
    </w:lvl>
    <w:lvl w:ilvl="6">
      <w:start w:val="1"/>
      <w:numFmt w:val="bullet"/>
      <w:pStyle w:val="MediumList11"/>
      <w:lvlText w:val="o"/>
      <w:lvlJc w:val="left"/>
      <w:pPr>
        <w:tabs>
          <w:tab w:val="num" w:pos="4320"/>
        </w:tabs>
        <w:ind w:left="4680" w:hanging="360"/>
      </w:pPr>
      <w:rPr>
        <w:rFonts w:ascii="Courier New" w:hAnsi="Courier New" w:hint="default"/>
      </w:rPr>
    </w:lvl>
    <w:lvl w:ilvl="7">
      <w:start w:val="1"/>
      <w:numFmt w:val="bullet"/>
      <w:pStyle w:val="MediumList21"/>
      <w:lvlText w:val=""/>
      <w:lvlJc w:val="left"/>
      <w:pPr>
        <w:tabs>
          <w:tab w:val="num" w:pos="5040"/>
        </w:tabs>
        <w:ind w:left="5400" w:hanging="360"/>
      </w:pPr>
      <w:rPr>
        <w:rFonts w:ascii="Wingdings" w:hAnsi="Wingdings" w:hint="default"/>
      </w:rPr>
    </w:lvl>
    <w:lvl w:ilvl="8">
      <w:start w:val="1"/>
      <w:numFmt w:val="bullet"/>
      <w:pStyle w:val="Estilo5"/>
      <w:lvlText w:val=""/>
      <w:lvlJc w:val="left"/>
      <w:pPr>
        <w:tabs>
          <w:tab w:val="num" w:pos="5760"/>
        </w:tabs>
        <w:ind w:left="6120" w:hanging="360"/>
      </w:pPr>
      <w:rPr>
        <w:rFonts w:ascii="Wingdings" w:hAnsi="Wingdings" w:hint="default"/>
      </w:rPr>
    </w:lvl>
  </w:abstractNum>
  <w:abstractNum w:abstractNumId="1">
    <w:nsid w:val="034A6FF7"/>
    <w:multiLevelType w:val="hybridMultilevel"/>
    <w:tmpl w:val="26CE353C"/>
    <w:lvl w:ilvl="0" w:tplc="F8208B14">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4B46074"/>
    <w:multiLevelType w:val="multilevel"/>
    <w:tmpl w:val="22C2CE34"/>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nsid w:val="1B4A0F8F"/>
    <w:multiLevelType w:val="hybridMultilevel"/>
    <w:tmpl w:val="D0F84A3A"/>
    <w:lvl w:ilvl="0" w:tplc="E160C51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62145B"/>
    <w:multiLevelType w:val="hybridMultilevel"/>
    <w:tmpl w:val="C46E6192"/>
    <w:lvl w:ilvl="0" w:tplc="A5BCB49E">
      <w:start w:val="1"/>
      <w:numFmt w:val="upperLetter"/>
      <w:lvlText w:val="%1."/>
      <w:lvlJc w:val="left"/>
      <w:pPr>
        <w:ind w:left="117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890" w:hanging="360"/>
      </w:pPr>
    </w:lvl>
    <w:lvl w:ilvl="2" w:tplc="F12E0CEC">
      <w:start w:val="1"/>
      <w:numFmt w:val="bullet"/>
      <w:lvlText w:val="-"/>
      <w:lvlJc w:val="left"/>
      <w:pPr>
        <w:ind w:left="2790" w:hanging="360"/>
      </w:pPr>
      <w:rPr>
        <w:rFonts w:ascii="Cambria" w:eastAsia="Arial Unicode MS" w:hAnsi="Cambria"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6EC6EC4"/>
    <w:multiLevelType w:val="hybridMultilevel"/>
    <w:tmpl w:val="C89826B4"/>
    <w:lvl w:ilvl="0" w:tplc="37401D20">
      <w:start w:val="1"/>
      <w:numFmt w:val="decimal"/>
      <w:lvlText w:val="%1."/>
      <w:lvlJc w:val="left"/>
      <w:pPr>
        <w:ind w:left="1080" w:hanging="360"/>
      </w:pPr>
      <w:rPr>
        <w:rFonts w:hint="default"/>
        <w:lang w:val="es-ES_tradn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7EC4556"/>
    <w:multiLevelType w:val="hybridMultilevel"/>
    <w:tmpl w:val="2E00237C"/>
    <w:lvl w:ilvl="0" w:tplc="90A47FC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2FE8103F"/>
    <w:multiLevelType w:val="hybridMultilevel"/>
    <w:tmpl w:val="7C20510A"/>
    <w:lvl w:ilvl="0" w:tplc="0546C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08C235C"/>
    <w:multiLevelType w:val="multilevel"/>
    <w:tmpl w:val="CC52E276"/>
    <w:lvl w:ilvl="0">
      <w:start w:val="1"/>
      <w:numFmt w:val="decimal"/>
      <w:lvlText w:val="%1."/>
      <w:lvlJc w:val="left"/>
      <w:pPr>
        <w:ind w:left="1080" w:hanging="360"/>
      </w:pPr>
      <w:rPr>
        <w:rFonts w:ascii="Cambria" w:hAnsi="Cambria" w:hint="default"/>
        <w:sz w:val="16"/>
        <w:szCs w:val="16"/>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361B7A7D"/>
    <w:multiLevelType w:val="multilevel"/>
    <w:tmpl w:val="CF3E235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nsid w:val="381B1060"/>
    <w:multiLevelType w:val="hybridMultilevel"/>
    <w:tmpl w:val="C24A11D0"/>
    <w:lvl w:ilvl="0" w:tplc="A5BCB49E">
      <w:start w:val="1"/>
      <w:numFmt w:val="upperLetter"/>
      <w:lvlText w:val="%1."/>
      <w:lvlJc w:val="left"/>
      <w:pPr>
        <w:ind w:left="117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890" w:hanging="360"/>
      </w:pPr>
    </w:lvl>
    <w:lvl w:ilvl="2" w:tplc="F12E0CEC">
      <w:start w:val="1"/>
      <w:numFmt w:val="bullet"/>
      <w:lvlText w:val="-"/>
      <w:lvlJc w:val="left"/>
      <w:pPr>
        <w:ind w:left="2790" w:hanging="360"/>
      </w:pPr>
      <w:rPr>
        <w:rFonts w:ascii="Cambria" w:eastAsia="Arial Unicode MS" w:hAnsi="Cambria"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7">
    <w:nsid w:val="3C430424"/>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DC61D90"/>
    <w:multiLevelType w:val="hybridMultilevel"/>
    <w:tmpl w:val="3C9A35F2"/>
    <w:lvl w:ilvl="0" w:tplc="FCB4136E">
      <w:start w:val="1"/>
      <w:numFmt w:val="decimal"/>
      <w:lvlText w:val="%1."/>
      <w:lvlJc w:val="left"/>
      <w:pPr>
        <w:tabs>
          <w:tab w:val="num" w:pos="1260"/>
        </w:tabs>
        <w:ind w:left="1260" w:hanging="360"/>
      </w:pPr>
      <w:rPr>
        <w:rFonts w:ascii="Cambria" w:hAnsi="Cambria" w:cs="Times New Roman" w:hint="default"/>
        <w:b w:val="0"/>
        <w:i w:val="0"/>
        <w:sz w:val="20"/>
        <w:szCs w:val="20"/>
        <w:lang w:val="es-ES_tradn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481E669B"/>
    <w:multiLevelType w:val="hybridMultilevel"/>
    <w:tmpl w:val="5672AE9A"/>
    <w:lvl w:ilvl="0" w:tplc="557A7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4F7B63B5"/>
    <w:multiLevelType w:val="hybridMultilevel"/>
    <w:tmpl w:val="89F4C518"/>
    <w:lvl w:ilvl="0" w:tplc="C43A80A0">
      <w:start w:val="1"/>
      <w:numFmt w:val="upperRoman"/>
      <w:pStyle w:val="Heading1"/>
      <w:lvlText w:val="%1."/>
      <w:lvlJc w:val="left"/>
      <w:pPr>
        <w:tabs>
          <w:tab w:val="num" w:pos="1080"/>
        </w:tabs>
        <w:ind w:left="1080" w:hanging="720"/>
      </w:pPr>
      <w:rPr>
        <w:rFonts w:hint="default"/>
      </w:rPr>
    </w:lvl>
    <w:lvl w:ilvl="1" w:tplc="736A0FE4">
      <w:start w:val="2"/>
      <w:numFmt w:val="upp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53F06B0B"/>
    <w:multiLevelType w:val="hybridMultilevel"/>
    <w:tmpl w:val="186AFED2"/>
    <w:lvl w:ilvl="0" w:tplc="86A875A4">
      <w:start w:val="1"/>
      <w:numFmt w:val="upp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6">
    <w:nsid w:val="5B1D3AB0"/>
    <w:multiLevelType w:val="hybridMultilevel"/>
    <w:tmpl w:val="0B2253BA"/>
    <w:lvl w:ilvl="0" w:tplc="7C36868A">
      <w:start w:val="1"/>
      <w:numFmt w:val="decimal"/>
      <w:lvlText w:val="%1."/>
      <w:lvlJc w:val="left"/>
      <w:pPr>
        <w:tabs>
          <w:tab w:val="num" w:pos="1800"/>
        </w:tabs>
        <w:ind w:left="1800" w:hanging="360"/>
      </w:pPr>
      <w:rPr>
        <w:rFonts w:cs="Times New Roman"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8">
    <w:nsid w:val="5CA55EE6"/>
    <w:multiLevelType w:val="hybridMultilevel"/>
    <w:tmpl w:val="B67A0BBE"/>
    <w:lvl w:ilvl="0" w:tplc="D96C81CC">
      <w:start w:val="1"/>
      <w:numFmt w:val="decimal"/>
      <w:lvlText w:val="%1."/>
      <w:lvlJc w:val="left"/>
      <w:pPr>
        <w:tabs>
          <w:tab w:val="num" w:pos="1080"/>
        </w:tabs>
        <w:ind w:left="1080" w:hanging="360"/>
      </w:pPr>
      <w:rPr>
        <w:rFonts w:ascii="Cambria" w:hAnsi="Cambria" w:cs="Times New Roman" w:hint="default"/>
        <w:b/>
        <w:i w:val="0"/>
        <w:sz w:val="20"/>
        <w:szCs w:val="20"/>
        <w:lang w:val="es-V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D0852A9"/>
    <w:multiLevelType w:val="hybridMultilevel"/>
    <w:tmpl w:val="7A081660"/>
    <w:lvl w:ilvl="0" w:tplc="0F64BB8C">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0420E66"/>
    <w:multiLevelType w:val="multilevel"/>
    <w:tmpl w:val="22C2CE34"/>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2">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61B643D4"/>
    <w:multiLevelType w:val="hybridMultilevel"/>
    <w:tmpl w:val="D5E69748"/>
    <w:lvl w:ilvl="0" w:tplc="A7946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61468EB"/>
    <w:multiLevelType w:val="hybridMultilevel"/>
    <w:tmpl w:val="45B0C0EC"/>
    <w:lvl w:ilvl="0" w:tplc="D6D071AA">
      <w:start w:val="1"/>
      <w:numFmt w:val="decimal"/>
      <w:lvlText w:val="%1."/>
      <w:lvlJc w:val="left"/>
      <w:pPr>
        <w:tabs>
          <w:tab w:val="num" w:pos="1080"/>
        </w:tabs>
        <w:ind w:left="1080" w:hanging="360"/>
      </w:pPr>
      <w:rPr>
        <w:rFonts w:ascii="Cambria" w:hAnsi="Cambria" w:cs="Times New Roman" w:hint="default"/>
        <w:b/>
        <w:i w:val="0"/>
        <w:sz w:val="20"/>
        <w:szCs w:val="2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6">
    <w:nsid w:val="66A101BB"/>
    <w:multiLevelType w:val="hybridMultilevel"/>
    <w:tmpl w:val="8ECEFD00"/>
    <w:lvl w:ilvl="0" w:tplc="CB3E82CC">
      <w:start w:val="1"/>
      <w:numFmt w:val="upperRoman"/>
      <w:lvlText w:val="%1."/>
      <w:lvlJc w:val="left"/>
      <w:pPr>
        <w:tabs>
          <w:tab w:val="num" w:pos="1440"/>
        </w:tabs>
        <w:ind w:left="1440" w:hanging="720"/>
      </w:pPr>
      <w:rPr>
        <w:rFonts w:cs="Times New Roman" w:hint="default"/>
        <w:b/>
      </w:rPr>
    </w:lvl>
    <w:lvl w:ilvl="1" w:tplc="73028C9A">
      <w:start w:val="1"/>
      <w:numFmt w:val="decimal"/>
      <w:lvlText w:val="%2."/>
      <w:lvlJc w:val="left"/>
      <w:pPr>
        <w:tabs>
          <w:tab w:val="num" w:pos="1800"/>
        </w:tabs>
        <w:ind w:left="1800" w:hanging="360"/>
      </w:pPr>
      <w:rPr>
        <w:rFonts w:cs="Times New Roman" w:hint="default"/>
        <w:b/>
        <w:sz w:val="20"/>
        <w:szCs w:val="20"/>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F0B01B2A">
      <w:start w:val="2"/>
      <w:numFmt w:val="lowerLetter"/>
      <w:lvlText w:val="%7-"/>
      <w:lvlJc w:val="left"/>
      <w:pPr>
        <w:ind w:left="5400" w:hanging="360"/>
      </w:pPr>
      <w:rPr>
        <w:rFonts w:hint="default"/>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nsid w:val="6F21116F"/>
    <w:multiLevelType w:val="hybridMultilevel"/>
    <w:tmpl w:val="0AF016E4"/>
    <w:lvl w:ilvl="0" w:tplc="73028C9A">
      <w:start w:val="1"/>
      <w:numFmt w:val="decimal"/>
      <w:lvlText w:val="%1."/>
      <w:lvlJc w:val="left"/>
      <w:pPr>
        <w:tabs>
          <w:tab w:val="num" w:pos="1800"/>
        </w:tabs>
        <w:ind w:left="1800" w:hanging="360"/>
      </w:pPr>
      <w:rPr>
        <w:rFonts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3E90133"/>
    <w:multiLevelType w:val="multilevel"/>
    <w:tmpl w:val="7B061A2C"/>
    <w:lvl w:ilvl="0">
      <w:start w:val="2"/>
      <w:numFmt w:val="decimal"/>
      <w:lvlText w:val="%1"/>
      <w:lvlJc w:val="left"/>
      <w:pPr>
        <w:ind w:left="360" w:hanging="360"/>
      </w:pPr>
      <w:rPr>
        <w:rFonts w:asciiTheme="majorHAnsi" w:hAnsiTheme="majorHAnsi" w:hint="default"/>
      </w:rPr>
    </w:lvl>
    <w:lvl w:ilvl="1">
      <w:start w:val="1"/>
      <w:numFmt w:val="decimal"/>
      <w:lvlText w:val="%1.%2"/>
      <w:lvlJc w:val="left"/>
      <w:pPr>
        <w:ind w:left="360" w:hanging="360"/>
      </w:pPr>
      <w:rPr>
        <w:rFonts w:asciiTheme="majorHAnsi" w:hAnsiTheme="majorHAnsi"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720" w:hanging="720"/>
      </w:pPr>
      <w:rPr>
        <w:rFonts w:asciiTheme="majorHAnsi" w:hAnsiTheme="majorHAnsi" w:hint="default"/>
      </w:rPr>
    </w:lvl>
    <w:lvl w:ilvl="4">
      <w:start w:val="1"/>
      <w:numFmt w:val="decimal"/>
      <w:lvlText w:val="%1.%2.%3.%4.%5"/>
      <w:lvlJc w:val="left"/>
      <w:pPr>
        <w:ind w:left="1080" w:hanging="1080"/>
      </w:pPr>
      <w:rPr>
        <w:rFonts w:asciiTheme="majorHAnsi" w:hAnsiTheme="majorHAnsi" w:hint="default"/>
      </w:rPr>
    </w:lvl>
    <w:lvl w:ilvl="5">
      <w:start w:val="1"/>
      <w:numFmt w:val="decimal"/>
      <w:lvlText w:val="%1.%2.%3.%4.%5.%6"/>
      <w:lvlJc w:val="left"/>
      <w:pPr>
        <w:ind w:left="1080" w:hanging="1080"/>
      </w:pPr>
      <w:rPr>
        <w:rFonts w:asciiTheme="majorHAnsi" w:hAnsiTheme="majorHAnsi" w:hint="default"/>
      </w:rPr>
    </w:lvl>
    <w:lvl w:ilvl="6">
      <w:start w:val="1"/>
      <w:numFmt w:val="decimal"/>
      <w:lvlText w:val="%1.%2.%3.%4.%5.%6.%7"/>
      <w:lvlJc w:val="left"/>
      <w:pPr>
        <w:ind w:left="1440" w:hanging="1440"/>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800" w:hanging="1800"/>
      </w:pPr>
      <w:rPr>
        <w:rFonts w:asciiTheme="majorHAnsi" w:hAnsiTheme="majorHAnsi" w:hint="default"/>
      </w:rPr>
    </w:lvl>
  </w:abstractNum>
  <w:abstractNum w:abstractNumId="71">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2">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7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5">
    <w:nsid w:val="7BA128DD"/>
    <w:multiLevelType w:val="hybridMultilevel"/>
    <w:tmpl w:val="3B9E8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8">
    <w:nsid w:val="7CE64D32"/>
    <w:multiLevelType w:val="hybridMultilevel"/>
    <w:tmpl w:val="9F8AF72C"/>
    <w:lvl w:ilvl="0" w:tplc="B09255D8">
      <w:start w:val="1"/>
      <w:numFmt w:val="decimal"/>
      <w:lvlText w:val="%1."/>
      <w:lvlJc w:val="left"/>
      <w:pPr>
        <w:tabs>
          <w:tab w:val="num" w:pos="0"/>
        </w:tabs>
      </w:pPr>
      <w:rPr>
        <w:rFonts w:ascii="Verdana" w:eastAsia="Times New Roman" w:hAnsi="Verdana" w:cs="Times New Roman" w:hint="default"/>
        <w:b w:val="0"/>
        <w:i w:val="0"/>
        <w:strike w:val="0"/>
        <w:color w:val="auto"/>
        <w:sz w:val="20"/>
      </w:rPr>
    </w:lvl>
    <w:lvl w:ilvl="1" w:tplc="3AAA13E2">
      <w:start w:val="1"/>
      <w:numFmt w:val="decimal"/>
      <w:lvlText w:val="%2."/>
      <w:lvlJc w:val="left"/>
      <w:pPr>
        <w:tabs>
          <w:tab w:val="num" w:pos="0"/>
        </w:tabs>
      </w:pPr>
      <w:rPr>
        <w:rFonts w:ascii="Verdana" w:eastAsia="Times New Roman" w:hAnsi="Verdana" w:cs="Times New Roman" w:hint="default"/>
        <w:b/>
        <w:i w:val="0"/>
        <w:strike w:val="0"/>
        <w:color w:val="auto"/>
        <w:sz w:val="20"/>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73"/>
  </w:num>
  <w:num w:numId="4">
    <w:abstractNumId w:val="28"/>
  </w:num>
  <w:num w:numId="5">
    <w:abstractNumId w:val="65"/>
  </w:num>
  <w:num w:numId="6">
    <w:abstractNumId w:val="35"/>
  </w:num>
  <w:num w:numId="7">
    <w:abstractNumId w:val="10"/>
  </w:num>
  <w:num w:numId="8">
    <w:abstractNumId w:val="22"/>
  </w:num>
  <w:num w:numId="9">
    <w:abstractNumId w:val="54"/>
  </w:num>
  <w:num w:numId="10">
    <w:abstractNumId w:val="2"/>
  </w:num>
  <w:num w:numId="11">
    <w:abstractNumId w:val="47"/>
  </w:num>
  <w:num w:numId="12">
    <w:abstractNumId w:val="48"/>
  </w:num>
  <w:num w:numId="13">
    <w:abstractNumId w:val="55"/>
  </w:num>
  <w:num w:numId="14">
    <w:abstractNumId w:val="3"/>
  </w:num>
  <w:num w:numId="15">
    <w:abstractNumId w:val="4"/>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9"/>
  </w:num>
  <w:num w:numId="24">
    <w:abstractNumId w:val="20"/>
  </w:num>
  <w:num w:numId="25">
    <w:abstractNumId w:val="23"/>
  </w:num>
  <w:num w:numId="26">
    <w:abstractNumId w:val="24"/>
  </w:num>
  <w:num w:numId="27">
    <w:abstractNumId w:val="29"/>
  </w:num>
  <w:num w:numId="28">
    <w:abstractNumId w:val="30"/>
  </w:num>
  <w:num w:numId="29">
    <w:abstractNumId w:val="31"/>
  </w:num>
  <w:num w:numId="30">
    <w:abstractNumId w:val="34"/>
  </w:num>
  <w:num w:numId="31">
    <w:abstractNumId w:val="36"/>
  </w:num>
  <w:num w:numId="32">
    <w:abstractNumId w:val="39"/>
  </w:num>
  <w:num w:numId="33">
    <w:abstractNumId w:val="40"/>
  </w:num>
  <w:num w:numId="34">
    <w:abstractNumId w:val="41"/>
  </w:num>
  <w:num w:numId="35">
    <w:abstractNumId w:val="42"/>
  </w:num>
  <w:num w:numId="36">
    <w:abstractNumId w:val="43"/>
  </w:num>
  <w:num w:numId="37">
    <w:abstractNumId w:val="45"/>
  </w:num>
  <w:num w:numId="38">
    <w:abstractNumId w:val="46"/>
  </w:num>
  <w:num w:numId="39">
    <w:abstractNumId w:val="50"/>
  </w:num>
  <w:num w:numId="40">
    <w:abstractNumId w:val="51"/>
  </w:num>
  <w:num w:numId="41">
    <w:abstractNumId w:val="62"/>
  </w:num>
  <w:num w:numId="42">
    <w:abstractNumId w:val="67"/>
  </w:num>
  <w:num w:numId="43">
    <w:abstractNumId w:val="68"/>
  </w:num>
  <w:num w:numId="44">
    <w:abstractNumId w:val="71"/>
  </w:num>
  <w:num w:numId="45">
    <w:abstractNumId w:val="72"/>
  </w:num>
  <w:num w:numId="46">
    <w:abstractNumId w:val="74"/>
  </w:num>
  <w:num w:numId="47">
    <w:abstractNumId w:val="76"/>
  </w:num>
  <w:num w:numId="48">
    <w:abstractNumId w:val="77"/>
  </w:num>
  <w:num w:numId="49">
    <w:abstractNumId w:val="79"/>
  </w:num>
  <w:num w:numId="50">
    <w:abstractNumId w:val="80"/>
  </w:num>
  <w:num w:numId="51">
    <w:abstractNumId w:val="27"/>
  </w:num>
  <w:num w:numId="52">
    <w:abstractNumId w:val="52"/>
  </w:num>
  <w:num w:numId="53">
    <w:abstractNumId w:val="57"/>
  </w:num>
  <w:num w:numId="54">
    <w:abstractNumId w:val="49"/>
  </w:num>
  <w:num w:numId="55">
    <w:abstractNumId w:val="66"/>
  </w:num>
  <w:num w:numId="56">
    <w:abstractNumId w:val="0"/>
  </w:num>
  <w:num w:numId="57">
    <w:abstractNumId w:val="78"/>
  </w:num>
  <w:num w:numId="58">
    <w:abstractNumId w:val="38"/>
  </w:num>
  <w:num w:numId="59">
    <w:abstractNumId w:val="37"/>
  </w:num>
  <w:num w:numId="60">
    <w:abstractNumId w:val="53"/>
  </w:num>
  <w:num w:numId="61">
    <w:abstractNumId w:val="9"/>
    <w:lvlOverride w:ilvl="0">
      <w:startOverride w:val="1"/>
    </w:lvlOverride>
  </w:num>
  <w:num w:numId="62">
    <w:abstractNumId w:val="33"/>
  </w:num>
  <w:num w:numId="63">
    <w:abstractNumId w:val="25"/>
  </w:num>
  <w:num w:numId="64">
    <w:abstractNumId w:val="1"/>
  </w:num>
  <w:num w:numId="65">
    <w:abstractNumId w:val="59"/>
  </w:num>
  <w:num w:numId="66">
    <w:abstractNumId w:val="60"/>
  </w:num>
  <w:num w:numId="67">
    <w:abstractNumId w:val="44"/>
  </w:num>
  <w:num w:numId="68">
    <w:abstractNumId w:val="26"/>
  </w:num>
  <w:num w:numId="69">
    <w:abstractNumId w:val="70"/>
  </w:num>
  <w:num w:numId="70">
    <w:abstractNumId w:val="18"/>
  </w:num>
  <w:num w:numId="71">
    <w:abstractNumId w:val="64"/>
  </w:num>
  <w:num w:numId="72">
    <w:abstractNumId w:val="58"/>
  </w:num>
  <w:num w:numId="73">
    <w:abstractNumId w:val="32"/>
  </w:num>
  <w:num w:numId="74">
    <w:abstractNumId w:val="8"/>
  </w:num>
  <w:num w:numId="75">
    <w:abstractNumId w:val="69"/>
  </w:num>
  <w:num w:numId="76">
    <w:abstractNumId w:val="56"/>
  </w:num>
  <w:num w:numId="77">
    <w:abstractNumId w:val="21"/>
  </w:num>
  <w:num w:numId="78">
    <w:abstractNumId w:val="7"/>
  </w:num>
  <w:num w:numId="79">
    <w:abstractNumId w:val="61"/>
  </w:num>
  <w:num w:numId="80">
    <w:abstractNumId w:val="75"/>
  </w:num>
  <w:num w:numId="81">
    <w:abstractNumId w:val="63"/>
  </w:num>
  <w:num w:numId="82">
    <w:abstractNumId w:val="49"/>
  </w:num>
  <w:num w:numId="83">
    <w:abstractNumId w:val="49"/>
  </w:num>
  <w:num w:numId="84">
    <w:abstractNumId w:val="4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8674"/>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265"/>
    <w:rsid w:val="000002C8"/>
    <w:rsid w:val="0000032A"/>
    <w:rsid w:val="00000333"/>
    <w:rsid w:val="0000036F"/>
    <w:rsid w:val="00000472"/>
    <w:rsid w:val="00000645"/>
    <w:rsid w:val="00000CDA"/>
    <w:rsid w:val="00000D64"/>
    <w:rsid w:val="00000F71"/>
    <w:rsid w:val="00000FB1"/>
    <w:rsid w:val="000011BD"/>
    <w:rsid w:val="000016B0"/>
    <w:rsid w:val="000017F9"/>
    <w:rsid w:val="00001855"/>
    <w:rsid w:val="00001FAC"/>
    <w:rsid w:val="00002210"/>
    <w:rsid w:val="0000270F"/>
    <w:rsid w:val="00002784"/>
    <w:rsid w:val="00003017"/>
    <w:rsid w:val="00003756"/>
    <w:rsid w:val="000037CA"/>
    <w:rsid w:val="00003C0A"/>
    <w:rsid w:val="00003DEE"/>
    <w:rsid w:val="00003E8B"/>
    <w:rsid w:val="00003F84"/>
    <w:rsid w:val="00004149"/>
    <w:rsid w:val="00004260"/>
    <w:rsid w:val="00004302"/>
    <w:rsid w:val="00004579"/>
    <w:rsid w:val="0000484F"/>
    <w:rsid w:val="000049DA"/>
    <w:rsid w:val="00004A86"/>
    <w:rsid w:val="00004CD3"/>
    <w:rsid w:val="00004DE7"/>
    <w:rsid w:val="000059E7"/>
    <w:rsid w:val="00005A60"/>
    <w:rsid w:val="00005ACB"/>
    <w:rsid w:val="00005CC5"/>
    <w:rsid w:val="00005E52"/>
    <w:rsid w:val="00005F8B"/>
    <w:rsid w:val="00006210"/>
    <w:rsid w:val="00006454"/>
    <w:rsid w:val="000065BB"/>
    <w:rsid w:val="0000665B"/>
    <w:rsid w:val="000066E8"/>
    <w:rsid w:val="00006939"/>
    <w:rsid w:val="00006AEB"/>
    <w:rsid w:val="00006B28"/>
    <w:rsid w:val="00006E1F"/>
    <w:rsid w:val="00006F41"/>
    <w:rsid w:val="00006FC6"/>
    <w:rsid w:val="000070D7"/>
    <w:rsid w:val="00007135"/>
    <w:rsid w:val="0000713D"/>
    <w:rsid w:val="0000721C"/>
    <w:rsid w:val="000079F2"/>
    <w:rsid w:val="00007C3A"/>
    <w:rsid w:val="00007D20"/>
    <w:rsid w:val="00007E1F"/>
    <w:rsid w:val="00007E84"/>
    <w:rsid w:val="00007EBD"/>
    <w:rsid w:val="000104F7"/>
    <w:rsid w:val="00010828"/>
    <w:rsid w:val="00010836"/>
    <w:rsid w:val="00010E7B"/>
    <w:rsid w:val="00010F73"/>
    <w:rsid w:val="00010FC1"/>
    <w:rsid w:val="000111A4"/>
    <w:rsid w:val="00011213"/>
    <w:rsid w:val="0001139F"/>
    <w:rsid w:val="000116A9"/>
    <w:rsid w:val="0001172F"/>
    <w:rsid w:val="00011738"/>
    <w:rsid w:val="00011A95"/>
    <w:rsid w:val="00011BC3"/>
    <w:rsid w:val="00011BFA"/>
    <w:rsid w:val="00011D28"/>
    <w:rsid w:val="00012301"/>
    <w:rsid w:val="00012BD4"/>
    <w:rsid w:val="00012E69"/>
    <w:rsid w:val="00012E8F"/>
    <w:rsid w:val="00013196"/>
    <w:rsid w:val="00013262"/>
    <w:rsid w:val="00013304"/>
    <w:rsid w:val="00013730"/>
    <w:rsid w:val="0001377C"/>
    <w:rsid w:val="00013833"/>
    <w:rsid w:val="00013ABA"/>
    <w:rsid w:val="00013EF8"/>
    <w:rsid w:val="00014052"/>
    <w:rsid w:val="0001417B"/>
    <w:rsid w:val="0001468F"/>
    <w:rsid w:val="000147EE"/>
    <w:rsid w:val="000152F0"/>
    <w:rsid w:val="00015511"/>
    <w:rsid w:val="00015589"/>
    <w:rsid w:val="000159EC"/>
    <w:rsid w:val="00015B68"/>
    <w:rsid w:val="00015C39"/>
    <w:rsid w:val="00015CF2"/>
    <w:rsid w:val="00015EEB"/>
    <w:rsid w:val="00016415"/>
    <w:rsid w:val="00016669"/>
    <w:rsid w:val="000167C9"/>
    <w:rsid w:val="00016D21"/>
    <w:rsid w:val="00016D84"/>
    <w:rsid w:val="00016F24"/>
    <w:rsid w:val="00016F91"/>
    <w:rsid w:val="0001714B"/>
    <w:rsid w:val="000175F4"/>
    <w:rsid w:val="00017661"/>
    <w:rsid w:val="0001788C"/>
    <w:rsid w:val="00017896"/>
    <w:rsid w:val="00017A0C"/>
    <w:rsid w:val="00017AC3"/>
    <w:rsid w:val="00017B7E"/>
    <w:rsid w:val="00017D12"/>
    <w:rsid w:val="00017D53"/>
    <w:rsid w:val="00017E9A"/>
    <w:rsid w:val="00020394"/>
    <w:rsid w:val="00020576"/>
    <w:rsid w:val="00020701"/>
    <w:rsid w:val="000209DF"/>
    <w:rsid w:val="000215E9"/>
    <w:rsid w:val="00021607"/>
    <w:rsid w:val="000216A9"/>
    <w:rsid w:val="000216C0"/>
    <w:rsid w:val="00021B34"/>
    <w:rsid w:val="00021D6E"/>
    <w:rsid w:val="00021EB3"/>
    <w:rsid w:val="00021F44"/>
    <w:rsid w:val="00022008"/>
    <w:rsid w:val="0002248F"/>
    <w:rsid w:val="000224F0"/>
    <w:rsid w:val="00022680"/>
    <w:rsid w:val="00022CE6"/>
    <w:rsid w:val="00023070"/>
    <w:rsid w:val="0002317B"/>
    <w:rsid w:val="0002339E"/>
    <w:rsid w:val="000234A9"/>
    <w:rsid w:val="0002381A"/>
    <w:rsid w:val="00023C43"/>
    <w:rsid w:val="00023CC4"/>
    <w:rsid w:val="00023F0A"/>
    <w:rsid w:val="0002440E"/>
    <w:rsid w:val="0002480B"/>
    <w:rsid w:val="00024A8B"/>
    <w:rsid w:val="00024A9E"/>
    <w:rsid w:val="00024F9A"/>
    <w:rsid w:val="00025118"/>
    <w:rsid w:val="0002538A"/>
    <w:rsid w:val="000258DF"/>
    <w:rsid w:val="00025A94"/>
    <w:rsid w:val="00026077"/>
    <w:rsid w:val="00026570"/>
    <w:rsid w:val="00026687"/>
    <w:rsid w:val="00026955"/>
    <w:rsid w:val="00026AB6"/>
    <w:rsid w:val="00026E33"/>
    <w:rsid w:val="00026EEE"/>
    <w:rsid w:val="00027093"/>
    <w:rsid w:val="00027161"/>
    <w:rsid w:val="000272B8"/>
    <w:rsid w:val="0002773C"/>
    <w:rsid w:val="00027921"/>
    <w:rsid w:val="0002796C"/>
    <w:rsid w:val="00027BC7"/>
    <w:rsid w:val="000308E4"/>
    <w:rsid w:val="00030CAE"/>
    <w:rsid w:val="00030CF4"/>
    <w:rsid w:val="00030D5E"/>
    <w:rsid w:val="00030EEA"/>
    <w:rsid w:val="00030EEC"/>
    <w:rsid w:val="0003101C"/>
    <w:rsid w:val="0003128C"/>
    <w:rsid w:val="0003140D"/>
    <w:rsid w:val="0003150E"/>
    <w:rsid w:val="00031F77"/>
    <w:rsid w:val="00032036"/>
    <w:rsid w:val="00032079"/>
    <w:rsid w:val="000322A7"/>
    <w:rsid w:val="000329AF"/>
    <w:rsid w:val="00032AF7"/>
    <w:rsid w:val="00032C1D"/>
    <w:rsid w:val="00032DB2"/>
    <w:rsid w:val="00032DD1"/>
    <w:rsid w:val="00033658"/>
    <w:rsid w:val="00033798"/>
    <w:rsid w:val="00033A34"/>
    <w:rsid w:val="00033A55"/>
    <w:rsid w:val="00033C0A"/>
    <w:rsid w:val="00033D3F"/>
    <w:rsid w:val="00033E63"/>
    <w:rsid w:val="0003418C"/>
    <w:rsid w:val="000341A8"/>
    <w:rsid w:val="00034465"/>
    <w:rsid w:val="00034479"/>
    <w:rsid w:val="000345D8"/>
    <w:rsid w:val="00034608"/>
    <w:rsid w:val="0003487D"/>
    <w:rsid w:val="000348CD"/>
    <w:rsid w:val="000349FD"/>
    <w:rsid w:val="00034B03"/>
    <w:rsid w:val="00034B08"/>
    <w:rsid w:val="000351F0"/>
    <w:rsid w:val="00035565"/>
    <w:rsid w:val="00035642"/>
    <w:rsid w:val="00035866"/>
    <w:rsid w:val="00035898"/>
    <w:rsid w:val="0003596B"/>
    <w:rsid w:val="00035F55"/>
    <w:rsid w:val="00036090"/>
    <w:rsid w:val="00036204"/>
    <w:rsid w:val="00036409"/>
    <w:rsid w:val="0003681B"/>
    <w:rsid w:val="0003720D"/>
    <w:rsid w:val="0003738C"/>
    <w:rsid w:val="00037942"/>
    <w:rsid w:val="00037C0D"/>
    <w:rsid w:val="00037D4A"/>
    <w:rsid w:val="00037DD7"/>
    <w:rsid w:val="00040177"/>
    <w:rsid w:val="0004040B"/>
    <w:rsid w:val="000404C8"/>
    <w:rsid w:val="000407EB"/>
    <w:rsid w:val="00040AE9"/>
    <w:rsid w:val="00040B5F"/>
    <w:rsid w:val="00040C3A"/>
    <w:rsid w:val="00040E37"/>
    <w:rsid w:val="00040EE5"/>
    <w:rsid w:val="0004176A"/>
    <w:rsid w:val="000417DE"/>
    <w:rsid w:val="00041976"/>
    <w:rsid w:val="00041BD3"/>
    <w:rsid w:val="00041CCA"/>
    <w:rsid w:val="000422ED"/>
    <w:rsid w:val="000423AC"/>
    <w:rsid w:val="00042707"/>
    <w:rsid w:val="000427BE"/>
    <w:rsid w:val="000428AA"/>
    <w:rsid w:val="00042AA3"/>
    <w:rsid w:val="00042B39"/>
    <w:rsid w:val="0004316F"/>
    <w:rsid w:val="00043246"/>
    <w:rsid w:val="000436BC"/>
    <w:rsid w:val="00043744"/>
    <w:rsid w:val="00043959"/>
    <w:rsid w:val="00043A9B"/>
    <w:rsid w:val="00043B7E"/>
    <w:rsid w:val="00043DC2"/>
    <w:rsid w:val="0004416B"/>
    <w:rsid w:val="000443AB"/>
    <w:rsid w:val="000444CD"/>
    <w:rsid w:val="0004481A"/>
    <w:rsid w:val="00044B69"/>
    <w:rsid w:val="00044D50"/>
    <w:rsid w:val="00044DFD"/>
    <w:rsid w:val="000453D5"/>
    <w:rsid w:val="0004559B"/>
    <w:rsid w:val="000455F8"/>
    <w:rsid w:val="000457C7"/>
    <w:rsid w:val="00045932"/>
    <w:rsid w:val="00045A40"/>
    <w:rsid w:val="00045AA7"/>
    <w:rsid w:val="00045C17"/>
    <w:rsid w:val="00045EAD"/>
    <w:rsid w:val="000460A7"/>
    <w:rsid w:val="00046100"/>
    <w:rsid w:val="0004618D"/>
    <w:rsid w:val="00046395"/>
    <w:rsid w:val="000465C7"/>
    <w:rsid w:val="0004682F"/>
    <w:rsid w:val="000469ED"/>
    <w:rsid w:val="000469F1"/>
    <w:rsid w:val="00046B21"/>
    <w:rsid w:val="00046BF1"/>
    <w:rsid w:val="00046C0E"/>
    <w:rsid w:val="0004735A"/>
    <w:rsid w:val="000473FB"/>
    <w:rsid w:val="00047441"/>
    <w:rsid w:val="00047885"/>
    <w:rsid w:val="000479B6"/>
    <w:rsid w:val="00047DE8"/>
    <w:rsid w:val="0005068C"/>
    <w:rsid w:val="00050917"/>
    <w:rsid w:val="00050A98"/>
    <w:rsid w:val="00050BD1"/>
    <w:rsid w:val="0005105A"/>
    <w:rsid w:val="00051497"/>
    <w:rsid w:val="000516EB"/>
    <w:rsid w:val="00051C33"/>
    <w:rsid w:val="00051C44"/>
    <w:rsid w:val="000521A8"/>
    <w:rsid w:val="000525EF"/>
    <w:rsid w:val="0005283E"/>
    <w:rsid w:val="00052A54"/>
    <w:rsid w:val="00052C79"/>
    <w:rsid w:val="00052E3D"/>
    <w:rsid w:val="000531B7"/>
    <w:rsid w:val="0005362B"/>
    <w:rsid w:val="0005370C"/>
    <w:rsid w:val="00053C8B"/>
    <w:rsid w:val="00053D00"/>
    <w:rsid w:val="00053EDB"/>
    <w:rsid w:val="00053FC6"/>
    <w:rsid w:val="00054266"/>
    <w:rsid w:val="00054314"/>
    <w:rsid w:val="00054535"/>
    <w:rsid w:val="0005482F"/>
    <w:rsid w:val="0005493D"/>
    <w:rsid w:val="00054BCE"/>
    <w:rsid w:val="00054D12"/>
    <w:rsid w:val="00054D4F"/>
    <w:rsid w:val="00055001"/>
    <w:rsid w:val="000551F8"/>
    <w:rsid w:val="000553EC"/>
    <w:rsid w:val="000554EC"/>
    <w:rsid w:val="00055503"/>
    <w:rsid w:val="0005571E"/>
    <w:rsid w:val="00055963"/>
    <w:rsid w:val="00055BEE"/>
    <w:rsid w:val="000561C0"/>
    <w:rsid w:val="000562FB"/>
    <w:rsid w:val="000566C8"/>
    <w:rsid w:val="0005677C"/>
    <w:rsid w:val="00056859"/>
    <w:rsid w:val="00056C6B"/>
    <w:rsid w:val="00056E11"/>
    <w:rsid w:val="00056FA7"/>
    <w:rsid w:val="000570A5"/>
    <w:rsid w:val="000574FF"/>
    <w:rsid w:val="0005789F"/>
    <w:rsid w:val="000579EC"/>
    <w:rsid w:val="00060CAB"/>
    <w:rsid w:val="00060F12"/>
    <w:rsid w:val="00061278"/>
    <w:rsid w:val="00061389"/>
    <w:rsid w:val="00061C6E"/>
    <w:rsid w:val="00062052"/>
    <w:rsid w:val="0006210F"/>
    <w:rsid w:val="00062663"/>
    <w:rsid w:val="0006292A"/>
    <w:rsid w:val="00062A19"/>
    <w:rsid w:val="00062AD7"/>
    <w:rsid w:val="00062B74"/>
    <w:rsid w:val="00062DAA"/>
    <w:rsid w:val="00062F65"/>
    <w:rsid w:val="00062F68"/>
    <w:rsid w:val="0006337A"/>
    <w:rsid w:val="00063CE9"/>
    <w:rsid w:val="000640B9"/>
    <w:rsid w:val="00064379"/>
    <w:rsid w:val="0006453F"/>
    <w:rsid w:val="000646CE"/>
    <w:rsid w:val="00064785"/>
    <w:rsid w:val="00064809"/>
    <w:rsid w:val="00064A20"/>
    <w:rsid w:val="00064A26"/>
    <w:rsid w:val="00064A4D"/>
    <w:rsid w:val="00064AAD"/>
    <w:rsid w:val="00064D5C"/>
    <w:rsid w:val="00064E24"/>
    <w:rsid w:val="00064F88"/>
    <w:rsid w:val="000655ED"/>
    <w:rsid w:val="00065907"/>
    <w:rsid w:val="000659A5"/>
    <w:rsid w:val="00065A77"/>
    <w:rsid w:val="00065FA9"/>
    <w:rsid w:val="000662FE"/>
    <w:rsid w:val="0006645E"/>
    <w:rsid w:val="000664AA"/>
    <w:rsid w:val="000668E2"/>
    <w:rsid w:val="00066AF8"/>
    <w:rsid w:val="00066DC1"/>
    <w:rsid w:val="00066DC3"/>
    <w:rsid w:val="00066EF9"/>
    <w:rsid w:val="000670F6"/>
    <w:rsid w:val="00067387"/>
    <w:rsid w:val="000673D7"/>
    <w:rsid w:val="00067805"/>
    <w:rsid w:val="0006782A"/>
    <w:rsid w:val="00067A21"/>
    <w:rsid w:val="00067A85"/>
    <w:rsid w:val="0007061E"/>
    <w:rsid w:val="0007068E"/>
    <w:rsid w:val="000708D6"/>
    <w:rsid w:val="000709B6"/>
    <w:rsid w:val="00070D39"/>
    <w:rsid w:val="00070D46"/>
    <w:rsid w:val="00071078"/>
    <w:rsid w:val="000710A8"/>
    <w:rsid w:val="0007147B"/>
    <w:rsid w:val="000714A8"/>
    <w:rsid w:val="000716C5"/>
    <w:rsid w:val="00071B3F"/>
    <w:rsid w:val="00072066"/>
    <w:rsid w:val="000723BA"/>
    <w:rsid w:val="00072A6F"/>
    <w:rsid w:val="00072D08"/>
    <w:rsid w:val="000731E4"/>
    <w:rsid w:val="00073293"/>
    <w:rsid w:val="00073559"/>
    <w:rsid w:val="0007379B"/>
    <w:rsid w:val="000738B8"/>
    <w:rsid w:val="00073936"/>
    <w:rsid w:val="00073C75"/>
    <w:rsid w:val="00073F9D"/>
    <w:rsid w:val="0007430D"/>
    <w:rsid w:val="00074739"/>
    <w:rsid w:val="00074A38"/>
    <w:rsid w:val="00074A70"/>
    <w:rsid w:val="00074FE8"/>
    <w:rsid w:val="00075027"/>
    <w:rsid w:val="00075262"/>
    <w:rsid w:val="00075397"/>
    <w:rsid w:val="000754FE"/>
    <w:rsid w:val="000756B3"/>
    <w:rsid w:val="000757B2"/>
    <w:rsid w:val="00075D33"/>
    <w:rsid w:val="00075E23"/>
    <w:rsid w:val="00075F8F"/>
    <w:rsid w:val="000765B6"/>
    <w:rsid w:val="000766DB"/>
    <w:rsid w:val="00076A85"/>
    <w:rsid w:val="00076DA1"/>
    <w:rsid w:val="00076F4F"/>
    <w:rsid w:val="0007700D"/>
    <w:rsid w:val="000771A8"/>
    <w:rsid w:val="000776FB"/>
    <w:rsid w:val="0007798E"/>
    <w:rsid w:val="00077A05"/>
    <w:rsid w:val="00077C02"/>
    <w:rsid w:val="00077E55"/>
    <w:rsid w:val="00077E68"/>
    <w:rsid w:val="0008002E"/>
    <w:rsid w:val="00080090"/>
    <w:rsid w:val="000800C2"/>
    <w:rsid w:val="00080D8C"/>
    <w:rsid w:val="00080E85"/>
    <w:rsid w:val="00081000"/>
    <w:rsid w:val="00081241"/>
    <w:rsid w:val="0008139B"/>
    <w:rsid w:val="000815AB"/>
    <w:rsid w:val="00081789"/>
    <w:rsid w:val="000817EB"/>
    <w:rsid w:val="00081831"/>
    <w:rsid w:val="00081915"/>
    <w:rsid w:val="000819B7"/>
    <w:rsid w:val="00082212"/>
    <w:rsid w:val="00082268"/>
    <w:rsid w:val="0008231E"/>
    <w:rsid w:val="000823DC"/>
    <w:rsid w:val="00082981"/>
    <w:rsid w:val="00082D95"/>
    <w:rsid w:val="00082DFB"/>
    <w:rsid w:val="00082FD1"/>
    <w:rsid w:val="000832CE"/>
    <w:rsid w:val="00083563"/>
    <w:rsid w:val="00083645"/>
    <w:rsid w:val="00083661"/>
    <w:rsid w:val="000838F8"/>
    <w:rsid w:val="00083BED"/>
    <w:rsid w:val="00083CD3"/>
    <w:rsid w:val="00083E46"/>
    <w:rsid w:val="000840CC"/>
    <w:rsid w:val="0008426D"/>
    <w:rsid w:val="000846D0"/>
    <w:rsid w:val="00084A48"/>
    <w:rsid w:val="00085014"/>
    <w:rsid w:val="000852BF"/>
    <w:rsid w:val="00085342"/>
    <w:rsid w:val="0008583A"/>
    <w:rsid w:val="000859B7"/>
    <w:rsid w:val="00085AAE"/>
    <w:rsid w:val="00085C02"/>
    <w:rsid w:val="00085F41"/>
    <w:rsid w:val="00086043"/>
    <w:rsid w:val="000862C6"/>
    <w:rsid w:val="000863E5"/>
    <w:rsid w:val="00086897"/>
    <w:rsid w:val="00086AA8"/>
    <w:rsid w:val="0008725D"/>
    <w:rsid w:val="000873CC"/>
    <w:rsid w:val="000877E4"/>
    <w:rsid w:val="00087C95"/>
    <w:rsid w:val="00087D18"/>
    <w:rsid w:val="00087F4C"/>
    <w:rsid w:val="0009019E"/>
    <w:rsid w:val="00090355"/>
    <w:rsid w:val="000905B3"/>
    <w:rsid w:val="00090C6F"/>
    <w:rsid w:val="00091369"/>
    <w:rsid w:val="00091B5A"/>
    <w:rsid w:val="000923CA"/>
    <w:rsid w:val="000927B3"/>
    <w:rsid w:val="00092B3D"/>
    <w:rsid w:val="00092DCD"/>
    <w:rsid w:val="00092EEA"/>
    <w:rsid w:val="00093196"/>
    <w:rsid w:val="00093275"/>
    <w:rsid w:val="0009344A"/>
    <w:rsid w:val="000936FF"/>
    <w:rsid w:val="00093BA5"/>
    <w:rsid w:val="00093C1D"/>
    <w:rsid w:val="00094037"/>
    <w:rsid w:val="0009424C"/>
    <w:rsid w:val="00094499"/>
    <w:rsid w:val="000949E4"/>
    <w:rsid w:val="00095659"/>
    <w:rsid w:val="00095959"/>
    <w:rsid w:val="00095BE7"/>
    <w:rsid w:val="000971C4"/>
    <w:rsid w:val="000972F8"/>
    <w:rsid w:val="00097447"/>
    <w:rsid w:val="0009765A"/>
    <w:rsid w:val="0009773E"/>
    <w:rsid w:val="000978D9"/>
    <w:rsid w:val="0009791F"/>
    <w:rsid w:val="00097DA5"/>
    <w:rsid w:val="000A0531"/>
    <w:rsid w:val="000A064B"/>
    <w:rsid w:val="000A0655"/>
    <w:rsid w:val="000A06F5"/>
    <w:rsid w:val="000A0743"/>
    <w:rsid w:val="000A083B"/>
    <w:rsid w:val="000A0C70"/>
    <w:rsid w:val="000A0CF5"/>
    <w:rsid w:val="000A0D6F"/>
    <w:rsid w:val="000A103F"/>
    <w:rsid w:val="000A13D0"/>
    <w:rsid w:val="000A14BC"/>
    <w:rsid w:val="000A17E2"/>
    <w:rsid w:val="000A180A"/>
    <w:rsid w:val="000A195F"/>
    <w:rsid w:val="000A1973"/>
    <w:rsid w:val="000A1A51"/>
    <w:rsid w:val="000A1C54"/>
    <w:rsid w:val="000A1CBC"/>
    <w:rsid w:val="000A2034"/>
    <w:rsid w:val="000A2060"/>
    <w:rsid w:val="000A2066"/>
    <w:rsid w:val="000A22FF"/>
    <w:rsid w:val="000A23C0"/>
    <w:rsid w:val="000A2610"/>
    <w:rsid w:val="000A268B"/>
    <w:rsid w:val="000A27F3"/>
    <w:rsid w:val="000A2868"/>
    <w:rsid w:val="000A2904"/>
    <w:rsid w:val="000A2C17"/>
    <w:rsid w:val="000A2C5F"/>
    <w:rsid w:val="000A30E2"/>
    <w:rsid w:val="000A3352"/>
    <w:rsid w:val="000A373B"/>
    <w:rsid w:val="000A392E"/>
    <w:rsid w:val="000A395F"/>
    <w:rsid w:val="000A3ADC"/>
    <w:rsid w:val="000A3AFC"/>
    <w:rsid w:val="000A495B"/>
    <w:rsid w:val="000A4B9A"/>
    <w:rsid w:val="000A51A6"/>
    <w:rsid w:val="000A546E"/>
    <w:rsid w:val="000A54CF"/>
    <w:rsid w:val="000A55A4"/>
    <w:rsid w:val="000A56CB"/>
    <w:rsid w:val="000A575F"/>
    <w:rsid w:val="000A5A10"/>
    <w:rsid w:val="000A5CD6"/>
    <w:rsid w:val="000A5E04"/>
    <w:rsid w:val="000A5FEB"/>
    <w:rsid w:val="000A7128"/>
    <w:rsid w:val="000A73B5"/>
    <w:rsid w:val="000A76B6"/>
    <w:rsid w:val="000A777B"/>
    <w:rsid w:val="000A77DD"/>
    <w:rsid w:val="000A77FA"/>
    <w:rsid w:val="000A7E6B"/>
    <w:rsid w:val="000B062E"/>
    <w:rsid w:val="000B08E4"/>
    <w:rsid w:val="000B099E"/>
    <w:rsid w:val="000B0AB4"/>
    <w:rsid w:val="000B0AD2"/>
    <w:rsid w:val="000B0B59"/>
    <w:rsid w:val="000B0B6B"/>
    <w:rsid w:val="000B0C9D"/>
    <w:rsid w:val="000B12AB"/>
    <w:rsid w:val="000B15F9"/>
    <w:rsid w:val="000B1B6C"/>
    <w:rsid w:val="000B1E2E"/>
    <w:rsid w:val="000B21D2"/>
    <w:rsid w:val="000B2317"/>
    <w:rsid w:val="000B2869"/>
    <w:rsid w:val="000B2D3E"/>
    <w:rsid w:val="000B2DDA"/>
    <w:rsid w:val="000B2FC1"/>
    <w:rsid w:val="000B33A5"/>
    <w:rsid w:val="000B389F"/>
    <w:rsid w:val="000B3E7D"/>
    <w:rsid w:val="000B3F89"/>
    <w:rsid w:val="000B40ED"/>
    <w:rsid w:val="000B421C"/>
    <w:rsid w:val="000B4B9B"/>
    <w:rsid w:val="000B4DD2"/>
    <w:rsid w:val="000B5C0D"/>
    <w:rsid w:val="000B5EF5"/>
    <w:rsid w:val="000B60D1"/>
    <w:rsid w:val="000B68EE"/>
    <w:rsid w:val="000B6C88"/>
    <w:rsid w:val="000B6CA3"/>
    <w:rsid w:val="000B6F56"/>
    <w:rsid w:val="000B7175"/>
    <w:rsid w:val="000B7473"/>
    <w:rsid w:val="000B77D4"/>
    <w:rsid w:val="000C0358"/>
    <w:rsid w:val="000C09BD"/>
    <w:rsid w:val="000C0E5C"/>
    <w:rsid w:val="000C0F9F"/>
    <w:rsid w:val="000C1465"/>
    <w:rsid w:val="000C14E7"/>
    <w:rsid w:val="000C174B"/>
    <w:rsid w:val="000C185A"/>
    <w:rsid w:val="000C1AEB"/>
    <w:rsid w:val="000C1C31"/>
    <w:rsid w:val="000C1C40"/>
    <w:rsid w:val="000C1F2C"/>
    <w:rsid w:val="000C21D9"/>
    <w:rsid w:val="000C23FC"/>
    <w:rsid w:val="000C246A"/>
    <w:rsid w:val="000C2B26"/>
    <w:rsid w:val="000C2D1E"/>
    <w:rsid w:val="000C2FC6"/>
    <w:rsid w:val="000C34D5"/>
    <w:rsid w:val="000C3537"/>
    <w:rsid w:val="000C35AA"/>
    <w:rsid w:val="000C38D0"/>
    <w:rsid w:val="000C3B19"/>
    <w:rsid w:val="000C3FAF"/>
    <w:rsid w:val="000C44C5"/>
    <w:rsid w:val="000C44F4"/>
    <w:rsid w:val="000C4608"/>
    <w:rsid w:val="000C4643"/>
    <w:rsid w:val="000C46DB"/>
    <w:rsid w:val="000C49E5"/>
    <w:rsid w:val="000C50A7"/>
    <w:rsid w:val="000C521B"/>
    <w:rsid w:val="000C53B7"/>
    <w:rsid w:val="000C5670"/>
    <w:rsid w:val="000C5702"/>
    <w:rsid w:val="000C57F5"/>
    <w:rsid w:val="000C5826"/>
    <w:rsid w:val="000C5BC3"/>
    <w:rsid w:val="000C5BC5"/>
    <w:rsid w:val="000C5F94"/>
    <w:rsid w:val="000C5FF7"/>
    <w:rsid w:val="000C606A"/>
    <w:rsid w:val="000C610A"/>
    <w:rsid w:val="000C6197"/>
    <w:rsid w:val="000C6396"/>
    <w:rsid w:val="000C67F1"/>
    <w:rsid w:val="000C68F1"/>
    <w:rsid w:val="000C6BA3"/>
    <w:rsid w:val="000C6D0F"/>
    <w:rsid w:val="000C6E2F"/>
    <w:rsid w:val="000C6F08"/>
    <w:rsid w:val="000C720D"/>
    <w:rsid w:val="000C7A01"/>
    <w:rsid w:val="000C7FD6"/>
    <w:rsid w:val="000D0272"/>
    <w:rsid w:val="000D0883"/>
    <w:rsid w:val="000D10DB"/>
    <w:rsid w:val="000D13F2"/>
    <w:rsid w:val="000D1743"/>
    <w:rsid w:val="000D180C"/>
    <w:rsid w:val="000D197F"/>
    <w:rsid w:val="000D1A13"/>
    <w:rsid w:val="000D1F6E"/>
    <w:rsid w:val="000D2081"/>
    <w:rsid w:val="000D2264"/>
    <w:rsid w:val="000D2722"/>
    <w:rsid w:val="000D2AC5"/>
    <w:rsid w:val="000D2B31"/>
    <w:rsid w:val="000D2BBE"/>
    <w:rsid w:val="000D2CA1"/>
    <w:rsid w:val="000D2E8A"/>
    <w:rsid w:val="000D2EB4"/>
    <w:rsid w:val="000D2FEA"/>
    <w:rsid w:val="000D3087"/>
    <w:rsid w:val="000D30AD"/>
    <w:rsid w:val="000D38BF"/>
    <w:rsid w:val="000D3CCE"/>
    <w:rsid w:val="000D3FFB"/>
    <w:rsid w:val="000D4302"/>
    <w:rsid w:val="000D47FD"/>
    <w:rsid w:val="000D4EDA"/>
    <w:rsid w:val="000D532D"/>
    <w:rsid w:val="000D5813"/>
    <w:rsid w:val="000D5F45"/>
    <w:rsid w:val="000D60AC"/>
    <w:rsid w:val="000D610A"/>
    <w:rsid w:val="000D63AB"/>
    <w:rsid w:val="000D63E3"/>
    <w:rsid w:val="000D6940"/>
    <w:rsid w:val="000D6C2C"/>
    <w:rsid w:val="000D6F0B"/>
    <w:rsid w:val="000D6F86"/>
    <w:rsid w:val="000D7174"/>
    <w:rsid w:val="000D77A5"/>
    <w:rsid w:val="000D7D62"/>
    <w:rsid w:val="000D7E5C"/>
    <w:rsid w:val="000D7FE4"/>
    <w:rsid w:val="000E0006"/>
    <w:rsid w:val="000E08AE"/>
    <w:rsid w:val="000E0926"/>
    <w:rsid w:val="000E115B"/>
    <w:rsid w:val="000E1361"/>
    <w:rsid w:val="000E13FE"/>
    <w:rsid w:val="000E15E0"/>
    <w:rsid w:val="000E1735"/>
    <w:rsid w:val="000E1F49"/>
    <w:rsid w:val="000E2205"/>
    <w:rsid w:val="000E2692"/>
    <w:rsid w:val="000E26E8"/>
    <w:rsid w:val="000E2984"/>
    <w:rsid w:val="000E2B85"/>
    <w:rsid w:val="000E2C13"/>
    <w:rsid w:val="000E2D08"/>
    <w:rsid w:val="000E2F92"/>
    <w:rsid w:val="000E33DF"/>
    <w:rsid w:val="000E3494"/>
    <w:rsid w:val="000E3549"/>
    <w:rsid w:val="000E36B8"/>
    <w:rsid w:val="000E36DB"/>
    <w:rsid w:val="000E3B73"/>
    <w:rsid w:val="000E417B"/>
    <w:rsid w:val="000E41D6"/>
    <w:rsid w:val="000E43B8"/>
    <w:rsid w:val="000E4430"/>
    <w:rsid w:val="000E451B"/>
    <w:rsid w:val="000E4C6D"/>
    <w:rsid w:val="000E4DE0"/>
    <w:rsid w:val="000E5533"/>
    <w:rsid w:val="000E5573"/>
    <w:rsid w:val="000E568E"/>
    <w:rsid w:val="000E5E47"/>
    <w:rsid w:val="000E5EB5"/>
    <w:rsid w:val="000E5F2D"/>
    <w:rsid w:val="000E6354"/>
    <w:rsid w:val="000E6571"/>
    <w:rsid w:val="000E68C0"/>
    <w:rsid w:val="000E696E"/>
    <w:rsid w:val="000E6A01"/>
    <w:rsid w:val="000E6BB4"/>
    <w:rsid w:val="000E6D56"/>
    <w:rsid w:val="000E6E28"/>
    <w:rsid w:val="000E6F30"/>
    <w:rsid w:val="000E7026"/>
    <w:rsid w:val="000E74A1"/>
    <w:rsid w:val="000E75B9"/>
    <w:rsid w:val="000E786A"/>
    <w:rsid w:val="000E79C6"/>
    <w:rsid w:val="000E7AB0"/>
    <w:rsid w:val="000E7DB1"/>
    <w:rsid w:val="000E7F36"/>
    <w:rsid w:val="000F01D6"/>
    <w:rsid w:val="000F02CF"/>
    <w:rsid w:val="000F02DD"/>
    <w:rsid w:val="000F05CF"/>
    <w:rsid w:val="000F075F"/>
    <w:rsid w:val="000F0780"/>
    <w:rsid w:val="000F0B6A"/>
    <w:rsid w:val="000F0BDE"/>
    <w:rsid w:val="000F0D25"/>
    <w:rsid w:val="000F11EC"/>
    <w:rsid w:val="000F13A9"/>
    <w:rsid w:val="000F144C"/>
    <w:rsid w:val="000F1550"/>
    <w:rsid w:val="000F15CF"/>
    <w:rsid w:val="000F1847"/>
    <w:rsid w:val="000F1BFB"/>
    <w:rsid w:val="000F20A0"/>
    <w:rsid w:val="000F24D2"/>
    <w:rsid w:val="000F2783"/>
    <w:rsid w:val="000F28D2"/>
    <w:rsid w:val="000F2C3E"/>
    <w:rsid w:val="000F30EA"/>
    <w:rsid w:val="000F3321"/>
    <w:rsid w:val="000F373A"/>
    <w:rsid w:val="000F3750"/>
    <w:rsid w:val="000F37CF"/>
    <w:rsid w:val="000F4860"/>
    <w:rsid w:val="000F4BEA"/>
    <w:rsid w:val="000F5157"/>
    <w:rsid w:val="000F536B"/>
    <w:rsid w:val="000F5A43"/>
    <w:rsid w:val="000F5F5D"/>
    <w:rsid w:val="000F60D7"/>
    <w:rsid w:val="000F6422"/>
    <w:rsid w:val="000F664E"/>
    <w:rsid w:val="000F67BF"/>
    <w:rsid w:val="000F6895"/>
    <w:rsid w:val="000F6B32"/>
    <w:rsid w:val="000F6BAD"/>
    <w:rsid w:val="000F7590"/>
    <w:rsid w:val="000F7AA3"/>
    <w:rsid w:val="001001AF"/>
    <w:rsid w:val="00100457"/>
    <w:rsid w:val="001007B4"/>
    <w:rsid w:val="00100911"/>
    <w:rsid w:val="00100A54"/>
    <w:rsid w:val="00100C29"/>
    <w:rsid w:val="00100DF8"/>
    <w:rsid w:val="00100E78"/>
    <w:rsid w:val="001013B3"/>
    <w:rsid w:val="001015B1"/>
    <w:rsid w:val="0010163B"/>
    <w:rsid w:val="00101D95"/>
    <w:rsid w:val="0010210A"/>
    <w:rsid w:val="0010239E"/>
    <w:rsid w:val="00102BA3"/>
    <w:rsid w:val="00102E54"/>
    <w:rsid w:val="00103220"/>
    <w:rsid w:val="00103340"/>
    <w:rsid w:val="00103453"/>
    <w:rsid w:val="00103563"/>
    <w:rsid w:val="00103A90"/>
    <w:rsid w:val="00103F08"/>
    <w:rsid w:val="0010409F"/>
    <w:rsid w:val="001041CF"/>
    <w:rsid w:val="0010427D"/>
    <w:rsid w:val="00104550"/>
    <w:rsid w:val="00104687"/>
    <w:rsid w:val="0010487A"/>
    <w:rsid w:val="001048C3"/>
    <w:rsid w:val="00104D50"/>
    <w:rsid w:val="00104EEF"/>
    <w:rsid w:val="00104F8F"/>
    <w:rsid w:val="00105168"/>
    <w:rsid w:val="00105495"/>
    <w:rsid w:val="00105618"/>
    <w:rsid w:val="001058D8"/>
    <w:rsid w:val="00105BF1"/>
    <w:rsid w:val="00105BFF"/>
    <w:rsid w:val="00105C91"/>
    <w:rsid w:val="00105E2B"/>
    <w:rsid w:val="00105F78"/>
    <w:rsid w:val="00105FEC"/>
    <w:rsid w:val="00106184"/>
    <w:rsid w:val="00106229"/>
    <w:rsid w:val="001063C9"/>
    <w:rsid w:val="00106478"/>
    <w:rsid w:val="001069C6"/>
    <w:rsid w:val="00106BB9"/>
    <w:rsid w:val="00106D45"/>
    <w:rsid w:val="00106F98"/>
    <w:rsid w:val="00107131"/>
    <w:rsid w:val="001072D6"/>
    <w:rsid w:val="001072DB"/>
    <w:rsid w:val="0010736F"/>
    <w:rsid w:val="0010779C"/>
    <w:rsid w:val="00107C7C"/>
    <w:rsid w:val="00107DE1"/>
    <w:rsid w:val="00107E5D"/>
    <w:rsid w:val="001108C5"/>
    <w:rsid w:val="001108D8"/>
    <w:rsid w:val="00110AC6"/>
    <w:rsid w:val="00111119"/>
    <w:rsid w:val="00111342"/>
    <w:rsid w:val="0011146D"/>
    <w:rsid w:val="00111511"/>
    <w:rsid w:val="00111D6D"/>
    <w:rsid w:val="00111D90"/>
    <w:rsid w:val="001121B5"/>
    <w:rsid w:val="0011230D"/>
    <w:rsid w:val="0011287E"/>
    <w:rsid w:val="001129E9"/>
    <w:rsid w:val="00112E9A"/>
    <w:rsid w:val="00112EC0"/>
    <w:rsid w:val="001135F0"/>
    <w:rsid w:val="001137BC"/>
    <w:rsid w:val="0011380D"/>
    <w:rsid w:val="001138D7"/>
    <w:rsid w:val="00113B37"/>
    <w:rsid w:val="00113E36"/>
    <w:rsid w:val="00113F73"/>
    <w:rsid w:val="00114098"/>
    <w:rsid w:val="00114195"/>
    <w:rsid w:val="0011455B"/>
    <w:rsid w:val="00114738"/>
    <w:rsid w:val="001148E3"/>
    <w:rsid w:val="00114A3E"/>
    <w:rsid w:val="00114F8B"/>
    <w:rsid w:val="00114FA2"/>
    <w:rsid w:val="0011518A"/>
    <w:rsid w:val="0011525E"/>
    <w:rsid w:val="001154EB"/>
    <w:rsid w:val="0011559D"/>
    <w:rsid w:val="00115971"/>
    <w:rsid w:val="001159C2"/>
    <w:rsid w:val="00115EFC"/>
    <w:rsid w:val="00116A99"/>
    <w:rsid w:val="00116AE4"/>
    <w:rsid w:val="00116D4D"/>
    <w:rsid w:val="00116DE9"/>
    <w:rsid w:val="0011729F"/>
    <w:rsid w:val="00117468"/>
    <w:rsid w:val="001175B6"/>
    <w:rsid w:val="00117804"/>
    <w:rsid w:val="001179C8"/>
    <w:rsid w:val="00117CAE"/>
    <w:rsid w:val="00117FA0"/>
    <w:rsid w:val="00120113"/>
    <w:rsid w:val="001207B6"/>
    <w:rsid w:val="00121824"/>
    <w:rsid w:val="0012194D"/>
    <w:rsid w:val="00121AE2"/>
    <w:rsid w:val="00121B13"/>
    <w:rsid w:val="00121B3D"/>
    <w:rsid w:val="00121CC2"/>
    <w:rsid w:val="00121DA5"/>
    <w:rsid w:val="00121FE7"/>
    <w:rsid w:val="001220F4"/>
    <w:rsid w:val="00122244"/>
    <w:rsid w:val="00122361"/>
    <w:rsid w:val="00122517"/>
    <w:rsid w:val="00122FFA"/>
    <w:rsid w:val="00123214"/>
    <w:rsid w:val="0012394B"/>
    <w:rsid w:val="00123B05"/>
    <w:rsid w:val="001241EA"/>
    <w:rsid w:val="001244C2"/>
    <w:rsid w:val="0012463E"/>
    <w:rsid w:val="001246BA"/>
    <w:rsid w:val="001246C5"/>
    <w:rsid w:val="00124961"/>
    <w:rsid w:val="00124FDB"/>
    <w:rsid w:val="00125199"/>
    <w:rsid w:val="001256DB"/>
    <w:rsid w:val="00125A0D"/>
    <w:rsid w:val="00125B5D"/>
    <w:rsid w:val="00125F82"/>
    <w:rsid w:val="00126439"/>
    <w:rsid w:val="001264D4"/>
    <w:rsid w:val="001267D6"/>
    <w:rsid w:val="00126A4C"/>
    <w:rsid w:val="00126B53"/>
    <w:rsid w:val="00126F99"/>
    <w:rsid w:val="001271B3"/>
    <w:rsid w:val="001272DF"/>
    <w:rsid w:val="0012741B"/>
    <w:rsid w:val="0012771D"/>
    <w:rsid w:val="00127A2E"/>
    <w:rsid w:val="00127BEC"/>
    <w:rsid w:val="00130061"/>
    <w:rsid w:val="0013019B"/>
    <w:rsid w:val="001302EC"/>
    <w:rsid w:val="001308B3"/>
    <w:rsid w:val="00130E7E"/>
    <w:rsid w:val="0013134A"/>
    <w:rsid w:val="00131518"/>
    <w:rsid w:val="00131531"/>
    <w:rsid w:val="0013174C"/>
    <w:rsid w:val="0013178C"/>
    <w:rsid w:val="001317DE"/>
    <w:rsid w:val="00131C81"/>
    <w:rsid w:val="00131D31"/>
    <w:rsid w:val="00131D92"/>
    <w:rsid w:val="00132556"/>
    <w:rsid w:val="00132991"/>
    <w:rsid w:val="001329AA"/>
    <w:rsid w:val="00132C5C"/>
    <w:rsid w:val="00132C97"/>
    <w:rsid w:val="00132F69"/>
    <w:rsid w:val="001335C7"/>
    <w:rsid w:val="00133762"/>
    <w:rsid w:val="001339BA"/>
    <w:rsid w:val="001339CE"/>
    <w:rsid w:val="00133EE5"/>
    <w:rsid w:val="00134011"/>
    <w:rsid w:val="00134170"/>
    <w:rsid w:val="00134213"/>
    <w:rsid w:val="001348B4"/>
    <w:rsid w:val="0013490B"/>
    <w:rsid w:val="00134917"/>
    <w:rsid w:val="00134B10"/>
    <w:rsid w:val="00134CAE"/>
    <w:rsid w:val="00134EC9"/>
    <w:rsid w:val="001357D3"/>
    <w:rsid w:val="00135AFF"/>
    <w:rsid w:val="00135B2B"/>
    <w:rsid w:val="00135D6D"/>
    <w:rsid w:val="001362B1"/>
    <w:rsid w:val="001362B9"/>
    <w:rsid w:val="00136851"/>
    <w:rsid w:val="00136BF2"/>
    <w:rsid w:val="00136BFD"/>
    <w:rsid w:val="00136C3F"/>
    <w:rsid w:val="00136CE2"/>
    <w:rsid w:val="00137213"/>
    <w:rsid w:val="00137255"/>
    <w:rsid w:val="00137490"/>
    <w:rsid w:val="001374B9"/>
    <w:rsid w:val="001375A9"/>
    <w:rsid w:val="001378F1"/>
    <w:rsid w:val="00137918"/>
    <w:rsid w:val="00137A99"/>
    <w:rsid w:val="00137B73"/>
    <w:rsid w:val="00137DCE"/>
    <w:rsid w:val="00137E46"/>
    <w:rsid w:val="001400F9"/>
    <w:rsid w:val="0014020B"/>
    <w:rsid w:val="00140280"/>
    <w:rsid w:val="00140AB7"/>
    <w:rsid w:val="00140CCF"/>
    <w:rsid w:val="00140D24"/>
    <w:rsid w:val="00140DE5"/>
    <w:rsid w:val="00141302"/>
    <w:rsid w:val="001414D2"/>
    <w:rsid w:val="00141F57"/>
    <w:rsid w:val="00142184"/>
    <w:rsid w:val="00142341"/>
    <w:rsid w:val="00142959"/>
    <w:rsid w:val="001429AA"/>
    <w:rsid w:val="00142F23"/>
    <w:rsid w:val="00142F74"/>
    <w:rsid w:val="001435E4"/>
    <w:rsid w:val="00143640"/>
    <w:rsid w:val="001437B1"/>
    <w:rsid w:val="00143A28"/>
    <w:rsid w:val="00143E73"/>
    <w:rsid w:val="00143F2D"/>
    <w:rsid w:val="00143FB6"/>
    <w:rsid w:val="00144168"/>
    <w:rsid w:val="0014430E"/>
    <w:rsid w:val="001443D1"/>
    <w:rsid w:val="00144B59"/>
    <w:rsid w:val="00144DDE"/>
    <w:rsid w:val="00144E97"/>
    <w:rsid w:val="00144F3C"/>
    <w:rsid w:val="00144F7B"/>
    <w:rsid w:val="00144F9D"/>
    <w:rsid w:val="0014604A"/>
    <w:rsid w:val="00146216"/>
    <w:rsid w:val="0014627C"/>
    <w:rsid w:val="0014640C"/>
    <w:rsid w:val="001464BE"/>
    <w:rsid w:val="0014683B"/>
    <w:rsid w:val="00146A91"/>
    <w:rsid w:val="00146DFF"/>
    <w:rsid w:val="00146E2B"/>
    <w:rsid w:val="00147111"/>
    <w:rsid w:val="001472B0"/>
    <w:rsid w:val="001472B3"/>
    <w:rsid w:val="00147374"/>
    <w:rsid w:val="0014754E"/>
    <w:rsid w:val="00147620"/>
    <w:rsid w:val="0014789A"/>
    <w:rsid w:val="00147A87"/>
    <w:rsid w:val="00147CDE"/>
    <w:rsid w:val="00147D6E"/>
    <w:rsid w:val="00147DC2"/>
    <w:rsid w:val="00147FBF"/>
    <w:rsid w:val="00150181"/>
    <w:rsid w:val="0015077B"/>
    <w:rsid w:val="001507B5"/>
    <w:rsid w:val="00150901"/>
    <w:rsid w:val="001509F1"/>
    <w:rsid w:val="00150C34"/>
    <w:rsid w:val="00150C96"/>
    <w:rsid w:val="00150CD7"/>
    <w:rsid w:val="00150D67"/>
    <w:rsid w:val="00150E42"/>
    <w:rsid w:val="001510FC"/>
    <w:rsid w:val="001516CA"/>
    <w:rsid w:val="001517D4"/>
    <w:rsid w:val="001518CD"/>
    <w:rsid w:val="001518FF"/>
    <w:rsid w:val="00151A03"/>
    <w:rsid w:val="00151A9C"/>
    <w:rsid w:val="001520CE"/>
    <w:rsid w:val="00152570"/>
    <w:rsid w:val="00152A76"/>
    <w:rsid w:val="00153168"/>
    <w:rsid w:val="00153375"/>
    <w:rsid w:val="00153559"/>
    <w:rsid w:val="00153864"/>
    <w:rsid w:val="00153902"/>
    <w:rsid w:val="00153995"/>
    <w:rsid w:val="00153C1B"/>
    <w:rsid w:val="00153C77"/>
    <w:rsid w:val="00153EF6"/>
    <w:rsid w:val="0015428A"/>
    <w:rsid w:val="00154311"/>
    <w:rsid w:val="001545F9"/>
    <w:rsid w:val="0015476E"/>
    <w:rsid w:val="00154C44"/>
    <w:rsid w:val="00154EAA"/>
    <w:rsid w:val="00154FCE"/>
    <w:rsid w:val="0015559D"/>
    <w:rsid w:val="0015564B"/>
    <w:rsid w:val="00155AF7"/>
    <w:rsid w:val="00155B80"/>
    <w:rsid w:val="00155C73"/>
    <w:rsid w:val="00155CBD"/>
    <w:rsid w:val="0015623F"/>
    <w:rsid w:val="001562AA"/>
    <w:rsid w:val="0015653E"/>
    <w:rsid w:val="00156563"/>
    <w:rsid w:val="001567E9"/>
    <w:rsid w:val="00156B5A"/>
    <w:rsid w:val="00156D89"/>
    <w:rsid w:val="00156F91"/>
    <w:rsid w:val="001572C1"/>
    <w:rsid w:val="00157D0A"/>
    <w:rsid w:val="001600F0"/>
    <w:rsid w:val="0016081C"/>
    <w:rsid w:val="001608AF"/>
    <w:rsid w:val="00160B83"/>
    <w:rsid w:val="00160BF1"/>
    <w:rsid w:val="00160CC9"/>
    <w:rsid w:val="00160DBE"/>
    <w:rsid w:val="0016133E"/>
    <w:rsid w:val="0016148D"/>
    <w:rsid w:val="001617EA"/>
    <w:rsid w:val="00161AC0"/>
    <w:rsid w:val="00161CB4"/>
    <w:rsid w:val="00161E86"/>
    <w:rsid w:val="0016214B"/>
    <w:rsid w:val="00162431"/>
    <w:rsid w:val="0016286B"/>
    <w:rsid w:val="00162936"/>
    <w:rsid w:val="0016299D"/>
    <w:rsid w:val="001629BF"/>
    <w:rsid w:val="00162C1F"/>
    <w:rsid w:val="00162C7D"/>
    <w:rsid w:val="00162CA0"/>
    <w:rsid w:val="00162CED"/>
    <w:rsid w:val="00162D93"/>
    <w:rsid w:val="00163082"/>
    <w:rsid w:val="0016376A"/>
    <w:rsid w:val="00163A4B"/>
    <w:rsid w:val="00163CC4"/>
    <w:rsid w:val="00163DD9"/>
    <w:rsid w:val="001640BE"/>
    <w:rsid w:val="001642A7"/>
    <w:rsid w:val="001644A9"/>
    <w:rsid w:val="00164537"/>
    <w:rsid w:val="00164E6C"/>
    <w:rsid w:val="00164F9D"/>
    <w:rsid w:val="0016507B"/>
    <w:rsid w:val="00165264"/>
    <w:rsid w:val="0016540B"/>
    <w:rsid w:val="00165554"/>
    <w:rsid w:val="00165734"/>
    <w:rsid w:val="001657A5"/>
    <w:rsid w:val="00165B4C"/>
    <w:rsid w:val="00165BE5"/>
    <w:rsid w:val="00165D74"/>
    <w:rsid w:val="0016621A"/>
    <w:rsid w:val="001662E0"/>
    <w:rsid w:val="00166325"/>
    <w:rsid w:val="0016638B"/>
    <w:rsid w:val="001668AD"/>
    <w:rsid w:val="0016753A"/>
    <w:rsid w:val="00167657"/>
    <w:rsid w:val="0016793E"/>
    <w:rsid w:val="00167A34"/>
    <w:rsid w:val="00167A48"/>
    <w:rsid w:val="00167F7E"/>
    <w:rsid w:val="0017016B"/>
    <w:rsid w:val="0017022F"/>
    <w:rsid w:val="001703E3"/>
    <w:rsid w:val="0017068B"/>
    <w:rsid w:val="001707AB"/>
    <w:rsid w:val="001707C9"/>
    <w:rsid w:val="00170D7D"/>
    <w:rsid w:val="00170E57"/>
    <w:rsid w:val="00170EC8"/>
    <w:rsid w:val="00171223"/>
    <w:rsid w:val="001715E1"/>
    <w:rsid w:val="00171A98"/>
    <w:rsid w:val="00171AC1"/>
    <w:rsid w:val="00171C75"/>
    <w:rsid w:val="00171E19"/>
    <w:rsid w:val="00171E52"/>
    <w:rsid w:val="00171E69"/>
    <w:rsid w:val="00171FD6"/>
    <w:rsid w:val="00172176"/>
    <w:rsid w:val="00172431"/>
    <w:rsid w:val="00172786"/>
    <w:rsid w:val="00172ADB"/>
    <w:rsid w:val="00172BA6"/>
    <w:rsid w:val="00173203"/>
    <w:rsid w:val="00173581"/>
    <w:rsid w:val="00173BFF"/>
    <w:rsid w:val="00173D98"/>
    <w:rsid w:val="00173E25"/>
    <w:rsid w:val="001740A2"/>
    <w:rsid w:val="00174320"/>
    <w:rsid w:val="001746C2"/>
    <w:rsid w:val="00174BA1"/>
    <w:rsid w:val="00174F9C"/>
    <w:rsid w:val="00175014"/>
    <w:rsid w:val="00175199"/>
    <w:rsid w:val="001751C7"/>
    <w:rsid w:val="001751CF"/>
    <w:rsid w:val="00175231"/>
    <w:rsid w:val="00175520"/>
    <w:rsid w:val="00175573"/>
    <w:rsid w:val="001756A7"/>
    <w:rsid w:val="001758DD"/>
    <w:rsid w:val="00175BED"/>
    <w:rsid w:val="00175FC7"/>
    <w:rsid w:val="00176353"/>
    <w:rsid w:val="00176CDE"/>
    <w:rsid w:val="001770BB"/>
    <w:rsid w:val="001774AA"/>
    <w:rsid w:val="0017778B"/>
    <w:rsid w:val="001777F9"/>
    <w:rsid w:val="001777FD"/>
    <w:rsid w:val="00177B10"/>
    <w:rsid w:val="001801B2"/>
    <w:rsid w:val="001801CE"/>
    <w:rsid w:val="00180466"/>
    <w:rsid w:val="00180561"/>
    <w:rsid w:val="001808A1"/>
    <w:rsid w:val="0018090E"/>
    <w:rsid w:val="00180AF9"/>
    <w:rsid w:val="00180C93"/>
    <w:rsid w:val="00180FC3"/>
    <w:rsid w:val="001816B3"/>
    <w:rsid w:val="001817CD"/>
    <w:rsid w:val="00181839"/>
    <w:rsid w:val="001818D6"/>
    <w:rsid w:val="00181A4D"/>
    <w:rsid w:val="00181EB1"/>
    <w:rsid w:val="00181F9D"/>
    <w:rsid w:val="00181FF3"/>
    <w:rsid w:val="001820E3"/>
    <w:rsid w:val="00182194"/>
    <w:rsid w:val="001821E7"/>
    <w:rsid w:val="001822BF"/>
    <w:rsid w:val="0018242E"/>
    <w:rsid w:val="0018292C"/>
    <w:rsid w:val="00182B71"/>
    <w:rsid w:val="00182EB1"/>
    <w:rsid w:val="00182F97"/>
    <w:rsid w:val="0018301D"/>
    <w:rsid w:val="001830E0"/>
    <w:rsid w:val="0018361F"/>
    <w:rsid w:val="001837BC"/>
    <w:rsid w:val="00183B96"/>
    <w:rsid w:val="00183D57"/>
    <w:rsid w:val="0018406F"/>
    <w:rsid w:val="001840B7"/>
    <w:rsid w:val="001840DF"/>
    <w:rsid w:val="00184368"/>
    <w:rsid w:val="001844F8"/>
    <w:rsid w:val="00184701"/>
    <w:rsid w:val="00184A77"/>
    <w:rsid w:val="00184CAF"/>
    <w:rsid w:val="00184CD1"/>
    <w:rsid w:val="00185D57"/>
    <w:rsid w:val="00186012"/>
    <w:rsid w:val="00186065"/>
    <w:rsid w:val="0018609E"/>
    <w:rsid w:val="001861F1"/>
    <w:rsid w:val="00186817"/>
    <w:rsid w:val="001869BA"/>
    <w:rsid w:val="00186CD0"/>
    <w:rsid w:val="00186D50"/>
    <w:rsid w:val="00186DDA"/>
    <w:rsid w:val="00186EB3"/>
    <w:rsid w:val="00186F05"/>
    <w:rsid w:val="001871DC"/>
    <w:rsid w:val="001871E0"/>
    <w:rsid w:val="00187415"/>
    <w:rsid w:val="001874E7"/>
    <w:rsid w:val="001875BF"/>
    <w:rsid w:val="00187970"/>
    <w:rsid w:val="00187A90"/>
    <w:rsid w:val="00187D91"/>
    <w:rsid w:val="00187EE6"/>
    <w:rsid w:val="00187F36"/>
    <w:rsid w:val="00190196"/>
    <w:rsid w:val="00190293"/>
    <w:rsid w:val="00190382"/>
    <w:rsid w:val="001904BF"/>
    <w:rsid w:val="00190729"/>
    <w:rsid w:val="00190849"/>
    <w:rsid w:val="00190881"/>
    <w:rsid w:val="0019090E"/>
    <w:rsid w:val="00190A6E"/>
    <w:rsid w:val="00190CDC"/>
    <w:rsid w:val="00190CFA"/>
    <w:rsid w:val="0019117A"/>
    <w:rsid w:val="0019124E"/>
    <w:rsid w:val="001913CF"/>
    <w:rsid w:val="0019153B"/>
    <w:rsid w:val="00191901"/>
    <w:rsid w:val="00191BCD"/>
    <w:rsid w:val="00191D9E"/>
    <w:rsid w:val="00192852"/>
    <w:rsid w:val="00192860"/>
    <w:rsid w:val="00192A6A"/>
    <w:rsid w:val="0019315D"/>
    <w:rsid w:val="001934F7"/>
    <w:rsid w:val="0019353E"/>
    <w:rsid w:val="00193E53"/>
    <w:rsid w:val="001944AF"/>
    <w:rsid w:val="00194612"/>
    <w:rsid w:val="0019477D"/>
    <w:rsid w:val="00194890"/>
    <w:rsid w:val="0019489B"/>
    <w:rsid w:val="00194A77"/>
    <w:rsid w:val="00194B6D"/>
    <w:rsid w:val="00195339"/>
    <w:rsid w:val="001954BF"/>
    <w:rsid w:val="001954FD"/>
    <w:rsid w:val="0019598F"/>
    <w:rsid w:val="0019636B"/>
    <w:rsid w:val="00196576"/>
    <w:rsid w:val="00196BB0"/>
    <w:rsid w:val="0019712F"/>
    <w:rsid w:val="00197303"/>
    <w:rsid w:val="0019744E"/>
    <w:rsid w:val="001979CC"/>
    <w:rsid w:val="00197D1C"/>
    <w:rsid w:val="001A0392"/>
    <w:rsid w:val="001A04E5"/>
    <w:rsid w:val="001A06B6"/>
    <w:rsid w:val="001A0A80"/>
    <w:rsid w:val="001A0BF7"/>
    <w:rsid w:val="001A0C64"/>
    <w:rsid w:val="001A0E10"/>
    <w:rsid w:val="001A0EE5"/>
    <w:rsid w:val="001A11A5"/>
    <w:rsid w:val="001A167D"/>
    <w:rsid w:val="001A2E9E"/>
    <w:rsid w:val="001A30F7"/>
    <w:rsid w:val="001A326F"/>
    <w:rsid w:val="001A33CF"/>
    <w:rsid w:val="001A39C9"/>
    <w:rsid w:val="001A3AC1"/>
    <w:rsid w:val="001A3D33"/>
    <w:rsid w:val="001A4150"/>
    <w:rsid w:val="001A4B19"/>
    <w:rsid w:val="001A4B50"/>
    <w:rsid w:val="001A56BE"/>
    <w:rsid w:val="001A5D0E"/>
    <w:rsid w:val="001A6142"/>
    <w:rsid w:val="001A6222"/>
    <w:rsid w:val="001A6A3C"/>
    <w:rsid w:val="001A724D"/>
    <w:rsid w:val="001A732B"/>
    <w:rsid w:val="001A73F3"/>
    <w:rsid w:val="001A75E5"/>
    <w:rsid w:val="001A7821"/>
    <w:rsid w:val="001A7870"/>
    <w:rsid w:val="001A78C1"/>
    <w:rsid w:val="001A7911"/>
    <w:rsid w:val="001A7FAE"/>
    <w:rsid w:val="001B0106"/>
    <w:rsid w:val="001B029E"/>
    <w:rsid w:val="001B0329"/>
    <w:rsid w:val="001B05AB"/>
    <w:rsid w:val="001B07C4"/>
    <w:rsid w:val="001B0833"/>
    <w:rsid w:val="001B0BFE"/>
    <w:rsid w:val="001B0C0C"/>
    <w:rsid w:val="001B0CFF"/>
    <w:rsid w:val="001B0E3E"/>
    <w:rsid w:val="001B0FA6"/>
    <w:rsid w:val="001B17A9"/>
    <w:rsid w:val="001B1C23"/>
    <w:rsid w:val="001B1FA7"/>
    <w:rsid w:val="001B20BE"/>
    <w:rsid w:val="001B24D6"/>
    <w:rsid w:val="001B2D1A"/>
    <w:rsid w:val="001B2D9F"/>
    <w:rsid w:val="001B2DA4"/>
    <w:rsid w:val="001B2E70"/>
    <w:rsid w:val="001B3128"/>
    <w:rsid w:val="001B317F"/>
    <w:rsid w:val="001B3309"/>
    <w:rsid w:val="001B38E8"/>
    <w:rsid w:val="001B38EF"/>
    <w:rsid w:val="001B397A"/>
    <w:rsid w:val="001B3E86"/>
    <w:rsid w:val="001B42FF"/>
    <w:rsid w:val="001B4300"/>
    <w:rsid w:val="001B4308"/>
    <w:rsid w:val="001B4309"/>
    <w:rsid w:val="001B464B"/>
    <w:rsid w:val="001B4C3B"/>
    <w:rsid w:val="001B4E9A"/>
    <w:rsid w:val="001B4EEE"/>
    <w:rsid w:val="001B512E"/>
    <w:rsid w:val="001B561D"/>
    <w:rsid w:val="001B58DF"/>
    <w:rsid w:val="001B59CB"/>
    <w:rsid w:val="001B5B5A"/>
    <w:rsid w:val="001B5BCA"/>
    <w:rsid w:val="001B5FF6"/>
    <w:rsid w:val="001B61B1"/>
    <w:rsid w:val="001B6514"/>
    <w:rsid w:val="001B659F"/>
    <w:rsid w:val="001B668D"/>
    <w:rsid w:val="001B67FC"/>
    <w:rsid w:val="001B706E"/>
    <w:rsid w:val="001B7386"/>
    <w:rsid w:val="001B73E2"/>
    <w:rsid w:val="001B79BA"/>
    <w:rsid w:val="001B7CF7"/>
    <w:rsid w:val="001B7DAC"/>
    <w:rsid w:val="001C02FD"/>
    <w:rsid w:val="001C0846"/>
    <w:rsid w:val="001C08F4"/>
    <w:rsid w:val="001C0C46"/>
    <w:rsid w:val="001C0C84"/>
    <w:rsid w:val="001C11BE"/>
    <w:rsid w:val="001C15C5"/>
    <w:rsid w:val="001C186C"/>
    <w:rsid w:val="001C1B04"/>
    <w:rsid w:val="001C1B41"/>
    <w:rsid w:val="001C1C84"/>
    <w:rsid w:val="001C1D3F"/>
    <w:rsid w:val="001C1FDD"/>
    <w:rsid w:val="001C258F"/>
    <w:rsid w:val="001C2648"/>
    <w:rsid w:val="001C2D17"/>
    <w:rsid w:val="001C3127"/>
    <w:rsid w:val="001C3605"/>
    <w:rsid w:val="001C3A11"/>
    <w:rsid w:val="001C3B7C"/>
    <w:rsid w:val="001C3E92"/>
    <w:rsid w:val="001C4035"/>
    <w:rsid w:val="001C405A"/>
    <w:rsid w:val="001C40D1"/>
    <w:rsid w:val="001C41DF"/>
    <w:rsid w:val="001C441C"/>
    <w:rsid w:val="001C48D2"/>
    <w:rsid w:val="001C4958"/>
    <w:rsid w:val="001C49B1"/>
    <w:rsid w:val="001C4BDB"/>
    <w:rsid w:val="001C4D40"/>
    <w:rsid w:val="001C5071"/>
    <w:rsid w:val="001C51C8"/>
    <w:rsid w:val="001C5387"/>
    <w:rsid w:val="001C55C1"/>
    <w:rsid w:val="001C5CF6"/>
    <w:rsid w:val="001C6093"/>
    <w:rsid w:val="001C6129"/>
    <w:rsid w:val="001C6599"/>
    <w:rsid w:val="001C65BC"/>
    <w:rsid w:val="001C65C8"/>
    <w:rsid w:val="001C6685"/>
    <w:rsid w:val="001C66CF"/>
    <w:rsid w:val="001C6A0C"/>
    <w:rsid w:val="001C7030"/>
    <w:rsid w:val="001C7080"/>
    <w:rsid w:val="001C7135"/>
    <w:rsid w:val="001C741A"/>
    <w:rsid w:val="001C7543"/>
    <w:rsid w:val="001C79C5"/>
    <w:rsid w:val="001C7CE1"/>
    <w:rsid w:val="001C7D08"/>
    <w:rsid w:val="001C7FB9"/>
    <w:rsid w:val="001D0110"/>
    <w:rsid w:val="001D018F"/>
    <w:rsid w:val="001D0551"/>
    <w:rsid w:val="001D08B3"/>
    <w:rsid w:val="001D0A0C"/>
    <w:rsid w:val="001D0A2D"/>
    <w:rsid w:val="001D0BFB"/>
    <w:rsid w:val="001D0C3F"/>
    <w:rsid w:val="001D0FE9"/>
    <w:rsid w:val="001D1AB6"/>
    <w:rsid w:val="001D1B18"/>
    <w:rsid w:val="001D2A57"/>
    <w:rsid w:val="001D2E51"/>
    <w:rsid w:val="001D3204"/>
    <w:rsid w:val="001D3235"/>
    <w:rsid w:val="001D3C9B"/>
    <w:rsid w:val="001D4838"/>
    <w:rsid w:val="001D4920"/>
    <w:rsid w:val="001D4C89"/>
    <w:rsid w:val="001D4DCB"/>
    <w:rsid w:val="001D4E2C"/>
    <w:rsid w:val="001D517C"/>
    <w:rsid w:val="001D53DD"/>
    <w:rsid w:val="001D546F"/>
    <w:rsid w:val="001D568D"/>
    <w:rsid w:val="001D574C"/>
    <w:rsid w:val="001D5CAE"/>
    <w:rsid w:val="001D5D94"/>
    <w:rsid w:val="001D601A"/>
    <w:rsid w:val="001D60EB"/>
    <w:rsid w:val="001D6250"/>
    <w:rsid w:val="001D62E7"/>
    <w:rsid w:val="001D65EF"/>
    <w:rsid w:val="001D66C0"/>
    <w:rsid w:val="001D679A"/>
    <w:rsid w:val="001D6933"/>
    <w:rsid w:val="001D69AF"/>
    <w:rsid w:val="001D6A0D"/>
    <w:rsid w:val="001D6BC8"/>
    <w:rsid w:val="001D6D90"/>
    <w:rsid w:val="001D70DC"/>
    <w:rsid w:val="001D7122"/>
    <w:rsid w:val="001D714A"/>
    <w:rsid w:val="001D72C4"/>
    <w:rsid w:val="001D78C3"/>
    <w:rsid w:val="001D791A"/>
    <w:rsid w:val="001D79BD"/>
    <w:rsid w:val="001D7D0B"/>
    <w:rsid w:val="001D7EE5"/>
    <w:rsid w:val="001E007F"/>
    <w:rsid w:val="001E0437"/>
    <w:rsid w:val="001E0550"/>
    <w:rsid w:val="001E06C3"/>
    <w:rsid w:val="001E0701"/>
    <w:rsid w:val="001E0794"/>
    <w:rsid w:val="001E0A72"/>
    <w:rsid w:val="001E0B07"/>
    <w:rsid w:val="001E0D57"/>
    <w:rsid w:val="001E0DAE"/>
    <w:rsid w:val="001E0E8D"/>
    <w:rsid w:val="001E191A"/>
    <w:rsid w:val="001E199C"/>
    <w:rsid w:val="001E1A30"/>
    <w:rsid w:val="001E1EB5"/>
    <w:rsid w:val="001E20DA"/>
    <w:rsid w:val="001E238B"/>
    <w:rsid w:val="001E2770"/>
    <w:rsid w:val="001E2ACA"/>
    <w:rsid w:val="001E2B2F"/>
    <w:rsid w:val="001E3CF8"/>
    <w:rsid w:val="001E3D9F"/>
    <w:rsid w:val="001E3EFF"/>
    <w:rsid w:val="001E3F2B"/>
    <w:rsid w:val="001E40A0"/>
    <w:rsid w:val="001E40FD"/>
    <w:rsid w:val="001E446E"/>
    <w:rsid w:val="001E44AA"/>
    <w:rsid w:val="001E459F"/>
    <w:rsid w:val="001E478E"/>
    <w:rsid w:val="001E4FA3"/>
    <w:rsid w:val="001E4FB1"/>
    <w:rsid w:val="001E5403"/>
    <w:rsid w:val="001E5543"/>
    <w:rsid w:val="001E5710"/>
    <w:rsid w:val="001E616F"/>
    <w:rsid w:val="001E626D"/>
    <w:rsid w:val="001E6967"/>
    <w:rsid w:val="001E730E"/>
    <w:rsid w:val="001E7B01"/>
    <w:rsid w:val="001E7D16"/>
    <w:rsid w:val="001E7E5D"/>
    <w:rsid w:val="001E7F5B"/>
    <w:rsid w:val="001F0137"/>
    <w:rsid w:val="001F02E2"/>
    <w:rsid w:val="001F08D3"/>
    <w:rsid w:val="001F0BAC"/>
    <w:rsid w:val="001F1455"/>
    <w:rsid w:val="001F1482"/>
    <w:rsid w:val="001F1783"/>
    <w:rsid w:val="001F19A7"/>
    <w:rsid w:val="001F1FCA"/>
    <w:rsid w:val="001F2029"/>
    <w:rsid w:val="001F21BE"/>
    <w:rsid w:val="001F2493"/>
    <w:rsid w:val="001F2850"/>
    <w:rsid w:val="001F2A99"/>
    <w:rsid w:val="001F3206"/>
    <w:rsid w:val="001F34D5"/>
    <w:rsid w:val="001F379C"/>
    <w:rsid w:val="001F3808"/>
    <w:rsid w:val="001F3C33"/>
    <w:rsid w:val="001F431E"/>
    <w:rsid w:val="001F46B7"/>
    <w:rsid w:val="001F4AD7"/>
    <w:rsid w:val="001F4BD9"/>
    <w:rsid w:val="001F50AD"/>
    <w:rsid w:val="001F5239"/>
    <w:rsid w:val="001F53B9"/>
    <w:rsid w:val="001F5500"/>
    <w:rsid w:val="001F57FF"/>
    <w:rsid w:val="001F58AE"/>
    <w:rsid w:val="001F5955"/>
    <w:rsid w:val="001F5F72"/>
    <w:rsid w:val="001F6065"/>
    <w:rsid w:val="001F6968"/>
    <w:rsid w:val="001F6A75"/>
    <w:rsid w:val="001F6B91"/>
    <w:rsid w:val="001F7006"/>
    <w:rsid w:val="001F7317"/>
    <w:rsid w:val="001F7555"/>
    <w:rsid w:val="001F7957"/>
    <w:rsid w:val="001F7DEA"/>
    <w:rsid w:val="00200042"/>
    <w:rsid w:val="0020078A"/>
    <w:rsid w:val="00200852"/>
    <w:rsid w:val="002010F0"/>
    <w:rsid w:val="00201149"/>
    <w:rsid w:val="00201165"/>
    <w:rsid w:val="00201186"/>
    <w:rsid w:val="002016AB"/>
    <w:rsid w:val="00201863"/>
    <w:rsid w:val="00201FCC"/>
    <w:rsid w:val="002021B7"/>
    <w:rsid w:val="0020239B"/>
    <w:rsid w:val="00202470"/>
    <w:rsid w:val="00202938"/>
    <w:rsid w:val="00202F0D"/>
    <w:rsid w:val="002035AD"/>
    <w:rsid w:val="00204055"/>
    <w:rsid w:val="0020428A"/>
    <w:rsid w:val="00204333"/>
    <w:rsid w:val="00204433"/>
    <w:rsid w:val="002044DA"/>
    <w:rsid w:val="0020451F"/>
    <w:rsid w:val="00204A07"/>
    <w:rsid w:val="002050C1"/>
    <w:rsid w:val="00205360"/>
    <w:rsid w:val="002054F0"/>
    <w:rsid w:val="00205C87"/>
    <w:rsid w:val="002062EF"/>
    <w:rsid w:val="00206580"/>
    <w:rsid w:val="00206678"/>
    <w:rsid w:val="00206EEA"/>
    <w:rsid w:val="00206FD6"/>
    <w:rsid w:val="0020708B"/>
    <w:rsid w:val="00207A7B"/>
    <w:rsid w:val="00207BA3"/>
    <w:rsid w:val="00207D88"/>
    <w:rsid w:val="00207E60"/>
    <w:rsid w:val="002100A6"/>
    <w:rsid w:val="002102E0"/>
    <w:rsid w:val="002106BD"/>
    <w:rsid w:val="00210A0E"/>
    <w:rsid w:val="00210CEC"/>
    <w:rsid w:val="00210D17"/>
    <w:rsid w:val="00210D4F"/>
    <w:rsid w:val="002112B7"/>
    <w:rsid w:val="00211639"/>
    <w:rsid w:val="002117CE"/>
    <w:rsid w:val="002119CF"/>
    <w:rsid w:val="00211BD3"/>
    <w:rsid w:val="00211E68"/>
    <w:rsid w:val="00211EA8"/>
    <w:rsid w:val="002120DB"/>
    <w:rsid w:val="002126B2"/>
    <w:rsid w:val="002126D9"/>
    <w:rsid w:val="0021289C"/>
    <w:rsid w:val="00212DC0"/>
    <w:rsid w:val="00212FEF"/>
    <w:rsid w:val="002133A4"/>
    <w:rsid w:val="002133DD"/>
    <w:rsid w:val="002139B8"/>
    <w:rsid w:val="00213CE7"/>
    <w:rsid w:val="00213DC7"/>
    <w:rsid w:val="00213FE5"/>
    <w:rsid w:val="002144DC"/>
    <w:rsid w:val="00214897"/>
    <w:rsid w:val="00214939"/>
    <w:rsid w:val="0021499E"/>
    <w:rsid w:val="00214A52"/>
    <w:rsid w:val="00214A83"/>
    <w:rsid w:val="00214EA4"/>
    <w:rsid w:val="00214F4E"/>
    <w:rsid w:val="00215540"/>
    <w:rsid w:val="00215979"/>
    <w:rsid w:val="002159C3"/>
    <w:rsid w:val="00215C4E"/>
    <w:rsid w:val="00215D04"/>
    <w:rsid w:val="00215DDB"/>
    <w:rsid w:val="00215E62"/>
    <w:rsid w:val="00215FDC"/>
    <w:rsid w:val="00216276"/>
    <w:rsid w:val="002163E3"/>
    <w:rsid w:val="002164B6"/>
    <w:rsid w:val="0021687A"/>
    <w:rsid w:val="00216B25"/>
    <w:rsid w:val="00216D92"/>
    <w:rsid w:val="00216E12"/>
    <w:rsid w:val="00217073"/>
    <w:rsid w:val="002170A0"/>
    <w:rsid w:val="002172C5"/>
    <w:rsid w:val="00217648"/>
    <w:rsid w:val="00217785"/>
    <w:rsid w:val="0021778B"/>
    <w:rsid w:val="0021787A"/>
    <w:rsid w:val="00217918"/>
    <w:rsid w:val="00217A4F"/>
    <w:rsid w:val="00217BE0"/>
    <w:rsid w:val="00217D23"/>
    <w:rsid w:val="00217D58"/>
    <w:rsid w:val="00217DCB"/>
    <w:rsid w:val="0022012F"/>
    <w:rsid w:val="0022080F"/>
    <w:rsid w:val="00220995"/>
    <w:rsid w:val="00220BC5"/>
    <w:rsid w:val="00220C98"/>
    <w:rsid w:val="00220FA2"/>
    <w:rsid w:val="00221775"/>
    <w:rsid w:val="00221882"/>
    <w:rsid w:val="00221A95"/>
    <w:rsid w:val="00221B4F"/>
    <w:rsid w:val="00221D3B"/>
    <w:rsid w:val="00221F78"/>
    <w:rsid w:val="002221C3"/>
    <w:rsid w:val="0022325B"/>
    <w:rsid w:val="00223356"/>
    <w:rsid w:val="0022363F"/>
    <w:rsid w:val="00223668"/>
    <w:rsid w:val="00223BB4"/>
    <w:rsid w:val="00223DC1"/>
    <w:rsid w:val="00223E1A"/>
    <w:rsid w:val="00223F08"/>
    <w:rsid w:val="00223FF8"/>
    <w:rsid w:val="00224155"/>
    <w:rsid w:val="0022476D"/>
    <w:rsid w:val="0022485A"/>
    <w:rsid w:val="0022498F"/>
    <w:rsid w:val="00224A01"/>
    <w:rsid w:val="00224D21"/>
    <w:rsid w:val="00224D3C"/>
    <w:rsid w:val="002250A3"/>
    <w:rsid w:val="0022544E"/>
    <w:rsid w:val="00225473"/>
    <w:rsid w:val="0022568F"/>
    <w:rsid w:val="002259E0"/>
    <w:rsid w:val="00225BFF"/>
    <w:rsid w:val="00225CB4"/>
    <w:rsid w:val="00226095"/>
    <w:rsid w:val="00226321"/>
    <w:rsid w:val="00226436"/>
    <w:rsid w:val="00226EE6"/>
    <w:rsid w:val="00227171"/>
    <w:rsid w:val="00227496"/>
    <w:rsid w:val="002275B6"/>
    <w:rsid w:val="002275EE"/>
    <w:rsid w:val="0022760C"/>
    <w:rsid w:val="00227A36"/>
    <w:rsid w:val="00230ED4"/>
    <w:rsid w:val="0023138D"/>
    <w:rsid w:val="0023143F"/>
    <w:rsid w:val="0023177B"/>
    <w:rsid w:val="00231A7E"/>
    <w:rsid w:val="00231B3A"/>
    <w:rsid w:val="00231E2D"/>
    <w:rsid w:val="00231F27"/>
    <w:rsid w:val="00231F5B"/>
    <w:rsid w:val="00232081"/>
    <w:rsid w:val="00232323"/>
    <w:rsid w:val="0023253E"/>
    <w:rsid w:val="00232699"/>
    <w:rsid w:val="0023295C"/>
    <w:rsid w:val="00232D05"/>
    <w:rsid w:val="00233203"/>
    <w:rsid w:val="0023335B"/>
    <w:rsid w:val="002334C5"/>
    <w:rsid w:val="00233556"/>
    <w:rsid w:val="00233754"/>
    <w:rsid w:val="00233A2A"/>
    <w:rsid w:val="00233ADE"/>
    <w:rsid w:val="00233D58"/>
    <w:rsid w:val="00233FED"/>
    <w:rsid w:val="00234195"/>
    <w:rsid w:val="002341E6"/>
    <w:rsid w:val="002348D2"/>
    <w:rsid w:val="002349F9"/>
    <w:rsid w:val="00234AFA"/>
    <w:rsid w:val="00234B78"/>
    <w:rsid w:val="00234E9B"/>
    <w:rsid w:val="00235211"/>
    <w:rsid w:val="00235217"/>
    <w:rsid w:val="002352F1"/>
    <w:rsid w:val="00235B23"/>
    <w:rsid w:val="00235B7B"/>
    <w:rsid w:val="00235D59"/>
    <w:rsid w:val="00236430"/>
    <w:rsid w:val="002367BF"/>
    <w:rsid w:val="00236929"/>
    <w:rsid w:val="00236BB6"/>
    <w:rsid w:val="00236BC1"/>
    <w:rsid w:val="00236DBB"/>
    <w:rsid w:val="0023712E"/>
    <w:rsid w:val="002376A1"/>
    <w:rsid w:val="002406F8"/>
    <w:rsid w:val="00240952"/>
    <w:rsid w:val="002409E7"/>
    <w:rsid w:val="00240CCD"/>
    <w:rsid w:val="00240E4C"/>
    <w:rsid w:val="002413C6"/>
    <w:rsid w:val="00241518"/>
    <w:rsid w:val="00241871"/>
    <w:rsid w:val="00241EF7"/>
    <w:rsid w:val="00242435"/>
    <w:rsid w:val="00242711"/>
    <w:rsid w:val="002428FF"/>
    <w:rsid w:val="00242EAC"/>
    <w:rsid w:val="00242EE2"/>
    <w:rsid w:val="0024314E"/>
    <w:rsid w:val="002431F3"/>
    <w:rsid w:val="002435CE"/>
    <w:rsid w:val="00243749"/>
    <w:rsid w:val="00243836"/>
    <w:rsid w:val="002438FF"/>
    <w:rsid w:val="0024399A"/>
    <w:rsid w:val="00243EC1"/>
    <w:rsid w:val="0024436B"/>
    <w:rsid w:val="00244577"/>
    <w:rsid w:val="0024466B"/>
    <w:rsid w:val="002447E7"/>
    <w:rsid w:val="0024495A"/>
    <w:rsid w:val="00244DCC"/>
    <w:rsid w:val="00244DD4"/>
    <w:rsid w:val="00245284"/>
    <w:rsid w:val="0024529F"/>
    <w:rsid w:val="002453E7"/>
    <w:rsid w:val="00245DC5"/>
    <w:rsid w:val="00246249"/>
    <w:rsid w:val="00246503"/>
    <w:rsid w:val="00246D1F"/>
    <w:rsid w:val="002470AA"/>
    <w:rsid w:val="00247102"/>
    <w:rsid w:val="002472DC"/>
    <w:rsid w:val="00247403"/>
    <w:rsid w:val="00247542"/>
    <w:rsid w:val="00247701"/>
    <w:rsid w:val="002479A1"/>
    <w:rsid w:val="002479E8"/>
    <w:rsid w:val="00250154"/>
    <w:rsid w:val="00250188"/>
    <w:rsid w:val="002501DF"/>
    <w:rsid w:val="002502FA"/>
    <w:rsid w:val="0025035A"/>
    <w:rsid w:val="002504A4"/>
    <w:rsid w:val="00250562"/>
    <w:rsid w:val="00250E0E"/>
    <w:rsid w:val="00250F6D"/>
    <w:rsid w:val="0025115D"/>
    <w:rsid w:val="002512A9"/>
    <w:rsid w:val="0025155D"/>
    <w:rsid w:val="00251815"/>
    <w:rsid w:val="00251AD4"/>
    <w:rsid w:val="00251C44"/>
    <w:rsid w:val="00251E70"/>
    <w:rsid w:val="00251F14"/>
    <w:rsid w:val="00252253"/>
    <w:rsid w:val="002525D7"/>
    <w:rsid w:val="00252808"/>
    <w:rsid w:val="002528A3"/>
    <w:rsid w:val="002529EF"/>
    <w:rsid w:val="00252CD9"/>
    <w:rsid w:val="00252D46"/>
    <w:rsid w:val="00252E62"/>
    <w:rsid w:val="00252F69"/>
    <w:rsid w:val="00253419"/>
    <w:rsid w:val="0025362D"/>
    <w:rsid w:val="0025368F"/>
    <w:rsid w:val="00253D89"/>
    <w:rsid w:val="00253ECD"/>
    <w:rsid w:val="00253F46"/>
    <w:rsid w:val="00253FE8"/>
    <w:rsid w:val="00254727"/>
    <w:rsid w:val="0025491D"/>
    <w:rsid w:val="00254BC3"/>
    <w:rsid w:val="00255A87"/>
    <w:rsid w:val="00255E75"/>
    <w:rsid w:val="002560A3"/>
    <w:rsid w:val="0025618D"/>
    <w:rsid w:val="002561F9"/>
    <w:rsid w:val="0025645E"/>
    <w:rsid w:val="002571C0"/>
    <w:rsid w:val="002571E1"/>
    <w:rsid w:val="0025721A"/>
    <w:rsid w:val="00257226"/>
    <w:rsid w:val="0025762A"/>
    <w:rsid w:val="0025788C"/>
    <w:rsid w:val="002579F1"/>
    <w:rsid w:val="00257E30"/>
    <w:rsid w:val="00260014"/>
    <w:rsid w:val="0026030B"/>
    <w:rsid w:val="00260324"/>
    <w:rsid w:val="0026036B"/>
    <w:rsid w:val="00260498"/>
    <w:rsid w:val="00260B9D"/>
    <w:rsid w:val="00261164"/>
    <w:rsid w:val="0026154A"/>
    <w:rsid w:val="00261C70"/>
    <w:rsid w:val="00261D46"/>
    <w:rsid w:val="00261FF3"/>
    <w:rsid w:val="002628DF"/>
    <w:rsid w:val="00262B65"/>
    <w:rsid w:val="00262F24"/>
    <w:rsid w:val="00262FE7"/>
    <w:rsid w:val="0026393D"/>
    <w:rsid w:val="002639B4"/>
    <w:rsid w:val="00263BA0"/>
    <w:rsid w:val="00263C9E"/>
    <w:rsid w:val="002648B6"/>
    <w:rsid w:val="0026496A"/>
    <w:rsid w:val="00264C08"/>
    <w:rsid w:val="00264D51"/>
    <w:rsid w:val="002652B1"/>
    <w:rsid w:val="00265475"/>
    <w:rsid w:val="00265763"/>
    <w:rsid w:val="00265864"/>
    <w:rsid w:val="00265875"/>
    <w:rsid w:val="00265979"/>
    <w:rsid w:val="00265CC8"/>
    <w:rsid w:val="00265E2F"/>
    <w:rsid w:val="00266228"/>
    <w:rsid w:val="00266B56"/>
    <w:rsid w:val="00266B61"/>
    <w:rsid w:val="0026712A"/>
    <w:rsid w:val="002676E2"/>
    <w:rsid w:val="00267BAC"/>
    <w:rsid w:val="00267EE9"/>
    <w:rsid w:val="00267FD8"/>
    <w:rsid w:val="002701C5"/>
    <w:rsid w:val="0027028C"/>
    <w:rsid w:val="002704DB"/>
    <w:rsid w:val="00270CCF"/>
    <w:rsid w:val="00270D43"/>
    <w:rsid w:val="00270E01"/>
    <w:rsid w:val="00271392"/>
    <w:rsid w:val="00271490"/>
    <w:rsid w:val="00272278"/>
    <w:rsid w:val="00272A9A"/>
    <w:rsid w:val="00272E96"/>
    <w:rsid w:val="00272FED"/>
    <w:rsid w:val="00273352"/>
    <w:rsid w:val="00273723"/>
    <w:rsid w:val="00273AAB"/>
    <w:rsid w:val="00273B48"/>
    <w:rsid w:val="00273C3E"/>
    <w:rsid w:val="00273D68"/>
    <w:rsid w:val="00274946"/>
    <w:rsid w:val="002749A5"/>
    <w:rsid w:val="00274F86"/>
    <w:rsid w:val="002752D3"/>
    <w:rsid w:val="00275A72"/>
    <w:rsid w:val="00275A82"/>
    <w:rsid w:val="002763AE"/>
    <w:rsid w:val="00276436"/>
    <w:rsid w:val="0027668F"/>
    <w:rsid w:val="0027673F"/>
    <w:rsid w:val="0027675D"/>
    <w:rsid w:val="00276B6F"/>
    <w:rsid w:val="00276CBA"/>
    <w:rsid w:val="00276D62"/>
    <w:rsid w:val="0027723F"/>
    <w:rsid w:val="00277379"/>
    <w:rsid w:val="002773C2"/>
    <w:rsid w:val="0027748E"/>
    <w:rsid w:val="002775FE"/>
    <w:rsid w:val="00277AC6"/>
    <w:rsid w:val="00277FA7"/>
    <w:rsid w:val="002802D8"/>
    <w:rsid w:val="00280503"/>
    <w:rsid w:val="00280702"/>
    <w:rsid w:val="00280936"/>
    <w:rsid w:val="00280D03"/>
    <w:rsid w:val="0028148D"/>
    <w:rsid w:val="00281754"/>
    <w:rsid w:val="002817B4"/>
    <w:rsid w:val="00281A16"/>
    <w:rsid w:val="002822DA"/>
    <w:rsid w:val="002826B4"/>
    <w:rsid w:val="00282B79"/>
    <w:rsid w:val="00282E05"/>
    <w:rsid w:val="0028341F"/>
    <w:rsid w:val="00283A12"/>
    <w:rsid w:val="00283C2C"/>
    <w:rsid w:val="00283F6A"/>
    <w:rsid w:val="002840C1"/>
    <w:rsid w:val="0028436C"/>
    <w:rsid w:val="002843AA"/>
    <w:rsid w:val="002845CB"/>
    <w:rsid w:val="00284873"/>
    <w:rsid w:val="002849E0"/>
    <w:rsid w:val="00284B8B"/>
    <w:rsid w:val="00284D12"/>
    <w:rsid w:val="00284DE8"/>
    <w:rsid w:val="002851FD"/>
    <w:rsid w:val="002854DD"/>
    <w:rsid w:val="00285591"/>
    <w:rsid w:val="002856B3"/>
    <w:rsid w:val="002856BB"/>
    <w:rsid w:val="00285772"/>
    <w:rsid w:val="0028583A"/>
    <w:rsid w:val="00285A63"/>
    <w:rsid w:val="00285A70"/>
    <w:rsid w:val="00285D52"/>
    <w:rsid w:val="00285F07"/>
    <w:rsid w:val="00285F63"/>
    <w:rsid w:val="002861AB"/>
    <w:rsid w:val="00286308"/>
    <w:rsid w:val="00286476"/>
    <w:rsid w:val="00286796"/>
    <w:rsid w:val="0028679F"/>
    <w:rsid w:val="002868D4"/>
    <w:rsid w:val="00286D5A"/>
    <w:rsid w:val="00287511"/>
    <w:rsid w:val="00287957"/>
    <w:rsid w:val="00287AD5"/>
    <w:rsid w:val="00287BD8"/>
    <w:rsid w:val="00290140"/>
    <w:rsid w:val="0029016B"/>
    <w:rsid w:val="00290E00"/>
    <w:rsid w:val="00290EA6"/>
    <w:rsid w:val="00291197"/>
    <w:rsid w:val="002915A4"/>
    <w:rsid w:val="00291690"/>
    <w:rsid w:val="00291852"/>
    <w:rsid w:val="002918D5"/>
    <w:rsid w:val="00291B27"/>
    <w:rsid w:val="00291C69"/>
    <w:rsid w:val="00291CB2"/>
    <w:rsid w:val="00291DD7"/>
    <w:rsid w:val="00291E29"/>
    <w:rsid w:val="00292A1B"/>
    <w:rsid w:val="00292AF9"/>
    <w:rsid w:val="0029305B"/>
    <w:rsid w:val="002933D1"/>
    <w:rsid w:val="00293632"/>
    <w:rsid w:val="002936AB"/>
    <w:rsid w:val="0029381F"/>
    <w:rsid w:val="00293886"/>
    <w:rsid w:val="002939B1"/>
    <w:rsid w:val="00293A69"/>
    <w:rsid w:val="00293BD4"/>
    <w:rsid w:val="002941C1"/>
    <w:rsid w:val="002949A6"/>
    <w:rsid w:val="00294A8A"/>
    <w:rsid w:val="00294BF5"/>
    <w:rsid w:val="00295580"/>
    <w:rsid w:val="00295B56"/>
    <w:rsid w:val="00295E72"/>
    <w:rsid w:val="00295E75"/>
    <w:rsid w:val="00295F6C"/>
    <w:rsid w:val="00296AD8"/>
    <w:rsid w:val="00296F9A"/>
    <w:rsid w:val="002978BD"/>
    <w:rsid w:val="002978D3"/>
    <w:rsid w:val="00297B06"/>
    <w:rsid w:val="00297DAC"/>
    <w:rsid w:val="002A0144"/>
    <w:rsid w:val="002A03BB"/>
    <w:rsid w:val="002A08CF"/>
    <w:rsid w:val="002A0AAE"/>
    <w:rsid w:val="002A0AE2"/>
    <w:rsid w:val="002A0C80"/>
    <w:rsid w:val="002A0ED4"/>
    <w:rsid w:val="002A0F05"/>
    <w:rsid w:val="002A1758"/>
    <w:rsid w:val="002A1897"/>
    <w:rsid w:val="002A1AEE"/>
    <w:rsid w:val="002A1D53"/>
    <w:rsid w:val="002A1DC1"/>
    <w:rsid w:val="002A22A6"/>
    <w:rsid w:val="002A2373"/>
    <w:rsid w:val="002A26A9"/>
    <w:rsid w:val="002A2830"/>
    <w:rsid w:val="002A29C5"/>
    <w:rsid w:val="002A2B81"/>
    <w:rsid w:val="002A2BB8"/>
    <w:rsid w:val="002A2C85"/>
    <w:rsid w:val="002A2FD2"/>
    <w:rsid w:val="002A3123"/>
    <w:rsid w:val="002A3139"/>
    <w:rsid w:val="002A34E1"/>
    <w:rsid w:val="002A357B"/>
    <w:rsid w:val="002A35C4"/>
    <w:rsid w:val="002A3A10"/>
    <w:rsid w:val="002A3EE3"/>
    <w:rsid w:val="002A3F12"/>
    <w:rsid w:val="002A41C3"/>
    <w:rsid w:val="002A4AC6"/>
    <w:rsid w:val="002A4AF0"/>
    <w:rsid w:val="002A4DAF"/>
    <w:rsid w:val="002A4E25"/>
    <w:rsid w:val="002A4FFC"/>
    <w:rsid w:val="002A51F5"/>
    <w:rsid w:val="002A5423"/>
    <w:rsid w:val="002A55D8"/>
    <w:rsid w:val="002A56D7"/>
    <w:rsid w:val="002A5820"/>
    <w:rsid w:val="002A58AC"/>
    <w:rsid w:val="002A5980"/>
    <w:rsid w:val="002A59D5"/>
    <w:rsid w:val="002A5E63"/>
    <w:rsid w:val="002A5F69"/>
    <w:rsid w:val="002A6012"/>
    <w:rsid w:val="002A60ED"/>
    <w:rsid w:val="002A62C7"/>
    <w:rsid w:val="002A6D47"/>
    <w:rsid w:val="002A6D6E"/>
    <w:rsid w:val="002A741D"/>
    <w:rsid w:val="002A75CD"/>
    <w:rsid w:val="002A760C"/>
    <w:rsid w:val="002A7867"/>
    <w:rsid w:val="002A7958"/>
    <w:rsid w:val="002A797C"/>
    <w:rsid w:val="002A7B21"/>
    <w:rsid w:val="002A7C3B"/>
    <w:rsid w:val="002B02DF"/>
    <w:rsid w:val="002B049F"/>
    <w:rsid w:val="002B1269"/>
    <w:rsid w:val="002B144E"/>
    <w:rsid w:val="002B1508"/>
    <w:rsid w:val="002B1FC1"/>
    <w:rsid w:val="002B2064"/>
    <w:rsid w:val="002B20C2"/>
    <w:rsid w:val="002B255A"/>
    <w:rsid w:val="002B265B"/>
    <w:rsid w:val="002B2684"/>
    <w:rsid w:val="002B26AA"/>
    <w:rsid w:val="002B26C1"/>
    <w:rsid w:val="002B2A30"/>
    <w:rsid w:val="002B31DE"/>
    <w:rsid w:val="002B3376"/>
    <w:rsid w:val="002B3710"/>
    <w:rsid w:val="002B38D3"/>
    <w:rsid w:val="002B3A7D"/>
    <w:rsid w:val="002B44BF"/>
    <w:rsid w:val="002B454A"/>
    <w:rsid w:val="002B4C45"/>
    <w:rsid w:val="002B4F84"/>
    <w:rsid w:val="002B5929"/>
    <w:rsid w:val="002B5C25"/>
    <w:rsid w:val="002B5C5B"/>
    <w:rsid w:val="002B5CA7"/>
    <w:rsid w:val="002B6194"/>
    <w:rsid w:val="002B65ED"/>
    <w:rsid w:val="002B6A63"/>
    <w:rsid w:val="002B6DE9"/>
    <w:rsid w:val="002B71EF"/>
    <w:rsid w:val="002B76B0"/>
    <w:rsid w:val="002B7912"/>
    <w:rsid w:val="002B79AD"/>
    <w:rsid w:val="002B7DEB"/>
    <w:rsid w:val="002B7ED9"/>
    <w:rsid w:val="002C0027"/>
    <w:rsid w:val="002C006D"/>
    <w:rsid w:val="002C0080"/>
    <w:rsid w:val="002C0102"/>
    <w:rsid w:val="002C045F"/>
    <w:rsid w:val="002C0A67"/>
    <w:rsid w:val="002C0B23"/>
    <w:rsid w:val="002C0D63"/>
    <w:rsid w:val="002C1573"/>
    <w:rsid w:val="002C15C4"/>
    <w:rsid w:val="002C1C29"/>
    <w:rsid w:val="002C1C64"/>
    <w:rsid w:val="002C1FF8"/>
    <w:rsid w:val="002C23A0"/>
    <w:rsid w:val="002C24AA"/>
    <w:rsid w:val="002C2904"/>
    <w:rsid w:val="002C2B7C"/>
    <w:rsid w:val="002C2BC3"/>
    <w:rsid w:val="002C2FAA"/>
    <w:rsid w:val="002C3390"/>
    <w:rsid w:val="002C33F8"/>
    <w:rsid w:val="002C34A2"/>
    <w:rsid w:val="002C34AB"/>
    <w:rsid w:val="002C34DC"/>
    <w:rsid w:val="002C3926"/>
    <w:rsid w:val="002C393D"/>
    <w:rsid w:val="002C3B14"/>
    <w:rsid w:val="002C4030"/>
    <w:rsid w:val="002C4287"/>
    <w:rsid w:val="002C42C4"/>
    <w:rsid w:val="002C4389"/>
    <w:rsid w:val="002C4A65"/>
    <w:rsid w:val="002C51E2"/>
    <w:rsid w:val="002C5523"/>
    <w:rsid w:val="002C591F"/>
    <w:rsid w:val="002C5D9D"/>
    <w:rsid w:val="002C5EAF"/>
    <w:rsid w:val="002C6225"/>
    <w:rsid w:val="002C633D"/>
    <w:rsid w:val="002C6433"/>
    <w:rsid w:val="002C64EE"/>
    <w:rsid w:val="002C65E0"/>
    <w:rsid w:val="002C6BCA"/>
    <w:rsid w:val="002C6EF4"/>
    <w:rsid w:val="002C708C"/>
    <w:rsid w:val="002C75D4"/>
    <w:rsid w:val="002C764F"/>
    <w:rsid w:val="002C7799"/>
    <w:rsid w:val="002C7A03"/>
    <w:rsid w:val="002C7A05"/>
    <w:rsid w:val="002D00ED"/>
    <w:rsid w:val="002D06E9"/>
    <w:rsid w:val="002D0721"/>
    <w:rsid w:val="002D15B4"/>
    <w:rsid w:val="002D1830"/>
    <w:rsid w:val="002D18B6"/>
    <w:rsid w:val="002D18D9"/>
    <w:rsid w:val="002D22FB"/>
    <w:rsid w:val="002D24B1"/>
    <w:rsid w:val="002D28A6"/>
    <w:rsid w:val="002D2B26"/>
    <w:rsid w:val="002D304E"/>
    <w:rsid w:val="002D31B6"/>
    <w:rsid w:val="002D3204"/>
    <w:rsid w:val="002D38A8"/>
    <w:rsid w:val="002D39A0"/>
    <w:rsid w:val="002D3B8F"/>
    <w:rsid w:val="002D3D48"/>
    <w:rsid w:val="002D432A"/>
    <w:rsid w:val="002D43E1"/>
    <w:rsid w:val="002D462C"/>
    <w:rsid w:val="002D491B"/>
    <w:rsid w:val="002D49D8"/>
    <w:rsid w:val="002D4A1A"/>
    <w:rsid w:val="002D5194"/>
    <w:rsid w:val="002D6432"/>
    <w:rsid w:val="002D6537"/>
    <w:rsid w:val="002D65D6"/>
    <w:rsid w:val="002D660F"/>
    <w:rsid w:val="002D67B6"/>
    <w:rsid w:val="002D6DFA"/>
    <w:rsid w:val="002D6FEA"/>
    <w:rsid w:val="002D7848"/>
    <w:rsid w:val="002D7C75"/>
    <w:rsid w:val="002D7E61"/>
    <w:rsid w:val="002D7EA2"/>
    <w:rsid w:val="002D7FF1"/>
    <w:rsid w:val="002E011E"/>
    <w:rsid w:val="002E02FF"/>
    <w:rsid w:val="002E06CC"/>
    <w:rsid w:val="002E07B0"/>
    <w:rsid w:val="002E0A05"/>
    <w:rsid w:val="002E1155"/>
    <w:rsid w:val="002E118C"/>
    <w:rsid w:val="002E11D8"/>
    <w:rsid w:val="002E1601"/>
    <w:rsid w:val="002E1727"/>
    <w:rsid w:val="002E17BB"/>
    <w:rsid w:val="002E1808"/>
    <w:rsid w:val="002E187C"/>
    <w:rsid w:val="002E20C2"/>
    <w:rsid w:val="002E214D"/>
    <w:rsid w:val="002E256E"/>
    <w:rsid w:val="002E2876"/>
    <w:rsid w:val="002E2970"/>
    <w:rsid w:val="002E2A8A"/>
    <w:rsid w:val="002E2B53"/>
    <w:rsid w:val="002E2BFD"/>
    <w:rsid w:val="002E2D5E"/>
    <w:rsid w:val="002E30E4"/>
    <w:rsid w:val="002E3978"/>
    <w:rsid w:val="002E3E41"/>
    <w:rsid w:val="002E4339"/>
    <w:rsid w:val="002E4B52"/>
    <w:rsid w:val="002E5390"/>
    <w:rsid w:val="002E5579"/>
    <w:rsid w:val="002E5624"/>
    <w:rsid w:val="002E583B"/>
    <w:rsid w:val="002E5999"/>
    <w:rsid w:val="002E5FBD"/>
    <w:rsid w:val="002E6725"/>
    <w:rsid w:val="002E67C3"/>
    <w:rsid w:val="002E67CD"/>
    <w:rsid w:val="002E68C8"/>
    <w:rsid w:val="002E6E9D"/>
    <w:rsid w:val="002E7000"/>
    <w:rsid w:val="002E709F"/>
    <w:rsid w:val="002E71E3"/>
    <w:rsid w:val="002E78CE"/>
    <w:rsid w:val="002E7AEA"/>
    <w:rsid w:val="002E7AFF"/>
    <w:rsid w:val="002E7B91"/>
    <w:rsid w:val="002E7C1A"/>
    <w:rsid w:val="002F02D3"/>
    <w:rsid w:val="002F07A3"/>
    <w:rsid w:val="002F085C"/>
    <w:rsid w:val="002F0CCD"/>
    <w:rsid w:val="002F0FB2"/>
    <w:rsid w:val="002F1132"/>
    <w:rsid w:val="002F1177"/>
    <w:rsid w:val="002F1768"/>
    <w:rsid w:val="002F1DF4"/>
    <w:rsid w:val="002F1ED2"/>
    <w:rsid w:val="002F1F9B"/>
    <w:rsid w:val="002F225F"/>
    <w:rsid w:val="002F2480"/>
    <w:rsid w:val="002F250C"/>
    <w:rsid w:val="002F26D5"/>
    <w:rsid w:val="002F2D34"/>
    <w:rsid w:val="002F2EE9"/>
    <w:rsid w:val="002F307E"/>
    <w:rsid w:val="002F3247"/>
    <w:rsid w:val="002F3964"/>
    <w:rsid w:val="002F39BC"/>
    <w:rsid w:val="002F3CDA"/>
    <w:rsid w:val="002F3D36"/>
    <w:rsid w:val="002F3DE9"/>
    <w:rsid w:val="002F3F97"/>
    <w:rsid w:val="002F3FD1"/>
    <w:rsid w:val="002F440F"/>
    <w:rsid w:val="002F464F"/>
    <w:rsid w:val="002F4708"/>
    <w:rsid w:val="002F4755"/>
    <w:rsid w:val="002F485D"/>
    <w:rsid w:val="002F4876"/>
    <w:rsid w:val="002F4A1F"/>
    <w:rsid w:val="002F4E0D"/>
    <w:rsid w:val="002F4E25"/>
    <w:rsid w:val="002F5526"/>
    <w:rsid w:val="002F56DC"/>
    <w:rsid w:val="002F596C"/>
    <w:rsid w:val="002F5A8D"/>
    <w:rsid w:val="002F5C30"/>
    <w:rsid w:val="002F5DAF"/>
    <w:rsid w:val="002F5EF7"/>
    <w:rsid w:val="002F5F89"/>
    <w:rsid w:val="002F6296"/>
    <w:rsid w:val="002F63F9"/>
    <w:rsid w:val="002F69BB"/>
    <w:rsid w:val="002F6F78"/>
    <w:rsid w:val="002F7046"/>
    <w:rsid w:val="003005A7"/>
    <w:rsid w:val="0030082A"/>
    <w:rsid w:val="00300DE6"/>
    <w:rsid w:val="00300F64"/>
    <w:rsid w:val="00301489"/>
    <w:rsid w:val="003016B9"/>
    <w:rsid w:val="003017B6"/>
    <w:rsid w:val="0030185C"/>
    <w:rsid w:val="003018E5"/>
    <w:rsid w:val="00301E20"/>
    <w:rsid w:val="00301F70"/>
    <w:rsid w:val="003021A5"/>
    <w:rsid w:val="00302347"/>
    <w:rsid w:val="00302733"/>
    <w:rsid w:val="00302A64"/>
    <w:rsid w:val="00302DD3"/>
    <w:rsid w:val="00302F2C"/>
    <w:rsid w:val="003032E4"/>
    <w:rsid w:val="00303319"/>
    <w:rsid w:val="00303433"/>
    <w:rsid w:val="003034B3"/>
    <w:rsid w:val="003034CE"/>
    <w:rsid w:val="003036B5"/>
    <w:rsid w:val="003037F0"/>
    <w:rsid w:val="00303974"/>
    <w:rsid w:val="003039F4"/>
    <w:rsid w:val="0030433B"/>
    <w:rsid w:val="003045D6"/>
    <w:rsid w:val="00304768"/>
    <w:rsid w:val="00304A46"/>
    <w:rsid w:val="00304AD9"/>
    <w:rsid w:val="00304CFD"/>
    <w:rsid w:val="0030512D"/>
    <w:rsid w:val="00305309"/>
    <w:rsid w:val="00305470"/>
    <w:rsid w:val="00305918"/>
    <w:rsid w:val="00305956"/>
    <w:rsid w:val="00305D7F"/>
    <w:rsid w:val="00305E4F"/>
    <w:rsid w:val="00305F49"/>
    <w:rsid w:val="00305FAB"/>
    <w:rsid w:val="0030616D"/>
    <w:rsid w:val="003063B2"/>
    <w:rsid w:val="00306486"/>
    <w:rsid w:val="003067CA"/>
    <w:rsid w:val="00306880"/>
    <w:rsid w:val="00306C37"/>
    <w:rsid w:val="00306E40"/>
    <w:rsid w:val="00306F10"/>
    <w:rsid w:val="0030711D"/>
    <w:rsid w:val="00307920"/>
    <w:rsid w:val="00307B49"/>
    <w:rsid w:val="00307EE5"/>
    <w:rsid w:val="003100F4"/>
    <w:rsid w:val="0031045A"/>
    <w:rsid w:val="003106C3"/>
    <w:rsid w:val="003109BF"/>
    <w:rsid w:val="00310F57"/>
    <w:rsid w:val="0031128E"/>
    <w:rsid w:val="003112A9"/>
    <w:rsid w:val="00311790"/>
    <w:rsid w:val="0031181D"/>
    <w:rsid w:val="00311901"/>
    <w:rsid w:val="003119AD"/>
    <w:rsid w:val="00311C12"/>
    <w:rsid w:val="00311EFE"/>
    <w:rsid w:val="00312253"/>
    <w:rsid w:val="003122F4"/>
    <w:rsid w:val="00312593"/>
    <w:rsid w:val="003126ED"/>
    <w:rsid w:val="003128E4"/>
    <w:rsid w:val="00312979"/>
    <w:rsid w:val="003129F0"/>
    <w:rsid w:val="00312F2F"/>
    <w:rsid w:val="00312F89"/>
    <w:rsid w:val="00312F99"/>
    <w:rsid w:val="0031367E"/>
    <w:rsid w:val="00313A8E"/>
    <w:rsid w:val="00313AD6"/>
    <w:rsid w:val="00313F08"/>
    <w:rsid w:val="00314078"/>
    <w:rsid w:val="00314765"/>
    <w:rsid w:val="00314791"/>
    <w:rsid w:val="00314834"/>
    <w:rsid w:val="00314836"/>
    <w:rsid w:val="00314901"/>
    <w:rsid w:val="00314A30"/>
    <w:rsid w:val="00314A7F"/>
    <w:rsid w:val="0031515E"/>
    <w:rsid w:val="00315471"/>
    <w:rsid w:val="0031575A"/>
    <w:rsid w:val="00316487"/>
    <w:rsid w:val="00316517"/>
    <w:rsid w:val="00316E88"/>
    <w:rsid w:val="00316F2E"/>
    <w:rsid w:val="00316FB5"/>
    <w:rsid w:val="003170EA"/>
    <w:rsid w:val="00317250"/>
    <w:rsid w:val="003173B1"/>
    <w:rsid w:val="003173E4"/>
    <w:rsid w:val="00317BFE"/>
    <w:rsid w:val="00317EC9"/>
    <w:rsid w:val="0032049A"/>
    <w:rsid w:val="003209F5"/>
    <w:rsid w:val="00321576"/>
    <w:rsid w:val="0032165A"/>
    <w:rsid w:val="003216F4"/>
    <w:rsid w:val="0032186D"/>
    <w:rsid w:val="00321A20"/>
    <w:rsid w:val="00321C42"/>
    <w:rsid w:val="003222B3"/>
    <w:rsid w:val="00322497"/>
    <w:rsid w:val="003229C1"/>
    <w:rsid w:val="00322BA6"/>
    <w:rsid w:val="00323190"/>
    <w:rsid w:val="003231D4"/>
    <w:rsid w:val="00323215"/>
    <w:rsid w:val="00323253"/>
    <w:rsid w:val="0032363A"/>
    <w:rsid w:val="00323C5F"/>
    <w:rsid w:val="00323E46"/>
    <w:rsid w:val="00323EA4"/>
    <w:rsid w:val="0032412C"/>
    <w:rsid w:val="00324254"/>
    <w:rsid w:val="00324343"/>
    <w:rsid w:val="00324432"/>
    <w:rsid w:val="003247D2"/>
    <w:rsid w:val="00324DE2"/>
    <w:rsid w:val="0032515D"/>
    <w:rsid w:val="003252C8"/>
    <w:rsid w:val="00325747"/>
    <w:rsid w:val="0032576C"/>
    <w:rsid w:val="00325794"/>
    <w:rsid w:val="0032594F"/>
    <w:rsid w:val="00325B5A"/>
    <w:rsid w:val="00326114"/>
    <w:rsid w:val="00326392"/>
    <w:rsid w:val="003264ED"/>
    <w:rsid w:val="003265A7"/>
    <w:rsid w:val="00326665"/>
    <w:rsid w:val="00326775"/>
    <w:rsid w:val="003269D9"/>
    <w:rsid w:val="00326A29"/>
    <w:rsid w:val="00326CE8"/>
    <w:rsid w:val="003273FC"/>
    <w:rsid w:val="0032749A"/>
    <w:rsid w:val="003274CA"/>
    <w:rsid w:val="003274F4"/>
    <w:rsid w:val="00327595"/>
    <w:rsid w:val="003275B4"/>
    <w:rsid w:val="00327BA0"/>
    <w:rsid w:val="00327BFD"/>
    <w:rsid w:val="00327C4D"/>
    <w:rsid w:val="00330140"/>
    <w:rsid w:val="00330266"/>
    <w:rsid w:val="003302A4"/>
    <w:rsid w:val="00330504"/>
    <w:rsid w:val="00330B2C"/>
    <w:rsid w:val="00330CFA"/>
    <w:rsid w:val="00330F9A"/>
    <w:rsid w:val="00330FB1"/>
    <w:rsid w:val="00331015"/>
    <w:rsid w:val="00331547"/>
    <w:rsid w:val="003315CA"/>
    <w:rsid w:val="0033169F"/>
    <w:rsid w:val="003316AF"/>
    <w:rsid w:val="00331756"/>
    <w:rsid w:val="00331880"/>
    <w:rsid w:val="00331B98"/>
    <w:rsid w:val="00331D6B"/>
    <w:rsid w:val="00331DB6"/>
    <w:rsid w:val="00331E5D"/>
    <w:rsid w:val="0033267B"/>
    <w:rsid w:val="00332983"/>
    <w:rsid w:val="00332C85"/>
    <w:rsid w:val="003332ED"/>
    <w:rsid w:val="00333392"/>
    <w:rsid w:val="00333430"/>
    <w:rsid w:val="003338C1"/>
    <w:rsid w:val="00333AB7"/>
    <w:rsid w:val="00333B27"/>
    <w:rsid w:val="003340F9"/>
    <w:rsid w:val="00334139"/>
    <w:rsid w:val="00334281"/>
    <w:rsid w:val="003346C8"/>
    <w:rsid w:val="00334A3E"/>
    <w:rsid w:val="00334B5B"/>
    <w:rsid w:val="003351CA"/>
    <w:rsid w:val="00335F96"/>
    <w:rsid w:val="00336068"/>
    <w:rsid w:val="0033611B"/>
    <w:rsid w:val="003363EF"/>
    <w:rsid w:val="00336412"/>
    <w:rsid w:val="003367AD"/>
    <w:rsid w:val="00336DBE"/>
    <w:rsid w:val="00336E99"/>
    <w:rsid w:val="00337307"/>
    <w:rsid w:val="003375BD"/>
    <w:rsid w:val="00337624"/>
    <w:rsid w:val="00337BAC"/>
    <w:rsid w:val="00337D8A"/>
    <w:rsid w:val="003401E5"/>
    <w:rsid w:val="003402C6"/>
    <w:rsid w:val="003403D3"/>
    <w:rsid w:val="00340417"/>
    <w:rsid w:val="003409C6"/>
    <w:rsid w:val="00340E9B"/>
    <w:rsid w:val="00341046"/>
    <w:rsid w:val="003410BD"/>
    <w:rsid w:val="0034137A"/>
    <w:rsid w:val="00341693"/>
    <w:rsid w:val="00341959"/>
    <w:rsid w:val="003419A1"/>
    <w:rsid w:val="00341A2D"/>
    <w:rsid w:val="00341A55"/>
    <w:rsid w:val="00341C8E"/>
    <w:rsid w:val="00341D78"/>
    <w:rsid w:val="00341D8B"/>
    <w:rsid w:val="00342026"/>
    <w:rsid w:val="00342457"/>
    <w:rsid w:val="003424A0"/>
    <w:rsid w:val="003429AA"/>
    <w:rsid w:val="00342A5D"/>
    <w:rsid w:val="00343226"/>
    <w:rsid w:val="00343559"/>
    <w:rsid w:val="00343BE6"/>
    <w:rsid w:val="00343DA6"/>
    <w:rsid w:val="00344699"/>
    <w:rsid w:val="00344A5B"/>
    <w:rsid w:val="00344A84"/>
    <w:rsid w:val="00344E9A"/>
    <w:rsid w:val="003450CB"/>
    <w:rsid w:val="00345593"/>
    <w:rsid w:val="0034594D"/>
    <w:rsid w:val="00345A36"/>
    <w:rsid w:val="00345FA9"/>
    <w:rsid w:val="00346183"/>
    <w:rsid w:val="0034641D"/>
    <w:rsid w:val="00346643"/>
    <w:rsid w:val="0034677E"/>
    <w:rsid w:val="0034698F"/>
    <w:rsid w:val="00346C95"/>
    <w:rsid w:val="00346D29"/>
    <w:rsid w:val="00346D2B"/>
    <w:rsid w:val="00347065"/>
    <w:rsid w:val="00347342"/>
    <w:rsid w:val="0034738C"/>
    <w:rsid w:val="003473A0"/>
    <w:rsid w:val="00347717"/>
    <w:rsid w:val="00347AA1"/>
    <w:rsid w:val="00347B81"/>
    <w:rsid w:val="003500CC"/>
    <w:rsid w:val="00350137"/>
    <w:rsid w:val="00350803"/>
    <w:rsid w:val="003508CD"/>
    <w:rsid w:val="00350CF0"/>
    <w:rsid w:val="00350FEF"/>
    <w:rsid w:val="00351021"/>
    <w:rsid w:val="003510D6"/>
    <w:rsid w:val="00351147"/>
    <w:rsid w:val="003513C8"/>
    <w:rsid w:val="003513F0"/>
    <w:rsid w:val="00351467"/>
    <w:rsid w:val="00351681"/>
    <w:rsid w:val="003518C0"/>
    <w:rsid w:val="0035200C"/>
    <w:rsid w:val="00352033"/>
    <w:rsid w:val="003523EE"/>
    <w:rsid w:val="003527E2"/>
    <w:rsid w:val="003528C1"/>
    <w:rsid w:val="0035295D"/>
    <w:rsid w:val="00352C95"/>
    <w:rsid w:val="00352E67"/>
    <w:rsid w:val="00352F12"/>
    <w:rsid w:val="003533E0"/>
    <w:rsid w:val="00353503"/>
    <w:rsid w:val="0035379E"/>
    <w:rsid w:val="00353892"/>
    <w:rsid w:val="00353946"/>
    <w:rsid w:val="00353972"/>
    <w:rsid w:val="00353E3C"/>
    <w:rsid w:val="003543CE"/>
    <w:rsid w:val="00354A4D"/>
    <w:rsid w:val="00354E25"/>
    <w:rsid w:val="00354E59"/>
    <w:rsid w:val="0035504C"/>
    <w:rsid w:val="003550D4"/>
    <w:rsid w:val="00355188"/>
    <w:rsid w:val="003555B8"/>
    <w:rsid w:val="00355769"/>
    <w:rsid w:val="003557B2"/>
    <w:rsid w:val="003557C8"/>
    <w:rsid w:val="003558F5"/>
    <w:rsid w:val="003559ED"/>
    <w:rsid w:val="00355A42"/>
    <w:rsid w:val="00355A43"/>
    <w:rsid w:val="00355E3E"/>
    <w:rsid w:val="00356185"/>
    <w:rsid w:val="003561A3"/>
    <w:rsid w:val="0035634C"/>
    <w:rsid w:val="003564C6"/>
    <w:rsid w:val="00357157"/>
    <w:rsid w:val="0035729D"/>
    <w:rsid w:val="00357486"/>
    <w:rsid w:val="00357600"/>
    <w:rsid w:val="00357AB2"/>
    <w:rsid w:val="00357E90"/>
    <w:rsid w:val="00357EBE"/>
    <w:rsid w:val="00357FAB"/>
    <w:rsid w:val="00360380"/>
    <w:rsid w:val="00360575"/>
    <w:rsid w:val="00360991"/>
    <w:rsid w:val="00360DF4"/>
    <w:rsid w:val="00360DF5"/>
    <w:rsid w:val="00360DF6"/>
    <w:rsid w:val="00360E13"/>
    <w:rsid w:val="00360EC9"/>
    <w:rsid w:val="00360F78"/>
    <w:rsid w:val="003616FA"/>
    <w:rsid w:val="00361940"/>
    <w:rsid w:val="00361E5F"/>
    <w:rsid w:val="00361F65"/>
    <w:rsid w:val="0036247E"/>
    <w:rsid w:val="0036249D"/>
    <w:rsid w:val="003624CE"/>
    <w:rsid w:val="00362560"/>
    <w:rsid w:val="0036281C"/>
    <w:rsid w:val="0036287E"/>
    <w:rsid w:val="003628E9"/>
    <w:rsid w:val="00362A2B"/>
    <w:rsid w:val="00362A5E"/>
    <w:rsid w:val="00362AE8"/>
    <w:rsid w:val="00363772"/>
    <w:rsid w:val="0036385B"/>
    <w:rsid w:val="003639E7"/>
    <w:rsid w:val="00363A3F"/>
    <w:rsid w:val="00363B69"/>
    <w:rsid w:val="00364165"/>
    <w:rsid w:val="003645B4"/>
    <w:rsid w:val="003647A1"/>
    <w:rsid w:val="003649EB"/>
    <w:rsid w:val="00364AC9"/>
    <w:rsid w:val="00364D74"/>
    <w:rsid w:val="00364DAE"/>
    <w:rsid w:val="00364E00"/>
    <w:rsid w:val="0036502F"/>
    <w:rsid w:val="0036510E"/>
    <w:rsid w:val="003652AB"/>
    <w:rsid w:val="0036599E"/>
    <w:rsid w:val="00365CF7"/>
    <w:rsid w:val="00365EB8"/>
    <w:rsid w:val="0036618F"/>
    <w:rsid w:val="003661B2"/>
    <w:rsid w:val="0036634F"/>
    <w:rsid w:val="0036651A"/>
    <w:rsid w:val="00366ADD"/>
    <w:rsid w:val="00366DDF"/>
    <w:rsid w:val="00366FF2"/>
    <w:rsid w:val="003670E7"/>
    <w:rsid w:val="003675E5"/>
    <w:rsid w:val="0036776F"/>
    <w:rsid w:val="00367BDC"/>
    <w:rsid w:val="00367C3F"/>
    <w:rsid w:val="00367E2C"/>
    <w:rsid w:val="00367E54"/>
    <w:rsid w:val="00370085"/>
    <w:rsid w:val="003701D9"/>
    <w:rsid w:val="00370353"/>
    <w:rsid w:val="00371214"/>
    <w:rsid w:val="0037187B"/>
    <w:rsid w:val="00371913"/>
    <w:rsid w:val="003719DF"/>
    <w:rsid w:val="00371A6F"/>
    <w:rsid w:val="00372131"/>
    <w:rsid w:val="003722AA"/>
    <w:rsid w:val="003724A9"/>
    <w:rsid w:val="0037278A"/>
    <w:rsid w:val="00372870"/>
    <w:rsid w:val="00372A1A"/>
    <w:rsid w:val="00372A97"/>
    <w:rsid w:val="00372B1B"/>
    <w:rsid w:val="00373626"/>
    <w:rsid w:val="00373675"/>
    <w:rsid w:val="003737DD"/>
    <w:rsid w:val="003738D7"/>
    <w:rsid w:val="00373A0C"/>
    <w:rsid w:val="00373B73"/>
    <w:rsid w:val="00373C1C"/>
    <w:rsid w:val="00373E57"/>
    <w:rsid w:val="003742C8"/>
    <w:rsid w:val="003742D2"/>
    <w:rsid w:val="00374597"/>
    <w:rsid w:val="00374654"/>
    <w:rsid w:val="00374692"/>
    <w:rsid w:val="0037480D"/>
    <w:rsid w:val="0037498B"/>
    <w:rsid w:val="00374B7D"/>
    <w:rsid w:val="00374E7F"/>
    <w:rsid w:val="003754C8"/>
    <w:rsid w:val="003757D0"/>
    <w:rsid w:val="00375C0E"/>
    <w:rsid w:val="00375C1E"/>
    <w:rsid w:val="00375D8A"/>
    <w:rsid w:val="00376037"/>
    <w:rsid w:val="003760F3"/>
    <w:rsid w:val="00376490"/>
    <w:rsid w:val="0037686A"/>
    <w:rsid w:val="00376B3E"/>
    <w:rsid w:val="00376D82"/>
    <w:rsid w:val="00377287"/>
    <w:rsid w:val="00377585"/>
    <w:rsid w:val="003779B8"/>
    <w:rsid w:val="00377B58"/>
    <w:rsid w:val="00377CE5"/>
    <w:rsid w:val="003800B9"/>
    <w:rsid w:val="0038019B"/>
    <w:rsid w:val="003803A8"/>
    <w:rsid w:val="00380743"/>
    <w:rsid w:val="00380AEC"/>
    <w:rsid w:val="00380B64"/>
    <w:rsid w:val="00380BCE"/>
    <w:rsid w:val="00380DD1"/>
    <w:rsid w:val="00380DFA"/>
    <w:rsid w:val="00380F5B"/>
    <w:rsid w:val="00381110"/>
    <w:rsid w:val="00381275"/>
    <w:rsid w:val="0038158C"/>
    <w:rsid w:val="003818C1"/>
    <w:rsid w:val="003819B8"/>
    <w:rsid w:val="00381C61"/>
    <w:rsid w:val="00382761"/>
    <w:rsid w:val="00382A14"/>
    <w:rsid w:val="00382BC9"/>
    <w:rsid w:val="00382C39"/>
    <w:rsid w:val="0038307F"/>
    <w:rsid w:val="003831A0"/>
    <w:rsid w:val="00383551"/>
    <w:rsid w:val="003835A1"/>
    <w:rsid w:val="003835B2"/>
    <w:rsid w:val="003836AB"/>
    <w:rsid w:val="00383FF6"/>
    <w:rsid w:val="00384606"/>
    <w:rsid w:val="00384754"/>
    <w:rsid w:val="00384D4E"/>
    <w:rsid w:val="00384E4C"/>
    <w:rsid w:val="00385269"/>
    <w:rsid w:val="00385C70"/>
    <w:rsid w:val="00385DF9"/>
    <w:rsid w:val="00386545"/>
    <w:rsid w:val="003865FC"/>
    <w:rsid w:val="003867B5"/>
    <w:rsid w:val="0038683C"/>
    <w:rsid w:val="003868E9"/>
    <w:rsid w:val="00386A5A"/>
    <w:rsid w:val="00386A9E"/>
    <w:rsid w:val="00386CF0"/>
    <w:rsid w:val="00386DC5"/>
    <w:rsid w:val="00386F16"/>
    <w:rsid w:val="00387210"/>
    <w:rsid w:val="00387697"/>
    <w:rsid w:val="00387929"/>
    <w:rsid w:val="00387A24"/>
    <w:rsid w:val="00387B9A"/>
    <w:rsid w:val="00387E8F"/>
    <w:rsid w:val="00387FC1"/>
    <w:rsid w:val="003900E6"/>
    <w:rsid w:val="003905DC"/>
    <w:rsid w:val="00390688"/>
    <w:rsid w:val="0039082B"/>
    <w:rsid w:val="00390877"/>
    <w:rsid w:val="00390C07"/>
    <w:rsid w:val="00390CF8"/>
    <w:rsid w:val="00390E1A"/>
    <w:rsid w:val="00391051"/>
    <w:rsid w:val="0039120B"/>
    <w:rsid w:val="003912A6"/>
    <w:rsid w:val="00391E81"/>
    <w:rsid w:val="00392130"/>
    <w:rsid w:val="003921AA"/>
    <w:rsid w:val="003922B2"/>
    <w:rsid w:val="003929D0"/>
    <w:rsid w:val="00392E4C"/>
    <w:rsid w:val="003930A2"/>
    <w:rsid w:val="00393272"/>
    <w:rsid w:val="00393329"/>
    <w:rsid w:val="00393445"/>
    <w:rsid w:val="00393448"/>
    <w:rsid w:val="0039344F"/>
    <w:rsid w:val="00393575"/>
    <w:rsid w:val="003935EE"/>
    <w:rsid w:val="00393769"/>
    <w:rsid w:val="00393872"/>
    <w:rsid w:val="0039440A"/>
    <w:rsid w:val="00394901"/>
    <w:rsid w:val="00394AF9"/>
    <w:rsid w:val="00394C3D"/>
    <w:rsid w:val="00394CD0"/>
    <w:rsid w:val="00394E1F"/>
    <w:rsid w:val="00395131"/>
    <w:rsid w:val="003951C8"/>
    <w:rsid w:val="0039521B"/>
    <w:rsid w:val="00395583"/>
    <w:rsid w:val="00395C27"/>
    <w:rsid w:val="00395D74"/>
    <w:rsid w:val="0039652B"/>
    <w:rsid w:val="0039660E"/>
    <w:rsid w:val="003966C1"/>
    <w:rsid w:val="003966C4"/>
    <w:rsid w:val="00396E3C"/>
    <w:rsid w:val="00397012"/>
    <w:rsid w:val="003970C8"/>
    <w:rsid w:val="003974DF"/>
    <w:rsid w:val="0039767F"/>
    <w:rsid w:val="003978EF"/>
    <w:rsid w:val="00397AFA"/>
    <w:rsid w:val="00397C9F"/>
    <w:rsid w:val="00397CEF"/>
    <w:rsid w:val="003A06CF"/>
    <w:rsid w:val="003A113D"/>
    <w:rsid w:val="003A174E"/>
    <w:rsid w:val="003A1CAB"/>
    <w:rsid w:val="003A1D79"/>
    <w:rsid w:val="003A2270"/>
    <w:rsid w:val="003A2506"/>
    <w:rsid w:val="003A27F6"/>
    <w:rsid w:val="003A2A49"/>
    <w:rsid w:val="003A2B0E"/>
    <w:rsid w:val="003A2EFC"/>
    <w:rsid w:val="003A2F41"/>
    <w:rsid w:val="003A31E7"/>
    <w:rsid w:val="003A3ACF"/>
    <w:rsid w:val="003A41F2"/>
    <w:rsid w:val="003A4255"/>
    <w:rsid w:val="003A431E"/>
    <w:rsid w:val="003A458A"/>
    <w:rsid w:val="003A4815"/>
    <w:rsid w:val="003A4996"/>
    <w:rsid w:val="003A4CCF"/>
    <w:rsid w:val="003A54A9"/>
    <w:rsid w:val="003A557C"/>
    <w:rsid w:val="003A5852"/>
    <w:rsid w:val="003A58E2"/>
    <w:rsid w:val="003A5933"/>
    <w:rsid w:val="003A5976"/>
    <w:rsid w:val="003A5B8E"/>
    <w:rsid w:val="003A5CF9"/>
    <w:rsid w:val="003A5F00"/>
    <w:rsid w:val="003A5F02"/>
    <w:rsid w:val="003A61C6"/>
    <w:rsid w:val="003A6220"/>
    <w:rsid w:val="003A6675"/>
    <w:rsid w:val="003A66F0"/>
    <w:rsid w:val="003A6A82"/>
    <w:rsid w:val="003A6E09"/>
    <w:rsid w:val="003A6F51"/>
    <w:rsid w:val="003A7106"/>
    <w:rsid w:val="003A723B"/>
    <w:rsid w:val="003A724A"/>
    <w:rsid w:val="003A74BB"/>
    <w:rsid w:val="003A7814"/>
    <w:rsid w:val="003A7971"/>
    <w:rsid w:val="003A7C0D"/>
    <w:rsid w:val="003A7E29"/>
    <w:rsid w:val="003A7FA8"/>
    <w:rsid w:val="003B0471"/>
    <w:rsid w:val="003B0584"/>
    <w:rsid w:val="003B08C7"/>
    <w:rsid w:val="003B0A7F"/>
    <w:rsid w:val="003B0C66"/>
    <w:rsid w:val="003B0CA0"/>
    <w:rsid w:val="003B1328"/>
    <w:rsid w:val="003B16AC"/>
    <w:rsid w:val="003B197C"/>
    <w:rsid w:val="003B1B1C"/>
    <w:rsid w:val="003B1D11"/>
    <w:rsid w:val="003B1E2E"/>
    <w:rsid w:val="003B1E51"/>
    <w:rsid w:val="003B2285"/>
    <w:rsid w:val="003B23B6"/>
    <w:rsid w:val="003B26A4"/>
    <w:rsid w:val="003B298B"/>
    <w:rsid w:val="003B2B17"/>
    <w:rsid w:val="003B2EC0"/>
    <w:rsid w:val="003B3094"/>
    <w:rsid w:val="003B3146"/>
    <w:rsid w:val="003B396A"/>
    <w:rsid w:val="003B3A0B"/>
    <w:rsid w:val="003B3CD9"/>
    <w:rsid w:val="003B3D0B"/>
    <w:rsid w:val="003B451A"/>
    <w:rsid w:val="003B4572"/>
    <w:rsid w:val="003B486C"/>
    <w:rsid w:val="003B49DF"/>
    <w:rsid w:val="003B4DAF"/>
    <w:rsid w:val="003B5118"/>
    <w:rsid w:val="003B52CE"/>
    <w:rsid w:val="003B56B1"/>
    <w:rsid w:val="003B5823"/>
    <w:rsid w:val="003B595A"/>
    <w:rsid w:val="003B59D9"/>
    <w:rsid w:val="003B5E55"/>
    <w:rsid w:val="003B6528"/>
    <w:rsid w:val="003B6713"/>
    <w:rsid w:val="003B6C36"/>
    <w:rsid w:val="003B6D3A"/>
    <w:rsid w:val="003B71FF"/>
    <w:rsid w:val="003B771B"/>
    <w:rsid w:val="003B78A3"/>
    <w:rsid w:val="003B7910"/>
    <w:rsid w:val="003B7AD5"/>
    <w:rsid w:val="003B7B5D"/>
    <w:rsid w:val="003B7E4E"/>
    <w:rsid w:val="003B7E9C"/>
    <w:rsid w:val="003B7EF5"/>
    <w:rsid w:val="003C090B"/>
    <w:rsid w:val="003C0A19"/>
    <w:rsid w:val="003C0BEF"/>
    <w:rsid w:val="003C11BA"/>
    <w:rsid w:val="003C18BC"/>
    <w:rsid w:val="003C1A9C"/>
    <w:rsid w:val="003C1AFC"/>
    <w:rsid w:val="003C2014"/>
    <w:rsid w:val="003C251B"/>
    <w:rsid w:val="003C27AA"/>
    <w:rsid w:val="003C2A17"/>
    <w:rsid w:val="003C2A78"/>
    <w:rsid w:val="003C2AB0"/>
    <w:rsid w:val="003C2AB7"/>
    <w:rsid w:val="003C2ABC"/>
    <w:rsid w:val="003C2C51"/>
    <w:rsid w:val="003C2D4B"/>
    <w:rsid w:val="003C2EF9"/>
    <w:rsid w:val="003C2F4A"/>
    <w:rsid w:val="003C3010"/>
    <w:rsid w:val="003C3634"/>
    <w:rsid w:val="003C3C82"/>
    <w:rsid w:val="003C3FB0"/>
    <w:rsid w:val="003C431B"/>
    <w:rsid w:val="003C464D"/>
    <w:rsid w:val="003C48A0"/>
    <w:rsid w:val="003C4A42"/>
    <w:rsid w:val="003C4B22"/>
    <w:rsid w:val="003C50A4"/>
    <w:rsid w:val="003C5129"/>
    <w:rsid w:val="003C5224"/>
    <w:rsid w:val="003C5489"/>
    <w:rsid w:val="003C579E"/>
    <w:rsid w:val="003C5B0F"/>
    <w:rsid w:val="003C5C5D"/>
    <w:rsid w:val="003C5F03"/>
    <w:rsid w:val="003C676B"/>
    <w:rsid w:val="003C6815"/>
    <w:rsid w:val="003C7130"/>
    <w:rsid w:val="003C73C4"/>
    <w:rsid w:val="003C7470"/>
    <w:rsid w:val="003C7713"/>
    <w:rsid w:val="003C77DC"/>
    <w:rsid w:val="003C7A03"/>
    <w:rsid w:val="003C7A3E"/>
    <w:rsid w:val="003C7BD0"/>
    <w:rsid w:val="003C7C62"/>
    <w:rsid w:val="003C7F06"/>
    <w:rsid w:val="003D113D"/>
    <w:rsid w:val="003D1347"/>
    <w:rsid w:val="003D139E"/>
    <w:rsid w:val="003D13EF"/>
    <w:rsid w:val="003D1521"/>
    <w:rsid w:val="003D1851"/>
    <w:rsid w:val="003D19F6"/>
    <w:rsid w:val="003D1A7D"/>
    <w:rsid w:val="003D1A88"/>
    <w:rsid w:val="003D1FF6"/>
    <w:rsid w:val="003D207D"/>
    <w:rsid w:val="003D28C3"/>
    <w:rsid w:val="003D290E"/>
    <w:rsid w:val="003D2B70"/>
    <w:rsid w:val="003D2BA6"/>
    <w:rsid w:val="003D2C70"/>
    <w:rsid w:val="003D2F7A"/>
    <w:rsid w:val="003D30EC"/>
    <w:rsid w:val="003D319A"/>
    <w:rsid w:val="003D3BC2"/>
    <w:rsid w:val="003D3BED"/>
    <w:rsid w:val="003D42E9"/>
    <w:rsid w:val="003D439F"/>
    <w:rsid w:val="003D4461"/>
    <w:rsid w:val="003D4573"/>
    <w:rsid w:val="003D45CD"/>
    <w:rsid w:val="003D4A75"/>
    <w:rsid w:val="003D4D12"/>
    <w:rsid w:val="003D4D71"/>
    <w:rsid w:val="003D508F"/>
    <w:rsid w:val="003D5097"/>
    <w:rsid w:val="003D5135"/>
    <w:rsid w:val="003D59E3"/>
    <w:rsid w:val="003D5B20"/>
    <w:rsid w:val="003D6089"/>
    <w:rsid w:val="003D6240"/>
    <w:rsid w:val="003D63EB"/>
    <w:rsid w:val="003D64EB"/>
    <w:rsid w:val="003D679D"/>
    <w:rsid w:val="003D6899"/>
    <w:rsid w:val="003D722F"/>
    <w:rsid w:val="003D7A6C"/>
    <w:rsid w:val="003D7B49"/>
    <w:rsid w:val="003D7BAA"/>
    <w:rsid w:val="003E01DC"/>
    <w:rsid w:val="003E0275"/>
    <w:rsid w:val="003E0724"/>
    <w:rsid w:val="003E0811"/>
    <w:rsid w:val="003E0EC0"/>
    <w:rsid w:val="003E1053"/>
    <w:rsid w:val="003E111D"/>
    <w:rsid w:val="003E151B"/>
    <w:rsid w:val="003E1A21"/>
    <w:rsid w:val="003E22FD"/>
    <w:rsid w:val="003E2556"/>
    <w:rsid w:val="003E2978"/>
    <w:rsid w:val="003E2B6D"/>
    <w:rsid w:val="003E2CF6"/>
    <w:rsid w:val="003E315B"/>
    <w:rsid w:val="003E36E8"/>
    <w:rsid w:val="003E3BF9"/>
    <w:rsid w:val="003E3DAA"/>
    <w:rsid w:val="003E3EAA"/>
    <w:rsid w:val="003E40BD"/>
    <w:rsid w:val="003E41AB"/>
    <w:rsid w:val="003E515A"/>
    <w:rsid w:val="003E52CE"/>
    <w:rsid w:val="003E5416"/>
    <w:rsid w:val="003E5438"/>
    <w:rsid w:val="003E5767"/>
    <w:rsid w:val="003E5B35"/>
    <w:rsid w:val="003E5E7F"/>
    <w:rsid w:val="003E63E0"/>
    <w:rsid w:val="003E653B"/>
    <w:rsid w:val="003E6604"/>
    <w:rsid w:val="003E67DE"/>
    <w:rsid w:val="003E6A99"/>
    <w:rsid w:val="003E6B54"/>
    <w:rsid w:val="003E6B60"/>
    <w:rsid w:val="003E6CA1"/>
    <w:rsid w:val="003E6D73"/>
    <w:rsid w:val="003E6F59"/>
    <w:rsid w:val="003E7128"/>
    <w:rsid w:val="003E73F9"/>
    <w:rsid w:val="003E74F1"/>
    <w:rsid w:val="003E761C"/>
    <w:rsid w:val="003E7ACD"/>
    <w:rsid w:val="003E7B74"/>
    <w:rsid w:val="003F007D"/>
    <w:rsid w:val="003F0888"/>
    <w:rsid w:val="003F09B3"/>
    <w:rsid w:val="003F0E4E"/>
    <w:rsid w:val="003F153A"/>
    <w:rsid w:val="003F17F3"/>
    <w:rsid w:val="003F1959"/>
    <w:rsid w:val="003F1A19"/>
    <w:rsid w:val="003F2149"/>
    <w:rsid w:val="003F245F"/>
    <w:rsid w:val="003F2712"/>
    <w:rsid w:val="003F2A42"/>
    <w:rsid w:val="003F2A5C"/>
    <w:rsid w:val="003F2AEF"/>
    <w:rsid w:val="003F2E36"/>
    <w:rsid w:val="003F2ED2"/>
    <w:rsid w:val="003F329E"/>
    <w:rsid w:val="003F3396"/>
    <w:rsid w:val="003F342F"/>
    <w:rsid w:val="003F38EE"/>
    <w:rsid w:val="003F38F1"/>
    <w:rsid w:val="003F39E7"/>
    <w:rsid w:val="003F3A91"/>
    <w:rsid w:val="003F3AD6"/>
    <w:rsid w:val="003F3C02"/>
    <w:rsid w:val="003F3CFA"/>
    <w:rsid w:val="003F3FBF"/>
    <w:rsid w:val="003F439C"/>
    <w:rsid w:val="003F4456"/>
    <w:rsid w:val="003F44DD"/>
    <w:rsid w:val="003F4531"/>
    <w:rsid w:val="003F46B5"/>
    <w:rsid w:val="003F47C5"/>
    <w:rsid w:val="003F49E4"/>
    <w:rsid w:val="003F4A56"/>
    <w:rsid w:val="003F4DA9"/>
    <w:rsid w:val="003F4F6B"/>
    <w:rsid w:val="003F4FFA"/>
    <w:rsid w:val="003F501E"/>
    <w:rsid w:val="003F54E0"/>
    <w:rsid w:val="003F5758"/>
    <w:rsid w:val="003F5ABB"/>
    <w:rsid w:val="003F5AEF"/>
    <w:rsid w:val="003F5BA5"/>
    <w:rsid w:val="003F5DBC"/>
    <w:rsid w:val="003F6293"/>
    <w:rsid w:val="003F6338"/>
    <w:rsid w:val="003F638A"/>
    <w:rsid w:val="003F6439"/>
    <w:rsid w:val="003F6738"/>
    <w:rsid w:val="003F6984"/>
    <w:rsid w:val="003F6E8F"/>
    <w:rsid w:val="003F6F0C"/>
    <w:rsid w:val="003F706E"/>
    <w:rsid w:val="003F7539"/>
    <w:rsid w:val="003F7E40"/>
    <w:rsid w:val="003F7F73"/>
    <w:rsid w:val="003F7FAD"/>
    <w:rsid w:val="004001F4"/>
    <w:rsid w:val="0040034D"/>
    <w:rsid w:val="004003F0"/>
    <w:rsid w:val="004003F5"/>
    <w:rsid w:val="00400678"/>
    <w:rsid w:val="004007C2"/>
    <w:rsid w:val="004009FC"/>
    <w:rsid w:val="00400AEF"/>
    <w:rsid w:val="00400C45"/>
    <w:rsid w:val="00400F7F"/>
    <w:rsid w:val="004010B0"/>
    <w:rsid w:val="004011E9"/>
    <w:rsid w:val="00401967"/>
    <w:rsid w:val="00401A7F"/>
    <w:rsid w:val="00401D09"/>
    <w:rsid w:val="00402035"/>
    <w:rsid w:val="0040277E"/>
    <w:rsid w:val="00402AC2"/>
    <w:rsid w:val="0040313F"/>
    <w:rsid w:val="004031DE"/>
    <w:rsid w:val="00403818"/>
    <w:rsid w:val="004040DA"/>
    <w:rsid w:val="004042F4"/>
    <w:rsid w:val="0040438E"/>
    <w:rsid w:val="00404395"/>
    <w:rsid w:val="00404399"/>
    <w:rsid w:val="0040441C"/>
    <w:rsid w:val="00404812"/>
    <w:rsid w:val="00404E55"/>
    <w:rsid w:val="00404F46"/>
    <w:rsid w:val="00404FE6"/>
    <w:rsid w:val="00405361"/>
    <w:rsid w:val="0040594E"/>
    <w:rsid w:val="00405A32"/>
    <w:rsid w:val="00405A3D"/>
    <w:rsid w:val="00405BC8"/>
    <w:rsid w:val="00405C29"/>
    <w:rsid w:val="00406039"/>
    <w:rsid w:val="00406215"/>
    <w:rsid w:val="00406CB5"/>
    <w:rsid w:val="00406F64"/>
    <w:rsid w:val="004079F1"/>
    <w:rsid w:val="00407A34"/>
    <w:rsid w:val="00407EFB"/>
    <w:rsid w:val="004102E9"/>
    <w:rsid w:val="0041047E"/>
    <w:rsid w:val="004106B4"/>
    <w:rsid w:val="00410A7A"/>
    <w:rsid w:val="00410B38"/>
    <w:rsid w:val="00411767"/>
    <w:rsid w:val="004119AE"/>
    <w:rsid w:val="00411AA4"/>
    <w:rsid w:val="0041202A"/>
    <w:rsid w:val="00412250"/>
    <w:rsid w:val="00412267"/>
    <w:rsid w:val="004127C5"/>
    <w:rsid w:val="00412C81"/>
    <w:rsid w:val="00412C9A"/>
    <w:rsid w:val="0041306A"/>
    <w:rsid w:val="004131B4"/>
    <w:rsid w:val="004138E9"/>
    <w:rsid w:val="00413AFD"/>
    <w:rsid w:val="00413C9E"/>
    <w:rsid w:val="00413CE4"/>
    <w:rsid w:val="00413DF4"/>
    <w:rsid w:val="00413F89"/>
    <w:rsid w:val="00414181"/>
    <w:rsid w:val="00414227"/>
    <w:rsid w:val="00414291"/>
    <w:rsid w:val="0041491C"/>
    <w:rsid w:val="00414E80"/>
    <w:rsid w:val="00415135"/>
    <w:rsid w:val="0041541E"/>
    <w:rsid w:val="004154FF"/>
    <w:rsid w:val="0041575D"/>
    <w:rsid w:val="00415BBD"/>
    <w:rsid w:val="0041616C"/>
    <w:rsid w:val="00416215"/>
    <w:rsid w:val="00416470"/>
    <w:rsid w:val="004165C2"/>
    <w:rsid w:val="0041672D"/>
    <w:rsid w:val="00416ADC"/>
    <w:rsid w:val="00416B51"/>
    <w:rsid w:val="00416D81"/>
    <w:rsid w:val="00416EFD"/>
    <w:rsid w:val="004170C6"/>
    <w:rsid w:val="00417460"/>
    <w:rsid w:val="00417692"/>
    <w:rsid w:val="0041778C"/>
    <w:rsid w:val="0041782F"/>
    <w:rsid w:val="00417966"/>
    <w:rsid w:val="00417AC6"/>
    <w:rsid w:val="00417C85"/>
    <w:rsid w:val="00417CBD"/>
    <w:rsid w:val="00417E46"/>
    <w:rsid w:val="00417E6F"/>
    <w:rsid w:val="0042041E"/>
    <w:rsid w:val="00420489"/>
    <w:rsid w:val="004205DD"/>
    <w:rsid w:val="004208A5"/>
    <w:rsid w:val="00420BA6"/>
    <w:rsid w:val="00420BC3"/>
    <w:rsid w:val="0042105C"/>
    <w:rsid w:val="00421205"/>
    <w:rsid w:val="0042136A"/>
    <w:rsid w:val="00421621"/>
    <w:rsid w:val="004216C5"/>
    <w:rsid w:val="00421995"/>
    <w:rsid w:val="00421A18"/>
    <w:rsid w:val="00421EFD"/>
    <w:rsid w:val="0042208B"/>
    <w:rsid w:val="004224B7"/>
    <w:rsid w:val="00422594"/>
    <w:rsid w:val="004225F7"/>
    <w:rsid w:val="0042274D"/>
    <w:rsid w:val="004227C6"/>
    <w:rsid w:val="00422E2F"/>
    <w:rsid w:val="0042303C"/>
    <w:rsid w:val="004231F7"/>
    <w:rsid w:val="00423A73"/>
    <w:rsid w:val="00423B60"/>
    <w:rsid w:val="00423D15"/>
    <w:rsid w:val="00424118"/>
    <w:rsid w:val="00424433"/>
    <w:rsid w:val="00424452"/>
    <w:rsid w:val="00424806"/>
    <w:rsid w:val="00424962"/>
    <w:rsid w:val="00424BA4"/>
    <w:rsid w:val="00424BAB"/>
    <w:rsid w:val="00424CB5"/>
    <w:rsid w:val="00424CF7"/>
    <w:rsid w:val="00424E79"/>
    <w:rsid w:val="00424EA8"/>
    <w:rsid w:val="0042533D"/>
    <w:rsid w:val="00425426"/>
    <w:rsid w:val="004254C0"/>
    <w:rsid w:val="00425563"/>
    <w:rsid w:val="0042566E"/>
    <w:rsid w:val="004257BA"/>
    <w:rsid w:val="00425D56"/>
    <w:rsid w:val="00425F29"/>
    <w:rsid w:val="00426021"/>
    <w:rsid w:val="004261C8"/>
    <w:rsid w:val="00426453"/>
    <w:rsid w:val="004265E4"/>
    <w:rsid w:val="0042699F"/>
    <w:rsid w:val="00426CA6"/>
    <w:rsid w:val="00426CF0"/>
    <w:rsid w:val="00426F7D"/>
    <w:rsid w:val="004270D6"/>
    <w:rsid w:val="00427486"/>
    <w:rsid w:val="00427868"/>
    <w:rsid w:val="00427A2E"/>
    <w:rsid w:val="00427B6E"/>
    <w:rsid w:val="00427BBB"/>
    <w:rsid w:val="00427F30"/>
    <w:rsid w:val="004301DB"/>
    <w:rsid w:val="004301E0"/>
    <w:rsid w:val="00430576"/>
    <w:rsid w:val="00430739"/>
    <w:rsid w:val="0043088F"/>
    <w:rsid w:val="004308D1"/>
    <w:rsid w:val="00430A11"/>
    <w:rsid w:val="004314FA"/>
    <w:rsid w:val="00431F79"/>
    <w:rsid w:val="00431FF9"/>
    <w:rsid w:val="004322D9"/>
    <w:rsid w:val="0043231F"/>
    <w:rsid w:val="0043250E"/>
    <w:rsid w:val="0043280F"/>
    <w:rsid w:val="00432898"/>
    <w:rsid w:val="00432899"/>
    <w:rsid w:val="00432994"/>
    <w:rsid w:val="00432C81"/>
    <w:rsid w:val="0043310F"/>
    <w:rsid w:val="004332D8"/>
    <w:rsid w:val="00433664"/>
    <w:rsid w:val="00433818"/>
    <w:rsid w:val="0043397E"/>
    <w:rsid w:val="00433AF2"/>
    <w:rsid w:val="00433C97"/>
    <w:rsid w:val="004343C2"/>
    <w:rsid w:val="0043456A"/>
    <w:rsid w:val="00434630"/>
    <w:rsid w:val="00434785"/>
    <w:rsid w:val="004347ED"/>
    <w:rsid w:val="00434849"/>
    <w:rsid w:val="004348D0"/>
    <w:rsid w:val="00434AC3"/>
    <w:rsid w:val="00434D64"/>
    <w:rsid w:val="00435092"/>
    <w:rsid w:val="00435148"/>
    <w:rsid w:val="00435241"/>
    <w:rsid w:val="00435797"/>
    <w:rsid w:val="00435BC8"/>
    <w:rsid w:val="00435E08"/>
    <w:rsid w:val="004363AB"/>
    <w:rsid w:val="00436503"/>
    <w:rsid w:val="00436E99"/>
    <w:rsid w:val="00436FF4"/>
    <w:rsid w:val="0043708E"/>
    <w:rsid w:val="00437367"/>
    <w:rsid w:val="00437845"/>
    <w:rsid w:val="004378F2"/>
    <w:rsid w:val="004378FB"/>
    <w:rsid w:val="00437BE0"/>
    <w:rsid w:val="00437CB9"/>
    <w:rsid w:val="00437D43"/>
    <w:rsid w:val="00437E1C"/>
    <w:rsid w:val="00437E20"/>
    <w:rsid w:val="00437FE1"/>
    <w:rsid w:val="0044020E"/>
    <w:rsid w:val="004403AC"/>
    <w:rsid w:val="004405C0"/>
    <w:rsid w:val="004406C7"/>
    <w:rsid w:val="0044075A"/>
    <w:rsid w:val="0044079F"/>
    <w:rsid w:val="0044096C"/>
    <w:rsid w:val="00440B67"/>
    <w:rsid w:val="00440D99"/>
    <w:rsid w:val="00440F62"/>
    <w:rsid w:val="004410E8"/>
    <w:rsid w:val="00441200"/>
    <w:rsid w:val="0044121F"/>
    <w:rsid w:val="00441522"/>
    <w:rsid w:val="004417F8"/>
    <w:rsid w:val="00441AA4"/>
    <w:rsid w:val="00441BB1"/>
    <w:rsid w:val="00441ECB"/>
    <w:rsid w:val="0044249C"/>
    <w:rsid w:val="004424FF"/>
    <w:rsid w:val="00442850"/>
    <w:rsid w:val="004429C4"/>
    <w:rsid w:val="00442B7F"/>
    <w:rsid w:val="00442BFB"/>
    <w:rsid w:val="00442F24"/>
    <w:rsid w:val="00443419"/>
    <w:rsid w:val="00443644"/>
    <w:rsid w:val="00443954"/>
    <w:rsid w:val="00443D9D"/>
    <w:rsid w:val="00444095"/>
    <w:rsid w:val="00444265"/>
    <w:rsid w:val="0044444F"/>
    <w:rsid w:val="00444461"/>
    <w:rsid w:val="00444BE3"/>
    <w:rsid w:val="00444C04"/>
    <w:rsid w:val="00444E38"/>
    <w:rsid w:val="004450B3"/>
    <w:rsid w:val="004451A2"/>
    <w:rsid w:val="00445262"/>
    <w:rsid w:val="00445FE0"/>
    <w:rsid w:val="00446174"/>
    <w:rsid w:val="00446198"/>
    <w:rsid w:val="004461C6"/>
    <w:rsid w:val="00446A1B"/>
    <w:rsid w:val="00446A4A"/>
    <w:rsid w:val="00447155"/>
    <w:rsid w:val="00447215"/>
    <w:rsid w:val="004472B3"/>
    <w:rsid w:val="004473DA"/>
    <w:rsid w:val="0044774D"/>
    <w:rsid w:val="004479D4"/>
    <w:rsid w:val="00447A0A"/>
    <w:rsid w:val="00447D51"/>
    <w:rsid w:val="00447F13"/>
    <w:rsid w:val="00450A47"/>
    <w:rsid w:val="00450CA7"/>
    <w:rsid w:val="00450EE8"/>
    <w:rsid w:val="0045185C"/>
    <w:rsid w:val="0045203F"/>
    <w:rsid w:val="004523F2"/>
    <w:rsid w:val="00453268"/>
    <w:rsid w:val="004538B2"/>
    <w:rsid w:val="00453BE6"/>
    <w:rsid w:val="00453C42"/>
    <w:rsid w:val="00453E6F"/>
    <w:rsid w:val="00454F14"/>
    <w:rsid w:val="004551A8"/>
    <w:rsid w:val="004557E0"/>
    <w:rsid w:val="00455AC0"/>
    <w:rsid w:val="00455C5C"/>
    <w:rsid w:val="00455C89"/>
    <w:rsid w:val="00455FF0"/>
    <w:rsid w:val="004562A5"/>
    <w:rsid w:val="004563A6"/>
    <w:rsid w:val="0045640E"/>
    <w:rsid w:val="0045661F"/>
    <w:rsid w:val="0045690B"/>
    <w:rsid w:val="00456C1F"/>
    <w:rsid w:val="00456CCA"/>
    <w:rsid w:val="004571E7"/>
    <w:rsid w:val="0045758B"/>
    <w:rsid w:val="0045771C"/>
    <w:rsid w:val="0045788B"/>
    <w:rsid w:val="00457A3B"/>
    <w:rsid w:val="00457DA5"/>
    <w:rsid w:val="004601D7"/>
    <w:rsid w:val="00460327"/>
    <w:rsid w:val="004604B5"/>
    <w:rsid w:val="00460A17"/>
    <w:rsid w:val="00460DDD"/>
    <w:rsid w:val="004610A9"/>
    <w:rsid w:val="004611CE"/>
    <w:rsid w:val="0046125C"/>
    <w:rsid w:val="0046192F"/>
    <w:rsid w:val="00462414"/>
    <w:rsid w:val="0046247F"/>
    <w:rsid w:val="00462771"/>
    <w:rsid w:val="00462B59"/>
    <w:rsid w:val="00462D95"/>
    <w:rsid w:val="00462F00"/>
    <w:rsid w:val="00462F66"/>
    <w:rsid w:val="00462FE6"/>
    <w:rsid w:val="004630DE"/>
    <w:rsid w:val="00463106"/>
    <w:rsid w:val="004636CE"/>
    <w:rsid w:val="00463AB9"/>
    <w:rsid w:val="00463C21"/>
    <w:rsid w:val="00463C4C"/>
    <w:rsid w:val="00463D1C"/>
    <w:rsid w:val="00464741"/>
    <w:rsid w:val="00464949"/>
    <w:rsid w:val="00464B09"/>
    <w:rsid w:val="00464BB4"/>
    <w:rsid w:val="00464E29"/>
    <w:rsid w:val="0046538D"/>
    <w:rsid w:val="0046545E"/>
    <w:rsid w:val="00466158"/>
    <w:rsid w:val="004664F9"/>
    <w:rsid w:val="004668D6"/>
    <w:rsid w:val="004668DA"/>
    <w:rsid w:val="00466977"/>
    <w:rsid w:val="004669A8"/>
    <w:rsid w:val="00466D04"/>
    <w:rsid w:val="00466F31"/>
    <w:rsid w:val="004671C7"/>
    <w:rsid w:val="00467534"/>
    <w:rsid w:val="00467B7E"/>
    <w:rsid w:val="00467D54"/>
    <w:rsid w:val="00470046"/>
    <w:rsid w:val="00470053"/>
    <w:rsid w:val="0047017B"/>
    <w:rsid w:val="00470193"/>
    <w:rsid w:val="0047063A"/>
    <w:rsid w:val="004706B2"/>
    <w:rsid w:val="004709B0"/>
    <w:rsid w:val="00470B7D"/>
    <w:rsid w:val="00470DAF"/>
    <w:rsid w:val="00470E85"/>
    <w:rsid w:val="004710B3"/>
    <w:rsid w:val="004711FE"/>
    <w:rsid w:val="0047125D"/>
    <w:rsid w:val="00471322"/>
    <w:rsid w:val="0047147B"/>
    <w:rsid w:val="00471484"/>
    <w:rsid w:val="0047196C"/>
    <w:rsid w:val="004719AA"/>
    <w:rsid w:val="004719E3"/>
    <w:rsid w:val="004719E4"/>
    <w:rsid w:val="00471A37"/>
    <w:rsid w:val="00471E58"/>
    <w:rsid w:val="004720AD"/>
    <w:rsid w:val="00472759"/>
    <w:rsid w:val="0047286F"/>
    <w:rsid w:val="00472A16"/>
    <w:rsid w:val="00472C8A"/>
    <w:rsid w:val="00472CC8"/>
    <w:rsid w:val="00473632"/>
    <w:rsid w:val="00473B36"/>
    <w:rsid w:val="00473B4A"/>
    <w:rsid w:val="00474277"/>
    <w:rsid w:val="0047462B"/>
    <w:rsid w:val="00474A08"/>
    <w:rsid w:val="00474B8A"/>
    <w:rsid w:val="00474D13"/>
    <w:rsid w:val="0047509E"/>
    <w:rsid w:val="0047544B"/>
    <w:rsid w:val="00475EA8"/>
    <w:rsid w:val="004762C7"/>
    <w:rsid w:val="00476335"/>
    <w:rsid w:val="0047664A"/>
    <w:rsid w:val="004768CB"/>
    <w:rsid w:val="00476BE0"/>
    <w:rsid w:val="0047724B"/>
    <w:rsid w:val="004772A6"/>
    <w:rsid w:val="00477592"/>
    <w:rsid w:val="0047785D"/>
    <w:rsid w:val="00477AC5"/>
    <w:rsid w:val="00480377"/>
    <w:rsid w:val="004806EB"/>
    <w:rsid w:val="0048083C"/>
    <w:rsid w:val="00480A29"/>
    <w:rsid w:val="00480BE6"/>
    <w:rsid w:val="00480CDD"/>
    <w:rsid w:val="00480D60"/>
    <w:rsid w:val="00480E41"/>
    <w:rsid w:val="00480FFA"/>
    <w:rsid w:val="004810D5"/>
    <w:rsid w:val="00481138"/>
    <w:rsid w:val="004812FD"/>
    <w:rsid w:val="004813E2"/>
    <w:rsid w:val="00481581"/>
    <w:rsid w:val="004821E1"/>
    <w:rsid w:val="00482575"/>
    <w:rsid w:val="004825DA"/>
    <w:rsid w:val="004826DF"/>
    <w:rsid w:val="00482A68"/>
    <w:rsid w:val="00482C5C"/>
    <w:rsid w:val="00482E64"/>
    <w:rsid w:val="0048309F"/>
    <w:rsid w:val="004837BD"/>
    <w:rsid w:val="0048391F"/>
    <w:rsid w:val="00483AF1"/>
    <w:rsid w:val="00483BF2"/>
    <w:rsid w:val="00484645"/>
    <w:rsid w:val="004846C0"/>
    <w:rsid w:val="00484838"/>
    <w:rsid w:val="00484BE1"/>
    <w:rsid w:val="00484DFB"/>
    <w:rsid w:val="0048532F"/>
    <w:rsid w:val="004853CA"/>
    <w:rsid w:val="004854D9"/>
    <w:rsid w:val="0048585D"/>
    <w:rsid w:val="004859F8"/>
    <w:rsid w:val="00485F16"/>
    <w:rsid w:val="004862FF"/>
    <w:rsid w:val="0048630E"/>
    <w:rsid w:val="00486431"/>
    <w:rsid w:val="0048643B"/>
    <w:rsid w:val="0048659E"/>
    <w:rsid w:val="004866AE"/>
    <w:rsid w:val="004868C6"/>
    <w:rsid w:val="00486F1C"/>
    <w:rsid w:val="00486FF7"/>
    <w:rsid w:val="00487237"/>
    <w:rsid w:val="00487781"/>
    <w:rsid w:val="004879A8"/>
    <w:rsid w:val="004879E6"/>
    <w:rsid w:val="00487A9D"/>
    <w:rsid w:val="00490384"/>
    <w:rsid w:val="004904D3"/>
    <w:rsid w:val="004904F9"/>
    <w:rsid w:val="004905CB"/>
    <w:rsid w:val="00490680"/>
    <w:rsid w:val="00490944"/>
    <w:rsid w:val="00490A3E"/>
    <w:rsid w:val="00490CA2"/>
    <w:rsid w:val="00490E0C"/>
    <w:rsid w:val="00490F2E"/>
    <w:rsid w:val="004910CC"/>
    <w:rsid w:val="00491C36"/>
    <w:rsid w:val="004921AB"/>
    <w:rsid w:val="0049241D"/>
    <w:rsid w:val="0049269C"/>
    <w:rsid w:val="00492892"/>
    <w:rsid w:val="00492926"/>
    <w:rsid w:val="004929C8"/>
    <w:rsid w:val="00492B05"/>
    <w:rsid w:val="00492B71"/>
    <w:rsid w:val="00492E0E"/>
    <w:rsid w:val="00492F3F"/>
    <w:rsid w:val="004930F4"/>
    <w:rsid w:val="0049399E"/>
    <w:rsid w:val="00493B99"/>
    <w:rsid w:val="00493C0B"/>
    <w:rsid w:val="00493EF9"/>
    <w:rsid w:val="0049419D"/>
    <w:rsid w:val="0049438E"/>
    <w:rsid w:val="00494500"/>
    <w:rsid w:val="0049462E"/>
    <w:rsid w:val="004949A4"/>
    <w:rsid w:val="00494B65"/>
    <w:rsid w:val="00494E02"/>
    <w:rsid w:val="00494F1F"/>
    <w:rsid w:val="00495159"/>
    <w:rsid w:val="004953A6"/>
    <w:rsid w:val="004956BF"/>
    <w:rsid w:val="004956F6"/>
    <w:rsid w:val="00495B50"/>
    <w:rsid w:val="00495F35"/>
    <w:rsid w:val="00496186"/>
    <w:rsid w:val="00496351"/>
    <w:rsid w:val="00496F75"/>
    <w:rsid w:val="004976AC"/>
    <w:rsid w:val="004976E7"/>
    <w:rsid w:val="00497B10"/>
    <w:rsid w:val="00497F49"/>
    <w:rsid w:val="004A03E4"/>
    <w:rsid w:val="004A05B5"/>
    <w:rsid w:val="004A0B3F"/>
    <w:rsid w:val="004A11F8"/>
    <w:rsid w:val="004A16C6"/>
    <w:rsid w:val="004A173E"/>
    <w:rsid w:val="004A1843"/>
    <w:rsid w:val="004A1A25"/>
    <w:rsid w:val="004A1B09"/>
    <w:rsid w:val="004A1D30"/>
    <w:rsid w:val="004A1E90"/>
    <w:rsid w:val="004A1EF4"/>
    <w:rsid w:val="004A1FA2"/>
    <w:rsid w:val="004A1FF8"/>
    <w:rsid w:val="004A2094"/>
    <w:rsid w:val="004A2395"/>
    <w:rsid w:val="004A258B"/>
    <w:rsid w:val="004A2856"/>
    <w:rsid w:val="004A2EB8"/>
    <w:rsid w:val="004A2F2E"/>
    <w:rsid w:val="004A31A9"/>
    <w:rsid w:val="004A3419"/>
    <w:rsid w:val="004A389A"/>
    <w:rsid w:val="004A3A49"/>
    <w:rsid w:val="004A4616"/>
    <w:rsid w:val="004A4942"/>
    <w:rsid w:val="004A52A6"/>
    <w:rsid w:val="004A533F"/>
    <w:rsid w:val="004A5667"/>
    <w:rsid w:val="004A5942"/>
    <w:rsid w:val="004A5BC7"/>
    <w:rsid w:val="004A5D6F"/>
    <w:rsid w:val="004A6051"/>
    <w:rsid w:val="004A617D"/>
    <w:rsid w:val="004A6257"/>
    <w:rsid w:val="004A63D5"/>
    <w:rsid w:val="004A70F3"/>
    <w:rsid w:val="004A71AE"/>
    <w:rsid w:val="004A71B1"/>
    <w:rsid w:val="004A7339"/>
    <w:rsid w:val="004A797F"/>
    <w:rsid w:val="004A79F0"/>
    <w:rsid w:val="004A7B9A"/>
    <w:rsid w:val="004A7BEC"/>
    <w:rsid w:val="004A7E5C"/>
    <w:rsid w:val="004B01BA"/>
    <w:rsid w:val="004B0689"/>
    <w:rsid w:val="004B087B"/>
    <w:rsid w:val="004B0B09"/>
    <w:rsid w:val="004B0C2F"/>
    <w:rsid w:val="004B0DE7"/>
    <w:rsid w:val="004B0E0B"/>
    <w:rsid w:val="004B0EDD"/>
    <w:rsid w:val="004B13E6"/>
    <w:rsid w:val="004B1968"/>
    <w:rsid w:val="004B1BE5"/>
    <w:rsid w:val="004B24F2"/>
    <w:rsid w:val="004B2543"/>
    <w:rsid w:val="004B2554"/>
    <w:rsid w:val="004B2646"/>
    <w:rsid w:val="004B265F"/>
    <w:rsid w:val="004B2990"/>
    <w:rsid w:val="004B2AD6"/>
    <w:rsid w:val="004B2DCD"/>
    <w:rsid w:val="004B316C"/>
    <w:rsid w:val="004B31A2"/>
    <w:rsid w:val="004B327C"/>
    <w:rsid w:val="004B32EA"/>
    <w:rsid w:val="004B3822"/>
    <w:rsid w:val="004B3950"/>
    <w:rsid w:val="004B3A73"/>
    <w:rsid w:val="004B3ACD"/>
    <w:rsid w:val="004B3D32"/>
    <w:rsid w:val="004B3DE0"/>
    <w:rsid w:val="004B3E96"/>
    <w:rsid w:val="004B44D1"/>
    <w:rsid w:val="004B4588"/>
    <w:rsid w:val="004B466E"/>
    <w:rsid w:val="004B50A2"/>
    <w:rsid w:val="004B520F"/>
    <w:rsid w:val="004B541C"/>
    <w:rsid w:val="004B556E"/>
    <w:rsid w:val="004B5E6C"/>
    <w:rsid w:val="004B5FEC"/>
    <w:rsid w:val="004B651B"/>
    <w:rsid w:val="004B65B5"/>
    <w:rsid w:val="004B6CBD"/>
    <w:rsid w:val="004B6F69"/>
    <w:rsid w:val="004B705D"/>
    <w:rsid w:val="004B70BC"/>
    <w:rsid w:val="004B71DC"/>
    <w:rsid w:val="004B776D"/>
    <w:rsid w:val="004B788A"/>
    <w:rsid w:val="004B7F0B"/>
    <w:rsid w:val="004C00F6"/>
    <w:rsid w:val="004C0369"/>
    <w:rsid w:val="004C0442"/>
    <w:rsid w:val="004C051E"/>
    <w:rsid w:val="004C09E3"/>
    <w:rsid w:val="004C0A40"/>
    <w:rsid w:val="004C0C69"/>
    <w:rsid w:val="004C0C8C"/>
    <w:rsid w:val="004C1192"/>
    <w:rsid w:val="004C124F"/>
    <w:rsid w:val="004C1356"/>
    <w:rsid w:val="004C1607"/>
    <w:rsid w:val="004C19F4"/>
    <w:rsid w:val="004C1E57"/>
    <w:rsid w:val="004C1FA2"/>
    <w:rsid w:val="004C2073"/>
    <w:rsid w:val="004C20D2"/>
    <w:rsid w:val="004C2836"/>
    <w:rsid w:val="004C28A0"/>
    <w:rsid w:val="004C2CDF"/>
    <w:rsid w:val="004C3017"/>
    <w:rsid w:val="004C31F0"/>
    <w:rsid w:val="004C32D2"/>
    <w:rsid w:val="004C33D2"/>
    <w:rsid w:val="004C36C5"/>
    <w:rsid w:val="004C373B"/>
    <w:rsid w:val="004C38AD"/>
    <w:rsid w:val="004C3FD6"/>
    <w:rsid w:val="004C4074"/>
    <w:rsid w:val="004C49DD"/>
    <w:rsid w:val="004C4B62"/>
    <w:rsid w:val="004C4B6F"/>
    <w:rsid w:val="004C4D01"/>
    <w:rsid w:val="004C4EA6"/>
    <w:rsid w:val="004C5112"/>
    <w:rsid w:val="004C518B"/>
    <w:rsid w:val="004C526B"/>
    <w:rsid w:val="004C54C9"/>
    <w:rsid w:val="004C5698"/>
    <w:rsid w:val="004C5730"/>
    <w:rsid w:val="004C5AD6"/>
    <w:rsid w:val="004C5B63"/>
    <w:rsid w:val="004C5D37"/>
    <w:rsid w:val="004C5D40"/>
    <w:rsid w:val="004C5E9F"/>
    <w:rsid w:val="004C5ED3"/>
    <w:rsid w:val="004C609C"/>
    <w:rsid w:val="004C642E"/>
    <w:rsid w:val="004C666F"/>
    <w:rsid w:val="004C6757"/>
    <w:rsid w:val="004C67C3"/>
    <w:rsid w:val="004C69F4"/>
    <w:rsid w:val="004C6A80"/>
    <w:rsid w:val="004C6FB2"/>
    <w:rsid w:val="004C706E"/>
    <w:rsid w:val="004C7450"/>
    <w:rsid w:val="004C78D5"/>
    <w:rsid w:val="004C7A88"/>
    <w:rsid w:val="004C7FD6"/>
    <w:rsid w:val="004D0030"/>
    <w:rsid w:val="004D0630"/>
    <w:rsid w:val="004D0708"/>
    <w:rsid w:val="004D0917"/>
    <w:rsid w:val="004D0970"/>
    <w:rsid w:val="004D0E7F"/>
    <w:rsid w:val="004D0F07"/>
    <w:rsid w:val="004D11E0"/>
    <w:rsid w:val="004D11E8"/>
    <w:rsid w:val="004D145B"/>
    <w:rsid w:val="004D14B8"/>
    <w:rsid w:val="004D182F"/>
    <w:rsid w:val="004D19C3"/>
    <w:rsid w:val="004D201E"/>
    <w:rsid w:val="004D2149"/>
    <w:rsid w:val="004D2643"/>
    <w:rsid w:val="004D30AE"/>
    <w:rsid w:val="004D3B62"/>
    <w:rsid w:val="004D3DAE"/>
    <w:rsid w:val="004D3DDC"/>
    <w:rsid w:val="004D4178"/>
    <w:rsid w:val="004D43BA"/>
    <w:rsid w:val="004D4485"/>
    <w:rsid w:val="004D4704"/>
    <w:rsid w:val="004D4AD2"/>
    <w:rsid w:val="004D4B43"/>
    <w:rsid w:val="004D4BC8"/>
    <w:rsid w:val="004D4C6B"/>
    <w:rsid w:val="004D4D99"/>
    <w:rsid w:val="004D4FEE"/>
    <w:rsid w:val="004D5333"/>
    <w:rsid w:val="004D53D0"/>
    <w:rsid w:val="004D5A17"/>
    <w:rsid w:val="004D5EBF"/>
    <w:rsid w:val="004D5ED4"/>
    <w:rsid w:val="004D5F62"/>
    <w:rsid w:val="004D6025"/>
    <w:rsid w:val="004D60D4"/>
    <w:rsid w:val="004D6324"/>
    <w:rsid w:val="004D6460"/>
    <w:rsid w:val="004D64FB"/>
    <w:rsid w:val="004D6611"/>
    <w:rsid w:val="004D677D"/>
    <w:rsid w:val="004D6A7F"/>
    <w:rsid w:val="004D6A88"/>
    <w:rsid w:val="004D6AC8"/>
    <w:rsid w:val="004D6DF5"/>
    <w:rsid w:val="004D6F68"/>
    <w:rsid w:val="004D7133"/>
    <w:rsid w:val="004D741F"/>
    <w:rsid w:val="004D7BB7"/>
    <w:rsid w:val="004D7E9D"/>
    <w:rsid w:val="004E0095"/>
    <w:rsid w:val="004E07AE"/>
    <w:rsid w:val="004E097C"/>
    <w:rsid w:val="004E0DAA"/>
    <w:rsid w:val="004E0FCD"/>
    <w:rsid w:val="004E102F"/>
    <w:rsid w:val="004E173C"/>
    <w:rsid w:val="004E17C8"/>
    <w:rsid w:val="004E193A"/>
    <w:rsid w:val="004E1D1E"/>
    <w:rsid w:val="004E1DE1"/>
    <w:rsid w:val="004E1FA6"/>
    <w:rsid w:val="004E2649"/>
    <w:rsid w:val="004E274B"/>
    <w:rsid w:val="004E2C4D"/>
    <w:rsid w:val="004E3014"/>
    <w:rsid w:val="004E308B"/>
    <w:rsid w:val="004E3657"/>
    <w:rsid w:val="004E3899"/>
    <w:rsid w:val="004E3B05"/>
    <w:rsid w:val="004E41F5"/>
    <w:rsid w:val="004E4868"/>
    <w:rsid w:val="004E4F27"/>
    <w:rsid w:val="004E4F29"/>
    <w:rsid w:val="004E4F80"/>
    <w:rsid w:val="004E50AF"/>
    <w:rsid w:val="004E5351"/>
    <w:rsid w:val="004E54FC"/>
    <w:rsid w:val="004E58E8"/>
    <w:rsid w:val="004E58ED"/>
    <w:rsid w:val="004E62B4"/>
    <w:rsid w:val="004E6607"/>
    <w:rsid w:val="004E6B7B"/>
    <w:rsid w:val="004E6D2E"/>
    <w:rsid w:val="004E6EA6"/>
    <w:rsid w:val="004E6FE0"/>
    <w:rsid w:val="004E73D4"/>
    <w:rsid w:val="004E7475"/>
    <w:rsid w:val="004E77CB"/>
    <w:rsid w:val="004E788C"/>
    <w:rsid w:val="004E7996"/>
    <w:rsid w:val="004E79B7"/>
    <w:rsid w:val="004E7CC8"/>
    <w:rsid w:val="004E7E35"/>
    <w:rsid w:val="004F0290"/>
    <w:rsid w:val="004F0655"/>
    <w:rsid w:val="004F0A83"/>
    <w:rsid w:val="004F11A9"/>
    <w:rsid w:val="004F123A"/>
    <w:rsid w:val="004F133B"/>
    <w:rsid w:val="004F13BA"/>
    <w:rsid w:val="004F15D8"/>
    <w:rsid w:val="004F193A"/>
    <w:rsid w:val="004F19C5"/>
    <w:rsid w:val="004F1A79"/>
    <w:rsid w:val="004F1A94"/>
    <w:rsid w:val="004F1AF1"/>
    <w:rsid w:val="004F1DA0"/>
    <w:rsid w:val="004F23A6"/>
    <w:rsid w:val="004F2C05"/>
    <w:rsid w:val="004F2CE6"/>
    <w:rsid w:val="004F2EE9"/>
    <w:rsid w:val="004F3269"/>
    <w:rsid w:val="004F334B"/>
    <w:rsid w:val="004F34D2"/>
    <w:rsid w:val="004F361D"/>
    <w:rsid w:val="004F36CD"/>
    <w:rsid w:val="004F3A9A"/>
    <w:rsid w:val="004F3B0B"/>
    <w:rsid w:val="004F3C45"/>
    <w:rsid w:val="004F3CB3"/>
    <w:rsid w:val="004F414D"/>
    <w:rsid w:val="004F46D8"/>
    <w:rsid w:val="004F4ACF"/>
    <w:rsid w:val="004F4EED"/>
    <w:rsid w:val="004F4F61"/>
    <w:rsid w:val="004F4FF8"/>
    <w:rsid w:val="004F5006"/>
    <w:rsid w:val="004F5715"/>
    <w:rsid w:val="004F573D"/>
    <w:rsid w:val="004F57C9"/>
    <w:rsid w:val="004F57FF"/>
    <w:rsid w:val="004F58B7"/>
    <w:rsid w:val="004F5B2D"/>
    <w:rsid w:val="004F5F30"/>
    <w:rsid w:val="004F600F"/>
    <w:rsid w:val="004F604D"/>
    <w:rsid w:val="004F6231"/>
    <w:rsid w:val="004F63E9"/>
    <w:rsid w:val="004F6740"/>
    <w:rsid w:val="004F67E1"/>
    <w:rsid w:val="004F6A8C"/>
    <w:rsid w:val="004F6B5E"/>
    <w:rsid w:val="004F6BA3"/>
    <w:rsid w:val="004F6D63"/>
    <w:rsid w:val="004F7398"/>
    <w:rsid w:val="004F73A5"/>
    <w:rsid w:val="005001F6"/>
    <w:rsid w:val="00500955"/>
    <w:rsid w:val="005011E6"/>
    <w:rsid w:val="0050125E"/>
    <w:rsid w:val="00501399"/>
    <w:rsid w:val="005013C5"/>
    <w:rsid w:val="0050153F"/>
    <w:rsid w:val="00501B1B"/>
    <w:rsid w:val="00501BDE"/>
    <w:rsid w:val="00501D9A"/>
    <w:rsid w:val="00501F6C"/>
    <w:rsid w:val="00502121"/>
    <w:rsid w:val="00502203"/>
    <w:rsid w:val="00502366"/>
    <w:rsid w:val="005025A5"/>
    <w:rsid w:val="00502973"/>
    <w:rsid w:val="00502BA5"/>
    <w:rsid w:val="00502D37"/>
    <w:rsid w:val="00502E41"/>
    <w:rsid w:val="00502E53"/>
    <w:rsid w:val="0050307A"/>
    <w:rsid w:val="005039D8"/>
    <w:rsid w:val="00503A50"/>
    <w:rsid w:val="00503B8D"/>
    <w:rsid w:val="005041EC"/>
    <w:rsid w:val="0050429C"/>
    <w:rsid w:val="0050469A"/>
    <w:rsid w:val="005049F3"/>
    <w:rsid w:val="00504A1A"/>
    <w:rsid w:val="00504D4C"/>
    <w:rsid w:val="00504DD5"/>
    <w:rsid w:val="00504FE2"/>
    <w:rsid w:val="00505151"/>
    <w:rsid w:val="00505527"/>
    <w:rsid w:val="005055D2"/>
    <w:rsid w:val="005059A1"/>
    <w:rsid w:val="00505A3B"/>
    <w:rsid w:val="00505A4D"/>
    <w:rsid w:val="00505C5A"/>
    <w:rsid w:val="00505D03"/>
    <w:rsid w:val="0050603A"/>
    <w:rsid w:val="0050633D"/>
    <w:rsid w:val="00506954"/>
    <w:rsid w:val="00506CF6"/>
    <w:rsid w:val="00506D0A"/>
    <w:rsid w:val="005070E5"/>
    <w:rsid w:val="00507BC4"/>
    <w:rsid w:val="00510157"/>
    <w:rsid w:val="005101F6"/>
    <w:rsid w:val="00510211"/>
    <w:rsid w:val="00510234"/>
    <w:rsid w:val="00510255"/>
    <w:rsid w:val="00510325"/>
    <w:rsid w:val="005104D4"/>
    <w:rsid w:val="0051067D"/>
    <w:rsid w:val="00510CEA"/>
    <w:rsid w:val="0051128D"/>
    <w:rsid w:val="005114B6"/>
    <w:rsid w:val="00511514"/>
    <w:rsid w:val="00511DBD"/>
    <w:rsid w:val="005121F5"/>
    <w:rsid w:val="00512302"/>
    <w:rsid w:val="00512714"/>
    <w:rsid w:val="005128E4"/>
    <w:rsid w:val="00512E8A"/>
    <w:rsid w:val="005133DB"/>
    <w:rsid w:val="005134B9"/>
    <w:rsid w:val="0051361F"/>
    <w:rsid w:val="00513755"/>
    <w:rsid w:val="005139CB"/>
    <w:rsid w:val="005139D5"/>
    <w:rsid w:val="00513CB7"/>
    <w:rsid w:val="00513E30"/>
    <w:rsid w:val="00513FD3"/>
    <w:rsid w:val="00514330"/>
    <w:rsid w:val="0051487D"/>
    <w:rsid w:val="00514FA3"/>
    <w:rsid w:val="005155B3"/>
    <w:rsid w:val="0051562E"/>
    <w:rsid w:val="005156FA"/>
    <w:rsid w:val="00515A14"/>
    <w:rsid w:val="00515B15"/>
    <w:rsid w:val="00515B37"/>
    <w:rsid w:val="00515DC3"/>
    <w:rsid w:val="0051641F"/>
    <w:rsid w:val="0051673E"/>
    <w:rsid w:val="00516778"/>
    <w:rsid w:val="00516871"/>
    <w:rsid w:val="005169D0"/>
    <w:rsid w:val="00516C63"/>
    <w:rsid w:val="00516D23"/>
    <w:rsid w:val="00516DCE"/>
    <w:rsid w:val="00517746"/>
    <w:rsid w:val="00520869"/>
    <w:rsid w:val="00520AD9"/>
    <w:rsid w:val="00520B5A"/>
    <w:rsid w:val="00520BAB"/>
    <w:rsid w:val="00520CF4"/>
    <w:rsid w:val="005216DC"/>
    <w:rsid w:val="0052196E"/>
    <w:rsid w:val="00521C52"/>
    <w:rsid w:val="00521C8E"/>
    <w:rsid w:val="00521CF5"/>
    <w:rsid w:val="0052239B"/>
    <w:rsid w:val="0052266E"/>
    <w:rsid w:val="0052293F"/>
    <w:rsid w:val="0052356C"/>
    <w:rsid w:val="00523571"/>
    <w:rsid w:val="00523909"/>
    <w:rsid w:val="005239B1"/>
    <w:rsid w:val="0052405D"/>
    <w:rsid w:val="0052425B"/>
    <w:rsid w:val="005245C0"/>
    <w:rsid w:val="0052469C"/>
    <w:rsid w:val="00524703"/>
    <w:rsid w:val="0052491D"/>
    <w:rsid w:val="00524B98"/>
    <w:rsid w:val="00524C2F"/>
    <w:rsid w:val="005254C4"/>
    <w:rsid w:val="00525560"/>
    <w:rsid w:val="0052567E"/>
    <w:rsid w:val="005256E9"/>
    <w:rsid w:val="005259A3"/>
    <w:rsid w:val="00525D29"/>
    <w:rsid w:val="00525F9B"/>
    <w:rsid w:val="00526081"/>
    <w:rsid w:val="005260C9"/>
    <w:rsid w:val="00526252"/>
    <w:rsid w:val="0052651C"/>
    <w:rsid w:val="00526862"/>
    <w:rsid w:val="00526BE2"/>
    <w:rsid w:val="00527688"/>
    <w:rsid w:val="005276EF"/>
    <w:rsid w:val="005278B0"/>
    <w:rsid w:val="00527C71"/>
    <w:rsid w:val="00527CE9"/>
    <w:rsid w:val="00527D40"/>
    <w:rsid w:val="00527E01"/>
    <w:rsid w:val="00527E99"/>
    <w:rsid w:val="0053018C"/>
    <w:rsid w:val="005307E1"/>
    <w:rsid w:val="00530AED"/>
    <w:rsid w:val="00530D87"/>
    <w:rsid w:val="00530E8B"/>
    <w:rsid w:val="00530ED5"/>
    <w:rsid w:val="00531486"/>
    <w:rsid w:val="005314E9"/>
    <w:rsid w:val="005319E8"/>
    <w:rsid w:val="00531BC2"/>
    <w:rsid w:val="00531C16"/>
    <w:rsid w:val="00531E33"/>
    <w:rsid w:val="00531E73"/>
    <w:rsid w:val="00531F93"/>
    <w:rsid w:val="0053252B"/>
    <w:rsid w:val="00532590"/>
    <w:rsid w:val="00532692"/>
    <w:rsid w:val="005328A1"/>
    <w:rsid w:val="00532975"/>
    <w:rsid w:val="00532A86"/>
    <w:rsid w:val="00533269"/>
    <w:rsid w:val="005334E2"/>
    <w:rsid w:val="0053366D"/>
    <w:rsid w:val="00533740"/>
    <w:rsid w:val="00533F0F"/>
    <w:rsid w:val="005342C2"/>
    <w:rsid w:val="00534382"/>
    <w:rsid w:val="00534464"/>
    <w:rsid w:val="00534C25"/>
    <w:rsid w:val="00535168"/>
    <w:rsid w:val="0053535A"/>
    <w:rsid w:val="00535B6C"/>
    <w:rsid w:val="005362D9"/>
    <w:rsid w:val="00536644"/>
    <w:rsid w:val="00536BCA"/>
    <w:rsid w:val="005370C8"/>
    <w:rsid w:val="0053714C"/>
    <w:rsid w:val="0053723D"/>
    <w:rsid w:val="005373F9"/>
    <w:rsid w:val="0053747D"/>
    <w:rsid w:val="005376D7"/>
    <w:rsid w:val="00537BA6"/>
    <w:rsid w:val="00537E23"/>
    <w:rsid w:val="00537E73"/>
    <w:rsid w:val="00540022"/>
    <w:rsid w:val="005403C4"/>
    <w:rsid w:val="00540577"/>
    <w:rsid w:val="005406CB"/>
    <w:rsid w:val="0054097C"/>
    <w:rsid w:val="00540A6A"/>
    <w:rsid w:val="00540C2B"/>
    <w:rsid w:val="00540C97"/>
    <w:rsid w:val="00540EA2"/>
    <w:rsid w:val="0054100B"/>
    <w:rsid w:val="005410E2"/>
    <w:rsid w:val="00541139"/>
    <w:rsid w:val="00541638"/>
    <w:rsid w:val="00541B5A"/>
    <w:rsid w:val="00541F66"/>
    <w:rsid w:val="0054210D"/>
    <w:rsid w:val="0054242C"/>
    <w:rsid w:val="00542583"/>
    <w:rsid w:val="00542774"/>
    <w:rsid w:val="005429D5"/>
    <w:rsid w:val="00542A42"/>
    <w:rsid w:val="00542A9F"/>
    <w:rsid w:val="00542DA9"/>
    <w:rsid w:val="00542EF4"/>
    <w:rsid w:val="0054312D"/>
    <w:rsid w:val="005432FB"/>
    <w:rsid w:val="00543399"/>
    <w:rsid w:val="00543535"/>
    <w:rsid w:val="00543771"/>
    <w:rsid w:val="00543AD2"/>
    <w:rsid w:val="00543B86"/>
    <w:rsid w:val="00543E41"/>
    <w:rsid w:val="00543EE5"/>
    <w:rsid w:val="00543FF6"/>
    <w:rsid w:val="00544007"/>
    <w:rsid w:val="00544144"/>
    <w:rsid w:val="0054436F"/>
    <w:rsid w:val="005444EF"/>
    <w:rsid w:val="00544570"/>
    <w:rsid w:val="0054465B"/>
    <w:rsid w:val="00544AAD"/>
    <w:rsid w:val="00544ABA"/>
    <w:rsid w:val="00544C49"/>
    <w:rsid w:val="00544CFA"/>
    <w:rsid w:val="00544E24"/>
    <w:rsid w:val="00544F8F"/>
    <w:rsid w:val="00544FDE"/>
    <w:rsid w:val="005451EB"/>
    <w:rsid w:val="0054575C"/>
    <w:rsid w:val="00545A37"/>
    <w:rsid w:val="00545E4B"/>
    <w:rsid w:val="00545FCB"/>
    <w:rsid w:val="0054604C"/>
    <w:rsid w:val="005461B1"/>
    <w:rsid w:val="0054639F"/>
    <w:rsid w:val="00546645"/>
    <w:rsid w:val="0054677D"/>
    <w:rsid w:val="00546A27"/>
    <w:rsid w:val="00546A52"/>
    <w:rsid w:val="0054729D"/>
    <w:rsid w:val="00547331"/>
    <w:rsid w:val="0054741E"/>
    <w:rsid w:val="005477CF"/>
    <w:rsid w:val="00547E2E"/>
    <w:rsid w:val="00550CD0"/>
    <w:rsid w:val="00550CE7"/>
    <w:rsid w:val="00550D2B"/>
    <w:rsid w:val="00550FA9"/>
    <w:rsid w:val="0055110A"/>
    <w:rsid w:val="00551166"/>
    <w:rsid w:val="0055148C"/>
    <w:rsid w:val="005516A1"/>
    <w:rsid w:val="005520EC"/>
    <w:rsid w:val="00552344"/>
    <w:rsid w:val="005523F0"/>
    <w:rsid w:val="0055250F"/>
    <w:rsid w:val="00552650"/>
    <w:rsid w:val="005529AC"/>
    <w:rsid w:val="00552E56"/>
    <w:rsid w:val="00552EF8"/>
    <w:rsid w:val="00553A72"/>
    <w:rsid w:val="00553A91"/>
    <w:rsid w:val="00553FAF"/>
    <w:rsid w:val="00554356"/>
    <w:rsid w:val="00554574"/>
    <w:rsid w:val="0055459E"/>
    <w:rsid w:val="005545D8"/>
    <w:rsid w:val="00555008"/>
    <w:rsid w:val="005554D2"/>
    <w:rsid w:val="00555928"/>
    <w:rsid w:val="00555B04"/>
    <w:rsid w:val="00555CA5"/>
    <w:rsid w:val="00556013"/>
    <w:rsid w:val="0055622C"/>
    <w:rsid w:val="005565FA"/>
    <w:rsid w:val="00556617"/>
    <w:rsid w:val="0055682B"/>
    <w:rsid w:val="00556BF8"/>
    <w:rsid w:val="00556E03"/>
    <w:rsid w:val="00556EE9"/>
    <w:rsid w:val="00557125"/>
    <w:rsid w:val="00557549"/>
    <w:rsid w:val="00557B7A"/>
    <w:rsid w:val="00557E63"/>
    <w:rsid w:val="00557F06"/>
    <w:rsid w:val="0056011B"/>
    <w:rsid w:val="00560142"/>
    <w:rsid w:val="00560355"/>
    <w:rsid w:val="00560418"/>
    <w:rsid w:val="00560543"/>
    <w:rsid w:val="00560687"/>
    <w:rsid w:val="005606BF"/>
    <w:rsid w:val="00560707"/>
    <w:rsid w:val="0056073E"/>
    <w:rsid w:val="00560AB5"/>
    <w:rsid w:val="00560D7D"/>
    <w:rsid w:val="00560DA6"/>
    <w:rsid w:val="0056133B"/>
    <w:rsid w:val="005613EE"/>
    <w:rsid w:val="0056174C"/>
    <w:rsid w:val="005617AA"/>
    <w:rsid w:val="00561A87"/>
    <w:rsid w:val="00561C20"/>
    <w:rsid w:val="00561D5A"/>
    <w:rsid w:val="00561FA0"/>
    <w:rsid w:val="00562587"/>
    <w:rsid w:val="00562600"/>
    <w:rsid w:val="005626E9"/>
    <w:rsid w:val="00563158"/>
    <w:rsid w:val="00563264"/>
    <w:rsid w:val="0056357E"/>
    <w:rsid w:val="00563767"/>
    <w:rsid w:val="00563885"/>
    <w:rsid w:val="00563887"/>
    <w:rsid w:val="0056392C"/>
    <w:rsid w:val="00563977"/>
    <w:rsid w:val="00563B06"/>
    <w:rsid w:val="00563BAE"/>
    <w:rsid w:val="00563F9A"/>
    <w:rsid w:val="005642AA"/>
    <w:rsid w:val="005644B8"/>
    <w:rsid w:val="00564554"/>
    <w:rsid w:val="0056495C"/>
    <w:rsid w:val="00565026"/>
    <w:rsid w:val="005652C1"/>
    <w:rsid w:val="0056548E"/>
    <w:rsid w:val="00565499"/>
    <w:rsid w:val="00565684"/>
    <w:rsid w:val="00565885"/>
    <w:rsid w:val="00565A04"/>
    <w:rsid w:val="00566106"/>
    <w:rsid w:val="0056619F"/>
    <w:rsid w:val="005662DD"/>
    <w:rsid w:val="00566347"/>
    <w:rsid w:val="0056639B"/>
    <w:rsid w:val="0056682E"/>
    <w:rsid w:val="00566921"/>
    <w:rsid w:val="00566BC9"/>
    <w:rsid w:val="005674CB"/>
    <w:rsid w:val="0056773F"/>
    <w:rsid w:val="005679FF"/>
    <w:rsid w:val="00570114"/>
    <w:rsid w:val="00570334"/>
    <w:rsid w:val="00570607"/>
    <w:rsid w:val="005709FB"/>
    <w:rsid w:val="00570B7D"/>
    <w:rsid w:val="00570C70"/>
    <w:rsid w:val="00571064"/>
    <w:rsid w:val="0057123C"/>
    <w:rsid w:val="005715B7"/>
    <w:rsid w:val="00571632"/>
    <w:rsid w:val="00571C90"/>
    <w:rsid w:val="00571DE0"/>
    <w:rsid w:val="005723D9"/>
    <w:rsid w:val="00572700"/>
    <w:rsid w:val="00572A86"/>
    <w:rsid w:val="00572B98"/>
    <w:rsid w:val="00572DDE"/>
    <w:rsid w:val="0057309A"/>
    <w:rsid w:val="00573798"/>
    <w:rsid w:val="0057389F"/>
    <w:rsid w:val="00573C8E"/>
    <w:rsid w:val="00573E39"/>
    <w:rsid w:val="0057402A"/>
    <w:rsid w:val="00574086"/>
    <w:rsid w:val="00574396"/>
    <w:rsid w:val="0057447D"/>
    <w:rsid w:val="0057455E"/>
    <w:rsid w:val="00574BCF"/>
    <w:rsid w:val="00574BE6"/>
    <w:rsid w:val="00574E64"/>
    <w:rsid w:val="00574EF7"/>
    <w:rsid w:val="00575540"/>
    <w:rsid w:val="00575753"/>
    <w:rsid w:val="005758A8"/>
    <w:rsid w:val="00575998"/>
    <w:rsid w:val="00575C14"/>
    <w:rsid w:val="00575E2A"/>
    <w:rsid w:val="00575E9C"/>
    <w:rsid w:val="00575F26"/>
    <w:rsid w:val="0057643D"/>
    <w:rsid w:val="00576777"/>
    <w:rsid w:val="00576860"/>
    <w:rsid w:val="00576E74"/>
    <w:rsid w:val="00576F11"/>
    <w:rsid w:val="00576F2E"/>
    <w:rsid w:val="005771D0"/>
    <w:rsid w:val="0057728A"/>
    <w:rsid w:val="005772F8"/>
    <w:rsid w:val="00577581"/>
    <w:rsid w:val="00577665"/>
    <w:rsid w:val="00577783"/>
    <w:rsid w:val="00577C88"/>
    <w:rsid w:val="00577DED"/>
    <w:rsid w:val="00580031"/>
    <w:rsid w:val="00580333"/>
    <w:rsid w:val="00580A83"/>
    <w:rsid w:val="00580CCA"/>
    <w:rsid w:val="0058101F"/>
    <w:rsid w:val="005810CD"/>
    <w:rsid w:val="0058177F"/>
    <w:rsid w:val="005818A2"/>
    <w:rsid w:val="0058192E"/>
    <w:rsid w:val="0058194B"/>
    <w:rsid w:val="00581A89"/>
    <w:rsid w:val="00581CDD"/>
    <w:rsid w:val="00581D90"/>
    <w:rsid w:val="00581DFC"/>
    <w:rsid w:val="00581E6D"/>
    <w:rsid w:val="00582096"/>
    <w:rsid w:val="005822B9"/>
    <w:rsid w:val="005825C4"/>
    <w:rsid w:val="00582959"/>
    <w:rsid w:val="00582A0B"/>
    <w:rsid w:val="00582D36"/>
    <w:rsid w:val="00582F5F"/>
    <w:rsid w:val="00582FE3"/>
    <w:rsid w:val="0058377A"/>
    <w:rsid w:val="005837C1"/>
    <w:rsid w:val="00583C78"/>
    <w:rsid w:val="00583D18"/>
    <w:rsid w:val="0058400D"/>
    <w:rsid w:val="00584228"/>
    <w:rsid w:val="0058422E"/>
    <w:rsid w:val="005842E2"/>
    <w:rsid w:val="00584C57"/>
    <w:rsid w:val="00584D24"/>
    <w:rsid w:val="00584DD1"/>
    <w:rsid w:val="00584EBE"/>
    <w:rsid w:val="005855B2"/>
    <w:rsid w:val="005858DC"/>
    <w:rsid w:val="00585981"/>
    <w:rsid w:val="00585A8F"/>
    <w:rsid w:val="00585D83"/>
    <w:rsid w:val="00585E67"/>
    <w:rsid w:val="00585FFF"/>
    <w:rsid w:val="005860CC"/>
    <w:rsid w:val="0058619A"/>
    <w:rsid w:val="005862CB"/>
    <w:rsid w:val="00586F50"/>
    <w:rsid w:val="00587276"/>
    <w:rsid w:val="005874C8"/>
    <w:rsid w:val="005878C3"/>
    <w:rsid w:val="00587C05"/>
    <w:rsid w:val="00587CE3"/>
    <w:rsid w:val="00587D44"/>
    <w:rsid w:val="00587D9C"/>
    <w:rsid w:val="00587EDF"/>
    <w:rsid w:val="0059005F"/>
    <w:rsid w:val="00590771"/>
    <w:rsid w:val="00590A5F"/>
    <w:rsid w:val="00590AC9"/>
    <w:rsid w:val="00590B1D"/>
    <w:rsid w:val="00590CE7"/>
    <w:rsid w:val="005912A2"/>
    <w:rsid w:val="005913D4"/>
    <w:rsid w:val="00591708"/>
    <w:rsid w:val="005918C2"/>
    <w:rsid w:val="0059191A"/>
    <w:rsid w:val="00591AE6"/>
    <w:rsid w:val="00591D12"/>
    <w:rsid w:val="005920D5"/>
    <w:rsid w:val="005921BB"/>
    <w:rsid w:val="005921DF"/>
    <w:rsid w:val="005921FF"/>
    <w:rsid w:val="005923CF"/>
    <w:rsid w:val="005925C7"/>
    <w:rsid w:val="00592672"/>
    <w:rsid w:val="00592B7B"/>
    <w:rsid w:val="00592F5D"/>
    <w:rsid w:val="005934E4"/>
    <w:rsid w:val="005934E5"/>
    <w:rsid w:val="005935D2"/>
    <w:rsid w:val="00593870"/>
    <w:rsid w:val="00593875"/>
    <w:rsid w:val="00593896"/>
    <w:rsid w:val="0059391D"/>
    <w:rsid w:val="00593B1B"/>
    <w:rsid w:val="00594297"/>
    <w:rsid w:val="00594871"/>
    <w:rsid w:val="005949AD"/>
    <w:rsid w:val="00594B9F"/>
    <w:rsid w:val="00594FFE"/>
    <w:rsid w:val="0059504F"/>
    <w:rsid w:val="00595184"/>
    <w:rsid w:val="00595AF4"/>
    <w:rsid w:val="00595E71"/>
    <w:rsid w:val="0059609F"/>
    <w:rsid w:val="0059641C"/>
    <w:rsid w:val="00596572"/>
    <w:rsid w:val="0059662E"/>
    <w:rsid w:val="005967AB"/>
    <w:rsid w:val="00596865"/>
    <w:rsid w:val="00596CAC"/>
    <w:rsid w:val="00596E2A"/>
    <w:rsid w:val="00596E80"/>
    <w:rsid w:val="00596F17"/>
    <w:rsid w:val="00597060"/>
    <w:rsid w:val="005970A8"/>
    <w:rsid w:val="005970DF"/>
    <w:rsid w:val="0059717F"/>
    <w:rsid w:val="00597407"/>
    <w:rsid w:val="005976A9"/>
    <w:rsid w:val="00597ADB"/>
    <w:rsid w:val="00597D4B"/>
    <w:rsid w:val="00597FA0"/>
    <w:rsid w:val="005A066F"/>
    <w:rsid w:val="005A0918"/>
    <w:rsid w:val="005A0CD7"/>
    <w:rsid w:val="005A0E84"/>
    <w:rsid w:val="005A0FE5"/>
    <w:rsid w:val="005A1455"/>
    <w:rsid w:val="005A15BE"/>
    <w:rsid w:val="005A201E"/>
    <w:rsid w:val="005A2053"/>
    <w:rsid w:val="005A22F6"/>
    <w:rsid w:val="005A2996"/>
    <w:rsid w:val="005A3348"/>
    <w:rsid w:val="005A3463"/>
    <w:rsid w:val="005A36F2"/>
    <w:rsid w:val="005A3886"/>
    <w:rsid w:val="005A3D24"/>
    <w:rsid w:val="005A3E3F"/>
    <w:rsid w:val="005A3EFF"/>
    <w:rsid w:val="005A3F06"/>
    <w:rsid w:val="005A420C"/>
    <w:rsid w:val="005A4311"/>
    <w:rsid w:val="005A46A2"/>
    <w:rsid w:val="005A4777"/>
    <w:rsid w:val="005A4BD4"/>
    <w:rsid w:val="005A4D17"/>
    <w:rsid w:val="005A4E99"/>
    <w:rsid w:val="005A5320"/>
    <w:rsid w:val="005A545C"/>
    <w:rsid w:val="005A555E"/>
    <w:rsid w:val="005A55AD"/>
    <w:rsid w:val="005A5702"/>
    <w:rsid w:val="005A5C58"/>
    <w:rsid w:val="005A5F2C"/>
    <w:rsid w:val="005A61C9"/>
    <w:rsid w:val="005A63AF"/>
    <w:rsid w:val="005A64E9"/>
    <w:rsid w:val="005A672C"/>
    <w:rsid w:val="005A6818"/>
    <w:rsid w:val="005A68B0"/>
    <w:rsid w:val="005A68B3"/>
    <w:rsid w:val="005A6D0E"/>
    <w:rsid w:val="005A71C6"/>
    <w:rsid w:val="005A7569"/>
    <w:rsid w:val="005A763E"/>
    <w:rsid w:val="005A77C4"/>
    <w:rsid w:val="005A78EF"/>
    <w:rsid w:val="005A7A04"/>
    <w:rsid w:val="005A7A72"/>
    <w:rsid w:val="005A7D4B"/>
    <w:rsid w:val="005A7ED9"/>
    <w:rsid w:val="005A7FEA"/>
    <w:rsid w:val="005B018D"/>
    <w:rsid w:val="005B03FD"/>
    <w:rsid w:val="005B048D"/>
    <w:rsid w:val="005B0539"/>
    <w:rsid w:val="005B0EA9"/>
    <w:rsid w:val="005B1236"/>
    <w:rsid w:val="005B1410"/>
    <w:rsid w:val="005B142C"/>
    <w:rsid w:val="005B1538"/>
    <w:rsid w:val="005B155B"/>
    <w:rsid w:val="005B1670"/>
    <w:rsid w:val="005B1C5F"/>
    <w:rsid w:val="005B1D77"/>
    <w:rsid w:val="005B221E"/>
    <w:rsid w:val="005B22CA"/>
    <w:rsid w:val="005B2461"/>
    <w:rsid w:val="005B246E"/>
    <w:rsid w:val="005B26D5"/>
    <w:rsid w:val="005B27A1"/>
    <w:rsid w:val="005B2949"/>
    <w:rsid w:val="005B2B19"/>
    <w:rsid w:val="005B2C4F"/>
    <w:rsid w:val="005B3078"/>
    <w:rsid w:val="005B307E"/>
    <w:rsid w:val="005B3401"/>
    <w:rsid w:val="005B3859"/>
    <w:rsid w:val="005B3A06"/>
    <w:rsid w:val="005B3CF4"/>
    <w:rsid w:val="005B4313"/>
    <w:rsid w:val="005B4396"/>
    <w:rsid w:val="005B4442"/>
    <w:rsid w:val="005B458F"/>
    <w:rsid w:val="005B46E5"/>
    <w:rsid w:val="005B4954"/>
    <w:rsid w:val="005B4B89"/>
    <w:rsid w:val="005B4D19"/>
    <w:rsid w:val="005B52B0"/>
    <w:rsid w:val="005B542E"/>
    <w:rsid w:val="005B54B1"/>
    <w:rsid w:val="005B55BE"/>
    <w:rsid w:val="005B586F"/>
    <w:rsid w:val="005B5E1E"/>
    <w:rsid w:val="005B5F46"/>
    <w:rsid w:val="005B6207"/>
    <w:rsid w:val="005B66E4"/>
    <w:rsid w:val="005B6806"/>
    <w:rsid w:val="005B6890"/>
    <w:rsid w:val="005B6B14"/>
    <w:rsid w:val="005B6B30"/>
    <w:rsid w:val="005B7153"/>
    <w:rsid w:val="005B72CA"/>
    <w:rsid w:val="005B7552"/>
    <w:rsid w:val="005B7ADF"/>
    <w:rsid w:val="005C0276"/>
    <w:rsid w:val="005C04F7"/>
    <w:rsid w:val="005C0569"/>
    <w:rsid w:val="005C0612"/>
    <w:rsid w:val="005C0771"/>
    <w:rsid w:val="005C07CE"/>
    <w:rsid w:val="005C0C4D"/>
    <w:rsid w:val="005C1183"/>
    <w:rsid w:val="005C13B1"/>
    <w:rsid w:val="005C1795"/>
    <w:rsid w:val="005C181C"/>
    <w:rsid w:val="005C1A4C"/>
    <w:rsid w:val="005C1E7A"/>
    <w:rsid w:val="005C29D7"/>
    <w:rsid w:val="005C2A8E"/>
    <w:rsid w:val="005C2C66"/>
    <w:rsid w:val="005C319B"/>
    <w:rsid w:val="005C31A7"/>
    <w:rsid w:val="005C3AAC"/>
    <w:rsid w:val="005C3AF8"/>
    <w:rsid w:val="005C3B88"/>
    <w:rsid w:val="005C3CCD"/>
    <w:rsid w:val="005C4225"/>
    <w:rsid w:val="005C439E"/>
    <w:rsid w:val="005C4651"/>
    <w:rsid w:val="005C4767"/>
    <w:rsid w:val="005C490F"/>
    <w:rsid w:val="005C49B8"/>
    <w:rsid w:val="005C4BC0"/>
    <w:rsid w:val="005C4F99"/>
    <w:rsid w:val="005C5643"/>
    <w:rsid w:val="005C57A0"/>
    <w:rsid w:val="005C612F"/>
    <w:rsid w:val="005C6514"/>
    <w:rsid w:val="005C6F03"/>
    <w:rsid w:val="005C700F"/>
    <w:rsid w:val="005C71A5"/>
    <w:rsid w:val="005C7488"/>
    <w:rsid w:val="005C74BF"/>
    <w:rsid w:val="005C772D"/>
    <w:rsid w:val="005C7F7D"/>
    <w:rsid w:val="005D02E8"/>
    <w:rsid w:val="005D041A"/>
    <w:rsid w:val="005D0D6B"/>
    <w:rsid w:val="005D1F4F"/>
    <w:rsid w:val="005D2501"/>
    <w:rsid w:val="005D2630"/>
    <w:rsid w:val="005D2926"/>
    <w:rsid w:val="005D2B1A"/>
    <w:rsid w:val="005D3109"/>
    <w:rsid w:val="005D35DB"/>
    <w:rsid w:val="005D3C3E"/>
    <w:rsid w:val="005D3CB6"/>
    <w:rsid w:val="005D442E"/>
    <w:rsid w:val="005D4463"/>
    <w:rsid w:val="005D44F3"/>
    <w:rsid w:val="005D4841"/>
    <w:rsid w:val="005D4947"/>
    <w:rsid w:val="005D4AA9"/>
    <w:rsid w:val="005D4B0E"/>
    <w:rsid w:val="005D4BFB"/>
    <w:rsid w:val="005D4C09"/>
    <w:rsid w:val="005D4DAE"/>
    <w:rsid w:val="005D52C5"/>
    <w:rsid w:val="005D531D"/>
    <w:rsid w:val="005D5528"/>
    <w:rsid w:val="005D5539"/>
    <w:rsid w:val="005D58B5"/>
    <w:rsid w:val="005D5AE2"/>
    <w:rsid w:val="005D5CC0"/>
    <w:rsid w:val="005D5CD2"/>
    <w:rsid w:val="005D6024"/>
    <w:rsid w:val="005D64B9"/>
    <w:rsid w:val="005D6695"/>
    <w:rsid w:val="005D6E8A"/>
    <w:rsid w:val="005D76E5"/>
    <w:rsid w:val="005E00FD"/>
    <w:rsid w:val="005E0415"/>
    <w:rsid w:val="005E04E5"/>
    <w:rsid w:val="005E081B"/>
    <w:rsid w:val="005E091C"/>
    <w:rsid w:val="005E09DC"/>
    <w:rsid w:val="005E0A12"/>
    <w:rsid w:val="005E140D"/>
    <w:rsid w:val="005E1599"/>
    <w:rsid w:val="005E17DF"/>
    <w:rsid w:val="005E1D97"/>
    <w:rsid w:val="005E1F03"/>
    <w:rsid w:val="005E21D4"/>
    <w:rsid w:val="005E235D"/>
    <w:rsid w:val="005E2874"/>
    <w:rsid w:val="005E2A54"/>
    <w:rsid w:val="005E2F8B"/>
    <w:rsid w:val="005E3264"/>
    <w:rsid w:val="005E3806"/>
    <w:rsid w:val="005E3919"/>
    <w:rsid w:val="005E3988"/>
    <w:rsid w:val="005E39C7"/>
    <w:rsid w:val="005E3C6C"/>
    <w:rsid w:val="005E4055"/>
    <w:rsid w:val="005E4081"/>
    <w:rsid w:val="005E41C6"/>
    <w:rsid w:val="005E421A"/>
    <w:rsid w:val="005E441F"/>
    <w:rsid w:val="005E4479"/>
    <w:rsid w:val="005E4543"/>
    <w:rsid w:val="005E45A4"/>
    <w:rsid w:val="005E48F2"/>
    <w:rsid w:val="005E5437"/>
    <w:rsid w:val="005E5580"/>
    <w:rsid w:val="005E56C9"/>
    <w:rsid w:val="005E59D9"/>
    <w:rsid w:val="005E5F4D"/>
    <w:rsid w:val="005E63E4"/>
    <w:rsid w:val="005E6507"/>
    <w:rsid w:val="005E65A6"/>
    <w:rsid w:val="005E65A7"/>
    <w:rsid w:val="005E66E5"/>
    <w:rsid w:val="005E699D"/>
    <w:rsid w:val="005E6E99"/>
    <w:rsid w:val="005E6F6C"/>
    <w:rsid w:val="005E6F71"/>
    <w:rsid w:val="005E7833"/>
    <w:rsid w:val="005E7839"/>
    <w:rsid w:val="005E7C5A"/>
    <w:rsid w:val="005E7F6F"/>
    <w:rsid w:val="005E7F73"/>
    <w:rsid w:val="005F04D3"/>
    <w:rsid w:val="005F05EF"/>
    <w:rsid w:val="005F0A37"/>
    <w:rsid w:val="005F0DAD"/>
    <w:rsid w:val="005F0F33"/>
    <w:rsid w:val="005F10FD"/>
    <w:rsid w:val="005F12AF"/>
    <w:rsid w:val="005F178D"/>
    <w:rsid w:val="005F1F3B"/>
    <w:rsid w:val="005F1F6E"/>
    <w:rsid w:val="005F2194"/>
    <w:rsid w:val="005F25C4"/>
    <w:rsid w:val="005F2728"/>
    <w:rsid w:val="005F2751"/>
    <w:rsid w:val="005F2F23"/>
    <w:rsid w:val="005F349E"/>
    <w:rsid w:val="005F35B6"/>
    <w:rsid w:val="005F3A3B"/>
    <w:rsid w:val="005F3AA0"/>
    <w:rsid w:val="005F3BAA"/>
    <w:rsid w:val="005F3DAE"/>
    <w:rsid w:val="005F400F"/>
    <w:rsid w:val="005F41B6"/>
    <w:rsid w:val="005F4951"/>
    <w:rsid w:val="005F496A"/>
    <w:rsid w:val="005F4DAF"/>
    <w:rsid w:val="005F539F"/>
    <w:rsid w:val="005F5622"/>
    <w:rsid w:val="005F59E6"/>
    <w:rsid w:val="005F5E04"/>
    <w:rsid w:val="005F5E4B"/>
    <w:rsid w:val="005F6105"/>
    <w:rsid w:val="005F6475"/>
    <w:rsid w:val="005F66E5"/>
    <w:rsid w:val="005F6AA6"/>
    <w:rsid w:val="005F6F1E"/>
    <w:rsid w:val="005F7076"/>
    <w:rsid w:val="005F70D5"/>
    <w:rsid w:val="005F7154"/>
    <w:rsid w:val="005F74FD"/>
    <w:rsid w:val="005F7876"/>
    <w:rsid w:val="005F7B04"/>
    <w:rsid w:val="005F7DE2"/>
    <w:rsid w:val="005F7EE4"/>
    <w:rsid w:val="005F7F85"/>
    <w:rsid w:val="005F7FD1"/>
    <w:rsid w:val="00600363"/>
    <w:rsid w:val="00600DEB"/>
    <w:rsid w:val="00600ED5"/>
    <w:rsid w:val="0060104B"/>
    <w:rsid w:val="006019A6"/>
    <w:rsid w:val="00601AC3"/>
    <w:rsid w:val="00601D10"/>
    <w:rsid w:val="0060208A"/>
    <w:rsid w:val="00602325"/>
    <w:rsid w:val="00602481"/>
    <w:rsid w:val="006024D3"/>
    <w:rsid w:val="006027F0"/>
    <w:rsid w:val="00602908"/>
    <w:rsid w:val="00602A16"/>
    <w:rsid w:val="00602AF6"/>
    <w:rsid w:val="00602B78"/>
    <w:rsid w:val="00602BE9"/>
    <w:rsid w:val="006031D9"/>
    <w:rsid w:val="006032C8"/>
    <w:rsid w:val="00603368"/>
    <w:rsid w:val="006037CA"/>
    <w:rsid w:val="0060387A"/>
    <w:rsid w:val="00603A8C"/>
    <w:rsid w:val="00603CC3"/>
    <w:rsid w:val="00603E3C"/>
    <w:rsid w:val="00603E73"/>
    <w:rsid w:val="00603F29"/>
    <w:rsid w:val="00603F9E"/>
    <w:rsid w:val="00604126"/>
    <w:rsid w:val="0060419C"/>
    <w:rsid w:val="00604481"/>
    <w:rsid w:val="006049D5"/>
    <w:rsid w:val="00604A58"/>
    <w:rsid w:val="00604DF8"/>
    <w:rsid w:val="00604E7B"/>
    <w:rsid w:val="00605273"/>
    <w:rsid w:val="006055B4"/>
    <w:rsid w:val="00605636"/>
    <w:rsid w:val="00605639"/>
    <w:rsid w:val="00605C21"/>
    <w:rsid w:val="00605DF3"/>
    <w:rsid w:val="00605ED0"/>
    <w:rsid w:val="00605F21"/>
    <w:rsid w:val="00606418"/>
    <w:rsid w:val="0060676C"/>
    <w:rsid w:val="00606810"/>
    <w:rsid w:val="00606B13"/>
    <w:rsid w:val="0060703A"/>
    <w:rsid w:val="006070A1"/>
    <w:rsid w:val="00607355"/>
    <w:rsid w:val="006078AB"/>
    <w:rsid w:val="006078DA"/>
    <w:rsid w:val="00610191"/>
    <w:rsid w:val="00610224"/>
    <w:rsid w:val="0061040B"/>
    <w:rsid w:val="0061044D"/>
    <w:rsid w:val="006104A9"/>
    <w:rsid w:val="00610598"/>
    <w:rsid w:val="006105BA"/>
    <w:rsid w:val="0061067B"/>
    <w:rsid w:val="00610D16"/>
    <w:rsid w:val="00610F85"/>
    <w:rsid w:val="00611302"/>
    <w:rsid w:val="00611411"/>
    <w:rsid w:val="006114B3"/>
    <w:rsid w:val="006118C9"/>
    <w:rsid w:val="00611F1F"/>
    <w:rsid w:val="00612699"/>
    <w:rsid w:val="00612985"/>
    <w:rsid w:val="00612AAA"/>
    <w:rsid w:val="00612DCC"/>
    <w:rsid w:val="006132F4"/>
    <w:rsid w:val="006133B9"/>
    <w:rsid w:val="006137AB"/>
    <w:rsid w:val="00613B4E"/>
    <w:rsid w:val="006145AD"/>
    <w:rsid w:val="006147AC"/>
    <w:rsid w:val="006149CE"/>
    <w:rsid w:val="00614C69"/>
    <w:rsid w:val="00614F48"/>
    <w:rsid w:val="00615532"/>
    <w:rsid w:val="0061565D"/>
    <w:rsid w:val="006158A1"/>
    <w:rsid w:val="00615AFD"/>
    <w:rsid w:val="00615C7C"/>
    <w:rsid w:val="00615C9D"/>
    <w:rsid w:val="0061631D"/>
    <w:rsid w:val="00616468"/>
    <w:rsid w:val="00616517"/>
    <w:rsid w:val="006165A2"/>
    <w:rsid w:val="00616733"/>
    <w:rsid w:val="00616911"/>
    <w:rsid w:val="00616A06"/>
    <w:rsid w:val="00616C27"/>
    <w:rsid w:val="0061720A"/>
    <w:rsid w:val="00617467"/>
    <w:rsid w:val="0061763B"/>
    <w:rsid w:val="0061774B"/>
    <w:rsid w:val="00617A5D"/>
    <w:rsid w:val="00617C65"/>
    <w:rsid w:val="00617F15"/>
    <w:rsid w:val="006202A8"/>
    <w:rsid w:val="0062090E"/>
    <w:rsid w:val="00620984"/>
    <w:rsid w:val="006209D8"/>
    <w:rsid w:val="00620CFD"/>
    <w:rsid w:val="00620D96"/>
    <w:rsid w:val="00620FE4"/>
    <w:rsid w:val="00621376"/>
    <w:rsid w:val="00621C71"/>
    <w:rsid w:val="00621DA7"/>
    <w:rsid w:val="00621E20"/>
    <w:rsid w:val="0062206A"/>
    <w:rsid w:val="00622121"/>
    <w:rsid w:val="006222AD"/>
    <w:rsid w:val="006222C7"/>
    <w:rsid w:val="006222F0"/>
    <w:rsid w:val="00622977"/>
    <w:rsid w:val="00622D9E"/>
    <w:rsid w:val="0062320A"/>
    <w:rsid w:val="00623415"/>
    <w:rsid w:val="0062361B"/>
    <w:rsid w:val="006236F8"/>
    <w:rsid w:val="00623732"/>
    <w:rsid w:val="00623AF6"/>
    <w:rsid w:val="00623F39"/>
    <w:rsid w:val="00623F54"/>
    <w:rsid w:val="006244EF"/>
    <w:rsid w:val="00624AB7"/>
    <w:rsid w:val="00624B07"/>
    <w:rsid w:val="00624B36"/>
    <w:rsid w:val="00624C18"/>
    <w:rsid w:val="00624D25"/>
    <w:rsid w:val="00624F13"/>
    <w:rsid w:val="0062540E"/>
    <w:rsid w:val="00625B29"/>
    <w:rsid w:val="00625E2A"/>
    <w:rsid w:val="00625FC4"/>
    <w:rsid w:val="006264B1"/>
    <w:rsid w:val="006265D6"/>
    <w:rsid w:val="0062667C"/>
    <w:rsid w:val="006266E4"/>
    <w:rsid w:val="00626A1D"/>
    <w:rsid w:val="00626A68"/>
    <w:rsid w:val="00626B0C"/>
    <w:rsid w:val="00627295"/>
    <w:rsid w:val="00627303"/>
    <w:rsid w:val="0062761B"/>
    <w:rsid w:val="0062761D"/>
    <w:rsid w:val="00627893"/>
    <w:rsid w:val="00627A84"/>
    <w:rsid w:val="00627C9F"/>
    <w:rsid w:val="00627DB9"/>
    <w:rsid w:val="00627DC1"/>
    <w:rsid w:val="00630099"/>
    <w:rsid w:val="006300F6"/>
    <w:rsid w:val="00630243"/>
    <w:rsid w:val="006303C3"/>
    <w:rsid w:val="00630421"/>
    <w:rsid w:val="0063069F"/>
    <w:rsid w:val="00630801"/>
    <w:rsid w:val="006308B0"/>
    <w:rsid w:val="00630992"/>
    <w:rsid w:val="00630ACE"/>
    <w:rsid w:val="00630F0A"/>
    <w:rsid w:val="006311E9"/>
    <w:rsid w:val="006312A6"/>
    <w:rsid w:val="00631456"/>
    <w:rsid w:val="0063197A"/>
    <w:rsid w:val="00631CFC"/>
    <w:rsid w:val="00632039"/>
    <w:rsid w:val="00632354"/>
    <w:rsid w:val="0063273D"/>
    <w:rsid w:val="006328B3"/>
    <w:rsid w:val="00632CED"/>
    <w:rsid w:val="00633006"/>
    <w:rsid w:val="0063332B"/>
    <w:rsid w:val="0063380B"/>
    <w:rsid w:val="0063384C"/>
    <w:rsid w:val="0063388A"/>
    <w:rsid w:val="006339B3"/>
    <w:rsid w:val="00633A4A"/>
    <w:rsid w:val="00633AFA"/>
    <w:rsid w:val="00634193"/>
    <w:rsid w:val="006344F7"/>
    <w:rsid w:val="0063460C"/>
    <w:rsid w:val="006348A4"/>
    <w:rsid w:val="00634935"/>
    <w:rsid w:val="00634CCD"/>
    <w:rsid w:val="00634E83"/>
    <w:rsid w:val="00634F0C"/>
    <w:rsid w:val="00635014"/>
    <w:rsid w:val="00635B81"/>
    <w:rsid w:val="00635EB4"/>
    <w:rsid w:val="00636164"/>
    <w:rsid w:val="006367BE"/>
    <w:rsid w:val="006368A4"/>
    <w:rsid w:val="00636E36"/>
    <w:rsid w:val="00636EEC"/>
    <w:rsid w:val="00637390"/>
    <w:rsid w:val="00637A7D"/>
    <w:rsid w:val="00637E9F"/>
    <w:rsid w:val="0064018B"/>
    <w:rsid w:val="00640200"/>
    <w:rsid w:val="00640598"/>
    <w:rsid w:val="00640C5B"/>
    <w:rsid w:val="00640DA6"/>
    <w:rsid w:val="00640E35"/>
    <w:rsid w:val="00640F7D"/>
    <w:rsid w:val="00641554"/>
    <w:rsid w:val="006415F5"/>
    <w:rsid w:val="00641972"/>
    <w:rsid w:val="00641FFA"/>
    <w:rsid w:val="00642011"/>
    <w:rsid w:val="00642021"/>
    <w:rsid w:val="00642053"/>
    <w:rsid w:val="00642149"/>
    <w:rsid w:val="0064214F"/>
    <w:rsid w:val="00642160"/>
    <w:rsid w:val="00642299"/>
    <w:rsid w:val="00642671"/>
    <w:rsid w:val="00642745"/>
    <w:rsid w:val="006427A2"/>
    <w:rsid w:val="00642810"/>
    <w:rsid w:val="00642846"/>
    <w:rsid w:val="0064298C"/>
    <w:rsid w:val="00642B2C"/>
    <w:rsid w:val="00642EA6"/>
    <w:rsid w:val="006431B7"/>
    <w:rsid w:val="006432DF"/>
    <w:rsid w:val="0064371D"/>
    <w:rsid w:val="00643B1A"/>
    <w:rsid w:val="00643CAC"/>
    <w:rsid w:val="00643DAE"/>
    <w:rsid w:val="00644100"/>
    <w:rsid w:val="0064414C"/>
    <w:rsid w:val="006443A2"/>
    <w:rsid w:val="00644635"/>
    <w:rsid w:val="00644CEF"/>
    <w:rsid w:val="00644FB9"/>
    <w:rsid w:val="0064529F"/>
    <w:rsid w:val="00645394"/>
    <w:rsid w:val="0064594A"/>
    <w:rsid w:val="00645C6C"/>
    <w:rsid w:val="0064625E"/>
    <w:rsid w:val="00646318"/>
    <w:rsid w:val="006463F5"/>
    <w:rsid w:val="00646412"/>
    <w:rsid w:val="0064649C"/>
    <w:rsid w:val="00646AAA"/>
    <w:rsid w:val="00646B23"/>
    <w:rsid w:val="00646BF0"/>
    <w:rsid w:val="0064715E"/>
    <w:rsid w:val="006475D3"/>
    <w:rsid w:val="006478AE"/>
    <w:rsid w:val="00647CBF"/>
    <w:rsid w:val="00647D67"/>
    <w:rsid w:val="00647F10"/>
    <w:rsid w:val="006501D8"/>
    <w:rsid w:val="006504B1"/>
    <w:rsid w:val="006505DC"/>
    <w:rsid w:val="00650B75"/>
    <w:rsid w:val="00650DF0"/>
    <w:rsid w:val="00650FD4"/>
    <w:rsid w:val="006510E9"/>
    <w:rsid w:val="00651248"/>
    <w:rsid w:val="00651686"/>
    <w:rsid w:val="006517C3"/>
    <w:rsid w:val="006519DE"/>
    <w:rsid w:val="006519E9"/>
    <w:rsid w:val="00651A84"/>
    <w:rsid w:val="00652129"/>
    <w:rsid w:val="00652333"/>
    <w:rsid w:val="00652714"/>
    <w:rsid w:val="00652C07"/>
    <w:rsid w:val="00652F5E"/>
    <w:rsid w:val="0065315F"/>
    <w:rsid w:val="006533A7"/>
    <w:rsid w:val="006534FF"/>
    <w:rsid w:val="0065354E"/>
    <w:rsid w:val="00653787"/>
    <w:rsid w:val="00653813"/>
    <w:rsid w:val="00653B5F"/>
    <w:rsid w:val="00653C47"/>
    <w:rsid w:val="006541D1"/>
    <w:rsid w:val="00654330"/>
    <w:rsid w:val="0065473B"/>
    <w:rsid w:val="00654AA0"/>
    <w:rsid w:val="00654CA8"/>
    <w:rsid w:val="00654E4B"/>
    <w:rsid w:val="00654E63"/>
    <w:rsid w:val="00654E84"/>
    <w:rsid w:val="0065526D"/>
    <w:rsid w:val="0065540B"/>
    <w:rsid w:val="006555CD"/>
    <w:rsid w:val="00655637"/>
    <w:rsid w:val="006556DA"/>
    <w:rsid w:val="0065583B"/>
    <w:rsid w:val="006558F3"/>
    <w:rsid w:val="006559B7"/>
    <w:rsid w:val="00655C09"/>
    <w:rsid w:val="00655DC3"/>
    <w:rsid w:val="00655F48"/>
    <w:rsid w:val="006560F5"/>
    <w:rsid w:val="006565CC"/>
    <w:rsid w:val="00656A10"/>
    <w:rsid w:val="00656A12"/>
    <w:rsid w:val="006570B1"/>
    <w:rsid w:val="006571BA"/>
    <w:rsid w:val="006573A8"/>
    <w:rsid w:val="00657915"/>
    <w:rsid w:val="00657A9F"/>
    <w:rsid w:val="00657BF3"/>
    <w:rsid w:val="00657C5E"/>
    <w:rsid w:val="00657D6D"/>
    <w:rsid w:val="00657E2F"/>
    <w:rsid w:val="0066006C"/>
    <w:rsid w:val="006602D9"/>
    <w:rsid w:val="00660616"/>
    <w:rsid w:val="00660A23"/>
    <w:rsid w:val="00661526"/>
    <w:rsid w:val="0066159A"/>
    <w:rsid w:val="006615AD"/>
    <w:rsid w:val="006618BC"/>
    <w:rsid w:val="00661A1B"/>
    <w:rsid w:val="00662116"/>
    <w:rsid w:val="006621D5"/>
    <w:rsid w:val="0066234E"/>
    <w:rsid w:val="006623FE"/>
    <w:rsid w:val="00662608"/>
    <w:rsid w:val="006626A2"/>
    <w:rsid w:val="00662AE2"/>
    <w:rsid w:val="00662FED"/>
    <w:rsid w:val="0066329E"/>
    <w:rsid w:val="006634FA"/>
    <w:rsid w:val="00663AAF"/>
    <w:rsid w:val="00663CA0"/>
    <w:rsid w:val="00663EF4"/>
    <w:rsid w:val="00664A64"/>
    <w:rsid w:val="00664BBD"/>
    <w:rsid w:val="00664EA3"/>
    <w:rsid w:val="006650A7"/>
    <w:rsid w:val="00665324"/>
    <w:rsid w:val="00665BA0"/>
    <w:rsid w:val="00665C39"/>
    <w:rsid w:val="00665EB9"/>
    <w:rsid w:val="00665F90"/>
    <w:rsid w:val="006660D0"/>
    <w:rsid w:val="0066678B"/>
    <w:rsid w:val="00666B07"/>
    <w:rsid w:val="0066736C"/>
    <w:rsid w:val="0066745B"/>
    <w:rsid w:val="006674FE"/>
    <w:rsid w:val="006676FD"/>
    <w:rsid w:val="00667AB0"/>
    <w:rsid w:val="00667BC7"/>
    <w:rsid w:val="00667CA7"/>
    <w:rsid w:val="00667EDC"/>
    <w:rsid w:val="006700BC"/>
    <w:rsid w:val="0067030C"/>
    <w:rsid w:val="00670732"/>
    <w:rsid w:val="00670833"/>
    <w:rsid w:val="00670BA7"/>
    <w:rsid w:val="00671028"/>
    <w:rsid w:val="00671984"/>
    <w:rsid w:val="00671B92"/>
    <w:rsid w:val="00671BD1"/>
    <w:rsid w:val="00671CD9"/>
    <w:rsid w:val="00671DE9"/>
    <w:rsid w:val="00671E37"/>
    <w:rsid w:val="0067213E"/>
    <w:rsid w:val="0067281D"/>
    <w:rsid w:val="00672A60"/>
    <w:rsid w:val="00672EF7"/>
    <w:rsid w:val="00673038"/>
    <w:rsid w:val="0067328F"/>
    <w:rsid w:val="00673E32"/>
    <w:rsid w:val="006746BC"/>
    <w:rsid w:val="00674D3E"/>
    <w:rsid w:val="00674D66"/>
    <w:rsid w:val="00674E0A"/>
    <w:rsid w:val="00674E4D"/>
    <w:rsid w:val="00675765"/>
    <w:rsid w:val="006758F4"/>
    <w:rsid w:val="00675923"/>
    <w:rsid w:val="0067594D"/>
    <w:rsid w:val="00675B13"/>
    <w:rsid w:val="00675D16"/>
    <w:rsid w:val="00675EE5"/>
    <w:rsid w:val="006764B0"/>
    <w:rsid w:val="00676930"/>
    <w:rsid w:val="00676AB0"/>
    <w:rsid w:val="00676BC8"/>
    <w:rsid w:val="00676BEC"/>
    <w:rsid w:val="0067711D"/>
    <w:rsid w:val="00677345"/>
    <w:rsid w:val="006774F4"/>
    <w:rsid w:val="006777D4"/>
    <w:rsid w:val="00677817"/>
    <w:rsid w:val="00677A96"/>
    <w:rsid w:val="00677AD8"/>
    <w:rsid w:val="00677AEF"/>
    <w:rsid w:val="00677B62"/>
    <w:rsid w:val="0068001B"/>
    <w:rsid w:val="00680080"/>
    <w:rsid w:val="0068009E"/>
    <w:rsid w:val="00680407"/>
    <w:rsid w:val="00680B66"/>
    <w:rsid w:val="00680D54"/>
    <w:rsid w:val="0068105A"/>
    <w:rsid w:val="0068128F"/>
    <w:rsid w:val="00681B7D"/>
    <w:rsid w:val="00681CE7"/>
    <w:rsid w:val="006820CE"/>
    <w:rsid w:val="00682170"/>
    <w:rsid w:val="006823E6"/>
    <w:rsid w:val="00682960"/>
    <w:rsid w:val="006829AF"/>
    <w:rsid w:val="00682A00"/>
    <w:rsid w:val="00682B10"/>
    <w:rsid w:val="00682BA1"/>
    <w:rsid w:val="006833DA"/>
    <w:rsid w:val="0068351C"/>
    <w:rsid w:val="0068357C"/>
    <w:rsid w:val="00683685"/>
    <w:rsid w:val="006837F8"/>
    <w:rsid w:val="00683B3E"/>
    <w:rsid w:val="0068424C"/>
    <w:rsid w:val="006844D5"/>
    <w:rsid w:val="00684A8E"/>
    <w:rsid w:val="00684ADA"/>
    <w:rsid w:val="00684C05"/>
    <w:rsid w:val="00685083"/>
    <w:rsid w:val="00685217"/>
    <w:rsid w:val="00685399"/>
    <w:rsid w:val="006853B8"/>
    <w:rsid w:val="006857A6"/>
    <w:rsid w:val="00685917"/>
    <w:rsid w:val="006860C3"/>
    <w:rsid w:val="00686774"/>
    <w:rsid w:val="006868CE"/>
    <w:rsid w:val="00686C4E"/>
    <w:rsid w:val="00686CD2"/>
    <w:rsid w:val="00686D7F"/>
    <w:rsid w:val="00686E08"/>
    <w:rsid w:val="00687233"/>
    <w:rsid w:val="006874D5"/>
    <w:rsid w:val="0068762B"/>
    <w:rsid w:val="0068775D"/>
    <w:rsid w:val="00687961"/>
    <w:rsid w:val="00687C60"/>
    <w:rsid w:val="00687DC4"/>
    <w:rsid w:val="00687F7E"/>
    <w:rsid w:val="00690574"/>
    <w:rsid w:val="00690D4C"/>
    <w:rsid w:val="0069104F"/>
    <w:rsid w:val="006911E3"/>
    <w:rsid w:val="00691211"/>
    <w:rsid w:val="006919A3"/>
    <w:rsid w:val="00691A60"/>
    <w:rsid w:val="006922F5"/>
    <w:rsid w:val="006928EA"/>
    <w:rsid w:val="00692B0E"/>
    <w:rsid w:val="00692CD1"/>
    <w:rsid w:val="00692E60"/>
    <w:rsid w:val="006936B5"/>
    <w:rsid w:val="00693E9F"/>
    <w:rsid w:val="00693F48"/>
    <w:rsid w:val="00694478"/>
    <w:rsid w:val="006945B0"/>
    <w:rsid w:val="00694B5E"/>
    <w:rsid w:val="0069542B"/>
    <w:rsid w:val="006954B6"/>
    <w:rsid w:val="006959DA"/>
    <w:rsid w:val="00695B2C"/>
    <w:rsid w:val="00695D7D"/>
    <w:rsid w:val="00695DB8"/>
    <w:rsid w:val="00695E32"/>
    <w:rsid w:val="00695FCA"/>
    <w:rsid w:val="00695FD8"/>
    <w:rsid w:val="00696003"/>
    <w:rsid w:val="0069616F"/>
    <w:rsid w:val="006966B2"/>
    <w:rsid w:val="0069695B"/>
    <w:rsid w:val="00696F5C"/>
    <w:rsid w:val="00697206"/>
    <w:rsid w:val="006974EF"/>
    <w:rsid w:val="006979BD"/>
    <w:rsid w:val="006A040E"/>
    <w:rsid w:val="006A071C"/>
    <w:rsid w:val="006A07CA"/>
    <w:rsid w:val="006A0950"/>
    <w:rsid w:val="006A0D73"/>
    <w:rsid w:val="006A0F6F"/>
    <w:rsid w:val="006A1131"/>
    <w:rsid w:val="006A12B2"/>
    <w:rsid w:val="006A12EA"/>
    <w:rsid w:val="006A139F"/>
    <w:rsid w:val="006A1409"/>
    <w:rsid w:val="006A177B"/>
    <w:rsid w:val="006A17CB"/>
    <w:rsid w:val="006A17D2"/>
    <w:rsid w:val="006A1B76"/>
    <w:rsid w:val="006A1DC1"/>
    <w:rsid w:val="006A26BC"/>
    <w:rsid w:val="006A2865"/>
    <w:rsid w:val="006A288D"/>
    <w:rsid w:val="006A2B0F"/>
    <w:rsid w:val="006A2D14"/>
    <w:rsid w:val="006A2FCE"/>
    <w:rsid w:val="006A34DF"/>
    <w:rsid w:val="006A3668"/>
    <w:rsid w:val="006A37BA"/>
    <w:rsid w:val="006A39D3"/>
    <w:rsid w:val="006A3B28"/>
    <w:rsid w:val="006A3BB7"/>
    <w:rsid w:val="006A3DA8"/>
    <w:rsid w:val="006A4388"/>
    <w:rsid w:val="006A4937"/>
    <w:rsid w:val="006A494C"/>
    <w:rsid w:val="006A4B7F"/>
    <w:rsid w:val="006A4BE6"/>
    <w:rsid w:val="006A4C34"/>
    <w:rsid w:val="006A4F24"/>
    <w:rsid w:val="006A5080"/>
    <w:rsid w:val="006A512F"/>
    <w:rsid w:val="006A5279"/>
    <w:rsid w:val="006A52B0"/>
    <w:rsid w:val="006A5378"/>
    <w:rsid w:val="006A5619"/>
    <w:rsid w:val="006A58B4"/>
    <w:rsid w:val="006A5D09"/>
    <w:rsid w:val="006A6032"/>
    <w:rsid w:val="006A6116"/>
    <w:rsid w:val="006A6396"/>
    <w:rsid w:val="006A6530"/>
    <w:rsid w:val="006A686E"/>
    <w:rsid w:val="006A6879"/>
    <w:rsid w:val="006A6958"/>
    <w:rsid w:val="006A6C28"/>
    <w:rsid w:val="006A6E4C"/>
    <w:rsid w:val="006A6F86"/>
    <w:rsid w:val="006A7061"/>
    <w:rsid w:val="006A7102"/>
    <w:rsid w:val="006A7208"/>
    <w:rsid w:val="006A73E6"/>
    <w:rsid w:val="006A75AD"/>
    <w:rsid w:val="006A789A"/>
    <w:rsid w:val="006A7A63"/>
    <w:rsid w:val="006A7DF0"/>
    <w:rsid w:val="006A7EE1"/>
    <w:rsid w:val="006B004E"/>
    <w:rsid w:val="006B0320"/>
    <w:rsid w:val="006B0709"/>
    <w:rsid w:val="006B09F4"/>
    <w:rsid w:val="006B0A06"/>
    <w:rsid w:val="006B0F94"/>
    <w:rsid w:val="006B1252"/>
    <w:rsid w:val="006B1287"/>
    <w:rsid w:val="006B140A"/>
    <w:rsid w:val="006B15CE"/>
    <w:rsid w:val="006B17C3"/>
    <w:rsid w:val="006B1A48"/>
    <w:rsid w:val="006B1BD8"/>
    <w:rsid w:val="006B1D23"/>
    <w:rsid w:val="006B2809"/>
    <w:rsid w:val="006B2A30"/>
    <w:rsid w:val="006B2AD1"/>
    <w:rsid w:val="006B2CC7"/>
    <w:rsid w:val="006B2D5C"/>
    <w:rsid w:val="006B2FBF"/>
    <w:rsid w:val="006B33C4"/>
    <w:rsid w:val="006B347B"/>
    <w:rsid w:val="006B34B4"/>
    <w:rsid w:val="006B351F"/>
    <w:rsid w:val="006B3714"/>
    <w:rsid w:val="006B3AF1"/>
    <w:rsid w:val="006B3D00"/>
    <w:rsid w:val="006B3D88"/>
    <w:rsid w:val="006B3F3E"/>
    <w:rsid w:val="006B4095"/>
    <w:rsid w:val="006B4811"/>
    <w:rsid w:val="006B4B1A"/>
    <w:rsid w:val="006B4D46"/>
    <w:rsid w:val="006B51B9"/>
    <w:rsid w:val="006B57E1"/>
    <w:rsid w:val="006B5B8E"/>
    <w:rsid w:val="006B5F56"/>
    <w:rsid w:val="006B661B"/>
    <w:rsid w:val="006B69B5"/>
    <w:rsid w:val="006B6CA3"/>
    <w:rsid w:val="006B6F1E"/>
    <w:rsid w:val="006B6F29"/>
    <w:rsid w:val="006B71F6"/>
    <w:rsid w:val="006B74C2"/>
    <w:rsid w:val="006B7FA2"/>
    <w:rsid w:val="006C075B"/>
    <w:rsid w:val="006C0784"/>
    <w:rsid w:val="006C078E"/>
    <w:rsid w:val="006C0A5B"/>
    <w:rsid w:val="006C0A65"/>
    <w:rsid w:val="006C0BE5"/>
    <w:rsid w:val="006C0D0B"/>
    <w:rsid w:val="006C0EB5"/>
    <w:rsid w:val="006C0FB6"/>
    <w:rsid w:val="006C11B7"/>
    <w:rsid w:val="006C128E"/>
    <w:rsid w:val="006C129D"/>
    <w:rsid w:val="006C15B5"/>
    <w:rsid w:val="006C16D2"/>
    <w:rsid w:val="006C1767"/>
    <w:rsid w:val="006C17B3"/>
    <w:rsid w:val="006C1ADB"/>
    <w:rsid w:val="006C1D5B"/>
    <w:rsid w:val="006C1E07"/>
    <w:rsid w:val="006C2316"/>
    <w:rsid w:val="006C2891"/>
    <w:rsid w:val="006C2924"/>
    <w:rsid w:val="006C3076"/>
    <w:rsid w:val="006C31F8"/>
    <w:rsid w:val="006C341D"/>
    <w:rsid w:val="006C3B01"/>
    <w:rsid w:val="006C4468"/>
    <w:rsid w:val="006C4EB1"/>
    <w:rsid w:val="006C56CA"/>
    <w:rsid w:val="006C58EB"/>
    <w:rsid w:val="006C5A70"/>
    <w:rsid w:val="006C6102"/>
    <w:rsid w:val="006C62AA"/>
    <w:rsid w:val="006C6946"/>
    <w:rsid w:val="006C7244"/>
    <w:rsid w:val="006C7306"/>
    <w:rsid w:val="006C7774"/>
    <w:rsid w:val="006C77B8"/>
    <w:rsid w:val="006D0196"/>
    <w:rsid w:val="006D0592"/>
    <w:rsid w:val="006D0772"/>
    <w:rsid w:val="006D0A39"/>
    <w:rsid w:val="006D0AAE"/>
    <w:rsid w:val="006D0B3C"/>
    <w:rsid w:val="006D0E40"/>
    <w:rsid w:val="006D0F9A"/>
    <w:rsid w:val="006D132D"/>
    <w:rsid w:val="006D13E0"/>
    <w:rsid w:val="006D1B01"/>
    <w:rsid w:val="006D1C43"/>
    <w:rsid w:val="006D1DAA"/>
    <w:rsid w:val="006D1DBD"/>
    <w:rsid w:val="006D2A5F"/>
    <w:rsid w:val="006D2C15"/>
    <w:rsid w:val="006D2D0D"/>
    <w:rsid w:val="006D2EC4"/>
    <w:rsid w:val="006D3155"/>
    <w:rsid w:val="006D362F"/>
    <w:rsid w:val="006D39C6"/>
    <w:rsid w:val="006D4019"/>
    <w:rsid w:val="006D40D8"/>
    <w:rsid w:val="006D47BD"/>
    <w:rsid w:val="006D497B"/>
    <w:rsid w:val="006D4E75"/>
    <w:rsid w:val="006D4F77"/>
    <w:rsid w:val="006D57EF"/>
    <w:rsid w:val="006D5960"/>
    <w:rsid w:val="006D5D2C"/>
    <w:rsid w:val="006D5ED9"/>
    <w:rsid w:val="006D640D"/>
    <w:rsid w:val="006D6521"/>
    <w:rsid w:val="006D6D14"/>
    <w:rsid w:val="006D6EC5"/>
    <w:rsid w:val="006D70B2"/>
    <w:rsid w:val="006D71C7"/>
    <w:rsid w:val="006D7534"/>
    <w:rsid w:val="006D796E"/>
    <w:rsid w:val="006D7A04"/>
    <w:rsid w:val="006D7B67"/>
    <w:rsid w:val="006D7C4C"/>
    <w:rsid w:val="006D7D4B"/>
    <w:rsid w:val="006D7E34"/>
    <w:rsid w:val="006D7E6F"/>
    <w:rsid w:val="006E0021"/>
    <w:rsid w:val="006E00A3"/>
    <w:rsid w:val="006E0123"/>
    <w:rsid w:val="006E0166"/>
    <w:rsid w:val="006E0732"/>
    <w:rsid w:val="006E07E8"/>
    <w:rsid w:val="006E0C97"/>
    <w:rsid w:val="006E1178"/>
    <w:rsid w:val="006E1697"/>
    <w:rsid w:val="006E1A3B"/>
    <w:rsid w:val="006E1CC1"/>
    <w:rsid w:val="006E1F28"/>
    <w:rsid w:val="006E1F2E"/>
    <w:rsid w:val="006E230E"/>
    <w:rsid w:val="006E239A"/>
    <w:rsid w:val="006E25DC"/>
    <w:rsid w:val="006E26D2"/>
    <w:rsid w:val="006E2743"/>
    <w:rsid w:val="006E28E8"/>
    <w:rsid w:val="006E2908"/>
    <w:rsid w:val="006E30B7"/>
    <w:rsid w:val="006E31CD"/>
    <w:rsid w:val="006E338A"/>
    <w:rsid w:val="006E33B3"/>
    <w:rsid w:val="006E362D"/>
    <w:rsid w:val="006E3AF6"/>
    <w:rsid w:val="006E3E8D"/>
    <w:rsid w:val="006E3EFB"/>
    <w:rsid w:val="006E434B"/>
    <w:rsid w:val="006E4E21"/>
    <w:rsid w:val="006E5002"/>
    <w:rsid w:val="006E54B0"/>
    <w:rsid w:val="006E56C1"/>
    <w:rsid w:val="006E582A"/>
    <w:rsid w:val="006E58D1"/>
    <w:rsid w:val="006E5989"/>
    <w:rsid w:val="006E59D4"/>
    <w:rsid w:val="006E5B92"/>
    <w:rsid w:val="006E5BFC"/>
    <w:rsid w:val="006E5DDA"/>
    <w:rsid w:val="006E5E19"/>
    <w:rsid w:val="006E6193"/>
    <w:rsid w:val="006E6208"/>
    <w:rsid w:val="006E621E"/>
    <w:rsid w:val="006E623C"/>
    <w:rsid w:val="006E66A1"/>
    <w:rsid w:val="006E6C31"/>
    <w:rsid w:val="006E6C59"/>
    <w:rsid w:val="006E6E08"/>
    <w:rsid w:val="006E6EF6"/>
    <w:rsid w:val="006E7141"/>
    <w:rsid w:val="006E72D0"/>
    <w:rsid w:val="006E73D4"/>
    <w:rsid w:val="006E7495"/>
    <w:rsid w:val="006E752E"/>
    <w:rsid w:val="006E76E6"/>
    <w:rsid w:val="006E7B34"/>
    <w:rsid w:val="006E7DF9"/>
    <w:rsid w:val="006F0078"/>
    <w:rsid w:val="006F0205"/>
    <w:rsid w:val="006F0305"/>
    <w:rsid w:val="006F09EB"/>
    <w:rsid w:val="006F0A0A"/>
    <w:rsid w:val="006F0BBD"/>
    <w:rsid w:val="006F0FBE"/>
    <w:rsid w:val="006F1121"/>
    <w:rsid w:val="006F1545"/>
    <w:rsid w:val="006F165F"/>
    <w:rsid w:val="006F16D0"/>
    <w:rsid w:val="006F1C06"/>
    <w:rsid w:val="006F1C37"/>
    <w:rsid w:val="006F1CF4"/>
    <w:rsid w:val="006F1DCA"/>
    <w:rsid w:val="006F241B"/>
    <w:rsid w:val="006F2584"/>
    <w:rsid w:val="006F273B"/>
    <w:rsid w:val="006F27B6"/>
    <w:rsid w:val="006F284C"/>
    <w:rsid w:val="006F2B4A"/>
    <w:rsid w:val="006F32DC"/>
    <w:rsid w:val="006F32EF"/>
    <w:rsid w:val="006F3397"/>
    <w:rsid w:val="006F3495"/>
    <w:rsid w:val="006F34E3"/>
    <w:rsid w:val="006F3C62"/>
    <w:rsid w:val="006F3DC4"/>
    <w:rsid w:val="006F474A"/>
    <w:rsid w:val="006F491C"/>
    <w:rsid w:val="006F4BD2"/>
    <w:rsid w:val="006F4CE6"/>
    <w:rsid w:val="006F4E46"/>
    <w:rsid w:val="006F4F5B"/>
    <w:rsid w:val="006F5275"/>
    <w:rsid w:val="006F5779"/>
    <w:rsid w:val="006F58F8"/>
    <w:rsid w:val="006F5AAE"/>
    <w:rsid w:val="006F5C1B"/>
    <w:rsid w:val="006F5DD5"/>
    <w:rsid w:val="006F5E2C"/>
    <w:rsid w:val="006F5F5B"/>
    <w:rsid w:val="006F6D88"/>
    <w:rsid w:val="006F6FE5"/>
    <w:rsid w:val="006F735A"/>
    <w:rsid w:val="006F792D"/>
    <w:rsid w:val="006F79EC"/>
    <w:rsid w:val="006F7CCB"/>
    <w:rsid w:val="006F7CE7"/>
    <w:rsid w:val="006F7EE3"/>
    <w:rsid w:val="007003DD"/>
    <w:rsid w:val="00700A19"/>
    <w:rsid w:val="00700B6B"/>
    <w:rsid w:val="00700BE6"/>
    <w:rsid w:val="00700D9E"/>
    <w:rsid w:val="00701315"/>
    <w:rsid w:val="007014EB"/>
    <w:rsid w:val="00701542"/>
    <w:rsid w:val="00701983"/>
    <w:rsid w:val="007019A7"/>
    <w:rsid w:val="00701B3F"/>
    <w:rsid w:val="00701F15"/>
    <w:rsid w:val="00701F4D"/>
    <w:rsid w:val="0070217A"/>
    <w:rsid w:val="007022F6"/>
    <w:rsid w:val="00702501"/>
    <w:rsid w:val="00702755"/>
    <w:rsid w:val="00702BB1"/>
    <w:rsid w:val="00702F28"/>
    <w:rsid w:val="007032B2"/>
    <w:rsid w:val="00703461"/>
    <w:rsid w:val="0070385B"/>
    <w:rsid w:val="00703A3A"/>
    <w:rsid w:val="00703C9F"/>
    <w:rsid w:val="00703E09"/>
    <w:rsid w:val="00703E40"/>
    <w:rsid w:val="00703E6F"/>
    <w:rsid w:val="00704084"/>
    <w:rsid w:val="00704237"/>
    <w:rsid w:val="007042C0"/>
    <w:rsid w:val="0070448F"/>
    <w:rsid w:val="0070498B"/>
    <w:rsid w:val="00704E13"/>
    <w:rsid w:val="00704F4E"/>
    <w:rsid w:val="0070520F"/>
    <w:rsid w:val="00705668"/>
    <w:rsid w:val="00705C69"/>
    <w:rsid w:val="00705E34"/>
    <w:rsid w:val="0070693D"/>
    <w:rsid w:val="0070697F"/>
    <w:rsid w:val="00706E87"/>
    <w:rsid w:val="007073E2"/>
    <w:rsid w:val="00707437"/>
    <w:rsid w:val="0070749A"/>
    <w:rsid w:val="007074D6"/>
    <w:rsid w:val="0070763C"/>
    <w:rsid w:val="007079BD"/>
    <w:rsid w:val="00707B58"/>
    <w:rsid w:val="00707B7D"/>
    <w:rsid w:val="00707BF5"/>
    <w:rsid w:val="00707F92"/>
    <w:rsid w:val="00710113"/>
    <w:rsid w:val="00710559"/>
    <w:rsid w:val="0071056F"/>
    <w:rsid w:val="007106B4"/>
    <w:rsid w:val="00710772"/>
    <w:rsid w:val="007107AF"/>
    <w:rsid w:val="007107C2"/>
    <w:rsid w:val="0071082A"/>
    <w:rsid w:val="00710831"/>
    <w:rsid w:val="00710D41"/>
    <w:rsid w:val="007114BB"/>
    <w:rsid w:val="0071162D"/>
    <w:rsid w:val="00711B80"/>
    <w:rsid w:val="00711E01"/>
    <w:rsid w:val="00711F99"/>
    <w:rsid w:val="007120E3"/>
    <w:rsid w:val="007124F8"/>
    <w:rsid w:val="00712705"/>
    <w:rsid w:val="007127ED"/>
    <w:rsid w:val="007127FA"/>
    <w:rsid w:val="00712A15"/>
    <w:rsid w:val="00712C37"/>
    <w:rsid w:val="00712DD6"/>
    <w:rsid w:val="007134FD"/>
    <w:rsid w:val="00713548"/>
    <w:rsid w:val="00713551"/>
    <w:rsid w:val="00713632"/>
    <w:rsid w:val="00713B81"/>
    <w:rsid w:val="00713E33"/>
    <w:rsid w:val="00714373"/>
    <w:rsid w:val="007144B7"/>
    <w:rsid w:val="007145D6"/>
    <w:rsid w:val="007146D8"/>
    <w:rsid w:val="00714B32"/>
    <w:rsid w:val="00714C80"/>
    <w:rsid w:val="00714F4B"/>
    <w:rsid w:val="007150A7"/>
    <w:rsid w:val="007151C2"/>
    <w:rsid w:val="0071555D"/>
    <w:rsid w:val="007155B6"/>
    <w:rsid w:val="00715756"/>
    <w:rsid w:val="0071591F"/>
    <w:rsid w:val="00715A46"/>
    <w:rsid w:val="00715B3B"/>
    <w:rsid w:val="00715E51"/>
    <w:rsid w:val="007160EE"/>
    <w:rsid w:val="0071619F"/>
    <w:rsid w:val="0071640E"/>
    <w:rsid w:val="007166D4"/>
    <w:rsid w:val="00716C41"/>
    <w:rsid w:val="00716FBE"/>
    <w:rsid w:val="007177DE"/>
    <w:rsid w:val="00717B02"/>
    <w:rsid w:val="00717EF6"/>
    <w:rsid w:val="00717FFA"/>
    <w:rsid w:val="007200CC"/>
    <w:rsid w:val="00720558"/>
    <w:rsid w:val="00720893"/>
    <w:rsid w:val="00720928"/>
    <w:rsid w:val="007209F2"/>
    <w:rsid w:val="00720A33"/>
    <w:rsid w:val="00720F2C"/>
    <w:rsid w:val="00720F4C"/>
    <w:rsid w:val="00720F8E"/>
    <w:rsid w:val="00720FD7"/>
    <w:rsid w:val="0072101B"/>
    <w:rsid w:val="00721111"/>
    <w:rsid w:val="0072111C"/>
    <w:rsid w:val="007214EF"/>
    <w:rsid w:val="00721568"/>
    <w:rsid w:val="007215FC"/>
    <w:rsid w:val="007215FD"/>
    <w:rsid w:val="0072179D"/>
    <w:rsid w:val="0072199C"/>
    <w:rsid w:val="00721AD2"/>
    <w:rsid w:val="00721B11"/>
    <w:rsid w:val="00721F44"/>
    <w:rsid w:val="007222C5"/>
    <w:rsid w:val="00722585"/>
    <w:rsid w:val="00722A09"/>
    <w:rsid w:val="00722C88"/>
    <w:rsid w:val="00722D18"/>
    <w:rsid w:val="00722D61"/>
    <w:rsid w:val="00722DBA"/>
    <w:rsid w:val="00723163"/>
    <w:rsid w:val="0072344D"/>
    <w:rsid w:val="00723A38"/>
    <w:rsid w:val="0072411E"/>
    <w:rsid w:val="00724D14"/>
    <w:rsid w:val="00724D73"/>
    <w:rsid w:val="00724E06"/>
    <w:rsid w:val="007250D4"/>
    <w:rsid w:val="007253B8"/>
    <w:rsid w:val="00725557"/>
    <w:rsid w:val="007255D9"/>
    <w:rsid w:val="007255DB"/>
    <w:rsid w:val="00725626"/>
    <w:rsid w:val="00725AF5"/>
    <w:rsid w:val="00725C8A"/>
    <w:rsid w:val="00725D24"/>
    <w:rsid w:val="00725E74"/>
    <w:rsid w:val="0072622B"/>
    <w:rsid w:val="007264EF"/>
    <w:rsid w:val="00726906"/>
    <w:rsid w:val="00726AC1"/>
    <w:rsid w:val="00726EB2"/>
    <w:rsid w:val="0072728A"/>
    <w:rsid w:val="007273F5"/>
    <w:rsid w:val="007274DE"/>
    <w:rsid w:val="007276A9"/>
    <w:rsid w:val="00727AD9"/>
    <w:rsid w:val="00727C60"/>
    <w:rsid w:val="00727F16"/>
    <w:rsid w:val="00730111"/>
    <w:rsid w:val="007301C7"/>
    <w:rsid w:val="007303F5"/>
    <w:rsid w:val="00730AED"/>
    <w:rsid w:val="00730FE2"/>
    <w:rsid w:val="007314E0"/>
    <w:rsid w:val="00731881"/>
    <w:rsid w:val="007319B6"/>
    <w:rsid w:val="00731B6C"/>
    <w:rsid w:val="00731EE4"/>
    <w:rsid w:val="00732113"/>
    <w:rsid w:val="00732153"/>
    <w:rsid w:val="007321C3"/>
    <w:rsid w:val="0073271A"/>
    <w:rsid w:val="00732A0F"/>
    <w:rsid w:val="00732AA5"/>
    <w:rsid w:val="00733029"/>
    <w:rsid w:val="00733032"/>
    <w:rsid w:val="0073332C"/>
    <w:rsid w:val="00733344"/>
    <w:rsid w:val="00733371"/>
    <w:rsid w:val="0073398A"/>
    <w:rsid w:val="00733A89"/>
    <w:rsid w:val="00733B2E"/>
    <w:rsid w:val="00733BC5"/>
    <w:rsid w:val="00733F97"/>
    <w:rsid w:val="00733FB1"/>
    <w:rsid w:val="007341B8"/>
    <w:rsid w:val="00734347"/>
    <w:rsid w:val="007343B5"/>
    <w:rsid w:val="007344DA"/>
    <w:rsid w:val="00734509"/>
    <w:rsid w:val="00734F47"/>
    <w:rsid w:val="00735244"/>
    <w:rsid w:val="007353CB"/>
    <w:rsid w:val="00735439"/>
    <w:rsid w:val="00735820"/>
    <w:rsid w:val="00735C10"/>
    <w:rsid w:val="00735E15"/>
    <w:rsid w:val="00735F77"/>
    <w:rsid w:val="007363AB"/>
    <w:rsid w:val="00736554"/>
    <w:rsid w:val="00736621"/>
    <w:rsid w:val="0073687C"/>
    <w:rsid w:val="007369DF"/>
    <w:rsid w:val="00736A4B"/>
    <w:rsid w:val="00736A5A"/>
    <w:rsid w:val="00736CDC"/>
    <w:rsid w:val="00736DB2"/>
    <w:rsid w:val="00737152"/>
    <w:rsid w:val="0073741F"/>
    <w:rsid w:val="00737B0C"/>
    <w:rsid w:val="00740406"/>
    <w:rsid w:val="00740435"/>
    <w:rsid w:val="00740558"/>
    <w:rsid w:val="00740607"/>
    <w:rsid w:val="007406AC"/>
    <w:rsid w:val="00740986"/>
    <w:rsid w:val="00740AD3"/>
    <w:rsid w:val="00740C75"/>
    <w:rsid w:val="00740D0C"/>
    <w:rsid w:val="00740EC3"/>
    <w:rsid w:val="00741846"/>
    <w:rsid w:val="00741CA3"/>
    <w:rsid w:val="0074209F"/>
    <w:rsid w:val="007421AC"/>
    <w:rsid w:val="007425C7"/>
    <w:rsid w:val="007427DE"/>
    <w:rsid w:val="00742AE9"/>
    <w:rsid w:val="00742B58"/>
    <w:rsid w:val="00742D79"/>
    <w:rsid w:val="007433FC"/>
    <w:rsid w:val="00743714"/>
    <w:rsid w:val="00743769"/>
    <w:rsid w:val="007438F1"/>
    <w:rsid w:val="00743D3B"/>
    <w:rsid w:val="00744187"/>
    <w:rsid w:val="00744387"/>
    <w:rsid w:val="0074447C"/>
    <w:rsid w:val="007444E9"/>
    <w:rsid w:val="00744539"/>
    <w:rsid w:val="00744749"/>
    <w:rsid w:val="0074478D"/>
    <w:rsid w:val="0074488D"/>
    <w:rsid w:val="00744B30"/>
    <w:rsid w:val="00744F40"/>
    <w:rsid w:val="0074509F"/>
    <w:rsid w:val="0074522A"/>
    <w:rsid w:val="007454BF"/>
    <w:rsid w:val="00745A9C"/>
    <w:rsid w:val="00745C39"/>
    <w:rsid w:val="00745F34"/>
    <w:rsid w:val="0074602F"/>
    <w:rsid w:val="0074626D"/>
    <w:rsid w:val="0074649B"/>
    <w:rsid w:val="0074667F"/>
    <w:rsid w:val="0074670B"/>
    <w:rsid w:val="00746BEB"/>
    <w:rsid w:val="00746D77"/>
    <w:rsid w:val="007470B2"/>
    <w:rsid w:val="007472EA"/>
    <w:rsid w:val="00747495"/>
    <w:rsid w:val="00747573"/>
    <w:rsid w:val="007475AC"/>
    <w:rsid w:val="0075008E"/>
    <w:rsid w:val="0075056B"/>
    <w:rsid w:val="00750DC5"/>
    <w:rsid w:val="0075120E"/>
    <w:rsid w:val="00751715"/>
    <w:rsid w:val="007518E6"/>
    <w:rsid w:val="00751BB1"/>
    <w:rsid w:val="00751BC3"/>
    <w:rsid w:val="0075203A"/>
    <w:rsid w:val="007525DE"/>
    <w:rsid w:val="0075265F"/>
    <w:rsid w:val="00752782"/>
    <w:rsid w:val="007527F2"/>
    <w:rsid w:val="007528B9"/>
    <w:rsid w:val="007528BE"/>
    <w:rsid w:val="00752A4D"/>
    <w:rsid w:val="00752DDB"/>
    <w:rsid w:val="00752FD6"/>
    <w:rsid w:val="007531C1"/>
    <w:rsid w:val="007534E4"/>
    <w:rsid w:val="007536A9"/>
    <w:rsid w:val="0075385A"/>
    <w:rsid w:val="00753C72"/>
    <w:rsid w:val="00754112"/>
    <w:rsid w:val="007543A5"/>
    <w:rsid w:val="007545C9"/>
    <w:rsid w:val="007547CF"/>
    <w:rsid w:val="00754E62"/>
    <w:rsid w:val="00755402"/>
    <w:rsid w:val="0075546D"/>
    <w:rsid w:val="007554FC"/>
    <w:rsid w:val="007555A2"/>
    <w:rsid w:val="007555B4"/>
    <w:rsid w:val="007556D6"/>
    <w:rsid w:val="007559AC"/>
    <w:rsid w:val="00755A09"/>
    <w:rsid w:val="00755FDC"/>
    <w:rsid w:val="007560F5"/>
    <w:rsid w:val="00756151"/>
    <w:rsid w:val="00756BE5"/>
    <w:rsid w:val="00757255"/>
    <w:rsid w:val="007573DE"/>
    <w:rsid w:val="007576D1"/>
    <w:rsid w:val="007578A2"/>
    <w:rsid w:val="00757EE9"/>
    <w:rsid w:val="00757F54"/>
    <w:rsid w:val="00760390"/>
    <w:rsid w:val="0076125B"/>
    <w:rsid w:val="00761D35"/>
    <w:rsid w:val="00761DA2"/>
    <w:rsid w:val="00761FB0"/>
    <w:rsid w:val="00762321"/>
    <w:rsid w:val="0076258E"/>
    <w:rsid w:val="007627B0"/>
    <w:rsid w:val="00762A48"/>
    <w:rsid w:val="00762BBB"/>
    <w:rsid w:val="00762F57"/>
    <w:rsid w:val="0076318F"/>
    <w:rsid w:val="0076334D"/>
    <w:rsid w:val="007633E5"/>
    <w:rsid w:val="007642E5"/>
    <w:rsid w:val="00764578"/>
    <w:rsid w:val="007647B1"/>
    <w:rsid w:val="007647E8"/>
    <w:rsid w:val="00764F31"/>
    <w:rsid w:val="007650EA"/>
    <w:rsid w:val="00765397"/>
    <w:rsid w:val="00765557"/>
    <w:rsid w:val="00765727"/>
    <w:rsid w:val="007658BB"/>
    <w:rsid w:val="00766170"/>
    <w:rsid w:val="0076643F"/>
    <w:rsid w:val="00766855"/>
    <w:rsid w:val="00766A8E"/>
    <w:rsid w:val="00766DE1"/>
    <w:rsid w:val="00766EA0"/>
    <w:rsid w:val="00766FA2"/>
    <w:rsid w:val="00766FD3"/>
    <w:rsid w:val="0076720B"/>
    <w:rsid w:val="007673D9"/>
    <w:rsid w:val="00767453"/>
    <w:rsid w:val="00767501"/>
    <w:rsid w:val="007676F1"/>
    <w:rsid w:val="007677F1"/>
    <w:rsid w:val="00767EB3"/>
    <w:rsid w:val="007700EA"/>
    <w:rsid w:val="00770A17"/>
    <w:rsid w:val="00770B4A"/>
    <w:rsid w:val="00770C19"/>
    <w:rsid w:val="007710D8"/>
    <w:rsid w:val="007716DA"/>
    <w:rsid w:val="00771ACE"/>
    <w:rsid w:val="00771C9A"/>
    <w:rsid w:val="00772433"/>
    <w:rsid w:val="00772665"/>
    <w:rsid w:val="00772A89"/>
    <w:rsid w:val="00772B17"/>
    <w:rsid w:val="00772C4C"/>
    <w:rsid w:val="00772CC1"/>
    <w:rsid w:val="00772EFA"/>
    <w:rsid w:val="0077372B"/>
    <w:rsid w:val="00773E4D"/>
    <w:rsid w:val="00774408"/>
    <w:rsid w:val="007746B6"/>
    <w:rsid w:val="00774989"/>
    <w:rsid w:val="00774B7A"/>
    <w:rsid w:val="00774C6F"/>
    <w:rsid w:val="00774C7A"/>
    <w:rsid w:val="00774DF0"/>
    <w:rsid w:val="007753D7"/>
    <w:rsid w:val="007755C7"/>
    <w:rsid w:val="00776045"/>
    <w:rsid w:val="0077672F"/>
    <w:rsid w:val="007767EF"/>
    <w:rsid w:val="00776913"/>
    <w:rsid w:val="00776B73"/>
    <w:rsid w:val="00776D12"/>
    <w:rsid w:val="00776DC6"/>
    <w:rsid w:val="00776F61"/>
    <w:rsid w:val="00776FDE"/>
    <w:rsid w:val="00777114"/>
    <w:rsid w:val="0077756C"/>
    <w:rsid w:val="00777F44"/>
    <w:rsid w:val="00780037"/>
    <w:rsid w:val="007801FB"/>
    <w:rsid w:val="00780581"/>
    <w:rsid w:val="00780661"/>
    <w:rsid w:val="0078099E"/>
    <w:rsid w:val="007809D3"/>
    <w:rsid w:val="007809F9"/>
    <w:rsid w:val="00780D8F"/>
    <w:rsid w:val="00780F38"/>
    <w:rsid w:val="00781213"/>
    <w:rsid w:val="007814C9"/>
    <w:rsid w:val="00781531"/>
    <w:rsid w:val="0078174E"/>
    <w:rsid w:val="00781B69"/>
    <w:rsid w:val="00782585"/>
    <w:rsid w:val="007825A5"/>
    <w:rsid w:val="00782A6F"/>
    <w:rsid w:val="00782B6A"/>
    <w:rsid w:val="00782C20"/>
    <w:rsid w:val="00782CFB"/>
    <w:rsid w:val="0078318D"/>
    <w:rsid w:val="0078329E"/>
    <w:rsid w:val="00783570"/>
    <w:rsid w:val="00783876"/>
    <w:rsid w:val="007839DC"/>
    <w:rsid w:val="00783B7E"/>
    <w:rsid w:val="007842BC"/>
    <w:rsid w:val="0078432E"/>
    <w:rsid w:val="0078460C"/>
    <w:rsid w:val="00784766"/>
    <w:rsid w:val="007848A4"/>
    <w:rsid w:val="00784A7A"/>
    <w:rsid w:val="00784AC1"/>
    <w:rsid w:val="00784C30"/>
    <w:rsid w:val="00784C71"/>
    <w:rsid w:val="00784E03"/>
    <w:rsid w:val="007851BE"/>
    <w:rsid w:val="00785213"/>
    <w:rsid w:val="0078551E"/>
    <w:rsid w:val="00785691"/>
    <w:rsid w:val="0078582E"/>
    <w:rsid w:val="00785B6E"/>
    <w:rsid w:val="00785BBF"/>
    <w:rsid w:val="00785F90"/>
    <w:rsid w:val="00786126"/>
    <w:rsid w:val="00786389"/>
    <w:rsid w:val="007863BC"/>
    <w:rsid w:val="0078689C"/>
    <w:rsid w:val="0078697D"/>
    <w:rsid w:val="00786A91"/>
    <w:rsid w:val="00786DB3"/>
    <w:rsid w:val="007872AB"/>
    <w:rsid w:val="00787666"/>
    <w:rsid w:val="00790178"/>
    <w:rsid w:val="00790243"/>
    <w:rsid w:val="00790652"/>
    <w:rsid w:val="007907F4"/>
    <w:rsid w:val="00790CB4"/>
    <w:rsid w:val="00790F1F"/>
    <w:rsid w:val="00790F8B"/>
    <w:rsid w:val="00790FAB"/>
    <w:rsid w:val="007910AA"/>
    <w:rsid w:val="00791141"/>
    <w:rsid w:val="007913E9"/>
    <w:rsid w:val="007916BC"/>
    <w:rsid w:val="00791828"/>
    <w:rsid w:val="00791A91"/>
    <w:rsid w:val="00792525"/>
    <w:rsid w:val="00792A15"/>
    <w:rsid w:val="00792DED"/>
    <w:rsid w:val="00792F53"/>
    <w:rsid w:val="00793493"/>
    <w:rsid w:val="007938CA"/>
    <w:rsid w:val="00793AED"/>
    <w:rsid w:val="00793CB7"/>
    <w:rsid w:val="0079417D"/>
    <w:rsid w:val="007941F2"/>
    <w:rsid w:val="00794475"/>
    <w:rsid w:val="00794641"/>
    <w:rsid w:val="0079488C"/>
    <w:rsid w:val="00794EE7"/>
    <w:rsid w:val="007950AC"/>
    <w:rsid w:val="0079553C"/>
    <w:rsid w:val="007955DC"/>
    <w:rsid w:val="00795794"/>
    <w:rsid w:val="007957F7"/>
    <w:rsid w:val="0079598C"/>
    <w:rsid w:val="00795E6D"/>
    <w:rsid w:val="0079611D"/>
    <w:rsid w:val="00796236"/>
    <w:rsid w:val="00796238"/>
    <w:rsid w:val="007962DA"/>
    <w:rsid w:val="00796A26"/>
    <w:rsid w:val="00796E57"/>
    <w:rsid w:val="00797DD9"/>
    <w:rsid w:val="007A0454"/>
    <w:rsid w:val="007A0688"/>
    <w:rsid w:val="007A0E26"/>
    <w:rsid w:val="007A101F"/>
    <w:rsid w:val="007A10D1"/>
    <w:rsid w:val="007A17E4"/>
    <w:rsid w:val="007A1CE0"/>
    <w:rsid w:val="007A1EC7"/>
    <w:rsid w:val="007A26BF"/>
    <w:rsid w:val="007A29CE"/>
    <w:rsid w:val="007A29E9"/>
    <w:rsid w:val="007A33CA"/>
    <w:rsid w:val="007A35BD"/>
    <w:rsid w:val="007A3C6D"/>
    <w:rsid w:val="007A3D67"/>
    <w:rsid w:val="007A3DCB"/>
    <w:rsid w:val="007A3DE5"/>
    <w:rsid w:val="007A3E5E"/>
    <w:rsid w:val="007A3EC1"/>
    <w:rsid w:val="007A4039"/>
    <w:rsid w:val="007A4188"/>
    <w:rsid w:val="007A440D"/>
    <w:rsid w:val="007A46C7"/>
    <w:rsid w:val="007A4794"/>
    <w:rsid w:val="007A4A25"/>
    <w:rsid w:val="007A4E0E"/>
    <w:rsid w:val="007A539D"/>
    <w:rsid w:val="007A5817"/>
    <w:rsid w:val="007A5BE6"/>
    <w:rsid w:val="007A6847"/>
    <w:rsid w:val="007A6B39"/>
    <w:rsid w:val="007A6E2E"/>
    <w:rsid w:val="007A6E5C"/>
    <w:rsid w:val="007A6E65"/>
    <w:rsid w:val="007A7070"/>
    <w:rsid w:val="007A7AD1"/>
    <w:rsid w:val="007A7DBD"/>
    <w:rsid w:val="007A7FED"/>
    <w:rsid w:val="007B01BB"/>
    <w:rsid w:val="007B03A8"/>
    <w:rsid w:val="007B03C2"/>
    <w:rsid w:val="007B043F"/>
    <w:rsid w:val="007B05F9"/>
    <w:rsid w:val="007B07D4"/>
    <w:rsid w:val="007B0A16"/>
    <w:rsid w:val="007B0C7B"/>
    <w:rsid w:val="007B0CE3"/>
    <w:rsid w:val="007B0DFF"/>
    <w:rsid w:val="007B0E26"/>
    <w:rsid w:val="007B0E6D"/>
    <w:rsid w:val="007B0EC9"/>
    <w:rsid w:val="007B12AB"/>
    <w:rsid w:val="007B1354"/>
    <w:rsid w:val="007B1A8A"/>
    <w:rsid w:val="007B1E92"/>
    <w:rsid w:val="007B1F4F"/>
    <w:rsid w:val="007B20AB"/>
    <w:rsid w:val="007B2B9C"/>
    <w:rsid w:val="007B3057"/>
    <w:rsid w:val="007B330B"/>
    <w:rsid w:val="007B3656"/>
    <w:rsid w:val="007B3C7F"/>
    <w:rsid w:val="007B3D30"/>
    <w:rsid w:val="007B3E4B"/>
    <w:rsid w:val="007B41C9"/>
    <w:rsid w:val="007B48C7"/>
    <w:rsid w:val="007B4920"/>
    <w:rsid w:val="007B515B"/>
    <w:rsid w:val="007B51AE"/>
    <w:rsid w:val="007B52BC"/>
    <w:rsid w:val="007B59A2"/>
    <w:rsid w:val="007B5D67"/>
    <w:rsid w:val="007B5DDA"/>
    <w:rsid w:val="007B60E9"/>
    <w:rsid w:val="007B61EF"/>
    <w:rsid w:val="007B6779"/>
    <w:rsid w:val="007B6CC3"/>
    <w:rsid w:val="007B70F7"/>
    <w:rsid w:val="007B7113"/>
    <w:rsid w:val="007B73C9"/>
    <w:rsid w:val="007B752C"/>
    <w:rsid w:val="007B75D3"/>
    <w:rsid w:val="007B79CB"/>
    <w:rsid w:val="007B7C16"/>
    <w:rsid w:val="007C01B1"/>
    <w:rsid w:val="007C0801"/>
    <w:rsid w:val="007C09E1"/>
    <w:rsid w:val="007C0A72"/>
    <w:rsid w:val="007C0B70"/>
    <w:rsid w:val="007C0C13"/>
    <w:rsid w:val="007C0DA5"/>
    <w:rsid w:val="007C1089"/>
    <w:rsid w:val="007C1B4C"/>
    <w:rsid w:val="007C1C83"/>
    <w:rsid w:val="007C1CC8"/>
    <w:rsid w:val="007C1DBF"/>
    <w:rsid w:val="007C1F44"/>
    <w:rsid w:val="007C2060"/>
    <w:rsid w:val="007C2330"/>
    <w:rsid w:val="007C23D2"/>
    <w:rsid w:val="007C27C3"/>
    <w:rsid w:val="007C2E57"/>
    <w:rsid w:val="007C2EDC"/>
    <w:rsid w:val="007C2FF6"/>
    <w:rsid w:val="007C3142"/>
    <w:rsid w:val="007C3334"/>
    <w:rsid w:val="007C351D"/>
    <w:rsid w:val="007C3570"/>
    <w:rsid w:val="007C4000"/>
    <w:rsid w:val="007C452A"/>
    <w:rsid w:val="007C4F8A"/>
    <w:rsid w:val="007C506C"/>
    <w:rsid w:val="007C51D7"/>
    <w:rsid w:val="007C53AA"/>
    <w:rsid w:val="007C547B"/>
    <w:rsid w:val="007C5491"/>
    <w:rsid w:val="007C5641"/>
    <w:rsid w:val="007C6899"/>
    <w:rsid w:val="007C68C5"/>
    <w:rsid w:val="007C6E82"/>
    <w:rsid w:val="007C6F41"/>
    <w:rsid w:val="007C6F54"/>
    <w:rsid w:val="007C6F65"/>
    <w:rsid w:val="007C7891"/>
    <w:rsid w:val="007C7C29"/>
    <w:rsid w:val="007C7E5C"/>
    <w:rsid w:val="007D0013"/>
    <w:rsid w:val="007D0278"/>
    <w:rsid w:val="007D031E"/>
    <w:rsid w:val="007D0A0D"/>
    <w:rsid w:val="007D0B97"/>
    <w:rsid w:val="007D0C17"/>
    <w:rsid w:val="007D0C8C"/>
    <w:rsid w:val="007D0E3C"/>
    <w:rsid w:val="007D0E4B"/>
    <w:rsid w:val="007D10B3"/>
    <w:rsid w:val="007D1170"/>
    <w:rsid w:val="007D11B8"/>
    <w:rsid w:val="007D1432"/>
    <w:rsid w:val="007D16DC"/>
    <w:rsid w:val="007D175E"/>
    <w:rsid w:val="007D19F7"/>
    <w:rsid w:val="007D1B51"/>
    <w:rsid w:val="007D2080"/>
    <w:rsid w:val="007D2484"/>
    <w:rsid w:val="007D2494"/>
    <w:rsid w:val="007D260D"/>
    <w:rsid w:val="007D2781"/>
    <w:rsid w:val="007D2A18"/>
    <w:rsid w:val="007D2B98"/>
    <w:rsid w:val="007D2D97"/>
    <w:rsid w:val="007D30F0"/>
    <w:rsid w:val="007D31DC"/>
    <w:rsid w:val="007D33BB"/>
    <w:rsid w:val="007D3D79"/>
    <w:rsid w:val="007D45CE"/>
    <w:rsid w:val="007D4D0A"/>
    <w:rsid w:val="007D4E45"/>
    <w:rsid w:val="007D4F01"/>
    <w:rsid w:val="007D5069"/>
    <w:rsid w:val="007D540E"/>
    <w:rsid w:val="007D549E"/>
    <w:rsid w:val="007D55A1"/>
    <w:rsid w:val="007D5A71"/>
    <w:rsid w:val="007D5AD1"/>
    <w:rsid w:val="007D5AEA"/>
    <w:rsid w:val="007D5C8D"/>
    <w:rsid w:val="007D5F5F"/>
    <w:rsid w:val="007D5F9E"/>
    <w:rsid w:val="007D6705"/>
    <w:rsid w:val="007D6FA3"/>
    <w:rsid w:val="007D715A"/>
    <w:rsid w:val="007D733F"/>
    <w:rsid w:val="007D7568"/>
    <w:rsid w:val="007D76FF"/>
    <w:rsid w:val="007D7C4D"/>
    <w:rsid w:val="007D7F07"/>
    <w:rsid w:val="007E0337"/>
    <w:rsid w:val="007E03CE"/>
    <w:rsid w:val="007E05CF"/>
    <w:rsid w:val="007E07FA"/>
    <w:rsid w:val="007E0A89"/>
    <w:rsid w:val="007E0D10"/>
    <w:rsid w:val="007E0D92"/>
    <w:rsid w:val="007E0F4A"/>
    <w:rsid w:val="007E1184"/>
    <w:rsid w:val="007E1554"/>
    <w:rsid w:val="007E15CA"/>
    <w:rsid w:val="007E1751"/>
    <w:rsid w:val="007E1768"/>
    <w:rsid w:val="007E1DDF"/>
    <w:rsid w:val="007E21BC"/>
    <w:rsid w:val="007E28DA"/>
    <w:rsid w:val="007E2B3E"/>
    <w:rsid w:val="007E2D37"/>
    <w:rsid w:val="007E321F"/>
    <w:rsid w:val="007E38E5"/>
    <w:rsid w:val="007E41D2"/>
    <w:rsid w:val="007E42A0"/>
    <w:rsid w:val="007E441B"/>
    <w:rsid w:val="007E4D79"/>
    <w:rsid w:val="007E5009"/>
    <w:rsid w:val="007E50B5"/>
    <w:rsid w:val="007E5462"/>
    <w:rsid w:val="007E5490"/>
    <w:rsid w:val="007E5655"/>
    <w:rsid w:val="007E585F"/>
    <w:rsid w:val="007E593F"/>
    <w:rsid w:val="007E5A40"/>
    <w:rsid w:val="007E5D40"/>
    <w:rsid w:val="007E61C5"/>
    <w:rsid w:val="007E62A4"/>
    <w:rsid w:val="007E6417"/>
    <w:rsid w:val="007E72BE"/>
    <w:rsid w:val="007E742C"/>
    <w:rsid w:val="007E7510"/>
    <w:rsid w:val="007E752B"/>
    <w:rsid w:val="007E799A"/>
    <w:rsid w:val="007E7C40"/>
    <w:rsid w:val="007E7C48"/>
    <w:rsid w:val="007E7EEE"/>
    <w:rsid w:val="007E7F43"/>
    <w:rsid w:val="007F0264"/>
    <w:rsid w:val="007F0496"/>
    <w:rsid w:val="007F0713"/>
    <w:rsid w:val="007F0A18"/>
    <w:rsid w:val="007F0C72"/>
    <w:rsid w:val="007F0D3D"/>
    <w:rsid w:val="007F0D3F"/>
    <w:rsid w:val="007F0E4E"/>
    <w:rsid w:val="007F10A3"/>
    <w:rsid w:val="007F171B"/>
    <w:rsid w:val="007F1BA9"/>
    <w:rsid w:val="007F1CD8"/>
    <w:rsid w:val="007F1D45"/>
    <w:rsid w:val="007F2072"/>
    <w:rsid w:val="007F22E5"/>
    <w:rsid w:val="007F253B"/>
    <w:rsid w:val="007F260E"/>
    <w:rsid w:val="007F27F6"/>
    <w:rsid w:val="007F2DC3"/>
    <w:rsid w:val="007F3406"/>
    <w:rsid w:val="007F3721"/>
    <w:rsid w:val="007F3B01"/>
    <w:rsid w:val="007F3D68"/>
    <w:rsid w:val="007F400D"/>
    <w:rsid w:val="007F4858"/>
    <w:rsid w:val="007F48EE"/>
    <w:rsid w:val="007F498F"/>
    <w:rsid w:val="007F4C17"/>
    <w:rsid w:val="007F4F45"/>
    <w:rsid w:val="007F5266"/>
    <w:rsid w:val="007F5537"/>
    <w:rsid w:val="007F55EC"/>
    <w:rsid w:val="007F5A3A"/>
    <w:rsid w:val="007F5C72"/>
    <w:rsid w:val="007F5D54"/>
    <w:rsid w:val="007F6080"/>
    <w:rsid w:val="007F6089"/>
    <w:rsid w:val="007F60D4"/>
    <w:rsid w:val="007F62F3"/>
    <w:rsid w:val="007F66BA"/>
    <w:rsid w:val="007F673D"/>
    <w:rsid w:val="007F6766"/>
    <w:rsid w:val="007F69D0"/>
    <w:rsid w:val="007F6BD5"/>
    <w:rsid w:val="007F6CBD"/>
    <w:rsid w:val="007F6F48"/>
    <w:rsid w:val="007F6F94"/>
    <w:rsid w:val="007F79B5"/>
    <w:rsid w:val="007F7A91"/>
    <w:rsid w:val="007F7AA6"/>
    <w:rsid w:val="007F7D9D"/>
    <w:rsid w:val="007F7F2B"/>
    <w:rsid w:val="008000F9"/>
    <w:rsid w:val="008004DC"/>
    <w:rsid w:val="00800630"/>
    <w:rsid w:val="00800842"/>
    <w:rsid w:val="0080085C"/>
    <w:rsid w:val="0080094F"/>
    <w:rsid w:val="008009F7"/>
    <w:rsid w:val="008009FA"/>
    <w:rsid w:val="00800B51"/>
    <w:rsid w:val="0080142B"/>
    <w:rsid w:val="00801688"/>
    <w:rsid w:val="00801BBC"/>
    <w:rsid w:val="00801C82"/>
    <w:rsid w:val="00801D53"/>
    <w:rsid w:val="00802182"/>
    <w:rsid w:val="008022B4"/>
    <w:rsid w:val="0080241F"/>
    <w:rsid w:val="00802659"/>
    <w:rsid w:val="00802E76"/>
    <w:rsid w:val="0080344D"/>
    <w:rsid w:val="0080398A"/>
    <w:rsid w:val="00803C4D"/>
    <w:rsid w:val="00803C9C"/>
    <w:rsid w:val="00803CC0"/>
    <w:rsid w:val="00803F1C"/>
    <w:rsid w:val="00804360"/>
    <w:rsid w:val="008045F4"/>
    <w:rsid w:val="00804937"/>
    <w:rsid w:val="00804AD4"/>
    <w:rsid w:val="008050EC"/>
    <w:rsid w:val="00805177"/>
    <w:rsid w:val="00805A26"/>
    <w:rsid w:val="00805EDF"/>
    <w:rsid w:val="0080600E"/>
    <w:rsid w:val="008060E0"/>
    <w:rsid w:val="0080612C"/>
    <w:rsid w:val="0080639F"/>
    <w:rsid w:val="0080685C"/>
    <w:rsid w:val="008069C1"/>
    <w:rsid w:val="008069D1"/>
    <w:rsid w:val="00806CE0"/>
    <w:rsid w:val="00806D71"/>
    <w:rsid w:val="0080746B"/>
    <w:rsid w:val="00807593"/>
    <w:rsid w:val="008079CC"/>
    <w:rsid w:val="00810541"/>
    <w:rsid w:val="00810566"/>
    <w:rsid w:val="00810860"/>
    <w:rsid w:val="0081099C"/>
    <w:rsid w:val="00810AC5"/>
    <w:rsid w:val="00810B64"/>
    <w:rsid w:val="00810F65"/>
    <w:rsid w:val="00811051"/>
    <w:rsid w:val="008112F7"/>
    <w:rsid w:val="008117BB"/>
    <w:rsid w:val="00811988"/>
    <w:rsid w:val="00811B47"/>
    <w:rsid w:val="00811E7F"/>
    <w:rsid w:val="0081204A"/>
    <w:rsid w:val="00812296"/>
    <w:rsid w:val="008124AE"/>
    <w:rsid w:val="008125EE"/>
    <w:rsid w:val="00812A95"/>
    <w:rsid w:val="00812ACD"/>
    <w:rsid w:val="00812ADE"/>
    <w:rsid w:val="00812B05"/>
    <w:rsid w:val="00812EFB"/>
    <w:rsid w:val="00812F47"/>
    <w:rsid w:val="0081371C"/>
    <w:rsid w:val="00813A9F"/>
    <w:rsid w:val="00813AB0"/>
    <w:rsid w:val="008140C5"/>
    <w:rsid w:val="00814173"/>
    <w:rsid w:val="0081449E"/>
    <w:rsid w:val="00814506"/>
    <w:rsid w:val="008146EC"/>
    <w:rsid w:val="00814818"/>
    <w:rsid w:val="0081496B"/>
    <w:rsid w:val="00814BC2"/>
    <w:rsid w:val="00815195"/>
    <w:rsid w:val="00815207"/>
    <w:rsid w:val="00815398"/>
    <w:rsid w:val="00815497"/>
    <w:rsid w:val="00815971"/>
    <w:rsid w:val="00815A24"/>
    <w:rsid w:val="00815A4B"/>
    <w:rsid w:val="00815E08"/>
    <w:rsid w:val="00816112"/>
    <w:rsid w:val="0081647F"/>
    <w:rsid w:val="00816513"/>
    <w:rsid w:val="008167A5"/>
    <w:rsid w:val="00816A42"/>
    <w:rsid w:val="00816AE5"/>
    <w:rsid w:val="00816BE5"/>
    <w:rsid w:val="00816ED6"/>
    <w:rsid w:val="00816F45"/>
    <w:rsid w:val="008170D4"/>
    <w:rsid w:val="00817276"/>
    <w:rsid w:val="0081746C"/>
    <w:rsid w:val="00817576"/>
    <w:rsid w:val="008175AA"/>
    <w:rsid w:val="00817612"/>
    <w:rsid w:val="00817A0E"/>
    <w:rsid w:val="00817AA5"/>
    <w:rsid w:val="00817B08"/>
    <w:rsid w:val="00817C4A"/>
    <w:rsid w:val="00817DF4"/>
    <w:rsid w:val="00817E57"/>
    <w:rsid w:val="00820291"/>
    <w:rsid w:val="00820F92"/>
    <w:rsid w:val="00821959"/>
    <w:rsid w:val="00821C2C"/>
    <w:rsid w:val="00821FF7"/>
    <w:rsid w:val="0082233B"/>
    <w:rsid w:val="008224EA"/>
    <w:rsid w:val="008225CB"/>
    <w:rsid w:val="008226D0"/>
    <w:rsid w:val="0082287D"/>
    <w:rsid w:val="00822988"/>
    <w:rsid w:val="00822E81"/>
    <w:rsid w:val="00822FF5"/>
    <w:rsid w:val="0082333F"/>
    <w:rsid w:val="008234BE"/>
    <w:rsid w:val="0082350F"/>
    <w:rsid w:val="008235E6"/>
    <w:rsid w:val="00823783"/>
    <w:rsid w:val="008238F3"/>
    <w:rsid w:val="0082476C"/>
    <w:rsid w:val="00824A3F"/>
    <w:rsid w:val="00824E4E"/>
    <w:rsid w:val="008253A6"/>
    <w:rsid w:val="00825623"/>
    <w:rsid w:val="0082564F"/>
    <w:rsid w:val="008258DE"/>
    <w:rsid w:val="00825C92"/>
    <w:rsid w:val="00825D2C"/>
    <w:rsid w:val="00825E86"/>
    <w:rsid w:val="00825F67"/>
    <w:rsid w:val="00825FF9"/>
    <w:rsid w:val="008266B8"/>
    <w:rsid w:val="00826860"/>
    <w:rsid w:val="008269EE"/>
    <w:rsid w:val="00826C65"/>
    <w:rsid w:val="008271E7"/>
    <w:rsid w:val="00827229"/>
    <w:rsid w:val="00827365"/>
    <w:rsid w:val="00827496"/>
    <w:rsid w:val="00827622"/>
    <w:rsid w:val="0082785F"/>
    <w:rsid w:val="008306E5"/>
    <w:rsid w:val="00830929"/>
    <w:rsid w:val="008309CD"/>
    <w:rsid w:val="00830B1C"/>
    <w:rsid w:val="00830C4A"/>
    <w:rsid w:val="00830F17"/>
    <w:rsid w:val="0083140A"/>
    <w:rsid w:val="0083146E"/>
    <w:rsid w:val="008315AB"/>
    <w:rsid w:val="008318FB"/>
    <w:rsid w:val="00831D3B"/>
    <w:rsid w:val="0083217D"/>
    <w:rsid w:val="00832212"/>
    <w:rsid w:val="008325D9"/>
    <w:rsid w:val="00832784"/>
    <w:rsid w:val="00832873"/>
    <w:rsid w:val="00832B46"/>
    <w:rsid w:val="00832E7E"/>
    <w:rsid w:val="0083327F"/>
    <w:rsid w:val="0083343D"/>
    <w:rsid w:val="00833633"/>
    <w:rsid w:val="00833661"/>
    <w:rsid w:val="008336D0"/>
    <w:rsid w:val="008337BE"/>
    <w:rsid w:val="008338A4"/>
    <w:rsid w:val="0083395A"/>
    <w:rsid w:val="00833B1B"/>
    <w:rsid w:val="00833D8C"/>
    <w:rsid w:val="00833EAA"/>
    <w:rsid w:val="00834158"/>
    <w:rsid w:val="008342BE"/>
    <w:rsid w:val="0083487F"/>
    <w:rsid w:val="00834C23"/>
    <w:rsid w:val="008350B4"/>
    <w:rsid w:val="00835216"/>
    <w:rsid w:val="008352BF"/>
    <w:rsid w:val="008352CC"/>
    <w:rsid w:val="0083554E"/>
    <w:rsid w:val="00835819"/>
    <w:rsid w:val="0083588E"/>
    <w:rsid w:val="00835BD9"/>
    <w:rsid w:val="00835C46"/>
    <w:rsid w:val="00836060"/>
    <w:rsid w:val="0083613A"/>
    <w:rsid w:val="00836907"/>
    <w:rsid w:val="008369AB"/>
    <w:rsid w:val="008369D8"/>
    <w:rsid w:val="00836E35"/>
    <w:rsid w:val="00836F27"/>
    <w:rsid w:val="00837083"/>
    <w:rsid w:val="008375A0"/>
    <w:rsid w:val="00837C45"/>
    <w:rsid w:val="00837DC6"/>
    <w:rsid w:val="0084036C"/>
    <w:rsid w:val="00841611"/>
    <w:rsid w:val="008417D9"/>
    <w:rsid w:val="008418D2"/>
    <w:rsid w:val="00841B6E"/>
    <w:rsid w:val="00841B90"/>
    <w:rsid w:val="00841D37"/>
    <w:rsid w:val="00841E8D"/>
    <w:rsid w:val="00842033"/>
    <w:rsid w:val="008423EA"/>
    <w:rsid w:val="00842510"/>
    <w:rsid w:val="00842675"/>
    <w:rsid w:val="00842BB7"/>
    <w:rsid w:val="008436B8"/>
    <w:rsid w:val="00843934"/>
    <w:rsid w:val="00843BA5"/>
    <w:rsid w:val="00843E99"/>
    <w:rsid w:val="00843F3D"/>
    <w:rsid w:val="0084404F"/>
    <w:rsid w:val="0084424C"/>
    <w:rsid w:val="00844730"/>
    <w:rsid w:val="00844798"/>
    <w:rsid w:val="00844E00"/>
    <w:rsid w:val="00845264"/>
    <w:rsid w:val="00845447"/>
    <w:rsid w:val="008457C2"/>
    <w:rsid w:val="0084582A"/>
    <w:rsid w:val="00845DC2"/>
    <w:rsid w:val="00846006"/>
    <w:rsid w:val="0084624B"/>
    <w:rsid w:val="0084626F"/>
    <w:rsid w:val="0084643A"/>
    <w:rsid w:val="0084650F"/>
    <w:rsid w:val="00846555"/>
    <w:rsid w:val="0084665C"/>
    <w:rsid w:val="00846690"/>
    <w:rsid w:val="0084677D"/>
    <w:rsid w:val="00846850"/>
    <w:rsid w:val="00846981"/>
    <w:rsid w:val="00846CB1"/>
    <w:rsid w:val="00846DCA"/>
    <w:rsid w:val="00847119"/>
    <w:rsid w:val="008472E2"/>
    <w:rsid w:val="008472EC"/>
    <w:rsid w:val="00847AE5"/>
    <w:rsid w:val="00847D04"/>
    <w:rsid w:val="00847D66"/>
    <w:rsid w:val="00847E88"/>
    <w:rsid w:val="00850500"/>
    <w:rsid w:val="008505C6"/>
    <w:rsid w:val="0085064A"/>
    <w:rsid w:val="00850819"/>
    <w:rsid w:val="008508B9"/>
    <w:rsid w:val="00850E4D"/>
    <w:rsid w:val="00851376"/>
    <w:rsid w:val="008514D3"/>
    <w:rsid w:val="0085156D"/>
    <w:rsid w:val="008515F1"/>
    <w:rsid w:val="00851A7D"/>
    <w:rsid w:val="00851BEA"/>
    <w:rsid w:val="00851DA5"/>
    <w:rsid w:val="008520EB"/>
    <w:rsid w:val="008525A9"/>
    <w:rsid w:val="0085266B"/>
    <w:rsid w:val="00853489"/>
    <w:rsid w:val="00853829"/>
    <w:rsid w:val="00853B54"/>
    <w:rsid w:val="00853F9D"/>
    <w:rsid w:val="008540B6"/>
    <w:rsid w:val="008540EE"/>
    <w:rsid w:val="0085423E"/>
    <w:rsid w:val="0085457E"/>
    <w:rsid w:val="008548E4"/>
    <w:rsid w:val="00854A32"/>
    <w:rsid w:val="00854F8F"/>
    <w:rsid w:val="008550C6"/>
    <w:rsid w:val="008554B8"/>
    <w:rsid w:val="0085567C"/>
    <w:rsid w:val="008556CA"/>
    <w:rsid w:val="00855D9C"/>
    <w:rsid w:val="008563A3"/>
    <w:rsid w:val="00856BF3"/>
    <w:rsid w:val="00856D9E"/>
    <w:rsid w:val="00857A82"/>
    <w:rsid w:val="00857D41"/>
    <w:rsid w:val="00857ED7"/>
    <w:rsid w:val="0086031A"/>
    <w:rsid w:val="008603F2"/>
    <w:rsid w:val="00860A9F"/>
    <w:rsid w:val="00860B0A"/>
    <w:rsid w:val="00860B5F"/>
    <w:rsid w:val="008611BC"/>
    <w:rsid w:val="00861880"/>
    <w:rsid w:val="008619A1"/>
    <w:rsid w:val="00861D82"/>
    <w:rsid w:val="00862253"/>
    <w:rsid w:val="0086261F"/>
    <w:rsid w:val="008627EF"/>
    <w:rsid w:val="008629F3"/>
    <w:rsid w:val="00862EC5"/>
    <w:rsid w:val="0086335C"/>
    <w:rsid w:val="00863367"/>
    <w:rsid w:val="00863802"/>
    <w:rsid w:val="00863ED4"/>
    <w:rsid w:val="008643F9"/>
    <w:rsid w:val="008644FA"/>
    <w:rsid w:val="0086456A"/>
    <w:rsid w:val="008645D3"/>
    <w:rsid w:val="008646C9"/>
    <w:rsid w:val="00864FF5"/>
    <w:rsid w:val="008650A4"/>
    <w:rsid w:val="008650CC"/>
    <w:rsid w:val="008655E7"/>
    <w:rsid w:val="008656C2"/>
    <w:rsid w:val="008657F3"/>
    <w:rsid w:val="00865CB9"/>
    <w:rsid w:val="00865CCD"/>
    <w:rsid w:val="00865D33"/>
    <w:rsid w:val="00865D59"/>
    <w:rsid w:val="00866186"/>
    <w:rsid w:val="008664EC"/>
    <w:rsid w:val="008665ED"/>
    <w:rsid w:val="0086668D"/>
    <w:rsid w:val="00866771"/>
    <w:rsid w:val="008668F6"/>
    <w:rsid w:val="00866E4E"/>
    <w:rsid w:val="00867001"/>
    <w:rsid w:val="0086721D"/>
    <w:rsid w:val="008674C2"/>
    <w:rsid w:val="00867A05"/>
    <w:rsid w:val="00867A6D"/>
    <w:rsid w:val="00867AC2"/>
    <w:rsid w:val="00867B68"/>
    <w:rsid w:val="0087015F"/>
    <w:rsid w:val="008704AD"/>
    <w:rsid w:val="0087074B"/>
    <w:rsid w:val="00870CEE"/>
    <w:rsid w:val="00870F88"/>
    <w:rsid w:val="008710B2"/>
    <w:rsid w:val="00871537"/>
    <w:rsid w:val="00871ACF"/>
    <w:rsid w:val="00871D0C"/>
    <w:rsid w:val="008721DA"/>
    <w:rsid w:val="0087259A"/>
    <w:rsid w:val="0087271C"/>
    <w:rsid w:val="00872A19"/>
    <w:rsid w:val="00872A3D"/>
    <w:rsid w:val="00873491"/>
    <w:rsid w:val="008737A5"/>
    <w:rsid w:val="00873836"/>
    <w:rsid w:val="00873AF3"/>
    <w:rsid w:val="00873E8E"/>
    <w:rsid w:val="00873F92"/>
    <w:rsid w:val="00874327"/>
    <w:rsid w:val="00874427"/>
    <w:rsid w:val="00874731"/>
    <w:rsid w:val="0087479F"/>
    <w:rsid w:val="00874C92"/>
    <w:rsid w:val="00874DE8"/>
    <w:rsid w:val="0087507A"/>
    <w:rsid w:val="0087511D"/>
    <w:rsid w:val="00875141"/>
    <w:rsid w:val="0087517E"/>
    <w:rsid w:val="0087518B"/>
    <w:rsid w:val="0087528D"/>
    <w:rsid w:val="00875B95"/>
    <w:rsid w:val="008762FF"/>
    <w:rsid w:val="00876822"/>
    <w:rsid w:val="008769DF"/>
    <w:rsid w:val="00876A9F"/>
    <w:rsid w:val="008771AD"/>
    <w:rsid w:val="00877250"/>
    <w:rsid w:val="00877442"/>
    <w:rsid w:val="0087747E"/>
    <w:rsid w:val="0087778E"/>
    <w:rsid w:val="00877CD0"/>
    <w:rsid w:val="00880B5E"/>
    <w:rsid w:val="00880B77"/>
    <w:rsid w:val="00880BC8"/>
    <w:rsid w:val="00880C11"/>
    <w:rsid w:val="00880FE8"/>
    <w:rsid w:val="00881157"/>
    <w:rsid w:val="008812F3"/>
    <w:rsid w:val="00881512"/>
    <w:rsid w:val="00881A67"/>
    <w:rsid w:val="00881B88"/>
    <w:rsid w:val="00881FF1"/>
    <w:rsid w:val="008823A7"/>
    <w:rsid w:val="0088252D"/>
    <w:rsid w:val="008825B3"/>
    <w:rsid w:val="008828EF"/>
    <w:rsid w:val="00882A03"/>
    <w:rsid w:val="00882DE2"/>
    <w:rsid w:val="00882FB6"/>
    <w:rsid w:val="00882FD5"/>
    <w:rsid w:val="008830A2"/>
    <w:rsid w:val="008833C1"/>
    <w:rsid w:val="00883438"/>
    <w:rsid w:val="0088368C"/>
    <w:rsid w:val="008836BC"/>
    <w:rsid w:val="00883E21"/>
    <w:rsid w:val="00884DB2"/>
    <w:rsid w:val="00884E81"/>
    <w:rsid w:val="00884ED1"/>
    <w:rsid w:val="00884FB6"/>
    <w:rsid w:val="00885223"/>
    <w:rsid w:val="00885396"/>
    <w:rsid w:val="00885450"/>
    <w:rsid w:val="0088545D"/>
    <w:rsid w:val="00885553"/>
    <w:rsid w:val="00885737"/>
    <w:rsid w:val="008857A5"/>
    <w:rsid w:val="00885974"/>
    <w:rsid w:val="00885987"/>
    <w:rsid w:val="00885C06"/>
    <w:rsid w:val="00885CA7"/>
    <w:rsid w:val="00885E54"/>
    <w:rsid w:val="00886282"/>
    <w:rsid w:val="0088636C"/>
    <w:rsid w:val="0088678D"/>
    <w:rsid w:val="0088679A"/>
    <w:rsid w:val="00886814"/>
    <w:rsid w:val="00886DA7"/>
    <w:rsid w:val="00887304"/>
    <w:rsid w:val="00887513"/>
    <w:rsid w:val="0088761F"/>
    <w:rsid w:val="00887BD0"/>
    <w:rsid w:val="00887C19"/>
    <w:rsid w:val="00887CD8"/>
    <w:rsid w:val="00887F99"/>
    <w:rsid w:val="008902F5"/>
    <w:rsid w:val="00890634"/>
    <w:rsid w:val="00890650"/>
    <w:rsid w:val="008909B7"/>
    <w:rsid w:val="00890C56"/>
    <w:rsid w:val="00890FA9"/>
    <w:rsid w:val="00890FEF"/>
    <w:rsid w:val="0089119C"/>
    <w:rsid w:val="008914B5"/>
    <w:rsid w:val="00891AD0"/>
    <w:rsid w:val="00891F36"/>
    <w:rsid w:val="00892723"/>
    <w:rsid w:val="008927C7"/>
    <w:rsid w:val="00892A41"/>
    <w:rsid w:val="00892A94"/>
    <w:rsid w:val="00892AB5"/>
    <w:rsid w:val="00892AD7"/>
    <w:rsid w:val="00892D44"/>
    <w:rsid w:val="008934E9"/>
    <w:rsid w:val="00893506"/>
    <w:rsid w:val="0089369B"/>
    <w:rsid w:val="00893713"/>
    <w:rsid w:val="00893818"/>
    <w:rsid w:val="00893DA3"/>
    <w:rsid w:val="00893DFD"/>
    <w:rsid w:val="00893EF9"/>
    <w:rsid w:val="00893FF7"/>
    <w:rsid w:val="00894134"/>
    <w:rsid w:val="00894765"/>
    <w:rsid w:val="00894809"/>
    <w:rsid w:val="00894D26"/>
    <w:rsid w:val="00894D2A"/>
    <w:rsid w:val="00895389"/>
    <w:rsid w:val="00895472"/>
    <w:rsid w:val="008957E2"/>
    <w:rsid w:val="008958F9"/>
    <w:rsid w:val="00895B43"/>
    <w:rsid w:val="00895BF4"/>
    <w:rsid w:val="00895D38"/>
    <w:rsid w:val="00895FA2"/>
    <w:rsid w:val="00896099"/>
    <w:rsid w:val="008964DF"/>
    <w:rsid w:val="00896625"/>
    <w:rsid w:val="00896628"/>
    <w:rsid w:val="00896807"/>
    <w:rsid w:val="00896A8D"/>
    <w:rsid w:val="00896F65"/>
    <w:rsid w:val="00897145"/>
    <w:rsid w:val="00897313"/>
    <w:rsid w:val="0089759E"/>
    <w:rsid w:val="00897C0D"/>
    <w:rsid w:val="00897C86"/>
    <w:rsid w:val="00897D76"/>
    <w:rsid w:val="00897E12"/>
    <w:rsid w:val="008A011A"/>
    <w:rsid w:val="008A0437"/>
    <w:rsid w:val="008A0457"/>
    <w:rsid w:val="008A04E1"/>
    <w:rsid w:val="008A069B"/>
    <w:rsid w:val="008A0DAD"/>
    <w:rsid w:val="008A0EC3"/>
    <w:rsid w:val="008A18E2"/>
    <w:rsid w:val="008A2170"/>
    <w:rsid w:val="008A21D5"/>
    <w:rsid w:val="008A2501"/>
    <w:rsid w:val="008A27CC"/>
    <w:rsid w:val="008A292E"/>
    <w:rsid w:val="008A2B89"/>
    <w:rsid w:val="008A2F89"/>
    <w:rsid w:val="008A30E2"/>
    <w:rsid w:val="008A3196"/>
    <w:rsid w:val="008A3473"/>
    <w:rsid w:val="008A3644"/>
    <w:rsid w:val="008A375B"/>
    <w:rsid w:val="008A3B82"/>
    <w:rsid w:val="008A41EF"/>
    <w:rsid w:val="008A4355"/>
    <w:rsid w:val="008A43E2"/>
    <w:rsid w:val="008A4533"/>
    <w:rsid w:val="008A4748"/>
    <w:rsid w:val="008A47F3"/>
    <w:rsid w:val="008A4985"/>
    <w:rsid w:val="008A49F0"/>
    <w:rsid w:val="008A4B90"/>
    <w:rsid w:val="008A4BC0"/>
    <w:rsid w:val="008A4C2F"/>
    <w:rsid w:val="008A5A9D"/>
    <w:rsid w:val="008A5C86"/>
    <w:rsid w:val="008A5EA2"/>
    <w:rsid w:val="008A5EAB"/>
    <w:rsid w:val="008A62B2"/>
    <w:rsid w:val="008A633B"/>
    <w:rsid w:val="008A63C6"/>
    <w:rsid w:val="008A670D"/>
    <w:rsid w:val="008A6716"/>
    <w:rsid w:val="008A6880"/>
    <w:rsid w:val="008A6B26"/>
    <w:rsid w:val="008A6BA9"/>
    <w:rsid w:val="008A6C80"/>
    <w:rsid w:val="008A6CB5"/>
    <w:rsid w:val="008A72C5"/>
    <w:rsid w:val="008A72E6"/>
    <w:rsid w:val="008A742E"/>
    <w:rsid w:val="008A75D0"/>
    <w:rsid w:val="008A7803"/>
    <w:rsid w:val="008A7874"/>
    <w:rsid w:val="008A7E0F"/>
    <w:rsid w:val="008B00E3"/>
    <w:rsid w:val="008B08E2"/>
    <w:rsid w:val="008B0C96"/>
    <w:rsid w:val="008B0EF3"/>
    <w:rsid w:val="008B10ED"/>
    <w:rsid w:val="008B12F5"/>
    <w:rsid w:val="008B1402"/>
    <w:rsid w:val="008B15CE"/>
    <w:rsid w:val="008B192D"/>
    <w:rsid w:val="008B1A58"/>
    <w:rsid w:val="008B1BBB"/>
    <w:rsid w:val="008B1C8D"/>
    <w:rsid w:val="008B1CF7"/>
    <w:rsid w:val="008B1E57"/>
    <w:rsid w:val="008B20E5"/>
    <w:rsid w:val="008B212B"/>
    <w:rsid w:val="008B21E9"/>
    <w:rsid w:val="008B26CE"/>
    <w:rsid w:val="008B2D49"/>
    <w:rsid w:val="008B2D5F"/>
    <w:rsid w:val="008B31CA"/>
    <w:rsid w:val="008B3941"/>
    <w:rsid w:val="008B3DB5"/>
    <w:rsid w:val="008B41A1"/>
    <w:rsid w:val="008B426B"/>
    <w:rsid w:val="008B450E"/>
    <w:rsid w:val="008B4891"/>
    <w:rsid w:val="008B4895"/>
    <w:rsid w:val="008B4B39"/>
    <w:rsid w:val="008B4CCC"/>
    <w:rsid w:val="008B4E58"/>
    <w:rsid w:val="008B5010"/>
    <w:rsid w:val="008B502C"/>
    <w:rsid w:val="008B516E"/>
    <w:rsid w:val="008B5196"/>
    <w:rsid w:val="008B5210"/>
    <w:rsid w:val="008B55C7"/>
    <w:rsid w:val="008B59E8"/>
    <w:rsid w:val="008B5ACB"/>
    <w:rsid w:val="008B5DFC"/>
    <w:rsid w:val="008B6017"/>
    <w:rsid w:val="008B60FC"/>
    <w:rsid w:val="008B675B"/>
    <w:rsid w:val="008B6765"/>
    <w:rsid w:val="008B67FC"/>
    <w:rsid w:val="008B6888"/>
    <w:rsid w:val="008B6BB8"/>
    <w:rsid w:val="008B6D49"/>
    <w:rsid w:val="008B6EC0"/>
    <w:rsid w:val="008B744E"/>
    <w:rsid w:val="008B751D"/>
    <w:rsid w:val="008B777D"/>
    <w:rsid w:val="008B77CB"/>
    <w:rsid w:val="008B781C"/>
    <w:rsid w:val="008B793B"/>
    <w:rsid w:val="008B7C48"/>
    <w:rsid w:val="008B7FD8"/>
    <w:rsid w:val="008C056E"/>
    <w:rsid w:val="008C0A49"/>
    <w:rsid w:val="008C0C3D"/>
    <w:rsid w:val="008C0CCF"/>
    <w:rsid w:val="008C10D9"/>
    <w:rsid w:val="008C1B2F"/>
    <w:rsid w:val="008C1BB7"/>
    <w:rsid w:val="008C1FE0"/>
    <w:rsid w:val="008C2225"/>
    <w:rsid w:val="008C294B"/>
    <w:rsid w:val="008C2AE9"/>
    <w:rsid w:val="008C33D1"/>
    <w:rsid w:val="008C3431"/>
    <w:rsid w:val="008C3892"/>
    <w:rsid w:val="008C3C05"/>
    <w:rsid w:val="008C3F6A"/>
    <w:rsid w:val="008C4927"/>
    <w:rsid w:val="008C4928"/>
    <w:rsid w:val="008C4A05"/>
    <w:rsid w:val="008C4C11"/>
    <w:rsid w:val="008C5146"/>
    <w:rsid w:val="008C5543"/>
    <w:rsid w:val="008C5562"/>
    <w:rsid w:val="008C5713"/>
    <w:rsid w:val="008C5C35"/>
    <w:rsid w:val="008C5D8E"/>
    <w:rsid w:val="008C6103"/>
    <w:rsid w:val="008C6399"/>
    <w:rsid w:val="008C6414"/>
    <w:rsid w:val="008C6603"/>
    <w:rsid w:val="008C6649"/>
    <w:rsid w:val="008C6720"/>
    <w:rsid w:val="008C6927"/>
    <w:rsid w:val="008C6949"/>
    <w:rsid w:val="008C6A79"/>
    <w:rsid w:val="008C6CD8"/>
    <w:rsid w:val="008C6EAF"/>
    <w:rsid w:val="008C70D3"/>
    <w:rsid w:val="008C710F"/>
    <w:rsid w:val="008C74AB"/>
    <w:rsid w:val="008C77C0"/>
    <w:rsid w:val="008C7AB2"/>
    <w:rsid w:val="008C7BBD"/>
    <w:rsid w:val="008C7DB1"/>
    <w:rsid w:val="008D046B"/>
    <w:rsid w:val="008D098C"/>
    <w:rsid w:val="008D0A1E"/>
    <w:rsid w:val="008D0BE4"/>
    <w:rsid w:val="008D0EC6"/>
    <w:rsid w:val="008D1265"/>
    <w:rsid w:val="008D1330"/>
    <w:rsid w:val="008D1A4E"/>
    <w:rsid w:val="008D1A69"/>
    <w:rsid w:val="008D1DCC"/>
    <w:rsid w:val="008D1F00"/>
    <w:rsid w:val="008D1FC9"/>
    <w:rsid w:val="008D21E0"/>
    <w:rsid w:val="008D23D9"/>
    <w:rsid w:val="008D2719"/>
    <w:rsid w:val="008D29D4"/>
    <w:rsid w:val="008D2A0D"/>
    <w:rsid w:val="008D2E8E"/>
    <w:rsid w:val="008D3224"/>
    <w:rsid w:val="008D33B3"/>
    <w:rsid w:val="008D36CF"/>
    <w:rsid w:val="008D3823"/>
    <w:rsid w:val="008D39B8"/>
    <w:rsid w:val="008D3FA1"/>
    <w:rsid w:val="008D4062"/>
    <w:rsid w:val="008D41F9"/>
    <w:rsid w:val="008D43AD"/>
    <w:rsid w:val="008D4432"/>
    <w:rsid w:val="008D4690"/>
    <w:rsid w:val="008D4727"/>
    <w:rsid w:val="008D473F"/>
    <w:rsid w:val="008D4768"/>
    <w:rsid w:val="008D480D"/>
    <w:rsid w:val="008D48B0"/>
    <w:rsid w:val="008D48BA"/>
    <w:rsid w:val="008D4A3F"/>
    <w:rsid w:val="008D4C94"/>
    <w:rsid w:val="008D5095"/>
    <w:rsid w:val="008D54E7"/>
    <w:rsid w:val="008D5CB6"/>
    <w:rsid w:val="008D60FB"/>
    <w:rsid w:val="008D6267"/>
    <w:rsid w:val="008D65CF"/>
    <w:rsid w:val="008D68B9"/>
    <w:rsid w:val="008D6B07"/>
    <w:rsid w:val="008D75CA"/>
    <w:rsid w:val="008D76ED"/>
    <w:rsid w:val="008D7912"/>
    <w:rsid w:val="008D7923"/>
    <w:rsid w:val="008D7D82"/>
    <w:rsid w:val="008E0137"/>
    <w:rsid w:val="008E03B8"/>
    <w:rsid w:val="008E075C"/>
    <w:rsid w:val="008E07BC"/>
    <w:rsid w:val="008E082F"/>
    <w:rsid w:val="008E0960"/>
    <w:rsid w:val="008E0B0A"/>
    <w:rsid w:val="008E0BB6"/>
    <w:rsid w:val="008E0EDA"/>
    <w:rsid w:val="008E11CA"/>
    <w:rsid w:val="008E1471"/>
    <w:rsid w:val="008E1700"/>
    <w:rsid w:val="008E17DB"/>
    <w:rsid w:val="008E1940"/>
    <w:rsid w:val="008E1D85"/>
    <w:rsid w:val="008E20A5"/>
    <w:rsid w:val="008E2248"/>
    <w:rsid w:val="008E22AA"/>
    <w:rsid w:val="008E22F7"/>
    <w:rsid w:val="008E25ED"/>
    <w:rsid w:val="008E2A39"/>
    <w:rsid w:val="008E2FC3"/>
    <w:rsid w:val="008E31B9"/>
    <w:rsid w:val="008E3511"/>
    <w:rsid w:val="008E354C"/>
    <w:rsid w:val="008E3759"/>
    <w:rsid w:val="008E3944"/>
    <w:rsid w:val="008E3B2C"/>
    <w:rsid w:val="008E3EC0"/>
    <w:rsid w:val="008E3FED"/>
    <w:rsid w:val="008E4267"/>
    <w:rsid w:val="008E4296"/>
    <w:rsid w:val="008E449B"/>
    <w:rsid w:val="008E4946"/>
    <w:rsid w:val="008E4C06"/>
    <w:rsid w:val="008E50F6"/>
    <w:rsid w:val="008E527D"/>
    <w:rsid w:val="008E53C0"/>
    <w:rsid w:val="008E5415"/>
    <w:rsid w:val="008E59E4"/>
    <w:rsid w:val="008E5A1F"/>
    <w:rsid w:val="008E5CEA"/>
    <w:rsid w:val="008E5DA5"/>
    <w:rsid w:val="008E629F"/>
    <w:rsid w:val="008E673F"/>
    <w:rsid w:val="008E69E2"/>
    <w:rsid w:val="008E6A8E"/>
    <w:rsid w:val="008E6AA4"/>
    <w:rsid w:val="008E6E7A"/>
    <w:rsid w:val="008E6F74"/>
    <w:rsid w:val="008E70A9"/>
    <w:rsid w:val="008E7255"/>
    <w:rsid w:val="008E74E7"/>
    <w:rsid w:val="008E7574"/>
    <w:rsid w:val="008E75D4"/>
    <w:rsid w:val="008E7760"/>
    <w:rsid w:val="008E793C"/>
    <w:rsid w:val="008E7E47"/>
    <w:rsid w:val="008E7EA2"/>
    <w:rsid w:val="008E7F97"/>
    <w:rsid w:val="008F0098"/>
    <w:rsid w:val="008F02C2"/>
    <w:rsid w:val="008F050C"/>
    <w:rsid w:val="008F0CBE"/>
    <w:rsid w:val="008F10DF"/>
    <w:rsid w:val="008F12CF"/>
    <w:rsid w:val="008F1612"/>
    <w:rsid w:val="008F17F5"/>
    <w:rsid w:val="008F1912"/>
    <w:rsid w:val="008F19CD"/>
    <w:rsid w:val="008F1E69"/>
    <w:rsid w:val="008F1F46"/>
    <w:rsid w:val="008F1F8A"/>
    <w:rsid w:val="008F2394"/>
    <w:rsid w:val="008F2478"/>
    <w:rsid w:val="008F2496"/>
    <w:rsid w:val="008F25BE"/>
    <w:rsid w:val="008F27D0"/>
    <w:rsid w:val="008F2A26"/>
    <w:rsid w:val="008F2D9D"/>
    <w:rsid w:val="008F305F"/>
    <w:rsid w:val="008F3062"/>
    <w:rsid w:val="008F3087"/>
    <w:rsid w:val="008F341F"/>
    <w:rsid w:val="008F3479"/>
    <w:rsid w:val="008F3526"/>
    <w:rsid w:val="008F3561"/>
    <w:rsid w:val="008F37C4"/>
    <w:rsid w:val="008F39A9"/>
    <w:rsid w:val="008F3E0A"/>
    <w:rsid w:val="008F3FD2"/>
    <w:rsid w:val="008F425A"/>
    <w:rsid w:val="008F4487"/>
    <w:rsid w:val="008F45C9"/>
    <w:rsid w:val="008F4711"/>
    <w:rsid w:val="008F471E"/>
    <w:rsid w:val="008F47E2"/>
    <w:rsid w:val="008F4962"/>
    <w:rsid w:val="008F4EFD"/>
    <w:rsid w:val="008F55C8"/>
    <w:rsid w:val="008F58FC"/>
    <w:rsid w:val="008F5B40"/>
    <w:rsid w:val="008F5E8B"/>
    <w:rsid w:val="008F5FB3"/>
    <w:rsid w:val="008F6098"/>
    <w:rsid w:val="008F627B"/>
    <w:rsid w:val="008F66DC"/>
    <w:rsid w:val="008F696E"/>
    <w:rsid w:val="008F69CB"/>
    <w:rsid w:val="008F6A7F"/>
    <w:rsid w:val="008F6BBA"/>
    <w:rsid w:val="008F7000"/>
    <w:rsid w:val="008F724A"/>
    <w:rsid w:val="008F7500"/>
    <w:rsid w:val="008F7553"/>
    <w:rsid w:val="008F7B8B"/>
    <w:rsid w:val="008F7FA4"/>
    <w:rsid w:val="009003AE"/>
    <w:rsid w:val="00900773"/>
    <w:rsid w:val="00900920"/>
    <w:rsid w:val="0090099B"/>
    <w:rsid w:val="00900AF1"/>
    <w:rsid w:val="00901029"/>
    <w:rsid w:val="00901586"/>
    <w:rsid w:val="00901A4C"/>
    <w:rsid w:val="009023CC"/>
    <w:rsid w:val="00902509"/>
    <w:rsid w:val="00902609"/>
    <w:rsid w:val="0090270B"/>
    <w:rsid w:val="00902EDB"/>
    <w:rsid w:val="00902EF1"/>
    <w:rsid w:val="00902F13"/>
    <w:rsid w:val="00902F2B"/>
    <w:rsid w:val="0090300E"/>
    <w:rsid w:val="009032C1"/>
    <w:rsid w:val="00903DD0"/>
    <w:rsid w:val="009041DC"/>
    <w:rsid w:val="009042DB"/>
    <w:rsid w:val="009042DC"/>
    <w:rsid w:val="00904343"/>
    <w:rsid w:val="009046A1"/>
    <w:rsid w:val="00904BD6"/>
    <w:rsid w:val="00905478"/>
    <w:rsid w:val="009054D0"/>
    <w:rsid w:val="0090550F"/>
    <w:rsid w:val="00905516"/>
    <w:rsid w:val="0090565D"/>
    <w:rsid w:val="009056A6"/>
    <w:rsid w:val="00905AB9"/>
    <w:rsid w:val="00905C12"/>
    <w:rsid w:val="00905F8E"/>
    <w:rsid w:val="0090610F"/>
    <w:rsid w:val="0090613B"/>
    <w:rsid w:val="0090649D"/>
    <w:rsid w:val="00906820"/>
    <w:rsid w:val="00906DAC"/>
    <w:rsid w:val="00906E1D"/>
    <w:rsid w:val="00906E40"/>
    <w:rsid w:val="00907063"/>
    <w:rsid w:val="009072E5"/>
    <w:rsid w:val="00907324"/>
    <w:rsid w:val="009078C0"/>
    <w:rsid w:val="00907F68"/>
    <w:rsid w:val="00910381"/>
    <w:rsid w:val="009105A9"/>
    <w:rsid w:val="0091063B"/>
    <w:rsid w:val="00910C41"/>
    <w:rsid w:val="00910D7B"/>
    <w:rsid w:val="009111B6"/>
    <w:rsid w:val="00911472"/>
    <w:rsid w:val="009115E7"/>
    <w:rsid w:val="00911823"/>
    <w:rsid w:val="009119A7"/>
    <w:rsid w:val="00911AD8"/>
    <w:rsid w:val="00911CD9"/>
    <w:rsid w:val="00911DA9"/>
    <w:rsid w:val="009120C5"/>
    <w:rsid w:val="009121A0"/>
    <w:rsid w:val="009123E5"/>
    <w:rsid w:val="00912540"/>
    <w:rsid w:val="00912B46"/>
    <w:rsid w:val="00912D2F"/>
    <w:rsid w:val="00912FB7"/>
    <w:rsid w:val="0091348F"/>
    <w:rsid w:val="00913739"/>
    <w:rsid w:val="009137EA"/>
    <w:rsid w:val="0091389C"/>
    <w:rsid w:val="00913A78"/>
    <w:rsid w:val="00913D8D"/>
    <w:rsid w:val="00914334"/>
    <w:rsid w:val="0091441A"/>
    <w:rsid w:val="009148CF"/>
    <w:rsid w:val="00914ADF"/>
    <w:rsid w:val="00914ECD"/>
    <w:rsid w:val="00915037"/>
    <w:rsid w:val="009154A4"/>
    <w:rsid w:val="009155FB"/>
    <w:rsid w:val="0091583A"/>
    <w:rsid w:val="009158F7"/>
    <w:rsid w:val="0091593A"/>
    <w:rsid w:val="00916621"/>
    <w:rsid w:val="00916668"/>
    <w:rsid w:val="00916739"/>
    <w:rsid w:val="009169B5"/>
    <w:rsid w:val="009169CB"/>
    <w:rsid w:val="00916AB6"/>
    <w:rsid w:val="00916AF3"/>
    <w:rsid w:val="00916E0F"/>
    <w:rsid w:val="00917159"/>
    <w:rsid w:val="009171C7"/>
    <w:rsid w:val="009177D4"/>
    <w:rsid w:val="009179E9"/>
    <w:rsid w:val="009203E9"/>
    <w:rsid w:val="0092041F"/>
    <w:rsid w:val="00920607"/>
    <w:rsid w:val="009206C5"/>
    <w:rsid w:val="00920889"/>
    <w:rsid w:val="00920930"/>
    <w:rsid w:val="009209D4"/>
    <w:rsid w:val="009209FD"/>
    <w:rsid w:val="00920A58"/>
    <w:rsid w:val="00920A8C"/>
    <w:rsid w:val="00920AB3"/>
    <w:rsid w:val="00920C3E"/>
    <w:rsid w:val="00920F28"/>
    <w:rsid w:val="00921832"/>
    <w:rsid w:val="00921997"/>
    <w:rsid w:val="009219E0"/>
    <w:rsid w:val="00921AB4"/>
    <w:rsid w:val="00921C8B"/>
    <w:rsid w:val="00921E5E"/>
    <w:rsid w:val="00921F39"/>
    <w:rsid w:val="00921F55"/>
    <w:rsid w:val="009221B2"/>
    <w:rsid w:val="00922273"/>
    <w:rsid w:val="00922964"/>
    <w:rsid w:val="00922D48"/>
    <w:rsid w:val="00922FB8"/>
    <w:rsid w:val="00922FC4"/>
    <w:rsid w:val="00923148"/>
    <w:rsid w:val="0092359B"/>
    <w:rsid w:val="009238E7"/>
    <w:rsid w:val="00923C90"/>
    <w:rsid w:val="0092405F"/>
    <w:rsid w:val="0092424C"/>
    <w:rsid w:val="00924764"/>
    <w:rsid w:val="009249B2"/>
    <w:rsid w:val="00924C64"/>
    <w:rsid w:val="00925367"/>
    <w:rsid w:val="00925733"/>
    <w:rsid w:val="00925A19"/>
    <w:rsid w:val="00926755"/>
    <w:rsid w:val="00926943"/>
    <w:rsid w:val="00926A08"/>
    <w:rsid w:val="00926A94"/>
    <w:rsid w:val="00926AA0"/>
    <w:rsid w:val="00926B86"/>
    <w:rsid w:val="00926BAE"/>
    <w:rsid w:val="00926C9C"/>
    <w:rsid w:val="00926D4F"/>
    <w:rsid w:val="00927033"/>
    <w:rsid w:val="0092713D"/>
    <w:rsid w:val="009271A8"/>
    <w:rsid w:val="00927354"/>
    <w:rsid w:val="00927535"/>
    <w:rsid w:val="009275F3"/>
    <w:rsid w:val="00927D83"/>
    <w:rsid w:val="00927ED8"/>
    <w:rsid w:val="00930133"/>
    <w:rsid w:val="009301F7"/>
    <w:rsid w:val="009308EE"/>
    <w:rsid w:val="009309EB"/>
    <w:rsid w:val="00930F4D"/>
    <w:rsid w:val="0093120D"/>
    <w:rsid w:val="009312A3"/>
    <w:rsid w:val="009316D4"/>
    <w:rsid w:val="00931907"/>
    <w:rsid w:val="00931B1C"/>
    <w:rsid w:val="00931D6C"/>
    <w:rsid w:val="00931E9D"/>
    <w:rsid w:val="00932212"/>
    <w:rsid w:val="0093271E"/>
    <w:rsid w:val="00932773"/>
    <w:rsid w:val="00932C5D"/>
    <w:rsid w:val="00932E91"/>
    <w:rsid w:val="009330D2"/>
    <w:rsid w:val="0093313B"/>
    <w:rsid w:val="009333AA"/>
    <w:rsid w:val="00933700"/>
    <w:rsid w:val="00933DAD"/>
    <w:rsid w:val="00933EE9"/>
    <w:rsid w:val="00933FCE"/>
    <w:rsid w:val="00934070"/>
    <w:rsid w:val="00934959"/>
    <w:rsid w:val="009349BE"/>
    <w:rsid w:val="00934A2C"/>
    <w:rsid w:val="00934B18"/>
    <w:rsid w:val="00934B4C"/>
    <w:rsid w:val="00934D16"/>
    <w:rsid w:val="00934DFB"/>
    <w:rsid w:val="00935013"/>
    <w:rsid w:val="0093501B"/>
    <w:rsid w:val="009353D7"/>
    <w:rsid w:val="009355D3"/>
    <w:rsid w:val="00935949"/>
    <w:rsid w:val="00935BCB"/>
    <w:rsid w:val="00936594"/>
    <w:rsid w:val="009366E0"/>
    <w:rsid w:val="0093685A"/>
    <w:rsid w:val="00936B61"/>
    <w:rsid w:val="00936F64"/>
    <w:rsid w:val="009370F3"/>
    <w:rsid w:val="00937444"/>
    <w:rsid w:val="0093771D"/>
    <w:rsid w:val="00937862"/>
    <w:rsid w:val="00937BCD"/>
    <w:rsid w:val="00940613"/>
    <w:rsid w:val="0094082C"/>
    <w:rsid w:val="00940AFA"/>
    <w:rsid w:val="00940DF6"/>
    <w:rsid w:val="00940FB2"/>
    <w:rsid w:val="009411A4"/>
    <w:rsid w:val="0094120E"/>
    <w:rsid w:val="009413D3"/>
    <w:rsid w:val="00941659"/>
    <w:rsid w:val="009416EC"/>
    <w:rsid w:val="00941EAA"/>
    <w:rsid w:val="00941EBA"/>
    <w:rsid w:val="00942414"/>
    <w:rsid w:val="009424DA"/>
    <w:rsid w:val="0094275B"/>
    <w:rsid w:val="009429BC"/>
    <w:rsid w:val="00942AD5"/>
    <w:rsid w:val="00942C1C"/>
    <w:rsid w:val="00942D0B"/>
    <w:rsid w:val="00942EC2"/>
    <w:rsid w:val="009431B7"/>
    <w:rsid w:val="00943552"/>
    <w:rsid w:val="00943D43"/>
    <w:rsid w:val="0094444C"/>
    <w:rsid w:val="0094464C"/>
    <w:rsid w:val="00944AC4"/>
    <w:rsid w:val="00944C2A"/>
    <w:rsid w:val="00944C59"/>
    <w:rsid w:val="00944F05"/>
    <w:rsid w:val="0094547C"/>
    <w:rsid w:val="00945A2C"/>
    <w:rsid w:val="00945A76"/>
    <w:rsid w:val="00945C70"/>
    <w:rsid w:val="00945C77"/>
    <w:rsid w:val="0094696E"/>
    <w:rsid w:val="00946B9A"/>
    <w:rsid w:val="00946EFD"/>
    <w:rsid w:val="00946F18"/>
    <w:rsid w:val="009470BC"/>
    <w:rsid w:val="009475F5"/>
    <w:rsid w:val="009479ED"/>
    <w:rsid w:val="00947E15"/>
    <w:rsid w:val="009500D7"/>
    <w:rsid w:val="009502A2"/>
    <w:rsid w:val="009503D9"/>
    <w:rsid w:val="009507D3"/>
    <w:rsid w:val="009508AA"/>
    <w:rsid w:val="00950B7F"/>
    <w:rsid w:val="00950E0E"/>
    <w:rsid w:val="00951062"/>
    <w:rsid w:val="00951A75"/>
    <w:rsid w:val="00951AE2"/>
    <w:rsid w:val="00951C7B"/>
    <w:rsid w:val="00951E65"/>
    <w:rsid w:val="009520B7"/>
    <w:rsid w:val="0095229E"/>
    <w:rsid w:val="0095245A"/>
    <w:rsid w:val="00952502"/>
    <w:rsid w:val="0095257D"/>
    <w:rsid w:val="009529DA"/>
    <w:rsid w:val="00952AE7"/>
    <w:rsid w:val="00952BCA"/>
    <w:rsid w:val="00952E64"/>
    <w:rsid w:val="00952EDD"/>
    <w:rsid w:val="00952FD1"/>
    <w:rsid w:val="00952FE3"/>
    <w:rsid w:val="009538B9"/>
    <w:rsid w:val="00953A76"/>
    <w:rsid w:val="0095411D"/>
    <w:rsid w:val="00954147"/>
    <w:rsid w:val="00954182"/>
    <w:rsid w:val="009542D4"/>
    <w:rsid w:val="009546E1"/>
    <w:rsid w:val="009546F4"/>
    <w:rsid w:val="00954809"/>
    <w:rsid w:val="0095497F"/>
    <w:rsid w:val="00954991"/>
    <w:rsid w:val="00954C0E"/>
    <w:rsid w:val="00954DFF"/>
    <w:rsid w:val="009552C9"/>
    <w:rsid w:val="00955372"/>
    <w:rsid w:val="0095569B"/>
    <w:rsid w:val="009556DC"/>
    <w:rsid w:val="00955960"/>
    <w:rsid w:val="009559BF"/>
    <w:rsid w:val="00955AA1"/>
    <w:rsid w:val="00955E9C"/>
    <w:rsid w:val="00955F89"/>
    <w:rsid w:val="009562F9"/>
    <w:rsid w:val="0095634C"/>
    <w:rsid w:val="009565D1"/>
    <w:rsid w:val="009567A7"/>
    <w:rsid w:val="00956842"/>
    <w:rsid w:val="0095700E"/>
    <w:rsid w:val="00957448"/>
    <w:rsid w:val="0095753F"/>
    <w:rsid w:val="00957674"/>
    <w:rsid w:val="00957E2C"/>
    <w:rsid w:val="00957E2F"/>
    <w:rsid w:val="00960021"/>
    <w:rsid w:val="00960A27"/>
    <w:rsid w:val="00960AC4"/>
    <w:rsid w:val="00960AF4"/>
    <w:rsid w:val="00960C14"/>
    <w:rsid w:val="009610C2"/>
    <w:rsid w:val="00961148"/>
    <w:rsid w:val="00961AAB"/>
    <w:rsid w:val="00961DDF"/>
    <w:rsid w:val="00962471"/>
    <w:rsid w:val="00962B4C"/>
    <w:rsid w:val="009633F4"/>
    <w:rsid w:val="00963625"/>
    <w:rsid w:val="0096395A"/>
    <w:rsid w:val="00963B33"/>
    <w:rsid w:val="00963D2D"/>
    <w:rsid w:val="0096435F"/>
    <w:rsid w:val="009643C0"/>
    <w:rsid w:val="00964642"/>
    <w:rsid w:val="00964A6F"/>
    <w:rsid w:val="00964E61"/>
    <w:rsid w:val="00964FF0"/>
    <w:rsid w:val="0096502E"/>
    <w:rsid w:val="0096528E"/>
    <w:rsid w:val="00965364"/>
    <w:rsid w:val="00965692"/>
    <w:rsid w:val="00965FF1"/>
    <w:rsid w:val="009661AF"/>
    <w:rsid w:val="0096646F"/>
    <w:rsid w:val="00966665"/>
    <w:rsid w:val="009666D9"/>
    <w:rsid w:val="0096684C"/>
    <w:rsid w:val="00966BE2"/>
    <w:rsid w:val="00966DEB"/>
    <w:rsid w:val="00966E05"/>
    <w:rsid w:val="00966FD8"/>
    <w:rsid w:val="00967024"/>
    <w:rsid w:val="00967045"/>
    <w:rsid w:val="0096706E"/>
    <w:rsid w:val="00967237"/>
    <w:rsid w:val="009673BF"/>
    <w:rsid w:val="00967592"/>
    <w:rsid w:val="009675EE"/>
    <w:rsid w:val="0096763A"/>
    <w:rsid w:val="0096766E"/>
    <w:rsid w:val="00967BDC"/>
    <w:rsid w:val="00967CCC"/>
    <w:rsid w:val="00967DAD"/>
    <w:rsid w:val="0097048E"/>
    <w:rsid w:val="00970584"/>
    <w:rsid w:val="00970B97"/>
    <w:rsid w:val="00970F4B"/>
    <w:rsid w:val="009712C6"/>
    <w:rsid w:val="00971445"/>
    <w:rsid w:val="00971555"/>
    <w:rsid w:val="00971629"/>
    <w:rsid w:val="00971902"/>
    <w:rsid w:val="009719FA"/>
    <w:rsid w:val="00971ADF"/>
    <w:rsid w:val="00972061"/>
    <w:rsid w:val="0097211D"/>
    <w:rsid w:val="009723AC"/>
    <w:rsid w:val="00972540"/>
    <w:rsid w:val="00972CBA"/>
    <w:rsid w:val="00972E9F"/>
    <w:rsid w:val="00973118"/>
    <w:rsid w:val="009731EE"/>
    <w:rsid w:val="00973BDF"/>
    <w:rsid w:val="00973E7C"/>
    <w:rsid w:val="0097414F"/>
    <w:rsid w:val="00974482"/>
    <w:rsid w:val="00974685"/>
    <w:rsid w:val="00974C38"/>
    <w:rsid w:val="00974CB1"/>
    <w:rsid w:val="00974D7E"/>
    <w:rsid w:val="00974EC9"/>
    <w:rsid w:val="00975034"/>
    <w:rsid w:val="009753E0"/>
    <w:rsid w:val="0097544B"/>
    <w:rsid w:val="00975C4E"/>
    <w:rsid w:val="00975E4C"/>
    <w:rsid w:val="00975F13"/>
    <w:rsid w:val="009760C3"/>
    <w:rsid w:val="00976430"/>
    <w:rsid w:val="00976577"/>
    <w:rsid w:val="00976633"/>
    <w:rsid w:val="00976CBA"/>
    <w:rsid w:val="009772CA"/>
    <w:rsid w:val="0097742E"/>
    <w:rsid w:val="009775EF"/>
    <w:rsid w:val="009778CA"/>
    <w:rsid w:val="00977AE2"/>
    <w:rsid w:val="00977B1C"/>
    <w:rsid w:val="00977B52"/>
    <w:rsid w:val="00977D82"/>
    <w:rsid w:val="00977E73"/>
    <w:rsid w:val="00977F70"/>
    <w:rsid w:val="0098038C"/>
    <w:rsid w:val="009805B0"/>
    <w:rsid w:val="00980623"/>
    <w:rsid w:val="009809FF"/>
    <w:rsid w:val="00980B7F"/>
    <w:rsid w:val="00980E04"/>
    <w:rsid w:val="00980EDD"/>
    <w:rsid w:val="00981174"/>
    <w:rsid w:val="0098144F"/>
    <w:rsid w:val="00981873"/>
    <w:rsid w:val="00981E2F"/>
    <w:rsid w:val="00981FBA"/>
    <w:rsid w:val="009820EC"/>
    <w:rsid w:val="0098223E"/>
    <w:rsid w:val="0098252F"/>
    <w:rsid w:val="009827F4"/>
    <w:rsid w:val="00982A48"/>
    <w:rsid w:val="00982BBB"/>
    <w:rsid w:val="00982C0F"/>
    <w:rsid w:val="00982D5E"/>
    <w:rsid w:val="00982DA4"/>
    <w:rsid w:val="00984198"/>
    <w:rsid w:val="00984776"/>
    <w:rsid w:val="00984E1B"/>
    <w:rsid w:val="0098519D"/>
    <w:rsid w:val="009853D7"/>
    <w:rsid w:val="00985879"/>
    <w:rsid w:val="00985B24"/>
    <w:rsid w:val="00985C1C"/>
    <w:rsid w:val="00985C45"/>
    <w:rsid w:val="00986095"/>
    <w:rsid w:val="00986489"/>
    <w:rsid w:val="0098652C"/>
    <w:rsid w:val="009867A2"/>
    <w:rsid w:val="00986806"/>
    <w:rsid w:val="00986BFB"/>
    <w:rsid w:val="00986E88"/>
    <w:rsid w:val="00987846"/>
    <w:rsid w:val="00987964"/>
    <w:rsid w:val="00987E41"/>
    <w:rsid w:val="00987F72"/>
    <w:rsid w:val="009901A9"/>
    <w:rsid w:val="0099057A"/>
    <w:rsid w:val="009907F7"/>
    <w:rsid w:val="00990B08"/>
    <w:rsid w:val="00990C85"/>
    <w:rsid w:val="00990CE5"/>
    <w:rsid w:val="00991017"/>
    <w:rsid w:val="0099106A"/>
    <w:rsid w:val="009910E7"/>
    <w:rsid w:val="009913E4"/>
    <w:rsid w:val="00991613"/>
    <w:rsid w:val="00991BFF"/>
    <w:rsid w:val="00991CC6"/>
    <w:rsid w:val="00991EC9"/>
    <w:rsid w:val="00992087"/>
    <w:rsid w:val="009922A2"/>
    <w:rsid w:val="009923C4"/>
    <w:rsid w:val="00992497"/>
    <w:rsid w:val="009927B2"/>
    <w:rsid w:val="00992F97"/>
    <w:rsid w:val="009932DD"/>
    <w:rsid w:val="0099354C"/>
    <w:rsid w:val="009937D9"/>
    <w:rsid w:val="00993864"/>
    <w:rsid w:val="0099465A"/>
    <w:rsid w:val="00994A61"/>
    <w:rsid w:val="00994B40"/>
    <w:rsid w:val="0099503C"/>
    <w:rsid w:val="0099527B"/>
    <w:rsid w:val="009957F8"/>
    <w:rsid w:val="00995985"/>
    <w:rsid w:val="009959C5"/>
    <w:rsid w:val="009959C9"/>
    <w:rsid w:val="00995A4A"/>
    <w:rsid w:val="00995B97"/>
    <w:rsid w:val="00995C0D"/>
    <w:rsid w:val="0099633B"/>
    <w:rsid w:val="00996486"/>
    <w:rsid w:val="00996B8A"/>
    <w:rsid w:val="00997407"/>
    <w:rsid w:val="00997BC5"/>
    <w:rsid w:val="00997E31"/>
    <w:rsid w:val="00997E52"/>
    <w:rsid w:val="00997F87"/>
    <w:rsid w:val="00997FDB"/>
    <w:rsid w:val="009A0323"/>
    <w:rsid w:val="009A03A9"/>
    <w:rsid w:val="009A092B"/>
    <w:rsid w:val="009A11B4"/>
    <w:rsid w:val="009A140A"/>
    <w:rsid w:val="009A1ABF"/>
    <w:rsid w:val="009A1B4C"/>
    <w:rsid w:val="009A1C21"/>
    <w:rsid w:val="009A1D44"/>
    <w:rsid w:val="009A22C5"/>
    <w:rsid w:val="009A2539"/>
    <w:rsid w:val="009A25F6"/>
    <w:rsid w:val="009A2749"/>
    <w:rsid w:val="009A2C0D"/>
    <w:rsid w:val="009A2DE2"/>
    <w:rsid w:val="009A30A5"/>
    <w:rsid w:val="009A30F6"/>
    <w:rsid w:val="009A33E2"/>
    <w:rsid w:val="009A3D68"/>
    <w:rsid w:val="009A3DB8"/>
    <w:rsid w:val="009A4178"/>
    <w:rsid w:val="009A440D"/>
    <w:rsid w:val="009A4AD3"/>
    <w:rsid w:val="009A4AE5"/>
    <w:rsid w:val="009A4B37"/>
    <w:rsid w:val="009A4CC9"/>
    <w:rsid w:val="009A4EC8"/>
    <w:rsid w:val="009A4F41"/>
    <w:rsid w:val="009A5295"/>
    <w:rsid w:val="009A56F1"/>
    <w:rsid w:val="009A571F"/>
    <w:rsid w:val="009A585B"/>
    <w:rsid w:val="009A591E"/>
    <w:rsid w:val="009A5B34"/>
    <w:rsid w:val="009A5D42"/>
    <w:rsid w:val="009A607F"/>
    <w:rsid w:val="009A6186"/>
    <w:rsid w:val="009A640E"/>
    <w:rsid w:val="009A68FF"/>
    <w:rsid w:val="009A69A0"/>
    <w:rsid w:val="009A6CA2"/>
    <w:rsid w:val="009A72E5"/>
    <w:rsid w:val="009A738A"/>
    <w:rsid w:val="009A78E7"/>
    <w:rsid w:val="009A79B7"/>
    <w:rsid w:val="009A7A66"/>
    <w:rsid w:val="009A7DF4"/>
    <w:rsid w:val="009B02F7"/>
    <w:rsid w:val="009B046F"/>
    <w:rsid w:val="009B05A4"/>
    <w:rsid w:val="009B062E"/>
    <w:rsid w:val="009B0CD6"/>
    <w:rsid w:val="009B0D9C"/>
    <w:rsid w:val="009B120B"/>
    <w:rsid w:val="009B13D5"/>
    <w:rsid w:val="009B1688"/>
    <w:rsid w:val="009B1A6B"/>
    <w:rsid w:val="009B1FD4"/>
    <w:rsid w:val="009B2084"/>
    <w:rsid w:val="009B220F"/>
    <w:rsid w:val="009B2454"/>
    <w:rsid w:val="009B2623"/>
    <w:rsid w:val="009B2830"/>
    <w:rsid w:val="009B2B4D"/>
    <w:rsid w:val="009B3386"/>
    <w:rsid w:val="009B33E4"/>
    <w:rsid w:val="009B342D"/>
    <w:rsid w:val="009B3595"/>
    <w:rsid w:val="009B381A"/>
    <w:rsid w:val="009B381B"/>
    <w:rsid w:val="009B3B35"/>
    <w:rsid w:val="009B3B7F"/>
    <w:rsid w:val="009B3C9E"/>
    <w:rsid w:val="009B401D"/>
    <w:rsid w:val="009B4027"/>
    <w:rsid w:val="009B4626"/>
    <w:rsid w:val="009B4685"/>
    <w:rsid w:val="009B4994"/>
    <w:rsid w:val="009B4CA0"/>
    <w:rsid w:val="009B4FCE"/>
    <w:rsid w:val="009B50A1"/>
    <w:rsid w:val="009B52CE"/>
    <w:rsid w:val="009B5398"/>
    <w:rsid w:val="009B53F0"/>
    <w:rsid w:val="009B5B35"/>
    <w:rsid w:val="009B5EF1"/>
    <w:rsid w:val="009B6281"/>
    <w:rsid w:val="009B62CA"/>
    <w:rsid w:val="009B6381"/>
    <w:rsid w:val="009B6461"/>
    <w:rsid w:val="009B6585"/>
    <w:rsid w:val="009B6919"/>
    <w:rsid w:val="009B6C83"/>
    <w:rsid w:val="009B70DE"/>
    <w:rsid w:val="009B7119"/>
    <w:rsid w:val="009B7333"/>
    <w:rsid w:val="009B7765"/>
    <w:rsid w:val="009B7C38"/>
    <w:rsid w:val="009B7C50"/>
    <w:rsid w:val="009B7D05"/>
    <w:rsid w:val="009B7D9B"/>
    <w:rsid w:val="009C04E8"/>
    <w:rsid w:val="009C0618"/>
    <w:rsid w:val="009C0C08"/>
    <w:rsid w:val="009C0C46"/>
    <w:rsid w:val="009C1046"/>
    <w:rsid w:val="009C121B"/>
    <w:rsid w:val="009C15E1"/>
    <w:rsid w:val="009C1664"/>
    <w:rsid w:val="009C167A"/>
    <w:rsid w:val="009C176D"/>
    <w:rsid w:val="009C1821"/>
    <w:rsid w:val="009C1890"/>
    <w:rsid w:val="009C1C1B"/>
    <w:rsid w:val="009C1DAB"/>
    <w:rsid w:val="009C22AA"/>
    <w:rsid w:val="009C23AE"/>
    <w:rsid w:val="009C23B6"/>
    <w:rsid w:val="009C244A"/>
    <w:rsid w:val="009C2C3F"/>
    <w:rsid w:val="009C2D00"/>
    <w:rsid w:val="009C2F0A"/>
    <w:rsid w:val="009C339C"/>
    <w:rsid w:val="009C3511"/>
    <w:rsid w:val="009C3942"/>
    <w:rsid w:val="009C3BA8"/>
    <w:rsid w:val="009C3C33"/>
    <w:rsid w:val="009C3C4B"/>
    <w:rsid w:val="009C3CC1"/>
    <w:rsid w:val="009C3D85"/>
    <w:rsid w:val="009C44EC"/>
    <w:rsid w:val="009C475A"/>
    <w:rsid w:val="009C48CD"/>
    <w:rsid w:val="009C494E"/>
    <w:rsid w:val="009C4C5F"/>
    <w:rsid w:val="009C4D2F"/>
    <w:rsid w:val="009C5141"/>
    <w:rsid w:val="009C54CA"/>
    <w:rsid w:val="009C600C"/>
    <w:rsid w:val="009C60C5"/>
    <w:rsid w:val="009C61BB"/>
    <w:rsid w:val="009C6760"/>
    <w:rsid w:val="009C6A0D"/>
    <w:rsid w:val="009C6B63"/>
    <w:rsid w:val="009C6F5F"/>
    <w:rsid w:val="009C7131"/>
    <w:rsid w:val="009C74A3"/>
    <w:rsid w:val="009C777D"/>
    <w:rsid w:val="009C7859"/>
    <w:rsid w:val="009C796E"/>
    <w:rsid w:val="009C7AEB"/>
    <w:rsid w:val="009C7BAA"/>
    <w:rsid w:val="009C7D64"/>
    <w:rsid w:val="009C7EA2"/>
    <w:rsid w:val="009C7F63"/>
    <w:rsid w:val="009C7FE4"/>
    <w:rsid w:val="009D037E"/>
    <w:rsid w:val="009D050F"/>
    <w:rsid w:val="009D08CE"/>
    <w:rsid w:val="009D0FBA"/>
    <w:rsid w:val="009D15D2"/>
    <w:rsid w:val="009D181B"/>
    <w:rsid w:val="009D1822"/>
    <w:rsid w:val="009D1A08"/>
    <w:rsid w:val="009D1A38"/>
    <w:rsid w:val="009D1E99"/>
    <w:rsid w:val="009D21A7"/>
    <w:rsid w:val="009D230B"/>
    <w:rsid w:val="009D260E"/>
    <w:rsid w:val="009D2752"/>
    <w:rsid w:val="009D2B45"/>
    <w:rsid w:val="009D2C16"/>
    <w:rsid w:val="009D2ECA"/>
    <w:rsid w:val="009D33B2"/>
    <w:rsid w:val="009D33F5"/>
    <w:rsid w:val="009D3685"/>
    <w:rsid w:val="009D38F1"/>
    <w:rsid w:val="009D38F5"/>
    <w:rsid w:val="009D3A41"/>
    <w:rsid w:val="009D3EF3"/>
    <w:rsid w:val="009D42E6"/>
    <w:rsid w:val="009D4465"/>
    <w:rsid w:val="009D5733"/>
    <w:rsid w:val="009D5770"/>
    <w:rsid w:val="009D5963"/>
    <w:rsid w:val="009D5E86"/>
    <w:rsid w:val="009D5F08"/>
    <w:rsid w:val="009D5F93"/>
    <w:rsid w:val="009D60B5"/>
    <w:rsid w:val="009D6140"/>
    <w:rsid w:val="009D6D2F"/>
    <w:rsid w:val="009D6E78"/>
    <w:rsid w:val="009D74D7"/>
    <w:rsid w:val="009D7611"/>
    <w:rsid w:val="009D767A"/>
    <w:rsid w:val="009D7969"/>
    <w:rsid w:val="009D7CFD"/>
    <w:rsid w:val="009E0289"/>
    <w:rsid w:val="009E05E3"/>
    <w:rsid w:val="009E0B61"/>
    <w:rsid w:val="009E0B84"/>
    <w:rsid w:val="009E0C30"/>
    <w:rsid w:val="009E11CC"/>
    <w:rsid w:val="009E12CB"/>
    <w:rsid w:val="009E12D8"/>
    <w:rsid w:val="009E13FC"/>
    <w:rsid w:val="009E1402"/>
    <w:rsid w:val="009E1BAF"/>
    <w:rsid w:val="009E21ED"/>
    <w:rsid w:val="009E273A"/>
    <w:rsid w:val="009E2826"/>
    <w:rsid w:val="009E2F48"/>
    <w:rsid w:val="009E3012"/>
    <w:rsid w:val="009E32CC"/>
    <w:rsid w:val="009E353E"/>
    <w:rsid w:val="009E3B6A"/>
    <w:rsid w:val="009E3D1E"/>
    <w:rsid w:val="009E4117"/>
    <w:rsid w:val="009E45CB"/>
    <w:rsid w:val="009E4975"/>
    <w:rsid w:val="009E4E45"/>
    <w:rsid w:val="009E4E91"/>
    <w:rsid w:val="009E50CA"/>
    <w:rsid w:val="009E53DE"/>
    <w:rsid w:val="009E5525"/>
    <w:rsid w:val="009E5577"/>
    <w:rsid w:val="009E55C9"/>
    <w:rsid w:val="009E58B4"/>
    <w:rsid w:val="009E5B14"/>
    <w:rsid w:val="009E5DD1"/>
    <w:rsid w:val="009E5E52"/>
    <w:rsid w:val="009E5FE1"/>
    <w:rsid w:val="009E61C0"/>
    <w:rsid w:val="009E63A1"/>
    <w:rsid w:val="009E6937"/>
    <w:rsid w:val="009E695C"/>
    <w:rsid w:val="009E6AB4"/>
    <w:rsid w:val="009E6C3E"/>
    <w:rsid w:val="009E6CC1"/>
    <w:rsid w:val="009E6D6F"/>
    <w:rsid w:val="009E761F"/>
    <w:rsid w:val="009E79F2"/>
    <w:rsid w:val="009E7C0B"/>
    <w:rsid w:val="009E7E3B"/>
    <w:rsid w:val="009F0505"/>
    <w:rsid w:val="009F0941"/>
    <w:rsid w:val="009F0DD7"/>
    <w:rsid w:val="009F0ED2"/>
    <w:rsid w:val="009F0F41"/>
    <w:rsid w:val="009F1026"/>
    <w:rsid w:val="009F156C"/>
    <w:rsid w:val="009F1747"/>
    <w:rsid w:val="009F19B5"/>
    <w:rsid w:val="009F1D4D"/>
    <w:rsid w:val="009F20B0"/>
    <w:rsid w:val="009F24D1"/>
    <w:rsid w:val="009F2659"/>
    <w:rsid w:val="009F2694"/>
    <w:rsid w:val="009F2AF7"/>
    <w:rsid w:val="009F2EF7"/>
    <w:rsid w:val="009F3075"/>
    <w:rsid w:val="009F32AE"/>
    <w:rsid w:val="009F32C6"/>
    <w:rsid w:val="009F33BF"/>
    <w:rsid w:val="009F38F6"/>
    <w:rsid w:val="009F3BB6"/>
    <w:rsid w:val="009F3CAF"/>
    <w:rsid w:val="009F40AE"/>
    <w:rsid w:val="009F4735"/>
    <w:rsid w:val="009F4EFC"/>
    <w:rsid w:val="009F50F4"/>
    <w:rsid w:val="009F51B6"/>
    <w:rsid w:val="009F5402"/>
    <w:rsid w:val="009F552D"/>
    <w:rsid w:val="009F564E"/>
    <w:rsid w:val="009F59B8"/>
    <w:rsid w:val="009F5AF5"/>
    <w:rsid w:val="009F6134"/>
    <w:rsid w:val="009F6313"/>
    <w:rsid w:val="009F63BF"/>
    <w:rsid w:val="009F6409"/>
    <w:rsid w:val="009F6745"/>
    <w:rsid w:val="009F6C1A"/>
    <w:rsid w:val="009F6CA0"/>
    <w:rsid w:val="009F6CD8"/>
    <w:rsid w:val="009F72BB"/>
    <w:rsid w:val="009F73E1"/>
    <w:rsid w:val="009F7549"/>
    <w:rsid w:val="009F7C21"/>
    <w:rsid w:val="00A00055"/>
    <w:rsid w:val="00A00144"/>
    <w:rsid w:val="00A0073D"/>
    <w:rsid w:val="00A00B69"/>
    <w:rsid w:val="00A00BFD"/>
    <w:rsid w:val="00A0131C"/>
    <w:rsid w:val="00A01C60"/>
    <w:rsid w:val="00A01D16"/>
    <w:rsid w:val="00A01D5D"/>
    <w:rsid w:val="00A01E78"/>
    <w:rsid w:val="00A025AC"/>
    <w:rsid w:val="00A02652"/>
    <w:rsid w:val="00A02673"/>
    <w:rsid w:val="00A027FA"/>
    <w:rsid w:val="00A028A8"/>
    <w:rsid w:val="00A02A12"/>
    <w:rsid w:val="00A02BDB"/>
    <w:rsid w:val="00A03143"/>
    <w:rsid w:val="00A0334E"/>
    <w:rsid w:val="00A033C9"/>
    <w:rsid w:val="00A033DA"/>
    <w:rsid w:val="00A037F6"/>
    <w:rsid w:val="00A04404"/>
    <w:rsid w:val="00A044AF"/>
    <w:rsid w:val="00A04A60"/>
    <w:rsid w:val="00A04AD4"/>
    <w:rsid w:val="00A04AF7"/>
    <w:rsid w:val="00A04CFC"/>
    <w:rsid w:val="00A05269"/>
    <w:rsid w:val="00A052AC"/>
    <w:rsid w:val="00A05477"/>
    <w:rsid w:val="00A05A90"/>
    <w:rsid w:val="00A05B35"/>
    <w:rsid w:val="00A05B93"/>
    <w:rsid w:val="00A06120"/>
    <w:rsid w:val="00A0623D"/>
    <w:rsid w:val="00A06467"/>
    <w:rsid w:val="00A0692F"/>
    <w:rsid w:val="00A06E28"/>
    <w:rsid w:val="00A070F3"/>
    <w:rsid w:val="00A071F0"/>
    <w:rsid w:val="00A072D4"/>
    <w:rsid w:val="00A0760C"/>
    <w:rsid w:val="00A07707"/>
    <w:rsid w:val="00A07AD8"/>
    <w:rsid w:val="00A07AF5"/>
    <w:rsid w:val="00A07B51"/>
    <w:rsid w:val="00A07C4A"/>
    <w:rsid w:val="00A07E5F"/>
    <w:rsid w:val="00A104DF"/>
    <w:rsid w:val="00A10A00"/>
    <w:rsid w:val="00A10B59"/>
    <w:rsid w:val="00A10BE2"/>
    <w:rsid w:val="00A10E6B"/>
    <w:rsid w:val="00A10ED4"/>
    <w:rsid w:val="00A10F16"/>
    <w:rsid w:val="00A10FA5"/>
    <w:rsid w:val="00A11505"/>
    <w:rsid w:val="00A1170C"/>
    <w:rsid w:val="00A117B7"/>
    <w:rsid w:val="00A11AE1"/>
    <w:rsid w:val="00A11E23"/>
    <w:rsid w:val="00A11FFA"/>
    <w:rsid w:val="00A12152"/>
    <w:rsid w:val="00A12768"/>
    <w:rsid w:val="00A12867"/>
    <w:rsid w:val="00A129D6"/>
    <w:rsid w:val="00A129F4"/>
    <w:rsid w:val="00A12DA6"/>
    <w:rsid w:val="00A12F23"/>
    <w:rsid w:val="00A13103"/>
    <w:rsid w:val="00A1346B"/>
    <w:rsid w:val="00A13654"/>
    <w:rsid w:val="00A1380F"/>
    <w:rsid w:val="00A1385C"/>
    <w:rsid w:val="00A13900"/>
    <w:rsid w:val="00A13931"/>
    <w:rsid w:val="00A13976"/>
    <w:rsid w:val="00A139B1"/>
    <w:rsid w:val="00A13D36"/>
    <w:rsid w:val="00A13DD1"/>
    <w:rsid w:val="00A154C3"/>
    <w:rsid w:val="00A15A90"/>
    <w:rsid w:val="00A15BCA"/>
    <w:rsid w:val="00A15D1A"/>
    <w:rsid w:val="00A15D6A"/>
    <w:rsid w:val="00A160DA"/>
    <w:rsid w:val="00A1622F"/>
    <w:rsid w:val="00A16A61"/>
    <w:rsid w:val="00A16B1B"/>
    <w:rsid w:val="00A16D37"/>
    <w:rsid w:val="00A17003"/>
    <w:rsid w:val="00A17157"/>
    <w:rsid w:val="00A173EC"/>
    <w:rsid w:val="00A17685"/>
    <w:rsid w:val="00A1783E"/>
    <w:rsid w:val="00A17852"/>
    <w:rsid w:val="00A178DD"/>
    <w:rsid w:val="00A17EC0"/>
    <w:rsid w:val="00A20048"/>
    <w:rsid w:val="00A20353"/>
    <w:rsid w:val="00A20460"/>
    <w:rsid w:val="00A20A63"/>
    <w:rsid w:val="00A20DBC"/>
    <w:rsid w:val="00A2145C"/>
    <w:rsid w:val="00A21721"/>
    <w:rsid w:val="00A219A8"/>
    <w:rsid w:val="00A21A43"/>
    <w:rsid w:val="00A21A95"/>
    <w:rsid w:val="00A21B9A"/>
    <w:rsid w:val="00A221A0"/>
    <w:rsid w:val="00A2220D"/>
    <w:rsid w:val="00A2234D"/>
    <w:rsid w:val="00A22C5C"/>
    <w:rsid w:val="00A23138"/>
    <w:rsid w:val="00A2319A"/>
    <w:rsid w:val="00A231BB"/>
    <w:rsid w:val="00A231C0"/>
    <w:rsid w:val="00A235A8"/>
    <w:rsid w:val="00A2376D"/>
    <w:rsid w:val="00A2380B"/>
    <w:rsid w:val="00A23D7A"/>
    <w:rsid w:val="00A23FFF"/>
    <w:rsid w:val="00A24010"/>
    <w:rsid w:val="00A24527"/>
    <w:rsid w:val="00A24801"/>
    <w:rsid w:val="00A24E43"/>
    <w:rsid w:val="00A24E67"/>
    <w:rsid w:val="00A24F19"/>
    <w:rsid w:val="00A2510D"/>
    <w:rsid w:val="00A25182"/>
    <w:rsid w:val="00A251C4"/>
    <w:rsid w:val="00A25228"/>
    <w:rsid w:val="00A253D7"/>
    <w:rsid w:val="00A2546A"/>
    <w:rsid w:val="00A2547A"/>
    <w:rsid w:val="00A254D2"/>
    <w:rsid w:val="00A2556A"/>
    <w:rsid w:val="00A2561A"/>
    <w:rsid w:val="00A25621"/>
    <w:rsid w:val="00A2572D"/>
    <w:rsid w:val="00A25B0A"/>
    <w:rsid w:val="00A25B6D"/>
    <w:rsid w:val="00A25E38"/>
    <w:rsid w:val="00A262AF"/>
    <w:rsid w:val="00A2643F"/>
    <w:rsid w:val="00A26639"/>
    <w:rsid w:val="00A26681"/>
    <w:rsid w:val="00A26C11"/>
    <w:rsid w:val="00A26F8A"/>
    <w:rsid w:val="00A27205"/>
    <w:rsid w:val="00A2742D"/>
    <w:rsid w:val="00A275D7"/>
    <w:rsid w:val="00A27D56"/>
    <w:rsid w:val="00A27D5F"/>
    <w:rsid w:val="00A30211"/>
    <w:rsid w:val="00A3090A"/>
    <w:rsid w:val="00A30A66"/>
    <w:rsid w:val="00A30DA9"/>
    <w:rsid w:val="00A31632"/>
    <w:rsid w:val="00A317DD"/>
    <w:rsid w:val="00A32032"/>
    <w:rsid w:val="00A3207B"/>
    <w:rsid w:val="00A320D6"/>
    <w:rsid w:val="00A322CA"/>
    <w:rsid w:val="00A3259F"/>
    <w:rsid w:val="00A32836"/>
    <w:rsid w:val="00A328B3"/>
    <w:rsid w:val="00A329E8"/>
    <w:rsid w:val="00A32BAF"/>
    <w:rsid w:val="00A32F4A"/>
    <w:rsid w:val="00A33317"/>
    <w:rsid w:val="00A33604"/>
    <w:rsid w:val="00A338B7"/>
    <w:rsid w:val="00A33976"/>
    <w:rsid w:val="00A339A3"/>
    <w:rsid w:val="00A33BB5"/>
    <w:rsid w:val="00A33CDB"/>
    <w:rsid w:val="00A33F2C"/>
    <w:rsid w:val="00A33F57"/>
    <w:rsid w:val="00A34040"/>
    <w:rsid w:val="00A344B3"/>
    <w:rsid w:val="00A34625"/>
    <w:rsid w:val="00A34A7E"/>
    <w:rsid w:val="00A3515F"/>
    <w:rsid w:val="00A356AE"/>
    <w:rsid w:val="00A3575D"/>
    <w:rsid w:val="00A357AB"/>
    <w:rsid w:val="00A357FF"/>
    <w:rsid w:val="00A359A7"/>
    <w:rsid w:val="00A35CBB"/>
    <w:rsid w:val="00A35CE3"/>
    <w:rsid w:val="00A35E49"/>
    <w:rsid w:val="00A3607C"/>
    <w:rsid w:val="00A36098"/>
    <w:rsid w:val="00A36165"/>
    <w:rsid w:val="00A36354"/>
    <w:rsid w:val="00A363BD"/>
    <w:rsid w:val="00A36B39"/>
    <w:rsid w:val="00A36B9D"/>
    <w:rsid w:val="00A36D42"/>
    <w:rsid w:val="00A37231"/>
    <w:rsid w:val="00A37440"/>
    <w:rsid w:val="00A3756B"/>
    <w:rsid w:val="00A3760F"/>
    <w:rsid w:val="00A376DC"/>
    <w:rsid w:val="00A379F0"/>
    <w:rsid w:val="00A379F5"/>
    <w:rsid w:val="00A37E0A"/>
    <w:rsid w:val="00A405E8"/>
    <w:rsid w:val="00A40EE9"/>
    <w:rsid w:val="00A40F16"/>
    <w:rsid w:val="00A411BD"/>
    <w:rsid w:val="00A4193D"/>
    <w:rsid w:val="00A41959"/>
    <w:rsid w:val="00A4206A"/>
    <w:rsid w:val="00A420E9"/>
    <w:rsid w:val="00A42259"/>
    <w:rsid w:val="00A426BF"/>
    <w:rsid w:val="00A427A2"/>
    <w:rsid w:val="00A4297C"/>
    <w:rsid w:val="00A42CF6"/>
    <w:rsid w:val="00A42D88"/>
    <w:rsid w:val="00A42E32"/>
    <w:rsid w:val="00A42F03"/>
    <w:rsid w:val="00A430F9"/>
    <w:rsid w:val="00A43282"/>
    <w:rsid w:val="00A43286"/>
    <w:rsid w:val="00A43685"/>
    <w:rsid w:val="00A43843"/>
    <w:rsid w:val="00A439A9"/>
    <w:rsid w:val="00A43BBF"/>
    <w:rsid w:val="00A43D5D"/>
    <w:rsid w:val="00A44165"/>
    <w:rsid w:val="00A44265"/>
    <w:rsid w:val="00A443E5"/>
    <w:rsid w:val="00A44446"/>
    <w:rsid w:val="00A4449E"/>
    <w:rsid w:val="00A44CCE"/>
    <w:rsid w:val="00A44E84"/>
    <w:rsid w:val="00A44EAD"/>
    <w:rsid w:val="00A456BE"/>
    <w:rsid w:val="00A4583D"/>
    <w:rsid w:val="00A458BB"/>
    <w:rsid w:val="00A45C15"/>
    <w:rsid w:val="00A45D58"/>
    <w:rsid w:val="00A46904"/>
    <w:rsid w:val="00A46B7B"/>
    <w:rsid w:val="00A46BA2"/>
    <w:rsid w:val="00A46F61"/>
    <w:rsid w:val="00A46FDF"/>
    <w:rsid w:val="00A47090"/>
    <w:rsid w:val="00A4737C"/>
    <w:rsid w:val="00A477D3"/>
    <w:rsid w:val="00A47911"/>
    <w:rsid w:val="00A479E5"/>
    <w:rsid w:val="00A47F9F"/>
    <w:rsid w:val="00A503DE"/>
    <w:rsid w:val="00A508E5"/>
    <w:rsid w:val="00A509E2"/>
    <w:rsid w:val="00A50B61"/>
    <w:rsid w:val="00A50B7B"/>
    <w:rsid w:val="00A50D2D"/>
    <w:rsid w:val="00A50F2F"/>
    <w:rsid w:val="00A50FA3"/>
    <w:rsid w:val="00A50FCF"/>
    <w:rsid w:val="00A512A5"/>
    <w:rsid w:val="00A51744"/>
    <w:rsid w:val="00A517B4"/>
    <w:rsid w:val="00A51E46"/>
    <w:rsid w:val="00A52457"/>
    <w:rsid w:val="00A5252E"/>
    <w:rsid w:val="00A528D1"/>
    <w:rsid w:val="00A52D34"/>
    <w:rsid w:val="00A53175"/>
    <w:rsid w:val="00A531DA"/>
    <w:rsid w:val="00A5335B"/>
    <w:rsid w:val="00A5337B"/>
    <w:rsid w:val="00A53982"/>
    <w:rsid w:val="00A53D16"/>
    <w:rsid w:val="00A54597"/>
    <w:rsid w:val="00A54861"/>
    <w:rsid w:val="00A54AB9"/>
    <w:rsid w:val="00A54F4B"/>
    <w:rsid w:val="00A550B7"/>
    <w:rsid w:val="00A551AD"/>
    <w:rsid w:val="00A55219"/>
    <w:rsid w:val="00A5569C"/>
    <w:rsid w:val="00A55B8D"/>
    <w:rsid w:val="00A55C7B"/>
    <w:rsid w:val="00A55EEF"/>
    <w:rsid w:val="00A55F64"/>
    <w:rsid w:val="00A55FD1"/>
    <w:rsid w:val="00A5642C"/>
    <w:rsid w:val="00A56499"/>
    <w:rsid w:val="00A564DC"/>
    <w:rsid w:val="00A565AC"/>
    <w:rsid w:val="00A5702A"/>
    <w:rsid w:val="00A57053"/>
    <w:rsid w:val="00A578E6"/>
    <w:rsid w:val="00A578EF"/>
    <w:rsid w:val="00A57B49"/>
    <w:rsid w:val="00A57E57"/>
    <w:rsid w:val="00A57F82"/>
    <w:rsid w:val="00A60070"/>
    <w:rsid w:val="00A60593"/>
    <w:rsid w:val="00A60715"/>
    <w:rsid w:val="00A60DF4"/>
    <w:rsid w:val="00A610CD"/>
    <w:rsid w:val="00A615B0"/>
    <w:rsid w:val="00A61F90"/>
    <w:rsid w:val="00A62016"/>
    <w:rsid w:val="00A62098"/>
    <w:rsid w:val="00A6209A"/>
    <w:rsid w:val="00A62487"/>
    <w:rsid w:val="00A624A6"/>
    <w:rsid w:val="00A627D2"/>
    <w:rsid w:val="00A627DA"/>
    <w:rsid w:val="00A628DA"/>
    <w:rsid w:val="00A62B85"/>
    <w:rsid w:val="00A62C2D"/>
    <w:rsid w:val="00A62CF1"/>
    <w:rsid w:val="00A63437"/>
    <w:rsid w:val="00A635E2"/>
    <w:rsid w:val="00A637C7"/>
    <w:rsid w:val="00A63815"/>
    <w:rsid w:val="00A63A78"/>
    <w:rsid w:val="00A640EF"/>
    <w:rsid w:val="00A6411A"/>
    <w:rsid w:val="00A64923"/>
    <w:rsid w:val="00A64A4F"/>
    <w:rsid w:val="00A64A93"/>
    <w:rsid w:val="00A65066"/>
    <w:rsid w:val="00A65569"/>
    <w:rsid w:val="00A65638"/>
    <w:rsid w:val="00A65830"/>
    <w:rsid w:val="00A658E1"/>
    <w:rsid w:val="00A65954"/>
    <w:rsid w:val="00A65AC3"/>
    <w:rsid w:val="00A65ACB"/>
    <w:rsid w:val="00A65CC1"/>
    <w:rsid w:val="00A65FB0"/>
    <w:rsid w:val="00A66084"/>
    <w:rsid w:val="00A66363"/>
    <w:rsid w:val="00A66490"/>
    <w:rsid w:val="00A666C4"/>
    <w:rsid w:val="00A66BEB"/>
    <w:rsid w:val="00A67020"/>
    <w:rsid w:val="00A673A8"/>
    <w:rsid w:val="00A675E6"/>
    <w:rsid w:val="00A67672"/>
    <w:rsid w:val="00A678A1"/>
    <w:rsid w:val="00A678CE"/>
    <w:rsid w:val="00A6797B"/>
    <w:rsid w:val="00A679A7"/>
    <w:rsid w:val="00A67C6B"/>
    <w:rsid w:val="00A67FD8"/>
    <w:rsid w:val="00A7030D"/>
    <w:rsid w:val="00A7105A"/>
    <w:rsid w:val="00A71400"/>
    <w:rsid w:val="00A714AB"/>
    <w:rsid w:val="00A7190E"/>
    <w:rsid w:val="00A71B46"/>
    <w:rsid w:val="00A71B59"/>
    <w:rsid w:val="00A72174"/>
    <w:rsid w:val="00A7230A"/>
    <w:rsid w:val="00A72957"/>
    <w:rsid w:val="00A729D1"/>
    <w:rsid w:val="00A72B74"/>
    <w:rsid w:val="00A72E2D"/>
    <w:rsid w:val="00A72EDD"/>
    <w:rsid w:val="00A731BF"/>
    <w:rsid w:val="00A73269"/>
    <w:rsid w:val="00A733E5"/>
    <w:rsid w:val="00A73892"/>
    <w:rsid w:val="00A73B2E"/>
    <w:rsid w:val="00A73B7E"/>
    <w:rsid w:val="00A7401D"/>
    <w:rsid w:val="00A7407B"/>
    <w:rsid w:val="00A7408E"/>
    <w:rsid w:val="00A740B9"/>
    <w:rsid w:val="00A74A27"/>
    <w:rsid w:val="00A74AA1"/>
    <w:rsid w:val="00A757F2"/>
    <w:rsid w:val="00A75A9C"/>
    <w:rsid w:val="00A75B29"/>
    <w:rsid w:val="00A76046"/>
    <w:rsid w:val="00A76263"/>
    <w:rsid w:val="00A76DB5"/>
    <w:rsid w:val="00A77001"/>
    <w:rsid w:val="00A77801"/>
    <w:rsid w:val="00A77C7A"/>
    <w:rsid w:val="00A77E21"/>
    <w:rsid w:val="00A807F2"/>
    <w:rsid w:val="00A80A6B"/>
    <w:rsid w:val="00A80D36"/>
    <w:rsid w:val="00A80E92"/>
    <w:rsid w:val="00A81008"/>
    <w:rsid w:val="00A814EE"/>
    <w:rsid w:val="00A81617"/>
    <w:rsid w:val="00A817B6"/>
    <w:rsid w:val="00A81A2C"/>
    <w:rsid w:val="00A81D4D"/>
    <w:rsid w:val="00A81DE1"/>
    <w:rsid w:val="00A81E6D"/>
    <w:rsid w:val="00A81E88"/>
    <w:rsid w:val="00A82364"/>
    <w:rsid w:val="00A8239B"/>
    <w:rsid w:val="00A82517"/>
    <w:rsid w:val="00A825A1"/>
    <w:rsid w:val="00A82EA7"/>
    <w:rsid w:val="00A831E4"/>
    <w:rsid w:val="00A832E5"/>
    <w:rsid w:val="00A83678"/>
    <w:rsid w:val="00A837F7"/>
    <w:rsid w:val="00A8380C"/>
    <w:rsid w:val="00A83D29"/>
    <w:rsid w:val="00A83D2C"/>
    <w:rsid w:val="00A84096"/>
    <w:rsid w:val="00A8423F"/>
    <w:rsid w:val="00A842A0"/>
    <w:rsid w:val="00A84314"/>
    <w:rsid w:val="00A84403"/>
    <w:rsid w:val="00A84477"/>
    <w:rsid w:val="00A84850"/>
    <w:rsid w:val="00A8492D"/>
    <w:rsid w:val="00A849C5"/>
    <w:rsid w:val="00A84A29"/>
    <w:rsid w:val="00A84D3B"/>
    <w:rsid w:val="00A84EEE"/>
    <w:rsid w:val="00A8532D"/>
    <w:rsid w:val="00A85477"/>
    <w:rsid w:val="00A8571D"/>
    <w:rsid w:val="00A859F8"/>
    <w:rsid w:val="00A85C23"/>
    <w:rsid w:val="00A85E23"/>
    <w:rsid w:val="00A85F99"/>
    <w:rsid w:val="00A862F8"/>
    <w:rsid w:val="00A866D0"/>
    <w:rsid w:val="00A86937"/>
    <w:rsid w:val="00A86C0A"/>
    <w:rsid w:val="00A86C69"/>
    <w:rsid w:val="00A86D00"/>
    <w:rsid w:val="00A86F06"/>
    <w:rsid w:val="00A8707F"/>
    <w:rsid w:val="00A87156"/>
    <w:rsid w:val="00A87157"/>
    <w:rsid w:val="00A8761A"/>
    <w:rsid w:val="00A87819"/>
    <w:rsid w:val="00A87877"/>
    <w:rsid w:val="00A90034"/>
    <w:rsid w:val="00A9097D"/>
    <w:rsid w:val="00A90A31"/>
    <w:rsid w:val="00A90B35"/>
    <w:rsid w:val="00A912E1"/>
    <w:rsid w:val="00A91484"/>
    <w:rsid w:val="00A918C1"/>
    <w:rsid w:val="00A91AC7"/>
    <w:rsid w:val="00A9258C"/>
    <w:rsid w:val="00A92B2D"/>
    <w:rsid w:val="00A92D19"/>
    <w:rsid w:val="00A92E97"/>
    <w:rsid w:val="00A93138"/>
    <w:rsid w:val="00A93522"/>
    <w:rsid w:val="00A9366F"/>
    <w:rsid w:val="00A93F13"/>
    <w:rsid w:val="00A93FDD"/>
    <w:rsid w:val="00A94080"/>
    <w:rsid w:val="00A9421E"/>
    <w:rsid w:val="00A94E0E"/>
    <w:rsid w:val="00A94E9F"/>
    <w:rsid w:val="00A94F3C"/>
    <w:rsid w:val="00A950BC"/>
    <w:rsid w:val="00A9538F"/>
    <w:rsid w:val="00A953BF"/>
    <w:rsid w:val="00A95457"/>
    <w:rsid w:val="00A95535"/>
    <w:rsid w:val="00A95679"/>
    <w:rsid w:val="00A95835"/>
    <w:rsid w:val="00A95C36"/>
    <w:rsid w:val="00A95C6E"/>
    <w:rsid w:val="00A95CBB"/>
    <w:rsid w:val="00A95CF3"/>
    <w:rsid w:val="00A96001"/>
    <w:rsid w:val="00A970C5"/>
    <w:rsid w:val="00A972D1"/>
    <w:rsid w:val="00A978BF"/>
    <w:rsid w:val="00A97B33"/>
    <w:rsid w:val="00A97BA9"/>
    <w:rsid w:val="00A97FB6"/>
    <w:rsid w:val="00AA027F"/>
    <w:rsid w:val="00AA048A"/>
    <w:rsid w:val="00AA04A2"/>
    <w:rsid w:val="00AA0751"/>
    <w:rsid w:val="00AA087A"/>
    <w:rsid w:val="00AA09A2"/>
    <w:rsid w:val="00AA09AD"/>
    <w:rsid w:val="00AA09B7"/>
    <w:rsid w:val="00AA1294"/>
    <w:rsid w:val="00AA1D44"/>
    <w:rsid w:val="00AA1D67"/>
    <w:rsid w:val="00AA26F7"/>
    <w:rsid w:val="00AA299D"/>
    <w:rsid w:val="00AA2DB1"/>
    <w:rsid w:val="00AA2DB7"/>
    <w:rsid w:val="00AA32A7"/>
    <w:rsid w:val="00AA3666"/>
    <w:rsid w:val="00AA380B"/>
    <w:rsid w:val="00AA3CC3"/>
    <w:rsid w:val="00AA3DE2"/>
    <w:rsid w:val="00AA3DF8"/>
    <w:rsid w:val="00AA3F11"/>
    <w:rsid w:val="00AA42C4"/>
    <w:rsid w:val="00AA4463"/>
    <w:rsid w:val="00AA477C"/>
    <w:rsid w:val="00AA4D9D"/>
    <w:rsid w:val="00AA50BE"/>
    <w:rsid w:val="00AA54F6"/>
    <w:rsid w:val="00AA556F"/>
    <w:rsid w:val="00AA56D0"/>
    <w:rsid w:val="00AA5754"/>
    <w:rsid w:val="00AA61E8"/>
    <w:rsid w:val="00AA64DD"/>
    <w:rsid w:val="00AA652D"/>
    <w:rsid w:val="00AA695B"/>
    <w:rsid w:val="00AA7736"/>
    <w:rsid w:val="00AA78EE"/>
    <w:rsid w:val="00AA7937"/>
    <w:rsid w:val="00AA7DEB"/>
    <w:rsid w:val="00AA7F6F"/>
    <w:rsid w:val="00AA7FE0"/>
    <w:rsid w:val="00AB00C5"/>
    <w:rsid w:val="00AB0116"/>
    <w:rsid w:val="00AB0199"/>
    <w:rsid w:val="00AB0351"/>
    <w:rsid w:val="00AB0512"/>
    <w:rsid w:val="00AB0C45"/>
    <w:rsid w:val="00AB0E74"/>
    <w:rsid w:val="00AB1082"/>
    <w:rsid w:val="00AB1190"/>
    <w:rsid w:val="00AB1501"/>
    <w:rsid w:val="00AB15C9"/>
    <w:rsid w:val="00AB184F"/>
    <w:rsid w:val="00AB190A"/>
    <w:rsid w:val="00AB1C07"/>
    <w:rsid w:val="00AB1D5F"/>
    <w:rsid w:val="00AB1DE7"/>
    <w:rsid w:val="00AB21D6"/>
    <w:rsid w:val="00AB259A"/>
    <w:rsid w:val="00AB2716"/>
    <w:rsid w:val="00AB2F76"/>
    <w:rsid w:val="00AB3046"/>
    <w:rsid w:val="00AB314E"/>
    <w:rsid w:val="00AB36A9"/>
    <w:rsid w:val="00AB3B18"/>
    <w:rsid w:val="00AB3D65"/>
    <w:rsid w:val="00AB3EDA"/>
    <w:rsid w:val="00AB43F6"/>
    <w:rsid w:val="00AB446E"/>
    <w:rsid w:val="00AB48B7"/>
    <w:rsid w:val="00AB52F0"/>
    <w:rsid w:val="00AB547F"/>
    <w:rsid w:val="00AB5770"/>
    <w:rsid w:val="00AB595C"/>
    <w:rsid w:val="00AB5BFB"/>
    <w:rsid w:val="00AB5CE7"/>
    <w:rsid w:val="00AB60D9"/>
    <w:rsid w:val="00AB61E4"/>
    <w:rsid w:val="00AB624E"/>
    <w:rsid w:val="00AB62FD"/>
    <w:rsid w:val="00AB6544"/>
    <w:rsid w:val="00AB667A"/>
    <w:rsid w:val="00AB66AE"/>
    <w:rsid w:val="00AB66BF"/>
    <w:rsid w:val="00AB6874"/>
    <w:rsid w:val="00AB6EEE"/>
    <w:rsid w:val="00AB7183"/>
    <w:rsid w:val="00AB75C6"/>
    <w:rsid w:val="00AB76A6"/>
    <w:rsid w:val="00AB770E"/>
    <w:rsid w:val="00AB7D09"/>
    <w:rsid w:val="00AB7E0F"/>
    <w:rsid w:val="00AC00C7"/>
    <w:rsid w:val="00AC0121"/>
    <w:rsid w:val="00AC0177"/>
    <w:rsid w:val="00AC02FB"/>
    <w:rsid w:val="00AC09AA"/>
    <w:rsid w:val="00AC0D64"/>
    <w:rsid w:val="00AC0E16"/>
    <w:rsid w:val="00AC1166"/>
    <w:rsid w:val="00AC1248"/>
    <w:rsid w:val="00AC19CB"/>
    <w:rsid w:val="00AC1C1E"/>
    <w:rsid w:val="00AC21C1"/>
    <w:rsid w:val="00AC2928"/>
    <w:rsid w:val="00AC2AC5"/>
    <w:rsid w:val="00AC2E7F"/>
    <w:rsid w:val="00AC3102"/>
    <w:rsid w:val="00AC3617"/>
    <w:rsid w:val="00AC3C4D"/>
    <w:rsid w:val="00AC3E50"/>
    <w:rsid w:val="00AC3E53"/>
    <w:rsid w:val="00AC4030"/>
    <w:rsid w:val="00AC4285"/>
    <w:rsid w:val="00AC42C7"/>
    <w:rsid w:val="00AC4BEC"/>
    <w:rsid w:val="00AC534C"/>
    <w:rsid w:val="00AC5504"/>
    <w:rsid w:val="00AC5976"/>
    <w:rsid w:val="00AC5AD5"/>
    <w:rsid w:val="00AC5ADF"/>
    <w:rsid w:val="00AC5B1D"/>
    <w:rsid w:val="00AC5B89"/>
    <w:rsid w:val="00AC5F68"/>
    <w:rsid w:val="00AC6687"/>
    <w:rsid w:val="00AC678E"/>
    <w:rsid w:val="00AC6C7A"/>
    <w:rsid w:val="00AC6D1C"/>
    <w:rsid w:val="00AC6DFA"/>
    <w:rsid w:val="00AC7163"/>
    <w:rsid w:val="00AC72A3"/>
    <w:rsid w:val="00AC74B7"/>
    <w:rsid w:val="00AC750B"/>
    <w:rsid w:val="00AC766D"/>
    <w:rsid w:val="00AC7CE6"/>
    <w:rsid w:val="00AC7E43"/>
    <w:rsid w:val="00AC7FB7"/>
    <w:rsid w:val="00AD040E"/>
    <w:rsid w:val="00AD0B73"/>
    <w:rsid w:val="00AD10FD"/>
    <w:rsid w:val="00AD1142"/>
    <w:rsid w:val="00AD1157"/>
    <w:rsid w:val="00AD198B"/>
    <w:rsid w:val="00AD1AC2"/>
    <w:rsid w:val="00AD1B9D"/>
    <w:rsid w:val="00AD1C92"/>
    <w:rsid w:val="00AD1D81"/>
    <w:rsid w:val="00AD1DB5"/>
    <w:rsid w:val="00AD1F92"/>
    <w:rsid w:val="00AD20C3"/>
    <w:rsid w:val="00AD2893"/>
    <w:rsid w:val="00AD2972"/>
    <w:rsid w:val="00AD2C61"/>
    <w:rsid w:val="00AD2CA9"/>
    <w:rsid w:val="00AD2DA0"/>
    <w:rsid w:val="00AD2F8F"/>
    <w:rsid w:val="00AD3083"/>
    <w:rsid w:val="00AD31E9"/>
    <w:rsid w:val="00AD32A1"/>
    <w:rsid w:val="00AD3494"/>
    <w:rsid w:val="00AD34CF"/>
    <w:rsid w:val="00AD3691"/>
    <w:rsid w:val="00AD3B36"/>
    <w:rsid w:val="00AD3BFB"/>
    <w:rsid w:val="00AD4156"/>
    <w:rsid w:val="00AD446C"/>
    <w:rsid w:val="00AD44F8"/>
    <w:rsid w:val="00AD452F"/>
    <w:rsid w:val="00AD4659"/>
    <w:rsid w:val="00AD47D8"/>
    <w:rsid w:val="00AD4990"/>
    <w:rsid w:val="00AD4AAE"/>
    <w:rsid w:val="00AD534E"/>
    <w:rsid w:val="00AD5703"/>
    <w:rsid w:val="00AD573B"/>
    <w:rsid w:val="00AD5D4D"/>
    <w:rsid w:val="00AD5D94"/>
    <w:rsid w:val="00AD6380"/>
    <w:rsid w:val="00AD6856"/>
    <w:rsid w:val="00AD68E8"/>
    <w:rsid w:val="00AD6A7C"/>
    <w:rsid w:val="00AD6F41"/>
    <w:rsid w:val="00AD7098"/>
    <w:rsid w:val="00AD7BB2"/>
    <w:rsid w:val="00AD7D00"/>
    <w:rsid w:val="00AD7F25"/>
    <w:rsid w:val="00AD7F4B"/>
    <w:rsid w:val="00AD7FD7"/>
    <w:rsid w:val="00AE02FB"/>
    <w:rsid w:val="00AE05ED"/>
    <w:rsid w:val="00AE063F"/>
    <w:rsid w:val="00AE08F0"/>
    <w:rsid w:val="00AE0CEB"/>
    <w:rsid w:val="00AE0EE6"/>
    <w:rsid w:val="00AE103A"/>
    <w:rsid w:val="00AE1585"/>
    <w:rsid w:val="00AE16D7"/>
    <w:rsid w:val="00AE16DB"/>
    <w:rsid w:val="00AE1770"/>
    <w:rsid w:val="00AE185A"/>
    <w:rsid w:val="00AE1C57"/>
    <w:rsid w:val="00AE1EC0"/>
    <w:rsid w:val="00AE20CB"/>
    <w:rsid w:val="00AE2101"/>
    <w:rsid w:val="00AE2548"/>
    <w:rsid w:val="00AE2C5D"/>
    <w:rsid w:val="00AE2D52"/>
    <w:rsid w:val="00AE3479"/>
    <w:rsid w:val="00AE3A24"/>
    <w:rsid w:val="00AE3C08"/>
    <w:rsid w:val="00AE46DB"/>
    <w:rsid w:val="00AE472C"/>
    <w:rsid w:val="00AE48BB"/>
    <w:rsid w:val="00AE4924"/>
    <w:rsid w:val="00AE4D51"/>
    <w:rsid w:val="00AE4FC5"/>
    <w:rsid w:val="00AE5024"/>
    <w:rsid w:val="00AE5488"/>
    <w:rsid w:val="00AE5492"/>
    <w:rsid w:val="00AE54EB"/>
    <w:rsid w:val="00AE5CC4"/>
    <w:rsid w:val="00AE5FFD"/>
    <w:rsid w:val="00AE60F2"/>
    <w:rsid w:val="00AE6775"/>
    <w:rsid w:val="00AE68F1"/>
    <w:rsid w:val="00AE6AC2"/>
    <w:rsid w:val="00AE6B83"/>
    <w:rsid w:val="00AE6BC9"/>
    <w:rsid w:val="00AE6C70"/>
    <w:rsid w:val="00AE6DE4"/>
    <w:rsid w:val="00AE6F59"/>
    <w:rsid w:val="00AE6F91"/>
    <w:rsid w:val="00AE702A"/>
    <w:rsid w:val="00AE73B1"/>
    <w:rsid w:val="00AE74FE"/>
    <w:rsid w:val="00AE7715"/>
    <w:rsid w:val="00AE77C4"/>
    <w:rsid w:val="00AF03CA"/>
    <w:rsid w:val="00AF05C1"/>
    <w:rsid w:val="00AF076C"/>
    <w:rsid w:val="00AF07D9"/>
    <w:rsid w:val="00AF0937"/>
    <w:rsid w:val="00AF0B04"/>
    <w:rsid w:val="00AF0DA1"/>
    <w:rsid w:val="00AF0FB9"/>
    <w:rsid w:val="00AF1020"/>
    <w:rsid w:val="00AF122B"/>
    <w:rsid w:val="00AF127A"/>
    <w:rsid w:val="00AF16CB"/>
    <w:rsid w:val="00AF17B0"/>
    <w:rsid w:val="00AF1CC1"/>
    <w:rsid w:val="00AF1EC1"/>
    <w:rsid w:val="00AF2050"/>
    <w:rsid w:val="00AF2089"/>
    <w:rsid w:val="00AF240F"/>
    <w:rsid w:val="00AF284A"/>
    <w:rsid w:val="00AF298E"/>
    <w:rsid w:val="00AF2D6E"/>
    <w:rsid w:val="00AF3064"/>
    <w:rsid w:val="00AF3883"/>
    <w:rsid w:val="00AF3A3D"/>
    <w:rsid w:val="00AF3E3C"/>
    <w:rsid w:val="00AF423D"/>
    <w:rsid w:val="00AF425D"/>
    <w:rsid w:val="00AF4278"/>
    <w:rsid w:val="00AF44C3"/>
    <w:rsid w:val="00AF4BB3"/>
    <w:rsid w:val="00AF4BC2"/>
    <w:rsid w:val="00AF4C2C"/>
    <w:rsid w:val="00AF4D3A"/>
    <w:rsid w:val="00AF4EE5"/>
    <w:rsid w:val="00AF52A5"/>
    <w:rsid w:val="00AF53C6"/>
    <w:rsid w:val="00AF5571"/>
    <w:rsid w:val="00AF596C"/>
    <w:rsid w:val="00AF5AA9"/>
    <w:rsid w:val="00AF5C3D"/>
    <w:rsid w:val="00AF5E4C"/>
    <w:rsid w:val="00AF5E7A"/>
    <w:rsid w:val="00AF5F6D"/>
    <w:rsid w:val="00AF6094"/>
    <w:rsid w:val="00AF60E0"/>
    <w:rsid w:val="00AF66D2"/>
    <w:rsid w:val="00AF691C"/>
    <w:rsid w:val="00AF6A32"/>
    <w:rsid w:val="00AF6AFF"/>
    <w:rsid w:val="00AF6CA1"/>
    <w:rsid w:val="00AF6D56"/>
    <w:rsid w:val="00AF734D"/>
    <w:rsid w:val="00AF7544"/>
    <w:rsid w:val="00AF7667"/>
    <w:rsid w:val="00AF76FB"/>
    <w:rsid w:val="00AF77AE"/>
    <w:rsid w:val="00AF7B8C"/>
    <w:rsid w:val="00AF7F89"/>
    <w:rsid w:val="00B00247"/>
    <w:rsid w:val="00B006FC"/>
    <w:rsid w:val="00B00B50"/>
    <w:rsid w:val="00B00C9F"/>
    <w:rsid w:val="00B00FAB"/>
    <w:rsid w:val="00B011EA"/>
    <w:rsid w:val="00B011F2"/>
    <w:rsid w:val="00B01497"/>
    <w:rsid w:val="00B0159E"/>
    <w:rsid w:val="00B0192B"/>
    <w:rsid w:val="00B01CCE"/>
    <w:rsid w:val="00B025E2"/>
    <w:rsid w:val="00B02C4E"/>
    <w:rsid w:val="00B02FBE"/>
    <w:rsid w:val="00B0318B"/>
    <w:rsid w:val="00B0341D"/>
    <w:rsid w:val="00B03882"/>
    <w:rsid w:val="00B03A26"/>
    <w:rsid w:val="00B03B60"/>
    <w:rsid w:val="00B041D8"/>
    <w:rsid w:val="00B04775"/>
    <w:rsid w:val="00B04817"/>
    <w:rsid w:val="00B04897"/>
    <w:rsid w:val="00B04ACE"/>
    <w:rsid w:val="00B04B7D"/>
    <w:rsid w:val="00B054EC"/>
    <w:rsid w:val="00B058ED"/>
    <w:rsid w:val="00B05B37"/>
    <w:rsid w:val="00B05DFC"/>
    <w:rsid w:val="00B0644A"/>
    <w:rsid w:val="00B0675F"/>
    <w:rsid w:val="00B06987"/>
    <w:rsid w:val="00B06C1C"/>
    <w:rsid w:val="00B06CFC"/>
    <w:rsid w:val="00B06E1C"/>
    <w:rsid w:val="00B06FE4"/>
    <w:rsid w:val="00B07000"/>
    <w:rsid w:val="00B077CE"/>
    <w:rsid w:val="00B07E78"/>
    <w:rsid w:val="00B07EBA"/>
    <w:rsid w:val="00B102E9"/>
    <w:rsid w:val="00B10684"/>
    <w:rsid w:val="00B10D93"/>
    <w:rsid w:val="00B10F4E"/>
    <w:rsid w:val="00B11004"/>
    <w:rsid w:val="00B11B2D"/>
    <w:rsid w:val="00B11BE3"/>
    <w:rsid w:val="00B11CC4"/>
    <w:rsid w:val="00B11DCE"/>
    <w:rsid w:val="00B121A7"/>
    <w:rsid w:val="00B12238"/>
    <w:rsid w:val="00B12280"/>
    <w:rsid w:val="00B12686"/>
    <w:rsid w:val="00B12FA9"/>
    <w:rsid w:val="00B1305F"/>
    <w:rsid w:val="00B13110"/>
    <w:rsid w:val="00B1311E"/>
    <w:rsid w:val="00B131AB"/>
    <w:rsid w:val="00B131FD"/>
    <w:rsid w:val="00B1357B"/>
    <w:rsid w:val="00B13ADD"/>
    <w:rsid w:val="00B13B13"/>
    <w:rsid w:val="00B13B48"/>
    <w:rsid w:val="00B13C95"/>
    <w:rsid w:val="00B13D6E"/>
    <w:rsid w:val="00B13DA0"/>
    <w:rsid w:val="00B13DE9"/>
    <w:rsid w:val="00B1414A"/>
    <w:rsid w:val="00B14334"/>
    <w:rsid w:val="00B14767"/>
    <w:rsid w:val="00B14E0A"/>
    <w:rsid w:val="00B14F30"/>
    <w:rsid w:val="00B14F7A"/>
    <w:rsid w:val="00B15121"/>
    <w:rsid w:val="00B1584B"/>
    <w:rsid w:val="00B15CE2"/>
    <w:rsid w:val="00B15D1A"/>
    <w:rsid w:val="00B160E9"/>
    <w:rsid w:val="00B164CA"/>
    <w:rsid w:val="00B1664E"/>
    <w:rsid w:val="00B16895"/>
    <w:rsid w:val="00B16901"/>
    <w:rsid w:val="00B16A2E"/>
    <w:rsid w:val="00B16EB9"/>
    <w:rsid w:val="00B1736D"/>
    <w:rsid w:val="00B17715"/>
    <w:rsid w:val="00B1773A"/>
    <w:rsid w:val="00B177BC"/>
    <w:rsid w:val="00B17DBA"/>
    <w:rsid w:val="00B17E13"/>
    <w:rsid w:val="00B17F4A"/>
    <w:rsid w:val="00B20071"/>
    <w:rsid w:val="00B203D2"/>
    <w:rsid w:val="00B203F2"/>
    <w:rsid w:val="00B20412"/>
    <w:rsid w:val="00B20723"/>
    <w:rsid w:val="00B2115C"/>
    <w:rsid w:val="00B21357"/>
    <w:rsid w:val="00B21524"/>
    <w:rsid w:val="00B218CB"/>
    <w:rsid w:val="00B21948"/>
    <w:rsid w:val="00B21BE2"/>
    <w:rsid w:val="00B221F3"/>
    <w:rsid w:val="00B224D4"/>
    <w:rsid w:val="00B233D9"/>
    <w:rsid w:val="00B23860"/>
    <w:rsid w:val="00B23A5B"/>
    <w:rsid w:val="00B23BBF"/>
    <w:rsid w:val="00B2426C"/>
    <w:rsid w:val="00B247B7"/>
    <w:rsid w:val="00B24991"/>
    <w:rsid w:val="00B24A9D"/>
    <w:rsid w:val="00B24BC8"/>
    <w:rsid w:val="00B24F59"/>
    <w:rsid w:val="00B25283"/>
    <w:rsid w:val="00B256B0"/>
    <w:rsid w:val="00B2572A"/>
    <w:rsid w:val="00B25CDF"/>
    <w:rsid w:val="00B25D3C"/>
    <w:rsid w:val="00B25D62"/>
    <w:rsid w:val="00B26250"/>
    <w:rsid w:val="00B262A4"/>
    <w:rsid w:val="00B26458"/>
    <w:rsid w:val="00B264BC"/>
    <w:rsid w:val="00B2650C"/>
    <w:rsid w:val="00B26584"/>
    <w:rsid w:val="00B266B7"/>
    <w:rsid w:val="00B266DC"/>
    <w:rsid w:val="00B2694A"/>
    <w:rsid w:val="00B26AAC"/>
    <w:rsid w:val="00B26B12"/>
    <w:rsid w:val="00B26C14"/>
    <w:rsid w:val="00B26D76"/>
    <w:rsid w:val="00B26F07"/>
    <w:rsid w:val="00B26FB4"/>
    <w:rsid w:val="00B2753D"/>
    <w:rsid w:val="00B27827"/>
    <w:rsid w:val="00B27BCD"/>
    <w:rsid w:val="00B27D61"/>
    <w:rsid w:val="00B302A6"/>
    <w:rsid w:val="00B302C7"/>
    <w:rsid w:val="00B304B7"/>
    <w:rsid w:val="00B30539"/>
    <w:rsid w:val="00B30977"/>
    <w:rsid w:val="00B30CFD"/>
    <w:rsid w:val="00B3141A"/>
    <w:rsid w:val="00B314DB"/>
    <w:rsid w:val="00B316B5"/>
    <w:rsid w:val="00B316B6"/>
    <w:rsid w:val="00B318E3"/>
    <w:rsid w:val="00B31924"/>
    <w:rsid w:val="00B319EC"/>
    <w:rsid w:val="00B3207A"/>
    <w:rsid w:val="00B3231C"/>
    <w:rsid w:val="00B32E38"/>
    <w:rsid w:val="00B32F4A"/>
    <w:rsid w:val="00B33091"/>
    <w:rsid w:val="00B33488"/>
    <w:rsid w:val="00B33A27"/>
    <w:rsid w:val="00B33E12"/>
    <w:rsid w:val="00B34258"/>
    <w:rsid w:val="00B34437"/>
    <w:rsid w:val="00B34535"/>
    <w:rsid w:val="00B34991"/>
    <w:rsid w:val="00B349D1"/>
    <w:rsid w:val="00B34ACE"/>
    <w:rsid w:val="00B34D31"/>
    <w:rsid w:val="00B34D89"/>
    <w:rsid w:val="00B34DF4"/>
    <w:rsid w:val="00B35113"/>
    <w:rsid w:val="00B35161"/>
    <w:rsid w:val="00B356B0"/>
    <w:rsid w:val="00B361D6"/>
    <w:rsid w:val="00B36240"/>
    <w:rsid w:val="00B36D53"/>
    <w:rsid w:val="00B3701B"/>
    <w:rsid w:val="00B3718B"/>
    <w:rsid w:val="00B37446"/>
    <w:rsid w:val="00B379F2"/>
    <w:rsid w:val="00B40069"/>
    <w:rsid w:val="00B4041B"/>
    <w:rsid w:val="00B4060E"/>
    <w:rsid w:val="00B40ADC"/>
    <w:rsid w:val="00B40F8F"/>
    <w:rsid w:val="00B40FB2"/>
    <w:rsid w:val="00B40FC2"/>
    <w:rsid w:val="00B41174"/>
    <w:rsid w:val="00B412CE"/>
    <w:rsid w:val="00B4164E"/>
    <w:rsid w:val="00B4171E"/>
    <w:rsid w:val="00B417D2"/>
    <w:rsid w:val="00B4182B"/>
    <w:rsid w:val="00B41B3B"/>
    <w:rsid w:val="00B41C05"/>
    <w:rsid w:val="00B41E18"/>
    <w:rsid w:val="00B4264B"/>
    <w:rsid w:val="00B42AD2"/>
    <w:rsid w:val="00B42BA3"/>
    <w:rsid w:val="00B42BDB"/>
    <w:rsid w:val="00B42C1A"/>
    <w:rsid w:val="00B4321D"/>
    <w:rsid w:val="00B434AA"/>
    <w:rsid w:val="00B43507"/>
    <w:rsid w:val="00B43AE5"/>
    <w:rsid w:val="00B43BEA"/>
    <w:rsid w:val="00B43BF1"/>
    <w:rsid w:val="00B43CAB"/>
    <w:rsid w:val="00B43CB8"/>
    <w:rsid w:val="00B43E21"/>
    <w:rsid w:val="00B43FC8"/>
    <w:rsid w:val="00B442C7"/>
    <w:rsid w:val="00B44752"/>
    <w:rsid w:val="00B44C7C"/>
    <w:rsid w:val="00B44CDD"/>
    <w:rsid w:val="00B44DD3"/>
    <w:rsid w:val="00B45219"/>
    <w:rsid w:val="00B45621"/>
    <w:rsid w:val="00B456B1"/>
    <w:rsid w:val="00B45759"/>
    <w:rsid w:val="00B458A8"/>
    <w:rsid w:val="00B45DF4"/>
    <w:rsid w:val="00B46228"/>
    <w:rsid w:val="00B4632A"/>
    <w:rsid w:val="00B46398"/>
    <w:rsid w:val="00B466AF"/>
    <w:rsid w:val="00B4690A"/>
    <w:rsid w:val="00B46A0F"/>
    <w:rsid w:val="00B46A8B"/>
    <w:rsid w:val="00B46F78"/>
    <w:rsid w:val="00B47055"/>
    <w:rsid w:val="00B470F9"/>
    <w:rsid w:val="00B47278"/>
    <w:rsid w:val="00B473D0"/>
    <w:rsid w:val="00B47486"/>
    <w:rsid w:val="00B476CE"/>
    <w:rsid w:val="00B50994"/>
    <w:rsid w:val="00B50B43"/>
    <w:rsid w:val="00B50D3F"/>
    <w:rsid w:val="00B50E30"/>
    <w:rsid w:val="00B50E37"/>
    <w:rsid w:val="00B50EBB"/>
    <w:rsid w:val="00B51482"/>
    <w:rsid w:val="00B51D11"/>
    <w:rsid w:val="00B51F3F"/>
    <w:rsid w:val="00B520E4"/>
    <w:rsid w:val="00B523B9"/>
    <w:rsid w:val="00B52511"/>
    <w:rsid w:val="00B528E6"/>
    <w:rsid w:val="00B529BF"/>
    <w:rsid w:val="00B529EF"/>
    <w:rsid w:val="00B530F1"/>
    <w:rsid w:val="00B5326D"/>
    <w:rsid w:val="00B5354B"/>
    <w:rsid w:val="00B53AD5"/>
    <w:rsid w:val="00B545D7"/>
    <w:rsid w:val="00B54749"/>
    <w:rsid w:val="00B547BC"/>
    <w:rsid w:val="00B54A0E"/>
    <w:rsid w:val="00B54C2A"/>
    <w:rsid w:val="00B54F1B"/>
    <w:rsid w:val="00B554CE"/>
    <w:rsid w:val="00B5550F"/>
    <w:rsid w:val="00B55599"/>
    <w:rsid w:val="00B55CE1"/>
    <w:rsid w:val="00B55FF8"/>
    <w:rsid w:val="00B561AD"/>
    <w:rsid w:val="00B56419"/>
    <w:rsid w:val="00B5652C"/>
    <w:rsid w:val="00B56AC1"/>
    <w:rsid w:val="00B56B37"/>
    <w:rsid w:val="00B56CBE"/>
    <w:rsid w:val="00B56FE9"/>
    <w:rsid w:val="00B570E7"/>
    <w:rsid w:val="00B57970"/>
    <w:rsid w:val="00B57AF8"/>
    <w:rsid w:val="00B57E19"/>
    <w:rsid w:val="00B57F96"/>
    <w:rsid w:val="00B600EF"/>
    <w:rsid w:val="00B600F0"/>
    <w:rsid w:val="00B600F4"/>
    <w:rsid w:val="00B6024D"/>
    <w:rsid w:val="00B605E4"/>
    <w:rsid w:val="00B60964"/>
    <w:rsid w:val="00B6099A"/>
    <w:rsid w:val="00B60A1E"/>
    <w:rsid w:val="00B60B60"/>
    <w:rsid w:val="00B60C61"/>
    <w:rsid w:val="00B6113A"/>
    <w:rsid w:val="00B612E1"/>
    <w:rsid w:val="00B61680"/>
    <w:rsid w:val="00B6191C"/>
    <w:rsid w:val="00B61A09"/>
    <w:rsid w:val="00B61E91"/>
    <w:rsid w:val="00B61F6A"/>
    <w:rsid w:val="00B621A1"/>
    <w:rsid w:val="00B62DB9"/>
    <w:rsid w:val="00B630CF"/>
    <w:rsid w:val="00B63484"/>
    <w:rsid w:val="00B636B5"/>
    <w:rsid w:val="00B63838"/>
    <w:rsid w:val="00B63922"/>
    <w:rsid w:val="00B63DDB"/>
    <w:rsid w:val="00B642DE"/>
    <w:rsid w:val="00B64393"/>
    <w:rsid w:val="00B646C3"/>
    <w:rsid w:val="00B64A9C"/>
    <w:rsid w:val="00B64AE2"/>
    <w:rsid w:val="00B64B86"/>
    <w:rsid w:val="00B65585"/>
    <w:rsid w:val="00B65B17"/>
    <w:rsid w:val="00B65B7D"/>
    <w:rsid w:val="00B65FAC"/>
    <w:rsid w:val="00B6650F"/>
    <w:rsid w:val="00B6674E"/>
    <w:rsid w:val="00B66DDF"/>
    <w:rsid w:val="00B66F20"/>
    <w:rsid w:val="00B6720D"/>
    <w:rsid w:val="00B674E6"/>
    <w:rsid w:val="00B67A69"/>
    <w:rsid w:val="00B67B13"/>
    <w:rsid w:val="00B67DA3"/>
    <w:rsid w:val="00B706EF"/>
    <w:rsid w:val="00B707CB"/>
    <w:rsid w:val="00B70B44"/>
    <w:rsid w:val="00B70E8D"/>
    <w:rsid w:val="00B711E2"/>
    <w:rsid w:val="00B71885"/>
    <w:rsid w:val="00B71BBE"/>
    <w:rsid w:val="00B7222E"/>
    <w:rsid w:val="00B72332"/>
    <w:rsid w:val="00B72338"/>
    <w:rsid w:val="00B723ED"/>
    <w:rsid w:val="00B727DB"/>
    <w:rsid w:val="00B7294B"/>
    <w:rsid w:val="00B7294E"/>
    <w:rsid w:val="00B72977"/>
    <w:rsid w:val="00B72B38"/>
    <w:rsid w:val="00B72C4A"/>
    <w:rsid w:val="00B73061"/>
    <w:rsid w:val="00B732CC"/>
    <w:rsid w:val="00B73798"/>
    <w:rsid w:val="00B737A1"/>
    <w:rsid w:val="00B737FD"/>
    <w:rsid w:val="00B7397F"/>
    <w:rsid w:val="00B74317"/>
    <w:rsid w:val="00B74930"/>
    <w:rsid w:val="00B749FA"/>
    <w:rsid w:val="00B74B77"/>
    <w:rsid w:val="00B74CF0"/>
    <w:rsid w:val="00B74DF9"/>
    <w:rsid w:val="00B7583A"/>
    <w:rsid w:val="00B75857"/>
    <w:rsid w:val="00B75A71"/>
    <w:rsid w:val="00B760E4"/>
    <w:rsid w:val="00B76577"/>
    <w:rsid w:val="00B765BB"/>
    <w:rsid w:val="00B7669A"/>
    <w:rsid w:val="00B76A78"/>
    <w:rsid w:val="00B76F8A"/>
    <w:rsid w:val="00B771FA"/>
    <w:rsid w:val="00B772CB"/>
    <w:rsid w:val="00B77911"/>
    <w:rsid w:val="00B77987"/>
    <w:rsid w:val="00B77CA4"/>
    <w:rsid w:val="00B77FA9"/>
    <w:rsid w:val="00B80262"/>
    <w:rsid w:val="00B803AC"/>
    <w:rsid w:val="00B803BE"/>
    <w:rsid w:val="00B8064A"/>
    <w:rsid w:val="00B80B1E"/>
    <w:rsid w:val="00B80B3F"/>
    <w:rsid w:val="00B80BBB"/>
    <w:rsid w:val="00B81169"/>
    <w:rsid w:val="00B81288"/>
    <w:rsid w:val="00B812D3"/>
    <w:rsid w:val="00B8136C"/>
    <w:rsid w:val="00B814A0"/>
    <w:rsid w:val="00B8166D"/>
    <w:rsid w:val="00B81742"/>
    <w:rsid w:val="00B819AD"/>
    <w:rsid w:val="00B81C16"/>
    <w:rsid w:val="00B81C52"/>
    <w:rsid w:val="00B81EAB"/>
    <w:rsid w:val="00B8268E"/>
    <w:rsid w:val="00B82744"/>
    <w:rsid w:val="00B82D41"/>
    <w:rsid w:val="00B82F7D"/>
    <w:rsid w:val="00B83140"/>
    <w:rsid w:val="00B832D3"/>
    <w:rsid w:val="00B8368E"/>
    <w:rsid w:val="00B83B21"/>
    <w:rsid w:val="00B83B56"/>
    <w:rsid w:val="00B83C7C"/>
    <w:rsid w:val="00B83CAA"/>
    <w:rsid w:val="00B83ED3"/>
    <w:rsid w:val="00B8460A"/>
    <w:rsid w:val="00B84923"/>
    <w:rsid w:val="00B84D32"/>
    <w:rsid w:val="00B84D3D"/>
    <w:rsid w:val="00B84DDA"/>
    <w:rsid w:val="00B84FF0"/>
    <w:rsid w:val="00B851B0"/>
    <w:rsid w:val="00B851ED"/>
    <w:rsid w:val="00B85958"/>
    <w:rsid w:val="00B85A22"/>
    <w:rsid w:val="00B85B17"/>
    <w:rsid w:val="00B85B42"/>
    <w:rsid w:val="00B85D0F"/>
    <w:rsid w:val="00B8600E"/>
    <w:rsid w:val="00B86A0C"/>
    <w:rsid w:val="00B86BAA"/>
    <w:rsid w:val="00B86D74"/>
    <w:rsid w:val="00B86DBC"/>
    <w:rsid w:val="00B87185"/>
    <w:rsid w:val="00B87576"/>
    <w:rsid w:val="00B87ADF"/>
    <w:rsid w:val="00B87DB6"/>
    <w:rsid w:val="00B90151"/>
    <w:rsid w:val="00B903F9"/>
    <w:rsid w:val="00B9049A"/>
    <w:rsid w:val="00B906F3"/>
    <w:rsid w:val="00B90768"/>
    <w:rsid w:val="00B90CB4"/>
    <w:rsid w:val="00B90D86"/>
    <w:rsid w:val="00B90E72"/>
    <w:rsid w:val="00B90E79"/>
    <w:rsid w:val="00B90EC1"/>
    <w:rsid w:val="00B91111"/>
    <w:rsid w:val="00B91154"/>
    <w:rsid w:val="00B9126E"/>
    <w:rsid w:val="00B91369"/>
    <w:rsid w:val="00B917C7"/>
    <w:rsid w:val="00B91B61"/>
    <w:rsid w:val="00B91B6E"/>
    <w:rsid w:val="00B91CAC"/>
    <w:rsid w:val="00B91D22"/>
    <w:rsid w:val="00B91D9A"/>
    <w:rsid w:val="00B92358"/>
    <w:rsid w:val="00B926B3"/>
    <w:rsid w:val="00B9294F"/>
    <w:rsid w:val="00B92B20"/>
    <w:rsid w:val="00B92C9B"/>
    <w:rsid w:val="00B92D5A"/>
    <w:rsid w:val="00B930D1"/>
    <w:rsid w:val="00B93439"/>
    <w:rsid w:val="00B93474"/>
    <w:rsid w:val="00B9354E"/>
    <w:rsid w:val="00B93BA5"/>
    <w:rsid w:val="00B93F68"/>
    <w:rsid w:val="00B93FE4"/>
    <w:rsid w:val="00B9432B"/>
    <w:rsid w:val="00B944B2"/>
    <w:rsid w:val="00B944FB"/>
    <w:rsid w:val="00B94589"/>
    <w:rsid w:val="00B94790"/>
    <w:rsid w:val="00B948CD"/>
    <w:rsid w:val="00B94B27"/>
    <w:rsid w:val="00B94C3F"/>
    <w:rsid w:val="00B94EAB"/>
    <w:rsid w:val="00B955AE"/>
    <w:rsid w:val="00B95C9D"/>
    <w:rsid w:val="00B95CD3"/>
    <w:rsid w:val="00B95DE5"/>
    <w:rsid w:val="00B95E11"/>
    <w:rsid w:val="00B95EE0"/>
    <w:rsid w:val="00B95F34"/>
    <w:rsid w:val="00B961C3"/>
    <w:rsid w:val="00B96300"/>
    <w:rsid w:val="00B9665E"/>
    <w:rsid w:val="00B966CC"/>
    <w:rsid w:val="00B97217"/>
    <w:rsid w:val="00B97310"/>
    <w:rsid w:val="00B977C7"/>
    <w:rsid w:val="00B97C86"/>
    <w:rsid w:val="00BA04E9"/>
    <w:rsid w:val="00BA0A5E"/>
    <w:rsid w:val="00BA10F2"/>
    <w:rsid w:val="00BA11E1"/>
    <w:rsid w:val="00BA1A67"/>
    <w:rsid w:val="00BA1C9C"/>
    <w:rsid w:val="00BA1D6D"/>
    <w:rsid w:val="00BA1D94"/>
    <w:rsid w:val="00BA234D"/>
    <w:rsid w:val="00BA23FD"/>
    <w:rsid w:val="00BA2600"/>
    <w:rsid w:val="00BA276C"/>
    <w:rsid w:val="00BA295C"/>
    <w:rsid w:val="00BA2D6A"/>
    <w:rsid w:val="00BA2DC2"/>
    <w:rsid w:val="00BA2F04"/>
    <w:rsid w:val="00BA397F"/>
    <w:rsid w:val="00BA3E56"/>
    <w:rsid w:val="00BA42C6"/>
    <w:rsid w:val="00BA4746"/>
    <w:rsid w:val="00BA4797"/>
    <w:rsid w:val="00BA483C"/>
    <w:rsid w:val="00BA4E7D"/>
    <w:rsid w:val="00BA526A"/>
    <w:rsid w:val="00BA528B"/>
    <w:rsid w:val="00BA53BB"/>
    <w:rsid w:val="00BA55A1"/>
    <w:rsid w:val="00BA573E"/>
    <w:rsid w:val="00BA5D29"/>
    <w:rsid w:val="00BA5D33"/>
    <w:rsid w:val="00BA5E29"/>
    <w:rsid w:val="00BA5E32"/>
    <w:rsid w:val="00BA5E8E"/>
    <w:rsid w:val="00BA619C"/>
    <w:rsid w:val="00BA63B3"/>
    <w:rsid w:val="00BA678E"/>
    <w:rsid w:val="00BA683E"/>
    <w:rsid w:val="00BA6B53"/>
    <w:rsid w:val="00BA7312"/>
    <w:rsid w:val="00BA74C3"/>
    <w:rsid w:val="00BA75DB"/>
    <w:rsid w:val="00BA76C8"/>
    <w:rsid w:val="00BA778F"/>
    <w:rsid w:val="00BA792D"/>
    <w:rsid w:val="00BA79CE"/>
    <w:rsid w:val="00BA7C8E"/>
    <w:rsid w:val="00BA7CCA"/>
    <w:rsid w:val="00BA7F1C"/>
    <w:rsid w:val="00BA7F2B"/>
    <w:rsid w:val="00BB01F4"/>
    <w:rsid w:val="00BB0213"/>
    <w:rsid w:val="00BB02E3"/>
    <w:rsid w:val="00BB0796"/>
    <w:rsid w:val="00BB0BEB"/>
    <w:rsid w:val="00BB11B1"/>
    <w:rsid w:val="00BB1354"/>
    <w:rsid w:val="00BB15C3"/>
    <w:rsid w:val="00BB19E7"/>
    <w:rsid w:val="00BB1DDA"/>
    <w:rsid w:val="00BB1F5B"/>
    <w:rsid w:val="00BB208D"/>
    <w:rsid w:val="00BB256D"/>
    <w:rsid w:val="00BB2CBA"/>
    <w:rsid w:val="00BB2D95"/>
    <w:rsid w:val="00BB2F1B"/>
    <w:rsid w:val="00BB2F42"/>
    <w:rsid w:val="00BB306F"/>
    <w:rsid w:val="00BB3189"/>
    <w:rsid w:val="00BB336D"/>
    <w:rsid w:val="00BB35E4"/>
    <w:rsid w:val="00BB369E"/>
    <w:rsid w:val="00BB3B9C"/>
    <w:rsid w:val="00BB3D48"/>
    <w:rsid w:val="00BB3DFB"/>
    <w:rsid w:val="00BB408A"/>
    <w:rsid w:val="00BB4116"/>
    <w:rsid w:val="00BB4145"/>
    <w:rsid w:val="00BB41C9"/>
    <w:rsid w:val="00BB4253"/>
    <w:rsid w:val="00BB49EB"/>
    <w:rsid w:val="00BB4BC3"/>
    <w:rsid w:val="00BB4CC8"/>
    <w:rsid w:val="00BB5240"/>
    <w:rsid w:val="00BB52E6"/>
    <w:rsid w:val="00BB5322"/>
    <w:rsid w:val="00BB5557"/>
    <w:rsid w:val="00BB572A"/>
    <w:rsid w:val="00BB5D6B"/>
    <w:rsid w:val="00BB5FC7"/>
    <w:rsid w:val="00BB64B7"/>
    <w:rsid w:val="00BB650E"/>
    <w:rsid w:val="00BB658B"/>
    <w:rsid w:val="00BB664F"/>
    <w:rsid w:val="00BB695B"/>
    <w:rsid w:val="00BB6E97"/>
    <w:rsid w:val="00BB7246"/>
    <w:rsid w:val="00BB72FE"/>
    <w:rsid w:val="00BB79ED"/>
    <w:rsid w:val="00BB7C91"/>
    <w:rsid w:val="00BB7D53"/>
    <w:rsid w:val="00BB7E95"/>
    <w:rsid w:val="00BC00E0"/>
    <w:rsid w:val="00BC0178"/>
    <w:rsid w:val="00BC05A0"/>
    <w:rsid w:val="00BC05DA"/>
    <w:rsid w:val="00BC0622"/>
    <w:rsid w:val="00BC0D77"/>
    <w:rsid w:val="00BC1478"/>
    <w:rsid w:val="00BC189E"/>
    <w:rsid w:val="00BC18C9"/>
    <w:rsid w:val="00BC19C3"/>
    <w:rsid w:val="00BC1A04"/>
    <w:rsid w:val="00BC2110"/>
    <w:rsid w:val="00BC25BD"/>
    <w:rsid w:val="00BC2753"/>
    <w:rsid w:val="00BC2AF0"/>
    <w:rsid w:val="00BC2AFC"/>
    <w:rsid w:val="00BC2D8D"/>
    <w:rsid w:val="00BC2EDB"/>
    <w:rsid w:val="00BC37F3"/>
    <w:rsid w:val="00BC3841"/>
    <w:rsid w:val="00BC39E9"/>
    <w:rsid w:val="00BC3C59"/>
    <w:rsid w:val="00BC4041"/>
    <w:rsid w:val="00BC41C0"/>
    <w:rsid w:val="00BC433F"/>
    <w:rsid w:val="00BC4A2D"/>
    <w:rsid w:val="00BC4BBC"/>
    <w:rsid w:val="00BC4BE9"/>
    <w:rsid w:val="00BC4D36"/>
    <w:rsid w:val="00BC4DAA"/>
    <w:rsid w:val="00BC4E19"/>
    <w:rsid w:val="00BC4F90"/>
    <w:rsid w:val="00BC57DB"/>
    <w:rsid w:val="00BC5941"/>
    <w:rsid w:val="00BC5E4A"/>
    <w:rsid w:val="00BC6005"/>
    <w:rsid w:val="00BC6548"/>
    <w:rsid w:val="00BC65A4"/>
    <w:rsid w:val="00BC668B"/>
    <w:rsid w:val="00BC668F"/>
    <w:rsid w:val="00BC6855"/>
    <w:rsid w:val="00BC6C67"/>
    <w:rsid w:val="00BC6DCB"/>
    <w:rsid w:val="00BC6F74"/>
    <w:rsid w:val="00BC70E9"/>
    <w:rsid w:val="00BC7311"/>
    <w:rsid w:val="00BC736B"/>
    <w:rsid w:val="00BC7733"/>
    <w:rsid w:val="00BC79CF"/>
    <w:rsid w:val="00BC7E53"/>
    <w:rsid w:val="00BD00E1"/>
    <w:rsid w:val="00BD0135"/>
    <w:rsid w:val="00BD09C0"/>
    <w:rsid w:val="00BD0CF9"/>
    <w:rsid w:val="00BD0D9F"/>
    <w:rsid w:val="00BD0EB4"/>
    <w:rsid w:val="00BD139E"/>
    <w:rsid w:val="00BD191C"/>
    <w:rsid w:val="00BD1D8B"/>
    <w:rsid w:val="00BD2028"/>
    <w:rsid w:val="00BD2299"/>
    <w:rsid w:val="00BD23C2"/>
    <w:rsid w:val="00BD2703"/>
    <w:rsid w:val="00BD2DF4"/>
    <w:rsid w:val="00BD324A"/>
    <w:rsid w:val="00BD3342"/>
    <w:rsid w:val="00BD33F7"/>
    <w:rsid w:val="00BD3653"/>
    <w:rsid w:val="00BD38E4"/>
    <w:rsid w:val="00BD3A3F"/>
    <w:rsid w:val="00BD3D6F"/>
    <w:rsid w:val="00BD3D92"/>
    <w:rsid w:val="00BD41AE"/>
    <w:rsid w:val="00BD41BB"/>
    <w:rsid w:val="00BD441B"/>
    <w:rsid w:val="00BD45C0"/>
    <w:rsid w:val="00BD4730"/>
    <w:rsid w:val="00BD495B"/>
    <w:rsid w:val="00BD4B89"/>
    <w:rsid w:val="00BD4CE2"/>
    <w:rsid w:val="00BD51C3"/>
    <w:rsid w:val="00BD5704"/>
    <w:rsid w:val="00BD5E95"/>
    <w:rsid w:val="00BD5F33"/>
    <w:rsid w:val="00BD6504"/>
    <w:rsid w:val="00BD6538"/>
    <w:rsid w:val="00BD6918"/>
    <w:rsid w:val="00BD6DAC"/>
    <w:rsid w:val="00BD726E"/>
    <w:rsid w:val="00BD7463"/>
    <w:rsid w:val="00BD76BF"/>
    <w:rsid w:val="00BD7826"/>
    <w:rsid w:val="00BD79CE"/>
    <w:rsid w:val="00BD7DCC"/>
    <w:rsid w:val="00BE025B"/>
    <w:rsid w:val="00BE02F6"/>
    <w:rsid w:val="00BE047B"/>
    <w:rsid w:val="00BE0B95"/>
    <w:rsid w:val="00BE0CBC"/>
    <w:rsid w:val="00BE0D78"/>
    <w:rsid w:val="00BE0EDF"/>
    <w:rsid w:val="00BE0F76"/>
    <w:rsid w:val="00BE120D"/>
    <w:rsid w:val="00BE158C"/>
    <w:rsid w:val="00BE167E"/>
    <w:rsid w:val="00BE16B9"/>
    <w:rsid w:val="00BE1964"/>
    <w:rsid w:val="00BE1967"/>
    <w:rsid w:val="00BE19E0"/>
    <w:rsid w:val="00BE2175"/>
    <w:rsid w:val="00BE21C8"/>
    <w:rsid w:val="00BE2530"/>
    <w:rsid w:val="00BE29AA"/>
    <w:rsid w:val="00BE2AE0"/>
    <w:rsid w:val="00BE2FB6"/>
    <w:rsid w:val="00BE3101"/>
    <w:rsid w:val="00BE31DC"/>
    <w:rsid w:val="00BE3526"/>
    <w:rsid w:val="00BE358A"/>
    <w:rsid w:val="00BE376B"/>
    <w:rsid w:val="00BE3A33"/>
    <w:rsid w:val="00BE3D72"/>
    <w:rsid w:val="00BE3DD0"/>
    <w:rsid w:val="00BE3FD6"/>
    <w:rsid w:val="00BE4112"/>
    <w:rsid w:val="00BE4709"/>
    <w:rsid w:val="00BE4A27"/>
    <w:rsid w:val="00BE4AE9"/>
    <w:rsid w:val="00BE4C47"/>
    <w:rsid w:val="00BE5379"/>
    <w:rsid w:val="00BE5402"/>
    <w:rsid w:val="00BE5855"/>
    <w:rsid w:val="00BE58DF"/>
    <w:rsid w:val="00BE5987"/>
    <w:rsid w:val="00BE5F4F"/>
    <w:rsid w:val="00BE6435"/>
    <w:rsid w:val="00BE64AF"/>
    <w:rsid w:val="00BE64B7"/>
    <w:rsid w:val="00BE65AE"/>
    <w:rsid w:val="00BE6A64"/>
    <w:rsid w:val="00BE6B69"/>
    <w:rsid w:val="00BE6BF1"/>
    <w:rsid w:val="00BE6C00"/>
    <w:rsid w:val="00BE6C3F"/>
    <w:rsid w:val="00BE6E94"/>
    <w:rsid w:val="00BE705C"/>
    <w:rsid w:val="00BE72B5"/>
    <w:rsid w:val="00BE73F9"/>
    <w:rsid w:val="00BE7498"/>
    <w:rsid w:val="00BE7509"/>
    <w:rsid w:val="00BE75DE"/>
    <w:rsid w:val="00BE7C1D"/>
    <w:rsid w:val="00BE7D95"/>
    <w:rsid w:val="00BF031D"/>
    <w:rsid w:val="00BF03D8"/>
    <w:rsid w:val="00BF0402"/>
    <w:rsid w:val="00BF0ACA"/>
    <w:rsid w:val="00BF0FCC"/>
    <w:rsid w:val="00BF1807"/>
    <w:rsid w:val="00BF180B"/>
    <w:rsid w:val="00BF1823"/>
    <w:rsid w:val="00BF1864"/>
    <w:rsid w:val="00BF1880"/>
    <w:rsid w:val="00BF1A40"/>
    <w:rsid w:val="00BF1B7B"/>
    <w:rsid w:val="00BF2146"/>
    <w:rsid w:val="00BF224D"/>
    <w:rsid w:val="00BF26E9"/>
    <w:rsid w:val="00BF2EF8"/>
    <w:rsid w:val="00BF2FF3"/>
    <w:rsid w:val="00BF3161"/>
    <w:rsid w:val="00BF3178"/>
    <w:rsid w:val="00BF339D"/>
    <w:rsid w:val="00BF33FB"/>
    <w:rsid w:val="00BF3411"/>
    <w:rsid w:val="00BF3461"/>
    <w:rsid w:val="00BF34CC"/>
    <w:rsid w:val="00BF34D3"/>
    <w:rsid w:val="00BF3DF6"/>
    <w:rsid w:val="00BF4CCB"/>
    <w:rsid w:val="00BF4D34"/>
    <w:rsid w:val="00BF4EFB"/>
    <w:rsid w:val="00BF5612"/>
    <w:rsid w:val="00BF5AF5"/>
    <w:rsid w:val="00BF6159"/>
    <w:rsid w:val="00BF61E1"/>
    <w:rsid w:val="00BF6533"/>
    <w:rsid w:val="00BF6AD4"/>
    <w:rsid w:val="00BF6B82"/>
    <w:rsid w:val="00BF6FD8"/>
    <w:rsid w:val="00BF717E"/>
    <w:rsid w:val="00BF72EC"/>
    <w:rsid w:val="00BF7D6D"/>
    <w:rsid w:val="00BF7F7C"/>
    <w:rsid w:val="00C00058"/>
    <w:rsid w:val="00C0075D"/>
    <w:rsid w:val="00C00A9D"/>
    <w:rsid w:val="00C00CE3"/>
    <w:rsid w:val="00C00CFE"/>
    <w:rsid w:val="00C00E20"/>
    <w:rsid w:val="00C01B6D"/>
    <w:rsid w:val="00C01D45"/>
    <w:rsid w:val="00C01E60"/>
    <w:rsid w:val="00C01EB1"/>
    <w:rsid w:val="00C0211C"/>
    <w:rsid w:val="00C0258D"/>
    <w:rsid w:val="00C0275D"/>
    <w:rsid w:val="00C02859"/>
    <w:rsid w:val="00C029AF"/>
    <w:rsid w:val="00C02B17"/>
    <w:rsid w:val="00C02C07"/>
    <w:rsid w:val="00C02C79"/>
    <w:rsid w:val="00C02D36"/>
    <w:rsid w:val="00C02EA6"/>
    <w:rsid w:val="00C0310B"/>
    <w:rsid w:val="00C035E3"/>
    <w:rsid w:val="00C03680"/>
    <w:rsid w:val="00C03899"/>
    <w:rsid w:val="00C03F9C"/>
    <w:rsid w:val="00C04314"/>
    <w:rsid w:val="00C04499"/>
    <w:rsid w:val="00C045F5"/>
    <w:rsid w:val="00C047D5"/>
    <w:rsid w:val="00C047D9"/>
    <w:rsid w:val="00C04CBF"/>
    <w:rsid w:val="00C04D87"/>
    <w:rsid w:val="00C04F37"/>
    <w:rsid w:val="00C051C1"/>
    <w:rsid w:val="00C052ED"/>
    <w:rsid w:val="00C054DF"/>
    <w:rsid w:val="00C0580F"/>
    <w:rsid w:val="00C0593D"/>
    <w:rsid w:val="00C05AAD"/>
    <w:rsid w:val="00C05C0C"/>
    <w:rsid w:val="00C05EC5"/>
    <w:rsid w:val="00C06120"/>
    <w:rsid w:val="00C062C0"/>
    <w:rsid w:val="00C067C3"/>
    <w:rsid w:val="00C068D1"/>
    <w:rsid w:val="00C06A42"/>
    <w:rsid w:val="00C06C6C"/>
    <w:rsid w:val="00C06D6E"/>
    <w:rsid w:val="00C07105"/>
    <w:rsid w:val="00C071D4"/>
    <w:rsid w:val="00C07B37"/>
    <w:rsid w:val="00C07F88"/>
    <w:rsid w:val="00C07FFC"/>
    <w:rsid w:val="00C1008E"/>
    <w:rsid w:val="00C1072B"/>
    <w:rsid w:val="00C10C6B"/>
    <w:rsid w:val="00C10CCF"/>
    <w:rsid w:val="00C11042"/>
    <w:rsid w:val="00C113F3"/>
    <w:rsid w:val="00C116DE"/>
    <w:rsid w:val="00C116E8"/>
    <w:rsid w:val="00C118D8"/>
    <w:rsid w:val="00C11A27"/>
    <w:rsid w:val="00C11CA8"/>
    <w:rsid w:val="00C12104"/>
    <w:rsid w:val="00C121E6"/>
    <w:rsid w:val="00C12270"/>
    <w:rsid w:val="00C1229C"/>
    <w:rsid w:val="00C12378"/>
    <w:rsid w:val="00C12709"/>
    <w:rsid w:val="00C12DEE"/>
    <w:rsid w:val="00C12DF1"/>
    <w:rsid w:val="00C1313C"/>
    <w:rsid w:val="00C13281"/>
    <w:rsid w:val="00C135D0"/>
    <w:rsid w:val="00C13881"/>
    <w:rsid w:val="00C13D44"/>
    <w:rsid w:val="00C14140"/>
    <w:rsid w:val="00C143A1"/>
    <w:rsid w:val="00C148FE"/>
    <w:rsid w:val="00C14978"/>
    <w:rsid w:val="00C14B6B"/>
    <w:rsid w:val="00C1502B"/>
    <w:rsid w:val="00C152A5"/>
    <w:rsid w:val="00C15A24"/>
    <w:rsid w:val="00C15A62"/>
    <w:rsid w:val="00C15E00"/>
    <w:rsid w:val="00C15E41"/>
    <w:rsid w:val="00C15EAC"/>
    <w:rsid w:val="00C160CF"/>
    <w:rsid w:val="00C1629F"/>
    <w:rsid w:val="00C16451"/>
    <w:rsid w:val="00C168B1"/>
    <w:rsid w:val="00C169C4"/>
    <w:rsid w:val="00C169FE"/>
    <w:rsid w:val="00C174CA"/>
    <w:rsid w:val="00C1780A"/>
    <w:rsid w:val="00C1787E"/>
    <w:rsid w:val="00C17BE7"/>
    <w:rsid w:val="00C17C8F"/>
    <w:rsid w:val="00C17D73"/>
    <w:rsid w:val="00C17EBE"/>
    <w:rsid w:val="00C2009B"/>
    <w:rsid w:val="00C2045A"/>
    <w:rsid w:val="00C20D9C"/>
    <w:rsid w:val="00C20E98"/>
    <w:rsid w:val="00C21308"/>
    <w:rsid w:val="00C21337"/>
    <w:rsid w:val="00C21762"/>
    <w:rsid w:val="00C21974"/>
    <w:rsid w:val="00C21975"/>
    <w:rsid w:val="00C21E02"/>
    <w:rsid w:val="00C21FDE"/>
    <w:rsid w:val="00C2207C"/>
    <w:rsid w:val="00C2211A"/>
    <w:rsid w:val="00C2240A"/>
    <w:rsid w:val="00C2268A"/>
    <w:rsid w:val="00C22742"/>
    <w:rsid w:val="00C22BEF"/>
    <w:rsid w:val="00C22E44"/>
    <w:rsid w:val="00C233AC"/>
    <w:rsid w:val="00C23507"/>
    <w:rsid w:val="00C2355D"/>
    <w:rsid w:val="00C2359A"/>
    <w:rsid w:val="00C236C1"/>
    <w:rsid w:val="00C2373E"/>
    <w:rsid w:val="00C240BD"/>
    <w:rsid w:val="00C24543"/>
    <w:rsid w:val="00C24624"/>
    <w:rsid w:val="00C247B9"/>
    <w:rsid w:val="00C24859"/>
    <w:rsid w:val="00C24A94"/>
    <w:rsid w:val="00C24CDF"/>
    <w:rsid w:val="00C2517B"/>
    <w:rsid w:val="00C25480"/>
    <w:rsid w:val="00C25607"/>
    <w:rsid w:val="00C256A2"/>
    <w:rsid w:val="00C2582F"/>
    <w:rsid w:val="00C25B4E"/>
    <w:rsid w:val="00C260BF"/>
    <w:rsid w:val="00C2655E"/>
    <w:rsid w:val="00C265A1"/>
    <w:rsid w:val="00C26A02"/>
    <w:rsid w:val="00C26AD6"/>
    <w:rsid w:val="00C2728C"/>
    <w:rsid w:val="00C27349"/>
    <w:rsid w:val="00C278B3"/>
    <w:rsid w:val="00C27A6A"/>
    <w:rsid w:val="00C27B9B"/>
    <w:rsid w:val="00C27F2A"/>
    <w:rsid w:val="00C300ED"/>
    <w:rsid w:val="00C304FA"/>
    <w:rsid w:val="00C30573"/>
    <w:rsid w:val="00C30972"/>
    <w:rsid w:val="00C30AC4"/>
    <w:rsid w:val="00C30B18"/>
    <w:rsid w:val="00C30B9C"/>
    <w:rsid w:val="00C30D2D"/>
    <w:rsid w:val="00C315BA"/>
    <w:rsid w:val="00C31AE8"/>
    <w:rsid w:val="00C31CD7"/>
    <w:rsid w:val="00C32100"/>
    <w:rsid w:val="00C3244B"/>
    <w:rsid w:val="00C32461"/>
    <w:rsid w:val="00C3249B"/>
    <w:rsid w:val="00C32539"/>
    <w:rsid w:val="00C32799"/>
    <w:rsid w:val="00C32962"/>
    <w:rsid w:val="00C329B6"/>
    <w:rsid w:val="00C331D7"/>
    <w:rsid w:val="00C33446"/>
    <w:rsid w:val="00C33726"/>
    <w:rsid w:val="00C33F5F"/>
    <w:rsid w:val="00C33F62"/>
    <w:rsid w:val="00C34113"/>
    <w:rsid w:val="00C34137"/>
    <w:rsid w:val="00C3457E"/>
    <w:rsid w:val="00C34834"/>
    <w:rsid w:val="00C34A4C"/>
    <w:rsid w:val="00C34CEF"/>
    <w:rsid w:val="00C34E9B"/>
    <w:rsid w:val="00C35013"/>
    <w:rsid w:val="00C3530F"/>
    <w:rsid w:val="00C3534A"/>
    <w:rsid w:val="00C35480"/>
    <w:rsid w:val="00C354CD"/>
    <w:rsid w:val="00C3552C"/>
    <w:rsid w:val="00C356D3"/>
    <w:rsid w:val="00C35CE9"/>
    <w:rsid w:val="00C3601A"/>
    <w:rsid w:val="00C3617B"/>
    <w:rsid w:val="00C3623E"/>
    <w:rsid w:val="00C36652"/>
    <w:rsid w:val="00C368BD"/>
    <w:rsid w:val="00C36BF9"/>
    <w:rsid w:val="00C36DFD"/>
    <w:rsid w:val="00C372B6"/>
    <w:rsid w:val="00C37533"/>
    <w:rsid w:val="00C3766B"/>
    <w:rsid w:val="00C3782B"/>
    <w:rsid w:val="00C37880"/>
    <w:rsid w:val="00C37F7F"/>
    <w:rsid w:val="00C37FDB"/>
    <w:rsid w:val="00C401C4"/>
    <w:rsid w:val="00C40219"/>
    <w:rsid w:val="00C4028A"/>
    <w:rsid w:val="00C4032E"/>
    <w:rsid w:val="00C405FE"/>
    <w:rsid w:val="00C40641"/>
    <w:rsid w:val="00C4082F"/>
    <w:rsid w:val="00C40D8C"/>
    <w:rsid w:val="00C40F01"/>
    <w:rsid w:val="00C4102B"/>
    <w:rsid w:val="00C41462"/>
    <w:rsid w:val="00C415F7"/>
    <w:rsid w:val="00C4160B"/>
    <w:rsid w:val="00C4162A"/>
    <w:rsid w:val="00C4162E"/>
    <w:rsid w:val="00C417C3"/>
    <w:rsid w:val="00C41985"/>
    <w:rsid w:val="00C41A01"/>
    <w:rsid w:val="00C41AD0"/>
    <w:rsid w:val="00C41B7E"/>
    <w:rsid w:val="00C41D1E"/>
    <w:rsid w:val="00C41D81"/>
    <w:rsid w:val="00C4267E"/>
    <w:rsid w:val="00C42BE7"/>
    <w:rsid w:val="00C42CEA"/>
    <w:rsid w:val="00C42E8D"/>
    <w:rsid w:val="00C42F74"/>
    <w:rsid w:val="00C433C4"/>
    <w:rsid w:val="00C437CD"/>
    <w:rsid w:val="00C43CBF"/>
    <w:rsid w:val="00C43E22"/>
    <w:rsid w:val="00C440BB"/>
    <w:rsid w:val="00C440EB"/>
    <w:rsid w:val="00C441D8"/>
    <w:rsid w:val="00C44748"/>
    <w:rsid w:val="00C44880"/>
    <w:rsid w:val="00C44D1F"/>
    <w:rsid w:val="00C4519A"/>
    <w:rsid w:val="00C45376"/>
    <w:rsid w:val="00C45415"/>
    <w:rsid w:val="00C45612"/>
    <w:rsid w:val="00C45834"/>
    <w:rsid w:val="00C45D0C"/>
    <w:rsid w:val="00C46451"/>
    <w:rsid w:val="00C46486"/>
    <w:rsid w:val="00C46810"/>
    <w:rsid w:val="00C46C5D"/>
    <w:rsid w:val="00C46D69"/>
    <w:rsid w:val="00C47936"/>
    <w:rsid w:val="00C47943"/>
    <w:rsid w:val="00C50392"/>
    <w:rsid w:val="00C50724"/>
    <w:rsid w:val="00C50AE1"/>
    <w:rsid w:val="00C50BC3"/>
    <w:rsid w:val="00C50D83"/>
    <w:rsid w:val="00C50E0A"/>
    <w:rsid w:val="00C50FB1"/>
    <w:rsid w:val="00C512B7"/>
    <w:rsid w:val="00C51515"/>
    <w:rsid w:val="00C51884"/>
    <w:rsid w:val="00C51A9D"/>
    <w:rsid w:val="00C51AA5"/>
    <w:rsid w:val="00C51B54"/>
    <w:rsid w:val="00C51D13"/>
    <w:rsid w:val="00C52032"/>
    <w:rsid w:val="00C52076"/>
    <w:rsid w:val="00C520A7"/>
    <w:rsid w:val="00C529DC"/>
    <w:rsid w:val="00C52E97"/>
    <w:rsid w:val="00C53067"/>
    <w:rsid w:val="00C5306D"/>
    <w:rsid w:val="00C5332A"/>
    <w:rsid w:val="00C53354"/>
    <w:rsid w:val="00C533FC"/>
    <w:rsid w:val="00C53A80"/>
    <w:rsid w:val="00C53ADC"/>
    <w:rsid w:val="00C53D99"/>
    <w:rsid w:val="00C54035"/>
    <w:rsid w:val="00C540FE"/>
    <w:rsid w:val="00C54104"/>
    <w:rsid w:val="00C544C8"/>
    <w:rsid w:val="00C548BE"/>
    <w:rsid w:val="00C54BCF"/>
    <w:rsid w:val="00C54EB5"/>
    <w:rsid w:val="00C554CF"/>
    <w:rsid w:val="00C55590"/>
    <w:rsid w:val="00C5560D"/>
    <w:rsid w:val="00C55C98"/>
    <w:rsid w:val="00C55DC5"/>
    <w:rsid w:val="00C56267"/>
    <w:rsid w:val="00C5660B"/>
    <w:rsid w:val="00C56633"/>
    <w:rsid w:val="00C567DF"/>
    <w:rsid w:val="00C569CD"/>
    <w:rsid w:val="00C56A7B"/>
    <w:rsid w:val="00C56BB7"/>
    <w:rsid w:val="00C573E1"/>
    <w:rsid w:val="00C575E8"/>
    <w:rsid w:val="00C576B7"/>
    <w:rsid w:val="00C578A4"/>
    <w:rsid w:val="00C57C08"/>
    <w:rsid w:val="00C57CC7"/>
    <w:rsid w:val="00C57E21"/>
    <w:rsid w:val="00C60071"/>
    <w:rsid w:val="00C604DB"/>
    <w:rsid w:val="00C6050F"/>
    <w:rsid w:val="00C605C2"/>
    <w:rsid w:val="00C60EAA"/>
    <w:rsid w:val="00C60EEA"/>
    <w:rsid w:val="00C60FD6"/>
    <w:rsid w:val="00C61082"/>
    <w:rsid w:val="00C6114D"/>
    <w:rsid w:val="00C61566"/>
    <w:rsid w:val="00C616B6"/>
    <w:rsid w:val="00C61CC5"/>
    <w:rsid w:val="00C62087"/>
    <w:rsid w:val="00C62141"/>
    <w:rsid w:val="00C62241"/>
    <w:rsid w:val="00C62460"/>
    <w:rsid w:val="00C62779"/>
    <w:rsid w:val="00C62AE2"/>
    <w:rsid w:val="00C62CFF"/>
    <w:rsid w:val="00C62D3C"/>
    <w:rsid w:val="00C630D7"/>
    <w:rsid w:val="00C63412"/>
    <w:rsid w:val="00C634ED"/>
    <w:rsid w:val="00C6366B"/>
    <w:rsid w:val="00C63994"/>
    <w:rsid w:val="00C639C6"/>
    <w:rsid w:val="00C639FB"/>
    <w:rsid w:val="00C63D51"/>
    <w:rsid w:val="00C6438A"/>
    <w:rsid w:val="00C64C20"/>
    <w:rsid w:val="00C6568F"/>
    <w:rsid w:val="00C656C5"/>
    <w:rsid w:val="00C65722"/>
    <w:rsid w:val="00C65E14"/>
    <w:rsid w:val="00C65EAD"/>
    <w:rsid w:val="00C66807"/>
    <w:rsid w:val="00C669EE"/>
    <w:rsid w:val="00C66B04"/>
    <w:rsid w:val="00C66B72"/>
    <w:rsid w:val="00C66CA5"/>
    <w:rsid w:val="00C66E3D"/>
    <w:rsid w:val="00C67228"/>
    <w:rsid w:val="00C675D4"/>
    <w:rsid w:val="00C67740"/>
    <w:rsid w:val="00C7030F"/>
    <w:rsid w:val="00C70378"/>
    <w:rsid w:val="00C7056B"/>
    <w:rsid w:val="00C70812"/>
    <w:rsid w:val="00C709D4"/>
    <w:rsid w:val="00C709FD"/>
    <w:rsid w:val="00C70B35"/>
    <w:rsid w:val="00C7121C"/>
    <w:rsid w:val="00C71287"/>
    <w:rsid w:val="00C713CE"/>
    <w:rsid w:val="00C713D2"/>
    <w:rsid w:val="00C71C0F"/>
    <w:rsid w:val="00C71DDD"/>
    <w:rsid w:val="00C71F60"/>
    <w:rsid w:val="00C722BA"/>
    <w:rsid w:val="00C72302"/>
    <w:rsid w:val="00C725C5"/>
    <w:rsid w:val="00C726E4"/>
    <w:rsid w:val="00C72736"/>
    <w:rsid w:val="00C72939"/>
    <w:rsid w:val="00C729FE"/>
    <w:rsid w:val="00C72AB3"/>
    <w:rsid w:val="00C72AD4"/>
    <w:rsid w:val="00C73345"/>
    <w:rsid w:val="00C73D8E"/>
    <w:rsid w:val="00C746F6"/>
    <w:rsid w:val="00C74A29"/>
    <w:rsid w:val="00C74AF3"/>
    <w:rsid w:val="00C751A0"/>
    <w:rsid w:val="00C7553C"/>
    <w:rsid w:val="00C755F5"/>
    <w:rsid w:val="00C7582E"/>
    <w:rsid w:val="00C75A24"/>
    <w:rsid w:val="00C75BB3"/>
    <w:rsid w:val="00C75D26"/>
    <w:rsid w:val="00C7606B"/>
    <w:rsid w:val="00C7625C"/>
    <w:rsid w:val="00C762F5"/>
    <w:rsid w:val="00C7651F"/>
    <w:rsid w:val="00C7669B"/>
    <w:rsid w:val="00C768DE"/>
    <w:rsid w:val="00C769B0"/>
    <w:rsid w:val="00C76DF0"/>
    <w:rsid w:val="00C76F86"/>
    <w:rsid w:val="00C7755C"/>
    <w:rsid w:val="00C777AC"/>
    <w:rsid w:val="00C777EF"/>
    <w:rsid w:val="00C77B1A"/>
    <w:rsid w:val="00C77BDE"/>
    <w:rsid w:val="00C80067"/>
    <w:rsid w:val="00C8077D"/>
    <w:rsid w:val="00C80B39"/>
    <w:rsid w:val="00C80D43"/>
    <w:rsid w:val="00C8114D"/>
    <w:rsid w:val="00C817A5"/>
    <w:rsid w:val="00C819AF"/>
    <w:rsid w:val="00C81B10"/>
    <w:rsid w:val="00C821A3"/>
    <w:rsid w:val="00C825C1"/>
    <w:rsid w:val="00C82945"/>
    <w:rsid w:val="00C82ED9"/>
    <w:rsid w:val="00C83595"/>
    <w:rsid w:val="00C8384D"/>
    <w:rsid w:val="00C83A04"/>
    <w:rsid w:val="00C83C2A"/>
    <w:rsid w:val="00C83F12"/>
    <w:rsid w:val="00C842DF"/>
    <w:rsid w:val="00C84510"/>
    <w:rsid w:val="00C84653"/>
    <w:rsid w:val="00C84A25"/>
    <w:rsid w:val="00C851E6"/>
    <w:rsid w:val="00C853B0"/>
    <w:rsid w:val="00C85578"/>
    <w:rsid w:val="00C85A89"/>
    <w:rsid w:val="00C85B93"/>
    <w:rsid w:val="00C85E9A"/>
    <w:rsid w:val="00C85F9F"/>
    <w:rsid w:val="00C86148"/>
    <w:rsid w:val="00C861DF"/>
    <w:rsid w:val="00C86278"/>
    <w:rsid w:val="00C8646E"/>
    <w:rsid w:val="00C86EE8"/>
    <w:rsid w:val="00C86F17"/>
    <w:rsid w:val="00C872FB"/>
    <w:rsid w:val="00C8740F"/>
    <w:rsid w:val="00C8759D"/>
    <w:rsid w:val="00C87837"/>
    <w:rsid w:val="00C87E2B"/>
    <w:rsid w:val="00C87EB8"/>
    <w:rsid w:val="00C90604"/>
    <w:rsid w:val="00C90D02"/>
    <w:rsid w:val="00C90F17"/>
    <w:rsid w:val="00C90FA6"/>
    <w:rsid w:val="00C9127C"/>
    <w:rsid w:val="00C914C4"/>
    <w:rsid w:val="00C914F9"/>
    <w:rsid w:val="00C9157C"/>
    <w:rsid w:val="00C9176B"/>
    <w:rsid w:val="00C9192C"/>
    <w:rsid w:val="00C91A11"/>
    <w:rsid w:val="00C91BCA"/>
    <w:rsid w:val="00C91F1F"/>
    <w:rsid w:val="00C91FAE"/>
    <w:rsid w:val="00C92371"/>
    <w:rsid w:val="00C923E6"/>
    <w:rsid w:val="00C925E5"/>
    <w:rsid w:val="00C9263A"/>
    <w:rsid w:val="00C92BBF"/>
    <w:rsid w:val="00C92DFD"/>
    <w:rsid w:val="00C93069"/>
    <w:rsid w:val="00C93076"/>
    <w:rsid w:val="00C933F9"/>
    <w:rsid w:val="00C9346A"/>
    <w:rsid w:val="00C93901"/>
    <w:rsid w:val="00C939C5"/>
    <w:rsid w:val="00C93BB0"/>
    <w:rsid w:val="00C93D7B"/>
    <w:rsid w:val="00C9443A"/>
    <w:rsid w:val="00C9446D"/>
    <w:rsid w:val="00C94480"/>
    <w:rsid w:val="00C94963"/>
    <w:rsid w:val="00C94BF7"/>
    <w:rsid w:val="00C94C3A"/>
    <w:rsid w:val="00C94D25"/>
    <w:rsid w:val="00C94D5E"/>
    <w:rsid w:val="00C94E03"/>
    <w:rsid w:val="00C95188"/>
    <w:rsid w:val="00C9543D"/>
    <w:rsid w:val="00C9562B"/>
    <w:rsid w:val="00C9567A"/>
    <w:rsid w:val="00C95E86"/>
    <w:rsid w:val="00C95F29"/>
    <w:rsid w:val="00C96C27"/>
    <w:rsid w:val="00C96E9B"/>
    <w:rsid w:val="00C9741F"/>
    <w:rsid w:val="00C97B5F"/>
    <w:rsid w:val="00CA02D4"/>
    <w:rsid w:val="00CA03F7"/>
    <w:rsid w:val="00CA08D1"/>
    <w:rsid w:val="00CA09B0"/>
    <w:rsid w:val="00CA0BD8"/>
    <w:rsid w:val="00CA107D"/>
    <w:rsid w:val="00CA115B"/>
    <w:rsid w:val="00CA1167"/>
    <w:rsid w:val="00CA1392"/>
    <w:rsid w:val="00CA1713"/>
    <w:rsid w:val="00CA1877"/>
    <w:rsid w:val="00CA18FF"/>
    <w:rsid w:val="00CA19CA"/>
    <w:rsid w:val="00CA1CAE"/>
    <w:rsid w:val="00CA1CFC"/>
    <w:rsid w:val="00CA2398"/>
    <w:rsid w:val="00CA2420"/>
    <w:rsid w:val="00CA2443"/>
    <w:rsid w:val="00CA24E3"/>
    <w:rsid w:val="00CA2AED"/>
    <w:rsid w:val="00CA2F0C"/>
    <w:rsid w:val="00CA2FD0"/>
    <w:rsid w:val="00CA31B2"/>
    <w:rsid w:val="00CA346B"/>
    <w:rsid w:val="00CA39F5"/>
    <w:rsid w:val="00CA3FAB"/>
    <w:rsid w:val="00CA4050"/>
    <w:rsid w:val="00CA438E"/>
    <w:rsid w:val="00CA4570"/>
    <w:rsid w:val="00CA45D3"/>
    <w:rsid w:val="00CA4E0B"/>
    <w:rsid w:val="00CA4E81"/>
    <w:rsid w:val="00CA51DB"/>
    <w:rsid w:val="00CA594D"/>
    <w:rsid w:val="00CA5B59"/>
    <w:rsid w:val="00CA5BC8"/>
    <w:rsid w:val="00CA5EFF"/>
    <w:rsid w:val="00CA6001"/>
    <w:rsid w:val="00CA6347"/>
    <w:rsid w:val="00CA6427"/>
    <w:rsid w:val="00CA646A"/>
    <w:rsid w:val="00CA69B4"/>
    <w:rsid w:val="00CA6A7E"/>
    <w:rsid w:val="00CA6B51"/>
    <w:rsid w:val="00CA710A"/>
    <w:rsid w:val="00CA7628"/>
    <w:rsid w:val="00CA7658"/>
    <w:rsid w:val="00CA77C5"/>
    <w:rsid w:val="00CA7835"/>
    <w:rsid w:val="00CA7A77"/>
    <w:rsid w:val="00CA7D38"/>
    <w:rsid w:val="00CA7EA3"/>
    <w:rsid w:val="00CB0568"/>
    <w:rsid w:val="00CB09A0"/>
    <w:rsid w:val="00CB09E7"/>
    <w:rsid w:val="00CB0ACA"/>
    <w:rsid w:val="00CB0B97"/>
    <w:rsid w:val="00CB10F6"/>
    <w:rsid w:val="00CB1367"/>
    <w:rsid w:val="00CB15BF"/>
    <w:rsid w:val="00CB1774"/>
    <w:rsid w:val="00CB1900"/>
    <w:rsid w:val="00CB1970"/>
    <w:rsid w:val="00CB1B22"/>
    <w:rsid w:val="00CB1DEC"/>
    <w:rsid w:val="00CB1DFB"/>
    <w:rsid w:val="00CB1F54"/>
    <w:rsid w:val="00CB212D"/>
    <w:rsid w:val="00CB2209"/>
    <w:rsid w:val="00CB2365"/>
    <w:rsid w:val="00CB25B4"/>
    <w:rsid w:val="00CB2660"/>
    <w:rsid w:val="00CB268E"/>
    <w:rsid w:val="00CB2B44"/>
    <w:rsid w:val="00CB33DA"/>
    <w:rsid w:val="00CB3658"/>
    <w:rsid w:val="00CB3766"/>
    <w:rsid w:val="00CB3934"/>
    <w:rsid w:val="00CB3975"/>
    <w:rsid w:val="00CB3A04"/>
    <w:rsid w:val="00CB3AA7"/>
    <w:rsid w:val="00CB3D2A"/>
    <w:rsid w:val="00CB3F4F"/>
    <w:rsid w:val="00CB401E"/>
    <w:rsid w:val="00CB420B"/>
    <w:rsid w:val="00CB447C"/>
    <w:rsid w:val="00CB46CC"/>
    <w:rsid w:val="00CB4946"/>
    <w:rsid w:val="00CB4D49"/>
    <w:rsid w:val="00CB51F9"/>
    <w:rsid w:val="00CB5405"/>
    <w:rsid w:val="00CB55E6"/>
    <w:rsid w:val="00CB5B57"/>
    <w:rsid w:val="00CB5CC9"/>
    <w:rsid w:val="00CB6563"/>
    <w:rsid w:val="00CB675A"/>
    <w:rsid w:val="00CB6873"/>
    <w:rsid w:val="00CB68A6"/>
    <w:rsid w:val="00CB68D3"/>
    <w:rsid w:val="00CB6914"/>
    <w:rsid w:val="00CB6A15"/>
    <w:rsid w:val="00CB6BBC"/>
    <w:rsid w:val="00CB6BD5"/>
    <w:rsid w:val="00CB6CDB"/>
    <w:rsid w:val="00CB6E4D"/>
    <w:rsid w:val="00CB6EEA"/>
    <w:rsid w:val="00CB7019"/>
    <w:rsid w:val="00CB7174"/>
    <w:rsid w:val="00CB72FC"/>
    <w:rsid w:val="00CB75DC"/>
    <w:rsid w:val="00CB768E"/>
    <w:rsid w:val="00CB78CC"/>
    <w:rsid w:val="00CC033F"/>
    <w:rsid w:val="00CC0411"/>
    <w:rsid w:val="00CC0526"/>
    <w:rsid w:val="00CC06B3"/>
    <w:rsid w:val="00CC08FE"/>
    <w:rsid w:val="00CC0C3B"/>
    <w:rsid w:val="00CC1D21"/>
    <w:rsid w:val="00CC2014"/>
    <w:rsid w:val="00CC2355"/>
    <w:rsid w:val="00CC23DD"/>
    <w:rsid w:val="00CC2479"/>
    <w:rsid w:val="00CC25EE"/>
    <w:rsid w:val="00CC2BC5"/>
    <w:rsid w:val="00CC2CE0"/>
    <w:rsid w:val="00CC2D25"/>
    <w:rsid w:val="00CC2F8A"/>
    <w:rsid w:val="00CC2FB9"/>
    <w:rsid w:val="00CC305E"/>
    <w:rsid w:val="00CC3194"/>
    <w:rsid w:val="00CC31C5"/>
    <w:rsid w:val="00CC33E4"/>
    <w:rsid w:val="00CC3DA8"/>
    <w:rsid w:val="00CC40F6"/>
    <w:rsid w:val="00CC437D"/>
    <w:rsid w:val="00CC44AC"/>
    <w:rsid w:val="00CC4507"/>
    <w:rsid w:val="00CC4FB6"/>
    <w:rsid w:val="00CC4FCD"/>
    <w:rsid w:val="00CC54BA"/>
    <w:rsid w:val="00CC5619"/>
    <w:rsid w:val="00CC5A69"/>
    <w:rsid w:val="00CC5E90"/>
    <w:rsid w:val="00CC5E9E"/>
    <w:rsid w:val="00CC5FD0"/>
    <w:rsid w:val="00CC6286"/>
    <w:rsid w:val="00CC62A2"/>
    <w:rsid w:val="00CC636E"/>
    <w:rsid w:val="00CC68DB"/>
    <w:rsid w:val="00CC6DEA"/>
    <w:rsid w:val="00CC6EB4"/>
    <w:rsid w:val="00CC6EEB"/>
    <w:rsid w:val="00CC7018"/>
    <w:rsid w:val="00CC7072"/>
    <w:rsid w:val="00CC7123"/>
    <w:rsid w:val="00CC73C1"/>
    <w:rsid w:val="00CC759E"/>
    <w:rsid w:val="00CC76D2"/>
    <w:rsid w:val="00CC7862"/>
    <w:rsid w:val="00CC7B6E"/>
    <w:rsid w:val="00CC7BE0"/>
    <w:rsid w:val="00CC7D0D"/>
    <w:rsid w:val="00CC7F14"/>
    <w:rsid w:val="00CD046C"/>
    <w:rsid w:val="00CD04FC"/>
    <w:rsid w:val="00CD07FB"/>
    <w:rsid w:val="00CD0EA6"/>
    <w:rsid w:val="00CD1071"/>
    <w:rsid w:val="00CD1103"/>
    <w:rsid w:val="00CD127C"/>
    <w:rsid w:val="00CD186A"/>
    <w:rsid w:val="00CD1947"/>
    <w:rsid w:val="00CD1B0D"/>
    <w:rsid w:val="00CD1C0C"/>
    <w:rsid w:val="00CD1D70"/>
    <w:rsid w:val="00CD215D"/>
    <w:rsid w:val="00CD21B3"/>
    <w:rsid w:val="00CD21DC"/>
    <w:rsid w:val="00CD241B"/>
    <w:rsid w:val="00CD2990"/>
    <w:rsid w:val="00CD2A95"/>
    <w:rsid w:val="00CD2B79"/>
    <w:rsid w:val="00CD31BC"/>
    <w:rsid w:val="00CD352F"/>
    <w:rsid w:val="00CD39A2"/>
    <w:rsid w:val="00CD3E9E"/>
    <w:rsid w:val="00CD4108"/>
    <w:rsid w:val="00CD4338"/>
    <w:rsid w:val="00CD489C"/>
    <w:rsid w:val="00CD49CE"/>
    <w:rsid w:val="00CD4B8B"/>
    <w:rsid w:val="00CD4BA5"/>
    <w:rsid w:val="00CD4EAB"/>
    <w:rsid w:val="00CD5CE4"/>
    <w:rsid w:val="00CD5E89"/>
    <w:rsid w:val="00CD6484"/>
    <w:rsid w:val="00CD66CD"/>
    <w:rsid w:val="00CD6740"/>
    <w:rsid w:val="00CD68FD"/>
    <w:rsid w:val="00CD6BFE"/>
    <w:rsid w:val="00CD6F85"/>
    <w:rsid w:val="00CD72F1"/>
    <w:rsid w:val="00CD73B3"/>
    <w:rsid w:val="00CD741C"/>
    <w:rsid w:val="00CD7561"/>
    <w:rsid w:val="00CD7A8E"/>
    <w:rsid w:val="00CD7ABD"/>
    <w:rsid w:val="00CD7C47"/>
    <w:rsid w:val="00CE0033"/>
    <w:rsid w:val="00CE009C"/>
    <w:rsid w:val="00CE0151"/>
    <w:rsid w:val="00CE02F4"/>
    <w:rsid w:val="00CE04B9"/>
    <w:rsid w:val="00CE0543"/>
    <w:rsid w:val="00CE076C"/>
    <w:rsid w:val="00CE0F5A"/>
    <w:rsid w:val="00CE1745"/>
    <w:rsid w:val="00CE174C"/>
    <w:rsid w:val="00CE17C9"/>
    <w:rsid w:val="00CE1801"/>
    <w:rsid w:val="00CE1A73"/>
    <w:rsid w:val="00CE1DFC"/>
    <w:rsid w:val="00CE20B6"/>
    <w:rsid w:val="00CE245D"/>
    <w:rsid w:val="00CE2A89"/>
    <w:rsid w:val="00CE2DD7"/>
    <w:rsid w:val="00CE2FB5"/>
    <w:rsid w:val="00CE311B"/>
    <w:rsid w:val="00CE318B"/>
    <w:rsid w:val="00CE366D"/>
    <w:rsid w:val="00CE371E"/>
    <w:rsid w:val="00CE37F3"/>
    <w:rsid w:val="00CE394F"/>
    <w:rsid w:val="00CE3D55"/>
    <w:rsid w:val="00CE40FF"/>
    <w:rsid w:val="00CE4343"/>
    <w:rsid w:val="00CE434E"/>
    <w:rsid w:val="00CE4419"/>
    <w:rsid w:val="00CE44CE"/>
    <w:rsid w:val="00CE4A64"/>
    <w:rsid w:val="00CE4C21"/>
    <w:rsid w:val="00CE4D31"/>
    <w:rsid w:val="00CE5199"/>
    <w:rsid w:val="00CE5305"/>
    <w:rsid w:val="00CE547B"/>
    <w:rsid w:val="00CE59DE"/>
    <w:rsid w:val="00CE5A44"/>
    <w:rsid w:val="00CE5C5B"/>
    <w:rsid w:val="00CE5D46"/>
    <w:rsid w:val="00CE5DB7"/>
    <w:rsid w:val="00CE6649"/>
    <w:rsid w:val="00CE66D5"/>
    <w:rsid w:val="00CE672C"/>
    <w:rsid w:val="00CE6D06"/>
    <w:rsid w:val="00CE6E9A"/>
    <w:rsid w:val="00CE78B1"/>
    <w:rsid w:val="00CE7C68"/>
    <w:rsid w:val="00CE7F4A"/>
    <w:rsid w:val="00CE7FB0"/>
    <w:rsid w:val="00CE7FC5"/>
    <w:rsid w:val="00CF011F"/>
    <w:rsid w:val="00CF012B"/>
    <w:rsid w:val="00CF02D8"/>
    <w:rsid w:val="00CF0811"/>
    <w:rsid w:val="00CF102F"/>
    <w:rsid w:val="00CF10B2"/>
    <w:rsid w:val="00CF11CB"/>
    <w:rsid w:val="00CF1229"/>
    <w:rsid w:val="00CF18D1"/>
    <w:rsid w:val="00CF1FAC"/>
    <w:rsid w:val="00CF2584"/>
    <w:rsid w:val="00CF2938"/>
    <w:rsid w:val="00CF29AF"/>
    <w:rsid w:val="00CF2B4C"/>
    <w:rsid w:val="00CF2CFE"/>
    <w:rsid w:val="00CF2D2D"/>
    <w:rsid w:val="00CF3144"/>
    <w:rsid w:val="00CF351C"/>
    <w:rsid w:val="00CF396D"/>
    <w:rsid w:val="00CF3A2D"/>
    <w:rsid w:val="00CF3E8C"/>
    <w:rsid w:val="00CF3FE8"/>
    <w:rsid w:val="00CF438A"/>
    <w:rsid w:val="00CF43DB"/>
    <w:rsid w:val="00CF45D6"/>
    <w:rsid w:val="00CF4A54"/>
    <w:rsid w:val="00CF4EE8"/>
    <w:rsid w:val="00CF4F4B"/>
    <w:rsid w:val="00CF54A5"/>
    <w:rsid w:val="00CF55F9"/>
    <w:rsid w:val="00CF581D"/>
    <w:rsid w:val="00CF5907"/>
    <w:rsid w:val="00CF5B9C"/>
    <w:rsid w:val="00CF5C49"/>
    <w:rsid w:val="00CF637A"/>
    <w:rsid w:val="00CF6417"/>
    <w:rsid w:val="00CF6754"/>
    <w:rsid w:val="00CF677F"/>
    <w:rsid w:val="00CF6787"/>
    <w:rsid w:val="00CF67F9"/>
    <w:rsid w:val="00CF690A"/>
    <w:rsid w:val="00CF6C35"/>
    <w:rsid w:val="00CF6DE7"/>
    <w:rsid w:val="00CF7664"/>
    <w:rsid w:val="00CF7A42"/>
    <w:rsid w:val="00CF7E17"/>
    <w:rsid w:val="00CF7EB4"/>
    <w:rsid w:val="00D0014F"/>
    <w:rsid w:val="00D00383"/>
    <w:rsid w:val="00D0086F"/>
    <w:rsid w:val="00D00928"/>
    <w:rsid w:val="00D00C12"/>
    <w:rsid w:val="00D01027"/>
    <w:rsid w:val="00D010CF"/>
    <w:rsid w:val="00D0122F"/>
    <w:rsid w:val="00D0171F"/>
    <w:rsid w:val="00D0175B"/>
    <w:rsid w:val="00D018AD"/>
    <w:rsid w:val="00D01BBD"/>
    <w:rsid w:val="00D01E41"/>
    <w:rsid w:val="00D01FD1"/>
    <w:rsid w:val="00D022A2"/>
    <w:rsid w:val="00D02764"/>
    <w:rsid w:val="00D02DAA"/>
    <w:rsid w:val="00D02DB7"/>
    <w:rsid w:val="00D03E7E"/>
    <w:rsid w:val="00D03F26"/>
    <w:rsid w:val="00D04259"/>
    <w:rsid w:val="00D044BD"/>
    <w:rsid w:val="00D046A0"/>
    <w:rsid w:val="00D046C4"/>
    <w:rsid w:val="00D04F27"/>
    <w:rsid w:val="00D052B4"/>
    <w:rsid w:val="00D05582"/>
    <w:rsid w:val="00D05894"/>
    <w:rsid w:val="00D059DE"/>
    <w:rsid w:val="00D05B0B"/>
    <w:rsid w:val="00D05D29"/>
    <w:rsid w:val="00D062FF"/>
    <w:rsid w:val="00D0639F"/>
    <w:rsid w:val="00D063AD"/>
    <w:rsid w:val="00D066BF"/>
    <w:rsid w:val="00D068DE"/>
    <w:rsid w:val="00D06C0D"/>
    <w:rsid w:val="00D0706F"/>
    <w:rsid w:val="00D071B0"/>
    <w:rsid w:val="00D07351"/>
    <w:rsid w:val="00D078F2"/>
    <w:rsid w:val="00D07CD3"/>
    <w:rsid w:val="00D10017"/>
    <w:rsid w:val="00D1016C"/>
    <w:rsid w:val="00D10504"/>
    <w:rsid w:val="00D107AA"/>
    <w:rsid w:val="00D108E9"/>
    <w:rsid w:val="00D10E07"/>
    <w:rsid w:val="00D10F5B"/>
    <w:rsid w:val="00D112E6"/>
    <w:rsid w:val="00D115FA"/>
    <w:rsid w:val="00D1165D"/>
    <w:rsid w:val="00D11A5E"/>
    <w:rsid w:val="00D11B06"/>
    <w:rsid w:val="00D122CE"/>
    <w:rsid w:val="00D1255D"/>
    <w:rsid w:val="00D12665"/>
    <w:rsid w:val="00D127BA"/>
    <w:rsid w:val="00D1284F"/>
    <w:rsid w:val="00D1292D"/>
    <w:rsid w:val="00D12CAB"/>
    <w:rsid w:val="00D12EFE"/>
    <w:rsid w:val="00D13137"/>
    <w:rsid w:val="00D1390E"/>
    <w:rsid w:val="00D13C2A"/>
    <w:rsid w:val="00D13D09"/>
    <w:rsid w:val="00D13FCE"/>
    <w:rsid w:val="00D1453E"/>
    <w:rsid w:val="00D14557"/>
    <w:rsid w:val="00D149F1"/>
    <w:rsid w:val="00D14D4D"/>
    <w:rsid w:val="00D14D5F"/>
    <w:rsid w:val="00D14ECA"/>
    <w:rsid w:val="00D14F16"/>
    <w:rsid w:val="00D15325"/>
    <w:rsid w:val="00D15370"/>
    <w:rsid w:val="00D159C3"/>
    <w:rsid w:val="00D15B6C"/>
    <w:rsid w:val="00D15EC3"/>
    <w:rsid w:val="00D15F59"/>
    <w:rsid w:val="00D162A1"/>
    <w:rsid w:val="00D163F2"/>
    <w:rsid w:val="00D1647D"/>
    <w:rsid w:val="00D166BA"/>
    <w:rsid w:val="00D167D5"/>
    <w:rsid w:val="00D167FE"/>
    <w:rsid w:val="00D16870"/>
    <w:rsid w:val="00D168E6"/>
    <w:rsid w:val="00D173C6"/>
    <w:rsid w:val="00D173D2"/>
    <w:rsid w:val="00D17482"/>
    <w:rsid w:val="00D17929"/>
    <w:rsid w:val="00D17CC0"/>
    <w:rsid w:val="00D17FBF"/>
    <w:rsid w:val="00D200F6"/>
    <w:rsid w:val="00D20226"/>
    <w:rsid w:val="00D202AC"/>
    <w:rsid w:val="00D203B3"/>
    <w:rsid w:val="00D2052B"/>
    <w:rsid w:val="00D20558"/>
    <w:rsid w:val="00D20A44"/>
    <w:rsid w:val="00D20AB9"/>
    <w:rsid w:val="00D20B84"/>
    <w:rsid w:val="00D20BD7"/>
    <w:rsid w:val="00D20D0E"/>
    <w:rsid w:val="00D20EA8"/>
    <w:rsid w:val="00D20FB9"/>
    <w:rsid w:val="00D2116F"/>
    <w:rsid w:val="00D211CE"/>
    <w:rsid w:val="00D21320"/>
    <w:rsid w:val="00D21891"/>
    <w:rsid w:val="00D21966"/>
    <w:rsid w:val="00D21A95"/>
    <w:rsid w:val="00D21A9E"/>
    <w:rsid w:val="00D21B3A"/>
    <w:rsid w:val="00D21D43"/>
    <w:rsid w:val="00D21ECA"/>
    <w:rsid w:val="00D21F40"/>
    <w:rsid w:val="00D22010"/>
    <w:rsid w:val="00D22566"/>
    <w:rsid w:val="00D22575"/>
    <w:rsid w:val="00D225CE"/>
    <w:rsid w:val="00D226F1"/>
    <w:rsid w:val="00D2281E"/>
    <w:rsid w:val="00D22A2B"/>
    <w:rsid w:val="00D22E8A"/>
    <w:rsid w:val="00D2333E"/>
    <w:rsid w:val="00D2360B"/>
    <w:rsid w:val="00D236A7"/>
    <w:rsid w:val="00D2399B"/>
    <w:rsid w:val="00D239E9"/>
    <w:rsid w:val="00D247B5"/>
    <w:rsid w:val="00D248F7"/>
    <w:rsid w:val="00D24A7F"/>
    <w:rsid w:val="00D24ED7"/>
    <w:rsid w:val="00D24EFB"/>
    <w:rsid w:val="00D251F2"/>
    <w:rsid w:val="00D255FE"/>
    <w:rsid w:val="00D2562A"/>
    <w:rsid w:val="00D2577D"/>
    <w:rsid w:val="00D25974"/>
    <w:rsid w:val="00D25DA5"/>
    <w:rsid w:val="00D25E35"/>
    <w:rsid w:val="00D25E53"/>
    <w:rsid w:val="00D25FD8"/>
    <w:rsid w:val="00D2602F"/>
    <w:rsid w:val="00D26301"/>
    <w:rsid w:val="00D2631B"/>
    <w:rsid w:val="00D26A84"/>
    <w:rsid w:val="00D26D2F"/>
    <w:rsid w:val="00D271E9"/>
    <w:rsid w:val="00D27665"/>
    <w:rsid w:val="00D27690"/>
    <w:rsid w:val="00D276A7"/>
    <w:rsid w:val="00D276C8"/>
    <w:rsid w:val="00D27700"/>
    <w:rsid w:val="00D27B53"/>
    <w:rsid w:val="00D302B9"/>
    <w:rsid w:val="00D306D1"/>
    <w:rsid w:val="00D306F3"/>
    <w:rsid w:val="00D308F8"/>
    <w:rsid w:val="00D309B3"/>
    <w:rsid w:val="00D30B38"/>
    <w:rsid w:val="00D30BB0"/>
    <w:rsid w:val="00D30DD0"/>
    <w:rsid w:val="00D3127C"/>
    <w:rsid w:val="00D31642"/>
    <w:rsid w:val="00D31674"/>
    <w:rsid w:val="00D318D8"/>
    <w:rsid w:val="00D31F3C"/>
    <w:rsid w:val="00D32002"/>
    <w:rsid w:val="00D32082"/>
    <w:rsid w:val="00D320C9"/>
    <w:rsid w:val="00D324B3"/>
    <w:rsid w:val="00D3282D"/>
    <w:rsid w:val="00D329C8"/>
    <w:rsid w:val="00D33614"/>
    <w:rsid w:val="00D33852"/>
    <w:rsid w:val="00D33903"/>
    <w:rsid w:val="00D33AF6"/>
    <w:rsid w:val="00D33CE8"/>
    <w:rsid w:val="00D33E17"/>
    <w:rsid w:val="00D34291"/>
    <w:rsid w:val="00D343B8"/>
    <w:rsid w:val="00D345DE"/>
    <w:rsid w:val="00D34740"/>
    <w:rsid w:val="00D34786"/>
    <w:rsid w:val="00D34BE9"/>
    <w:rsid w:val="00D34C63"/>
    <w:rsid w:val="00D34E8F"/>
    <w:rsid w:val="00D34EC4"/>
    <w:rsid w:val="00D35634"/>
    <w:rsid w:val="00D35829"/>
    <w:rsid w:val="00D35966"/>
    <w:rsid w:val="00D35BD0"/>
    <w:rsid w:val="00D35D07"/>
    <w:rsid w:val="00D35D37"/>
    <w:rsid w:val="00D35F36"/>
    <w:rsid w:val="00D35F98"/>
    <w:rsid w:val="00D360E3"/>
    <w:rsid w:val="00D363CB"/>
    <w:rsid w:val="00D367BC"/>
    <w:rsid w:val="00D3681A"/>
    <w:rsid w:val="00D3682C"/>
    <w:rsid w:val="00D36B0E"/>
    <w:rsid w:val="00D36DC7"/>
    <w:rsid w:val="00D3710A"/>
    <w:rsid w:val="00D37396"/>
    <w:rsid w:val="00D373F6"/>
    <w:rsid w:val="00D37B53"/>
    <w:rsid w:val="00D37BBE"/>
    <w:rsid w:val="00D40168"/>
    <w:rsid w:val="00D40175"/>
    <w:rsid w:val="00D401E6"/>
    <w:rsid w:val="00D4075D"/>
    <w:rsid w:val="00D409A3"/>
    <w:rsid w:val="00D413C3"/>
    <w:rsid w:val="00D415E8"/>
    <w:rsid w:val="00D4163E"/>
    <w:rsid w:val="00D41751"/>
    <w:rsid w:val="00D41B21"/>
    <w:rsid w:val="00D41B66"/>
    <w:rsid w:val="00D41BBF"/>
    <w:rsid w:val="00D41DC9"/>
    <w:rsid w:val="00D42D8E"/>
    <w:rsid w:val="00D43262"/>
    <w:rsid w:val="00D43675"/>
    <w:rsid w:val="00D43835"/>
    <w:rsid w:val="00D43A4E"/>
    <w:rsid w:val="00D43AD3"/>
    <w:rsid w:val="00D43B9E"/>
    <w:rsid w:val="00D43F6C"/>
    <w:rsid w:val="00D44154"/>
    <w:rsid w:val="00D44D1C"/>
    <w:rsid w:val="00D44E75"/>
    <w:rsid w:val="00D45354"/>
    <w:rsid w:val="00D455DD"/>
    <w:rsid w:val="00D455FA"/>
    <w:rsid w:val="00D45802"/>
    <w:rsid w:val="00D45CA7"/>
    <w:rsid w:val="00D46045"/>
    <w:rsid w:val="00D4610B"/>
    <w:rsid w:val="00D461A2"/>
    <w:rsid w:val="00D46263"/>
    <w:rsid w:val="00D4628A"/>
    <w:rsid w:val="00D4665B"/>
    <w:rsid w:val="00D46970"/>
    <w:rsid w:val="00D46A1F"/>
    <w:rsid w:val="00D46B2C"/>
    <w:rsid w:val="00D46CEA"/>
    <w:rsid w:val="00D46E22"/>
    <w:rsid w:val="00D46E48"/>
    <w:rsid w:val="00D46EBE"/>
    <w:rsid w:val="00D471E9"/>
    <w:rsid w:val="00D4750B"/>
    <w:rsid w:val="00D47537"/>
    <w:rsid w:val="00D47A8E"/>
    <w:rsid w:val="00D47E7A"/>
    <w:rsid w:val="00D5022E"/>
    <w:rsid w:val="00D506C4"/>
    <w:rsid w:val="00D50823"/>
    <w:rsid w:val="00D50CC0"/>
    <w:rsid w:val="00D50CE1"/>
    <w:rsid w:val="00D50CF0"/>
    <w:rsid w:val="00D50D9E"/>
    <w:rsid w:val="00D50E69"/>
    <w:rsid w:val="00D51633"/>
    <w:rsid w:val="00D51F61"/>
    <w:rsid w:val="00D52474"/>
    <w:rsid w:val="00D524E7"/>
    <w:rsid w:val="00D52D14"/>
    <w:rsid w:val="00D52D7B"/>
    <w:rsid w:val="00D52EDC"/>
    <w:rsid w:val="00D52F9C"/>
    <w:rsid w:val="00D531E3"/>
    <w:rsid w:val="00D532F7"/>
    <w:rsid w:val="00D534C7"/>
    <w:rsid w:val="00D538AD"/>
    <w:rsid w:val="00D5390E"/>
    <w:rsid w:val="00D53AA8"/>
    <w:rsid w:val="00D53D62"/>
    <w:rsid w:val="00D541CC"/>
    <w:rsid w:val="00D543A9"/>
    <w:rsid w:val="00D54451"/>
    <w:rsid w:val="00D5477A"/>
    <w:rsid w:val="00D550AF"/>
    <w:rsid w:val="00D5519A"/>
    <w:rsid w:val="00D553E1"/>
    <w:rsid w:val="00D557EC"/>
    <w:rsid w:val="00D55A37"/>
    <w:rsid w:val="00D55BB5"/>
    <w:rsid w:val="00D562DC"/>
    <w:rsid w:val="00D5671A"/>
    <w:rsid w:val="00D56BFB"/>
    <w:rsid w:val="00D57276"/>
    <w:rsid w:val="00D5747F"/>
    <w:rsid w:val="00D5755B"/>
    <w:rsid w:val="00D57732"/>
    <w:rsid w:val="00D57CC6"/>
    <w:rsid w:val="00D57E70"/>
    <w:rsid w:val="00D6022F"/>
    <w:rsid w:val="00D60299"/>
    <w:rsid w:val="00D603D4"/>
    <w:rsid w:val="00D607FA"/>
    <w:rsid w:val="00D60CA1"/>
    <w:rsid w:val="00D60F3A"/>
    <w:rsid w:val="00D612F9"/>
    <w:rsid w:val="00D616FB"/>
    <w:rsid w:val="00D61CF7"/>
    <w:rsid w:val="00D6214E"/>
    <w:rsid w:val="00D62720"/>
    <w:rsid w:val="00D628CB"/>
    <w:rsid w:val="00D62D3D"/>
    <w:rsid w:val="00D62EE3"/>
    <w:rsid w:val="00D6322D"/>
    <w:rsid w:val="00D63D41"/>
    <w:rsid w:val="00D63EBC"/>
    <w:rsid w:val="00D6401D"/>
    <w:rsid w:val="00D64185"/>
    <w:rsid w:val="00D64A85"/>
    <w:rsid w:val="00D652B5"/>
    <w:rsid w:val="00D65495"/>
    <w:rsid w:val="00D65A02"/>
    <w:rsid w:val="00D65F09"/>
    <w:rsid w:val="00D65F25"/>
    <w:rsid w:val="00D661BB"/>
    <w:rsid w:val="00D66395"/>
    <w:rsid w:val="00D66426"/>
    <w:rsid w:val="00D664FC"/>
    <w:rsid w:val="00D66684"/>
    <w:rsid w:val="00D66A14"/>
    <w:rsid w:val="00D66B72"/>
    <w:rsid w:val="00D670D4"/>
    <w:rsid w:val="00D67255"/>
    <w:rsid w:val="00D67780"/>
    <w:rsid w:val="00D6785E"/>
    <w:rsid w:val="00D67B63"/>
    <w:rsid w:val="00D67CC4"/>
    <w:rsid w:val="00D7001D"/>
    <w:rsid w:val="00D70810"/>
    <w:rsid w:val="00D70C8B"/>
    <w:rsid w:val="00D712D3"/>
    <w:rsid w:val="00D7130B"/>
    <w:rsid w:val="00D71422"/>
    <w:rsid w:val="00D7151E"/>
    <w:rsid w:val="00D71A72"/>
    <w:rsid w:val="00D7200F"/>
    <w:rsid w:val="00D724ED"/>
    <w:rsid w:val="00D7257D"/>
    <w:rsid w:val="00D72582"/>
    <w:rsid w:val="00D72716"/>
    <w:rsid w:val="00D7282B"/>
    <w:rsid w:val="00D728F8"/>
    <w:rsid w:val="00D72DC6"/>
    <w:rsid w:val="00D73102"/>
    <w:rsid w:val="00D7337D"/>
    <w:rsid w:val="00D73420"/>
    <w:rsid w:val="00D73451"/>
    <w:rsid w:val="00D737C1"/>
    <w:rsid w:val="00D73BE4"/>
    <w:rsid w:val="00D7401B"/>
    <w:rsid w:val="00D7431C"/>
    <w:rsid w:val="00D7451B"/>
    <w:rsid w:val="00D74BA2"/>
    <w:rsid w:val="00D74D79"/>
    <w:rsid w:val="00D7519B"/>
    <w:rsid w:val="00D752E8"/>
    <w:rsid w:val="00D754E1"/>
    <w:rsid w:val="00D7558D"/>
    <w:rsid w:val="00D758B9"/>
    <w:rsid w:val="00D75996"/>
    <w:rsid w:val="00D75997"/>
    <w:rsid w:val="00D75E0D"/>
    <w:rsid w:val="00D75E7C"/>
    <w:rsid w:val="00D7603D"/>
    <w:rsid w:val="00D7609D"/>
    <w:rsid w:val="00D76222"/>
    <w:rsid w:val="00D76409"/>
    <w:rsid w:val="00D767FC"/>
    <w:rsid w:val="00D7682C"/>
    <w:rsid w:val="00D7684D"/>
    <w:rsid w:val="00D76B90"/>
    <w:rsid w:val="00D76DC1"/>
    <w:rsid w:val="00D76E90"/>
    <w:rsid w:val="00D77087"/>
    <w:rsid w:val="00D7724D"/>
    <w:rsid w:val="00D77660"/>
    <w:rsid w:val="00D77E3E"/>
    <w:rsid w:val="00D80192"/>
    <w:rsid w:val="00D80196"/>
    <w:rsid w:val="00D803E6"/>
    <w:rsid w:val="00D80452"/>
    <w:rsid w:val="00D80A28"/>
    <w:rsid w:val="00D80B10"/>
    <w:rsid w:val="00D80BAC"/>
    <w:rsid w:val="00D810A9"/>
    <w:rsid w:val="00D810EB"/>
    <w:rsid w:val="00D812CF"/>
    <w:rsid w:val="00D81D92"/>
    <w:rsid w:val="00D81DB1"/>
    <w:rsid w:val="00D8270C"/>
    <w:rsid w:val="00D828B3"/>
    <w:rsid w:val="00D8295A"/>
    <w:rsid w:val="00D82C41"/>
    <w:rsid w:val="00D82F57"/>
    <w:rsid w:val="00D82F90"/>
    <w:rsid w:val="00D83270"/>
    <w:rsid w:val="00D832DD"/>
    <w:rsid w:val="00D83493"/>
    <w:rsid w:val="00D834FD"/>
    <w:rsid w:val="00D83533"/>
    <w:rsid w:val="00D83D0E"/>
    <w:rsid w:val="00D84457"/>
    <w:rsid w:val="00D8456A"/>
    <w:rsid w:val="00D8460F"/>
    <w:rsid w:val="00D8463B"/>
    <w:rsid w:val="00D84B05"/>
    <w:rsid w:val="00D84F1F"/>
    <w:rsid w:val="00D850AC"/>
    <w:rsid w:val="00D85115"/>
    <w:rsid w:val="00D85295"/>
    <w:rsid w:val="00D85638"/>
    <w:rsid w:val="00D85731"/>
    <w:rsid w:val="00D85874"/>
    <w:rsid w:val="00D858B7"/>
    <w:rsid w:val="00D85BCD"/>
    <w:rsid w:val="00D85D3C"/>
    <w:rsid w:val="00D85EAB"/>
    <w:rsid w:val="00D85EF7"/>
    <w:rsid w:val="00D860DF"/>
    <w:rsid w:val="00D86479"/>
    <w:rsid w:val="00D868E2"/>
    <w:rsid w:val="00D86926"/>
    <w:rsid w:val="00D86A15"/>
    <w:rsid w:val="00D86B6A"/>
    <w:rsid w:val="00D86B70"/>
    <w:rsid w:val="00D86C32"/>
    <w:rsid w:val="00D86C80"/>
    <w:rsid w:val="00D871DD"/>
    <w:rsid w:val="00D87369"/>
    <w:rsid w:val="00D8739D"/>
    <w:rsid w:val="00D873CB"/>
    <w:rsid w:val="00D87607"/>
    <w:rsid w:val="00D878B9"/>
    <w:rsid w:val="00D87BF1"/>
    <w:rsid w:val="00D900B7"/>
    <w:rsid w:val="00D90284"/>
    <w:rsid w:val="00D90291"/>
    <w:rsid w:val="00D906E2"/>
    <w:rsid w:val="00D906FD"/>
    <w:rsid w:val="00D90CDF"/>
    <w:rsid w:val="00D91193"/>
    <w:rsid w:val="00D91266"/>
    <w:rsid w:val="00D912E1"/>
    <w:rsid w:val="00D914A2"/>
    <w:rsid w:val="00D917CF"/>
    <w:rsid w:val="00D91882"/>
    <w:rsid w:val="00D91BCE"/>
    <w:rsid w:val="00D91DF1"/>
    <w:rsid w:val="00D91F0B"/>
    <w:rsid w:val="00D9245F"/>
    <w:rsid w:val="00D92701"/>
    <w:rsid w:val="00D927A3"/>
    <w:rsid w:val="00D928B6"/>
    <w:rsid w:val="00D9291F"/>
    <w:rsid w:val="00D92961"/>
    <w:rsid w:val="00D92C49"/>
    <w:rsid w:val="00D92CC8"/>
    <w:rsid w:val="00D92D6D"/>
    <w:rsid w:val="00D9324C"/>
    <w:rsid w:val="00D938BF"/>
    <w:rsid w:val="00D93ACB"/>
    <w:rsid w:val="00D9413C"/>
    <w:rsid w:val="00D94765"/>
    <w:rsid w:val="00D9479F"/>
    <w:rsid w:val="00D94887"/>
    <w:rsid w:val="00D94A3B"/>
    <w:rsid w:val="00D95628"/>
    <w:rsid w:val="00D956C3"/>
    <w:rsid w:val="00D957DD"/>
    <w:rsid w:val="00D95A66"/>
    <w:rsid w:val="00D95CAC"/>
    <w:rsid w:val="00D95FB0"/>
    <w:rsid w:val="00D96050"/>
    <w:rsid w:val="00D961AB"/>
    <w:rsid w:val="00D96436"/>
    <w:rsid w:val="00D96480"/>
    <w:rsid w:val="00D967D0"/>
    <w:rsid w:val="00D96E10"/>
    <w:rsid w:val="00D96E4F"/>
    <w:rsid w:val="00D9739F"/>
    <w:rsid w:val="00D97446"/>
    <w:rsid w:val="00D974F6"/>
    <w:rsid w:val="00D9757F"/>
    <w:rsid w:val="00D9763D"/>
    <w:rsid w:val="00D9793C"/>
    <w:rsid w:val="00D97B6E"/>
    <w:rsid w:val="00D97C62"/>
    <w:rsid w:val="00DA05DA"/>
    <w:rsid w:val="00DA080E"/>
    <w:rsid w:val="00DA0ACA"/>
    <w:rsid w:val="00DA0B90"/>
    <w:rsid w:val="00DA0CF1"/>
    <w:rsid w:val="00DA11C9"/>
    <w:rsid w:val="00DA1224"/>
    <w:rsid w:val="00DA1276"/>
    <w:rsid w:val="00DA138B"/>
    <w:rsid w:val="00DA14C4"/>
    <w:rsid w:val="00DA14C8"/>
    <w:rsid w:val="00DA14E2"/>
    <w:rsid w:val="00DA1707"/>
    <w:rsid w:val="00DA1993"/>
    <w:rsid w:val="00DA2039"/>
    <w:rsid w:val="00DA203D"/>
    <w:rsid w:val="00DA2351"/>
    <w:rsid w:val="00DA264A"/>
    <w:rsid w:val="00DA2675"/>
    <w:rsid w:val="00DA2C92"/>
    <w:rsid w:val="00DA326B"/>
    <w:rsid w:val="00DA380D"/>
    <w:rsid w:val="00DA391E"/>
    <w:rsid w:val="00DA4062"/>
    <w:rsid w:val="00DA4162"/>
    <w:rsid w:val="00DA4372"/>
    <w:rsid w:val="00DA451E"/>
    <w:rsid w:val="00DA4592"/>
    <w:rsid w:val="00DA59AB"/>
    <w:rsid w:val="00DA5B57"/>
    <w:rsid w:val="00DA5F7B"/>
    <w:rsid w:val="00DA5F80"/>
    <w:rsid w:val="00DA5FD7"/>
    <w:rsid w:val="00DA6AB0"/>
    <w:rsid w:val="00DA6D54"/>
    <w:rsid w:val="00DA7111"/>
    <w:rsid w:val="00DA7B5F"/>
    <w:rsid w:val="00DA7BF2"/>
    <w:rsid w:val="00DA7E3F"/>
    <w:rsid w:val="00DA7EE8"/>
    <w:rsid w:val="00DB0010"/>
    <w:rsid w:val="00DB00A0"/>
    <w:rsid w:val="00DB0A25"/>
    <w:rsid w:val="00DB0D85"/>
    <w:rsid w:val="00DB11C3"/>
    <w:rsid w:val="00DB1255"/>
    <w:rsid w:val="00DB1335"/>
    <w:rsid w:val="00DB13F3"/>
    <w:rsid w:val="00DB14AA"/>
    <w:rsid w:val="00DB1657"/>
    <w:rsid w:val="00DB1767"/>
    <w:rsid w:val="00DB1843"/>
    <w:rsid w:val="00DB22F3"/>
    <w:rsid w:val="00DB2856"/>
    <w:rsid w:val="00DB29D2"/>
    <w:rsid w:val="00DB2B1A"/>
    <w:rsid w:val="00DB32E8"/>
    <w:rsid w:val="00DB330D"/>
    <w:rsid w:val="00DB3618"/>
    <w:rsid w:val="00DB397C"/>
    <w:rsid w:val="00DB3C3F"/>
    <w:rsid w:val="00DB4292"/>
    <w:rsid w:val="00DB4904"/>
    <w:rsid w:val="00DB4CE5"/>
    <w:rsid w:val="00DB50A5"/>
    <w:rsid w:val="00DB5635"/>
    <w:rsid w:val="00DB567E"/>
    <w:rsid w:val="00DB5A76"/>
    <w:rsid w:val="00DB5BF0"/>
    <w:rsid w:val="00DB5C1D"/>
    <w:rsid w:val="00DB6648"/>
    <w:rsid w:val="00DB6960"/>
    <w:rsid w:val="00DB69E7"/>
    <w:rsid w:val="00DB6BC5"/>
    <w:rsid w:val="00DB6CA2"/>
    <w:rsid w:val="00DB6DCC"/>
    <w:rsid w:val="00DB76E2"/>
    <w:rsid w:val="00DB7AEB"/>
    <w:rsid w:val="00DB7BC2"/>
    <w:rsid w:val="00DB7CD5"/>
    <w:rsid w:val="00DC0183"/>
    <w:rsid w:val="00DC01D2"/>
    <w:rsid w:val="00DC0482"/>
    <w:rsid w:val="00DC0551"/>
    <w:rsid w:val="00DC05B8"/>
    <w:rsid w:val="00DC0767"/>
    <w:rsid w:val="00DC0A3C"/>
    <w:rsid w:val="00DC0D80"/>
    <w:rsid w:val="00DC0DE3"/>
    <w:rsid w:val="00DC11E7"/>
    <w:rsid w:val="00DC140D"/>
    <w:rsid w:val="00DC1580"/>
    <w:rsid w:val="00DC166C"/>
    <w:rsid w:val="00DC1A2E"/>
    <w:rsid w:val="00DC1D18"/>
    <w:rsid w:val="00DC1E9C"/>
    <w:rsid w:val="00DC2B87"/>
    <w:rsid w:val="00DC2C10"/>
    <w:rsid w:val="00DC32D8"/>
    <w:rsid w:val="00DC337C"/>
    <w:rsid w:val="00DC3564"/>
    <w:rsid w:val="00DC3942"/>
    <w:rsid w:val="00DC3981"/>
    <w:rsid w:val="00DC3B33"/>
    <w:rsid w:val="00DC409A"/>
    <w:rsid w:val="00DC4351"/>
    <w:rsid w:val="00DC435F"/>
    <w:rsid w:val="00DC499C"/>
    <w:rsid w:val="00DC4DB4"/>
    <w:rsid w:val="00DC51DD"/>
    <w:rsid w:val="00DC51F6"/>
    <w:rsid w:val="00DC5A67"/>
    <w:rsid w:val="00DC5B0D"/>
    <w:rsid w:val="00DC5C29"/>
    <w:rsid w:val="00DC6095"/>
    <w:rsid w:val="00DC6180"/>
    <w:rsid w:val="00DC61E2"/>
    <w:rsid w:val="00DC61EE"/>
    <w:rsid w:val="00DC6667"/>
    <w:rsid w:val="00DC672D"/>
    <w:rsid w:val="00DC6783"/>
    <w:rsid w:val="00DC67B2"/>
    <w:rsid w:val="00DC6884"/>
    <w:rsid w:val="00DC6B69"/>
    <w:rsid w:val="00DC6F0A"/>
    <w:rsid w:val="00DC6F6C"/>
    <w:rsid w:val="00DC6F7C"/>
    <w:rsid w:val="00DC7023"/>
    <w:rsid w:val="00DC7355"/>
    <w:rsid w:val="00DC74E5"/>
    <w:rsid w:val="00DC769A"/>
    <w:rsid w:val="00DC7BAF"/>
    <w:rsid w:val="00DC7E66"/>
    <w:rsid w:val="00DD018B"/>
    <w:rsid w:val="00DD063E"/>
    <w:rsid w:val="00DD0888"/>
    <w:rsid w:val="00DD0BBA"/>
    <w:rsid w:val="00DD0E82"/>
    <w:rsid w:val="00DD1443"/>
    <w:rsid w:val="00DD2142"/>
    <w:rsid w:val="00DD237C"/>
    <w:rsid w:val="00DD2396"/>
    <w:rsid w:val="00DD24ED"/>
    <w:rsid w:val="00DD256F"/>
    <w:rsid w:val="00DD298A"/>
    <w:rsid w:val="00DD2EC0"/>
    <w:rsid w:val="00DD31F9"/>
    <w:rsid w:val="00DD32A8"/>
    <w:rsid w:val="00DD3BC4"/>
    <w:rsid w:val="00DD3D86"/>
    <w:rsid w:val="00DD3E65"/>
    <w:rsid w:val="00DD3EF7"/>
    <w:rsid w:val="00DD410F"/>
    <w:rsid w:val="00DD4387"/>
    <w:rsid w:val="00DD4712"/>
    <w:rsid w:val="00DD497E"/>
    <w:rsid w:val="00DD49CF"/>
    <w:rsid w:val="00DD4BD2"/>
    <w:rsid w:val="00DD4C4D"/>
    <w:rsid w:val="00DD4CA8"/>
    <w:rsid w:val="00DD4D63"/>
    <w:rsid w:val="00DD4E5F"/>
    <w:rsid w:val="00DD515F"/>
    <w:rsid w:val="00DD59FB"/>
    <w:rsid w:val="00DD5B44"/>
    <w:rsid w:val="00DD5BBB"/>
    <w:rsid w:val="00DD5F5E"/>
    <w:rsid w:val="00DD65CF"/>
    <w:rsid w:val="00DD684B"/>
    <w:rsid w:val="00DD686E"/>
    <w:rsid w:val="00DD6B98"/>
    <w:rsid w:val="00DD6BA1"/>
    <w:rsid w:val="00DD6D14"/>
    <w:rsid w:val="00DD6D40"/>
    <w:rsid w:val="00DD6D92"/>
    <w:rsid w:val="00DD6F74"/>
    <w:rsid w:val="00DD70A5"/>
    <w:rsid w:val="00DD70D2"/>
    <w:rsid w:val="00DE02F3"/>
    <w:rsid w:val="00DE0367"/>
    <w:rsid w:val="00DE067B"/>
    <w:rsid w:val="00DE07D2"/>
    <w:rsid w:val="00DE07E4"/>
    <w:rsid w:val="00DE09A1"/>
    <w:rsid w:val="00DE09A5"/>
    <w:rsid w:val="00DE0A59"/>
    <w:rsid w:val="00DE1353"/>
    <w:rsid w:val="00DE14A4"/>
    <w:rsid w:val="00DE18AE"/>
    <w:rsid w:val="00DE19C3"/>
    <w:rsid w:val="00DE1ECE"/>
    <w:rsid w:val="00DE21FB"/>
    <w:rsid w:val="00DE2229"/>
    <w:rsid w:val="00DE2387"/>
    <w:rsid w:val="00DE238D"/>
    <w:rsid w:val="00DE2535"/>
    <w:rsid w:val="00DE26A0"/>
    <w:rsid w:val="00DE2805"/>
    <w:rsid w:val="00DE28F4"/>
    <w:rsid w:val="00DE2A16"/>
    <w:rsid w:val="00DE2B80"/>
    <w:rsid w:val="00DE2B9E"/>
    <w:rsid w:val="00DE2DAB"/>
    <w:rsid w:val="00DE2DCE"/>
    <w:rsid w:val="00DE30FA"/>
    <w:rsid w:val="00DE3193"/>
    <w:rsid w:val="00DE3395"/>
    <w:rsid w:val="00DE3B9B"/>
    <w:rsid w:val="00DE442D"/>
    <w:rsid w:val="00DE449B"/>
    <w:rsid w:val="00DE479C"/>
    <w:rsid w:val="00DE488D"/>
    <w:rsid w:val="00DE4C67"/>
    <w:rsid w:val="00DE4D69"/>
    <w:rsid w:val="00DE4EC3"/>
    <w:rsid w:val="00DE54C6"/>
    <w:rsid w:val="00DE56F7"/>
    <w:rsid w:val="00DE610F"/>
    <w:rsid w:val="00DE6483"/>
    <w:rsid w:val="00DE6CA6"/>
    <w:rsid w:val="00DE6F11"/>
    <w:rsid w:val="00DE70AC"/>
    <w:rsid w:val="00DE710B"/>
    <w:rsid w:val="00DE7267"/>
    <w:rsid w:val="00DE7423"/>
    <w:rsid w:val="00DE77CF"/>
    <w:rsid w:val="00DE792A"/>
    <w:rsid w:val="00DE7BCF"/>
    <w:rsid w:val="00DF01D3"/>
    <w:rsid w:val="00DF05E8"/>
    <w:rsid w:val="00DF077E"/>
    <w:rsid w:val="00DF087C"/>
    <w:rsid w:val="00DF0C1C"/>
    <w:rsid w:val="00DF0D34"/>
    <w:rsid w:val="00DF0F2C"/>
    <w:rsid w:val="00DF0FC5"/>
    <w:rsid w:val="00DF1593"/>
    <w:rsid w:val="00DF1B2F"/>
    <w:rsid w:val="00DF1B4B"/>
    <w:rsid w:val="00DF1BCE"/>
    <w:rsid w:val="00DF200D"/>
    <w:rsid w:val="00DF203B"/>
    <w:rsid w:val="00DF22C9"/>
    <w:rsid w:val="00DF26AA"/>
    <w:rsid w:val="00DF2C04"/>
    <w:rsid w:val="00DF2CDA"/>
    <w:rsid w:val="00DF2D7E"/>
    <w:rsid w:val="00DF2EBC"/>
    <w:rsid w:val="00DF30DA"/>
    <w:rsid w:val="00DF332F"/>
    <w:rsid w:val="00DF36A5"/>
    <w:rsid w:val="00DF39A9"/>
    <w:rsid w:val="00DF3BCF"/>
    <w:rsid w:val="00DF40D4"/>
    <w:rsid w:val="00DF41C7"/>
    <w:rsid w:val="00DF43B8"/>
    <w:rsid w:val="00DF43CA"/>
    <w:rsid w:val="00DF4976"/>
    <w:rsid w:val="00DF4BDC"/>
    <w:rsid w:val="00DF4C06"/>
    <w:rsid w:val="00DF4DC3"/>
    <w:rsid w:val="00DF4E47"/>
    <w:rsid w:val="00DF4E8E"/>
    <w:rsid w:val="00DF4FA5"/>
    <w:rsid w:val="00DF51BD"/>
    <w:rsid w:val="00DF52DC"/>
    <w:rsid w:val="00DF54E8"/>
    <w:rsid w:val="00DF5591"/>
    <w:rsid w:val="00DF5598"/>
    <w:rsid w:val="00DF55E9"/>
    <w:rsid w:val="00DF5814"/>
    <w:rsid w:val="00DF584F"/>
    <w:rsid w:val="00DF5850"/>
    <w:rsid w:val="00DF5AA4"/>
    <w:rsid w:val="00DF5D4F"/>
    <w:rsid w:val="00DF5E7D"/>
    <w:rsid w:val="00DF6137"/>
    <w:rsid w:val="00DF6243"/>
    <w:rsid w:val="00DF640C"/>
    <w:rsid w:val="00DF6541"/>
    <w:rsid w:val="00DF69CF"/>
    <w:rsid w:val="00DF6BE3"/>
    <w:rsid w:val="00DF6D65"/>
    <w:rsid w:val="00DF6EE0"/>
    <w:rsid w:val="00DF7034"/>
    <w:rsid w:val="00DF70B7"/>
    <w:rsid w:val="00DF7380"/>
    <w:rsid w:val="00DF7740"/>
    <w:rsid w:val="00E0018F"/>
    <w:rsid w:val="00E00575"/>
    <w:rsid w:val="00E0068F"/>
    <w:rsid w:val="00E007B6"/>
    <w:rsid w:val="00E00943"/>
    <w:rsid w:val="00E00BED"/>
    <w:rsid w:val="00E00E8B"/>
    <w:rsid w:val="00E01699"/>
    <w:rsid w:val="00E017C6"/>
    <w:rsid w:val="00E01F68"/>
    <w:rsid w:val="00E0215A"/>
    <w:rsid w:val="00E0225F"/>
    <w:rsid w:val="00E0238B"/>
    <w:rsid w:val="00E025B6"/>
    <w:rsid w:val="00E02802"/>
    <w:rsid w:val="00E02D81"/>
    <w:rsid w:val="00E02F88"/>
    <w:rsid w:val="00E03197"/>
    <w:rsid w:val="00E0340B"/>
    <w:rsid w:val="00E03501"/>
    <w:rsid w:val="00E03579"/>
    <w:rsid w:val="00E03835"/>
    <w:rsid w:val="00E03899"/>
    <w:rsid w:val="00E038C5"/>
    <w:rsid w:val="00E03C99"/>
    <w:rsid w:val="00E03D10"/>
    <w:rsid w:val="00E03FB1"/>
    <w:rsid w:val="00E0434E"/>
    <w:rsid w:val="00E0459B"/>
    <w:rsid w:val="00E04626"/>
    <w:rsid w:val="00E0487F"/>
    <w:rsid w:val="00E04B90"/>
    <w:rsid w:val="00E050D2"/>
    <w:rsid w:val="00E05117"/>
    <w:rsid w:val="00E05283"/>
    <w:rsid w:val="00E0542D"/>
    <w:rsid w:val="00E054BE"/>
    <w:rsid w:val="00E05590"/>
    <w:rsid w:val="00E057FC"/>
    <w:rsid w:val="00E05839"/>
    <w:rsid w:val="00E05963"/>
    <w:rsid w:val="00E05B00"/>
    <w:rsid w:val="00E05BD9"/>
    <w:rsid w:val="00E05DD4"/>
    <w:rsid w:val="00E063B5"/>
    <w:rsid w:val="00E06457"/>
    <w:rsid w:val="00E06482"/>
    <w:rsid w:val="00E06900"/>
    <w:rsid w:val="00E06907"/>
    <w:rsid w:val="00E07283"/>
    <w:rsid w:val="00E073AA"/>
    <w:rsid w:val="00E07432"/>
    <w:rsid w:val="00E07651"/>
    <w:rsid w:val="00E07921"/>
    <w:rsid w:val="00E07A00"/>
    <w:rsid w:val="00E07BDD"/>
    <w:rsid w:val="00E07C8F"/>
    <w:rsid w:val="00E07E15"/>
    <w:rsid w:val="00E07E9F"/>
    <w:rsid w:val="00E07F44"/>
    <w:rsid w:val="00E07FFB"/>
    <w:rsid w:val="00E100AC"/>
    <w:rsid w:val="00E100F6"/>
    <w:rsid w:val="00E10211"/>
    <w:rsid w:val="00E10888"/>
    <w:rsid w:val="00E10B87"/>
    <w:rsid w:val="00E11263"/>
    <w:rsid w:val="00E113FD"/>
    <w:rsid w:val="00E11C7C"/>
    <w:rsid w:val="00E11EFC"/>
    <w:rsid w:val="00E12008"/>
    <w:rsid w:val="00E121A5"/>
    <w:rsid w:val="00E124D4"/>
    <w:rsid w:val="00E129DA"/>
    <w:rsid w:val="00E12D6E"/>
    <w:rsid w:val="00E12FA4"/>
    <w:rsid w:val="00E132E4"/>
    <w:rsid w:val="00E134C8"/>
    <w:rsid w:val="00E1365D"/>
    <w:rsid w:val="00E137B9"/>
    <w:rsid w:val="00E138AA"/>
    <w:rsid w:val="00E138C0"/>
    <w:rsid w:val="00E13C6A"/>
    <w:rsid w:val="00E13D83"/>
    <w:rsid w:val="00E13F90"/>
    <w:rsid w:val="00E140CF"/>
    <w:rsid w:val="00E14556"/>
    <w:rsid w:val="00E14A07"/>
    <w:rsid w:val="00E14C31"/>
    <w:rsid w:val="00E14F9B"/>
    <w:rsid w:val="00E150F2"/>
    <w:rsid w:val="00E15153"/>
    <w:rsid w:val="00E152A0"/>
    <w:rsid w:val="00E1541F"/>
    <w:rsid w:val="00E15E74"/>
    <w:rsid w:val="00E161B6"/>
    <w:rsid w:val="00E166A0"/>
    <w:rsid w:val="00E168F4"/>
    <w:rsid w:val="00E16A50"/>
    <w:rsid w:val="00E16C12"/>
    <w:rsid w:val="00E16C4B"/>
    <w:rsid w:val="00E16D17"/>
    <w:rsid w:val="00E17B93"/>
    <w:rsid w:val="00E17EA4"/>
    <w:rsid w:val="00E204FA"/>
    <w:rsid w:val="00E20589"/>
    <w:rsid w:val="00E206A7"/>
    <w:rsid w:val="00E2087C"/>
    <w:rsid w:val="00E20985"/>
    <w:rsid w:val="00E209A8"/>
    <w:rsid w:val="00E20E99"/>
    <w:rsid w:val="00E20EBA"/>
    <w:rsid w:val="00E21558"/>
    <w:rsid w:val="00E2197C"/>
    <w:rsid w:val="00E219C7"/>
    <w:rsid w:val="00E21A2F"/>
    <w:rsid w:val="00E21D0C"/>
    <w:rsid w:val="00E21F0D"/>
    <w:rsid w:val="00E22213"/>
    <w:rsid w:val="00E2257A"/>
    <w:rsid w:val="00E2265D"/>
    <w:rsid w:val="00E226AD"/>
    <w:rsid w:val="00E229A6"/>
    <w:rsid w:val="00E22AFB"/>
    <w:rsid w:val="00E22D18"/>
    <w:rsid w:val="00E22EAD"/>
    <w:rsid w:val="00E22FD5"/>
    <w:rsid w:val="00E2332B"/>
    <w:rsid w:val="00E2335C"/>
    <w:rsid w:val="00E236F6"/>
    <w:rsid w:val="00E23818"/>
    <w:rsid w:val="00E23870"/>
    <w:rsid w:val="00E239AD"/>
    <w:rsid w:val="00E23E3D"/>
    <w:rsid w:val="00E23EAA"/>
    <w:rsid w:val="00E23FC1"/>
    <w:rsid w:val="00E24905"/>
    <w:rsid w:val="00E24C41"/>
    <w:rsid w:val="00E24E60"/>
    <w:rsid w:val="00E24EAC"/>
    <w:rsid w:val="00E25594"/>
    <w:rsid w:val="00E25617"/>
    <w:rsid w:val="00E256CB"/>
    <w:rsid w:val="00E25B14"/>
    <w:rsid w:val="00E25FD2"/>
    <w:rsid w:val="00E26C3D"/>
    <w:rsid w:val="00E26F09"/>
    <w:rsid w:val="00E26FA8"/>
    <w:rsid w:val="00E27024"/>
    <w:rsid w:val="00E2717A"/>
    <w:rsid w:val="00E2726E"/>
    <w:rsid w:val="00E276D7"/>
    <w:rsid w:val="00E27713"/>
    <w:rsid w:val="00E279A0"/>
    <w:rsid w:val="00E27C22"/>
    <w:rsid w:val="00E27E1F"/>
    <w:rsid w:val="00E27FBC"/>
    <w:rsid w:val="00E30410"/>
    <w:rsid w:val="00E30427"/>
    <w:rsid w:val="00E30B11"/>
    <w:rsid w:val="00E30B8F"/>
    <w:rsid w:val="00E30B91"/>
    <w:rsid w:val="00E31015"/>
    <w:rsid w:val="00E31199"/>
    <w:rsid w:val="00E3130F"/>
    <w:rsid w:val="00E31324"/>
    <w:rsid w:val="00E3162A"/>
    <w:rsid w:val="00E3177E"/>
    <w:rsid w:val="00E31AA3"/>
    <w:rsid w:val="00E31BCF"/>
    <w:rsid w:val="00E3229C"/>
    <w:rsid w:val="00E32549"/>
    <w:rsid w:val="00E3262D"/>
    <w:rsid w:val="00E3282D"/>
    <w:rsid w:val="00E32E6B"/>
    <w:rsid w:val="00E334EE"/>
    <w:rsid w:val="00E336DD"/>
    <w:rsid w:val="00E345CB"/>
    <w:rsid w:val="00E34862"/>
    <w:rsid w:val="00E34B4D"/>
    <w:rsid w:val="00E34B77"/>
    <w:rsid w:val="00E34E0F"/>
    <w:rsid w:val="00E34F06"/>
    <w:rsid w:val="00E34F67"/>
    <w:rsid w:val="00E34F86"/>
    <w:rsid w:val="00E3510C"/>
    <w:rsid w:val="00E352FD"/>
    <w:rsid w:val="00E35456"/>
    <w:rsid w:val="00E3569E"/>
    <w:rsid w:val="00E356FD"/>
    <w:rsid w:val="00E3598B"/>
    <w:rsid w:val="00E35C6A"/>
    <w:rsid w:val="00E35CA6"/>
    <w:rsid w:val="00E36321"/>
    <w:rsid w:val="00E3639C"/>
    <w:rsid w:val="00E3643F"/>
    <w:rsid w:val="00E36659"/>
    <w:rsid w:val="00E36709"/>
    <w:rsid w:val="00E36EA1"/>
    <w:rsid w:val="00E36EFF"/>
    <w:rsid w:val="00E36F31"/>
    <w:rsid w:val="00E370AD"/>
    <w:rsid w:val="00E370FE"/>
    <w:rsid w:val="00E3711F"/>
    <w:rsid w:val="00E37318"/>
    <w:rsid w:val="00E375F7"/>
    <w:rsid w:val="00E379FB"/>
    <w:rsid w:val="00E37D41"/>
    <w:rsid w:val="00E402DC"/>
    <w:rsid w:val="00E40449"/>
    <w:rsid w:val="00E404DA"/>
    <w:rsid w:val="00E40742"/>
    <w:rsid w:val="00E40EAA"/>
    <w:rsid w:val="00E4100A"/>
    <w:rsid w:val="00E41873"/>
    <w:rsid w:val="00E41A17"/>
    <w:rsid w:val="00E41AE4"/>
    <w:rsid w:val="00E41D6E"/>
    <w:rsid w:val="00E421BA"/>
    <w:rsid w:val="00E4227A"/>
    <w:rsid w:val="00E424EB"/>
    <w:rsid w:val="00E429E1"/>
    <w:rsid w:val="00E42BC5"/>
    <w:rsid w:val="00E42C57"/>
    <w:rsid w:val="00E42DC6"/>
    <w:rsid w:val="00E42F53"/>
    <w:rsid w:val="00E43157"/>
    <w:rsid w:val="00E43391"/>
    <w:rsid w:val="00E43532"/>
    <w:rsid w:val="00E435B7"/>
    <w:rsid w:val="00E438BC"/>
    <w:rsid w:val="00E43C7E"/>
    <w:rsid w:val="00E44029"/>
    <w:rsid w:val="00E4427A"/>
    <w:rsid w:val="00E442BF"/>
    <w:rsid w:val="00E442EF"/>
    <w:rsid w:val="00E443D8"/>
    <w:rsid w:val="00E44507"/>
    <w:rsid w:val="00E446E1"/>
    <w:rsid w:val="00E4495D"/>
    <w:rsid w:val="00E44A08"/>
    <w:rsid w:val="00E44F1B"/>
    <w:rsid w:val="00E44FB5"/>
    <w:rsid w:val="00E4564E"/>
    <w:rsid w:val="00E45D84"/>
    <w:rsid w:val="00E45E4A"/>
    <w:rsid w:val="00E461B1"/>
    <w:rsid w:val="00E461CE"/>
    <w:rsid w:val="00E461DF"/>
    <w:rsid w:val="00E4688F"/>
    <w:rsid w:val="00E46CFE"/>
    <w:rsid w:val="00E47085"/>
    <w:rsid w:val="00E47274"/>
    <w:rsid w:val="00E475CB"/>
    <w:rsid w:val="00E476A7"/>
    <w:rsid w:val="00E476F7"/>
    <w:rsid w:val="00E47DD5"/>
    <w:rsid w:val="00E47E60"/>
    <w:rsid w:val="00E5027C"/>
    <w:rsid w:val="00E502C3"/>
    <w:rsid w:val="00E50802"/>
    <w:rsid w:val="00E508DA"/>
    <w:rsid w:val="00E50985"/>
    <w:rsid w:val="00E5098A"/>
    <w:rsid w:val="00E509AD"/>
    <w:rsid w:val="00E50ACD"/>
    <w:rsid w:val="00E5111B"/>
    <w:rsid w:val="00E5125E"/>
    <w:rsid w:val="00E5178A"/>
    <w:rsid w:val="00E5183E"/>
    <w:rsid w:val="00E519B9"/>
    <w:rsid w:val="00E51B92"/>
    <w:rsid w:val="00E51F35"/>
    <w:rsid w:val="00E52120"/>
    <w:rsid w:val="00E52195"/>
    <w:rsid w:val="00E52778"/>
    <w:rsid w:val="00E52B0D"/>
    <w:rsid w:val="00E52B9C"/>
    <w:rsid w:val="00E532BF"/>
    <w:rsid w:val="00E53475"/>
    <w:rsid w:val="00E53522"/>
    <w:rsid w:val="00E53D1F"/>
    <w:rsid w:val="00E5464B"/>
    <w:rsid w:val="00E54667"/>
    <w:rsid w:val="00E5476A"/>
    <w:rsid w:val="00E549E8"/>
    <w:rsid w:val="00E54CF0"/>
    <w:rsid w:val="00E555A6"/>
    <w:rsid w:val="00E55C1E"/>
    <w:rsid w:val="00E55C9B"/>
    <w:rsid w:val="00E55EE9"/>
    <w:rsid w:val="00E56170"/>
    <w:rsid w:val="00E5630B"/>
    <w:rsid w:val="00E567D1"/>
    <w:rsid w:val="00E5697D"/>
    <w:rsid w:val="00E56AA3"/>
    <w:rsid w:val="00E56DC9"/>
    <w:rsid w:val="00E571A2"/>
    <w:rsid w:val="00E57390"/>
    <w:rsid w:val="00E577BB"/>
    <w:rsid w:val="00E57951"/>
    <w:rsid w:val="00E57D93"/>
    <w:rsid w:val="00E60177"/>
    <w:rsid w:val="00E6041E"/>
    <w:rsid w:val="00E6076F"/>
    <w:rsid w:val="00E6079F"/>
    <w:rsid w:val="00E60984"/>
    <w:rsid w:val="00E60DCD"/>
    <w:rsid w:val="00E60F11"/>
    <w:rsid w:val="00E611C5"/>
    <w:rsid w:val="00E6134B"/>
    <w:rsid w:val="00E6166A"/>
    <w:rsid w:val="00E61AF4"/>
    <w:rsid w:val="00E620D3"/>
    <w:rsid w:val="00E6236C"/>
    <w:rsid w:val="00E625E8"/>
    <w:rsid w:val="00E626A4"/>
    <w:rsid w:val="00E63181"/>
    <w:rsid w:val="00E6318B"/>
    <w:rsid w:val="00E632A1"/>
    <w:rsid w:val="00E633AE"/>
    <w:rsid w:val="00E6354B"/>
    <w:rsid w:val="00E6377D"/>
    <w:rsid w:val="00E638E9"/>
    <w:rsid w:val="00E63F00"/>
    <w:rsid w:val="00E63FB9"/>
    <w:rsid w:val="00E64439"/>
    <w:rsid w:val="00E64593"/>
    <w:rsid w:val="00E64C50"/>
    <w:rsid w:val="00E64E6F"/>
    <w:rsid w:val="00E64F6D"/>
    <w:rsid w:val="00E6503F"/>
    <w:rsid w:val="00E65121"/>
    <w:rsid w:val="00E6521A"/>
    <w:rsid w:val="00E65231"/>
    <w:rsid w:val="00E65686"/>
    <w:rsid w:val="00E6583F"/>
    <w:rsid w:val="00E65A0A"/>
    <w:rsid w:val="00E65D77"/>
    <w:rsid w:val="00E65E9D"/>
    <w:rsid w:val="00E65EEA"/>
    <w:rsid w:val="00E6608B"/>
    <w:rsid w:val="00E66401"/>
    <w:rsid w:val="00E666EC"/>
    <w:rsid w:val="00E66CA6"/>
    <w:rsid w:val="00E671D9"/>
    <w:rsid w:val="00E6751B"/>
    <w:rsid w:val="00E675D5"/>
    <w:rsid w:val="00E67C61"/>
    <w:rsid w:val="00E67D4F"/>
    <w:rsid w:val="00E67FE0"/>
    <w:rsid w:val="00E70489"/>
    <w:rsid w:val="00E7071E"/>
    <w:rsid w:val="00E709CE"/>
    <w:rsid w:val="00E70C6E"/>
    <w:rsid w:val="00E70DB4"/>
    <w:rsid w:val="00E7107C"/>
    <w:rsid w:val="00E711D2"/>
    <w:rsid w:val="00E71634"/>
    <w:rsid w:val="00E71846"/>
    <w:rsid w:val="00E7199C"/>
    <w:rsid w:val="00E71AC7"/>
    <w:rsid w:val="00E71D4F"/>
    <w:rsid w:val="00E720CA"/>
    <w:rsid w:val="00E722E2"/>
    <w:rsid w:val="00E725D4"/>
    <w:rsid w:val="00E72680"/>
    <w:rsid w:val="00E72705"/>
    <w:rsid w:val="00E72B00"/>
    <w:rsid w:val="00E72BF4"/>
    <w:rsid w:val="00E72D9C"/>
    <w:rsid w:val="00E72E14"/>
    <w:rsid w:val="00E73324"/>
    <w:rsid w:val="00E73DA2"/>
    <w:rsid w:val="00E73F34"/>
    <w:rsid w:val="00E741A4"/>
    <w:rsid w:val="00E741C9"/>
    <w:rsid w:val="00E74444"/>
    <w:rsid w:val="00E746DB"/>
    <w:rsid w:val="00E74D92"/>
    <w:rsid w:val="00E74DC8"/>
    <w:rsid w:val="00E751B6"/>
    <w:rsid w:val="00E751DA"/>
    <w:rsid w:val="00E751E0"/>
    <w:rsid w:val="00E752DD"/>
    <w:rsid w:val="00E75431"/>
    <w:rsid w:val="00E75980"/>
    <w:rsid w:val="00E75A4B"/>
    <w:rsid w:val="00E75C30"/>
    <w:rsid w:val="00E75CDA"/>
    <w:rsid w:val="00E761D6"/>
    <w:rsid w:val="00E763FB"/>
    <w:rsid w:val="00E767F0"/>
    <w:rsid w:val="00E76888"/>
    <w:rsid w:val="00E775F0"/>
    <w:rsid w:val="00E77728"/>
    <w:rsid w:val="00E77817"/>
    <w:rsid w:val="00E77DCE"/>
    <w:rsid w:val="00E77E37"/>
    <w:rsid w:val="00E802E4"/>
    <w:rsid w:val="00E8030C"/>
    <w:rsid w:val="00E8072F"/>
    <w:rsid w:val="00E80909"/>
    <w:rsid w:val="00E80D57"/>
    <w:rsid w:val="00E80E14"/>
    <w:rsid w:val="00E80FE4"/>
    <w:rsid w:val="00E810C5"/>
    <w:rsid w:val="00E816E4"/>
    <w:rsid w:val="00E81BF2"/>
    <w:rsid w:val="00E820D5"/>
    <w:rsid w:val="00E821A1"/>
    <w:rsid w:val="00E822A7"/>
    <w:rsid w:val="00E82893"/>
    <w:rsid w:val="00E829D7"/>
    <w:rsid w:val="00E82BA0"/>
    <w:rsid w:val="00E82BEE"/>
    <w:rsid w:val="00E82CCE"/>
    <w:rsid w:val="00E82DD9"/>
    <w:rsid w:val="00E830D2"/>
    <w:rsid w:val="00E8354B"/>
    <w:rsid w:val="00E83682"/>
    <w:rsid w:val="00E838BB"/>
    <w:rsid w:val="00E83BBD"/>
    <w:rsid w:val="00E83C3F"/>
    <w:rsid w:val="00E83F5C"/>
    <w:rsid w:val="00E840EE"/>
    <w:rsid w:val="00E841AF"/>
    <w:rsid w:val="00E84437"/>
    <w:rsid w:val="00E84727"/>
    <w:rsid w:val="00E849E5"/>
    <w:rsid w:val="00E84B42"/>
    <w:rsid w:val="00E84E07"/>
    <w:rsid w:val="00E84EB5"/>
    <w:rsid w:val="00E8505C"/>
    <w:rsid w:val="00E85662"/>
    <w:rsid w:val="00E85717"/>
    <w:rsid w:val="00E85865"/>
    <w:rsid w:val="00E8587C"/>
    <w:rsid w:val="00E85940"/>
    <w:rsid w:val="00E85A35"/>
    <w:rsid w:val="00E85B36"/>
    <w:rsid w:val="00E85BB1"/>
    <w:rsid w:val="00E8629D"/>
    <w:rsid w:val="00E8674F"/>
    <w:rsid w:val="00E86983"/>
    <w:rsid w:val="00E86A9C"/>
    <w:rsid w:val="00E86B98"/>
    <w:rsid w:val="00E8734C"/>
    <w:rsid w:val="00E8744A"/>
    <w:rsid w:val="00E876D9"/>
    <w:rsid w:val="00E877A1"/>
    <w:rsid w:val="00E8789F"/>
    <w:rsid w:val="00E900BE"/>
    <w:rsid w:val="00E90559"/>
    <w:rsid w:val="00E90613"/>
    <w:rsid w:val="00E9074C"/>
    <w:rsid w:val="00E90AEF"/>
    <w:rsid w:val="00E90B04"/>
    <w:rsid w:val="00E90BF7"/>
    <w:rsid w:val="00E90F6D"/>
    <w:rsid w:val="00E917E5"/>
    <w:rsid w:val="00E918FD"/>
    <w:rsid w:val="00E91A0A"/>
    <w:rsid w:val="00E91BB5"/>
    <w:rsid w:val="00E91BED"/>
    <w:rsid w:val="00E91CE8"/>
    <w:rsid w:val="00E91D64"/>
    <w:rsid w:val="00E91F27"/>
    <w:rsid w:val="00E91F29"/>
    <w:rsid w:val="00E92441"/>
    <w:rsid w:val="00E9247F"/>
    <w:rsid w:val="00E925A2"/>
    <w:rsid w:val="00E9272C"/>
    <w:rsid w:val="00E927F3"/>
    <w:rsid w:val="00E92AB0"/>
    <w:rsid w:val="00E92B0C"/>
    <w:rsid w:val="00E92C44"/>
    <w:rsid w:val="00E92CA6"/>
    <w:rsid w:val="00E931CF"/>
    <w:rsid w:val="00E9373C"/>
    <w:rsid w:val="00E93945"/>
    <w:rsid w:val="00E93954"/>
    <w:rsid w:val="00E93ACE"/>
    <w:rsid w:val="00E93FD8"/>
    <w:rsid w:val="00E943D5"/>
    <w:rsid w:val="00E94A36"/>
    <w:rsid w:val="00E950CD"/>
    <w:rsid w:val="00E9542C"/>
    <w:rsid w:val="00E956AB"/>
    <w:rsid w:val="00E956AD"/>
    <w:rsid w:val="00E95905"/>
    <w:rsid w:val="00E95C05"/>
    <w:rsid w:val="00E95EDC"/>
    <w:rsid w:val="00E960E0"/>
    <w:rsid w:val="00E960F8"/>
    <w:rsid w:val="00E967BC"/>
    <w:rsid w:val="00E967FF"/>
    <w:rsid w:val="00E96E07"/>
    <w:rsid w:val="00E96E1A"/>
    <w:rsid w:val="00E97A6C"/>
    <w:rsid w:val="00E97A79"/>
    <w:rsid w:val="00E97B71"/>
    <w:rsid w:val="00E97C19"/>
    <w:rsid w:val="00E97F29"/>
    <w:rsid w:val="00EA00A7"/>
    <w:rsid w:val="00EA030C"/>
    <w:rsid w:val="00EA058D"/>
    <w:rsid w:val="00EA0A0E"/>
    <w:rsid w:val="00EA0ACD"/>
    <w:rsid w:val="00EA0C4F"/>
    <w:rsid w:val="00EA10FA"/>
    <w:rsid w:val="00EA1360"/>
    <w:rsid w:val="00EA14B3"/>
    <w:rsid w:val="00EA16D3"/>
    <w:rsid w:val="00EA16FC"/>
    <w:rsid w:val="00EA193B"/>
    <w:rsid w:val="00EA1A04"/>
    <w:rsid w:val="00EA1BEE"/>
    <w:rsid w:val="00EA1C2A"/>
    <w:rsid w:val="00EA1CA1"/>
    <w:rsid w:val="00EA1E6E"/>
    <w:rsid w:val="00EA301B"/>
    <w:rsid w:val="00EA33E8"/>
    <w:rsid w:val="00EA3BB7"/>
    <w:rsid w:val="00EA3CC1"/>
    <w:rsid w:val="00EA3D34"/>
    <w:rsid w:val="00EA4447"/>
    <w:rsid w:val="00EA4459"/>
    <w:rsid w:val="00EA4585"/>
    <w:rsid w:val="00EA458C"/>
    <w:rsid w:val="00EA4702"/>
    <w:rsid w:val="00EA4730"/>
    <w:rsid w:val="00EA4837"/>
    <w:rsid w:val="00EA4865"/>
    <w:rsid w:val="00EA4B01"/>
    <w:rsid w:val="00EA4FFC"/>
    <w:rsid w:val="00EA5190"/>
    <w:rsid w:val="00EA53B4"/>
    <w:rsid w:val="00EA55F3"/>
    <w:rsid w:val="00EA59B1"/>
    <w:rsid w:val="00EA59BB"/>
    <w:rsid w:val="00EA5C48"/>
    <w:rsid w:val="00EA5D1F"/>
    <w:rsid w:val="00EA5DBC"/>
    <w:rsid w:val="00EA5E58"/>
    <w:rsid w:val="00EA609D"/>
    <w:rsid w:val="00EA640E"/>
    <w:rsid w:val="00EA68AD"/>
    <w:rsid w:val="00EA6B9C"/>
    <w:rsid w:val="00EA6BBB"/>
    <w:rsid w:val="00EA6E86"/>
    <w:rsid w:val="00EA71E0"/>
    <w:rsid w:val="00EA7416"/>
    <w:rsid w:val="00EA74FD"/>
    <w:rsid w:val="00EA79AB"/>
    <w:rsid w:val="00EA7DA0"/>
    <w:rsid w:val="00EA7DAD"/>
    <w:rsid w:val="00EB0009"/>
    <w:rsid w:val="00EB0237"/>
    <w:rsid w:val="00EB0584"/>
    <w:rsid w:val="00EB0A73"/>
    <w:rsid w:val="00EB0CC8"/>
    <w:rsid w:val="00EB0CE7"/>
    <w:rsid w:val="00EB0EBD"/>
    <w:rsid w:val="00EB1116"/>
    <w:rsid w:val="00EB1199"/>
    <w:rsid w:val="00EB1228"/>
    <w:rsid w:val="00EB1307"/>
    <w:rsid w:val="00EB1348"/>
    <w:rsid w:val="00EB151A"/>
    <w:rsid w:val="00EB17DA"/>
    <w:rsid w:val="00EB183A"/>
    <w:rsid w:val="00EB1949"/>
    <w:rsid w:val="00EB1FA6"/>
    <w:rsid w:val="00EB2252"/>
    <w:rsid w:val="00EB24A6"/>
    <w:rsid w:val="00EB24F9"/>
    <w:rsid w:val="00EB26D3"/>
    <w:rsid w:val="00EB2AC2"/>
    <w:rsid w:val="00EB2D76"/>
    <w:rsid w:val="00EB3019"/>
    <w:rsid w:val="00EB38D2"/>
    <w:rsid w:val="00EB3952"/>
    <w:rsid w:val="00EB39AE"/>
    <w:rsid w:val="00EB3E59"/>
    <w:rsid w:val="00EB3F5A"/>
    <w:rsid w:val="00EB408E"/>
    <w:rsid w:val="00EB413B"/>
    <w:rsid w:val="00EB454D"/>
    <w:rsid w:val="00EB473E"/>
    <w:rsid w:val="00EB492B"/>
    <w:rsid w:val="00EB496A"/>
    <w:rsid w:val="00EB4EF7"/>
    <w:rsid w:val="00EB521A"/>
    <w:rsid w:val="00EB576A"/>
    <w:rsid w:val="00EB60D2"/>
    <w:rsid w:val="00EB6159"/>
    <w:rsid w:val="00EB65F1"/>
    <w:rsid w:val="00EB6709"/>
    <w:rsid w:val="00EB68BD"/>
    <w:rsid w:val="00EB6964"/>
    <w:rsid w:val="00EB6BB4"/>
    <w:rsid w:val="00EB6DE1"/>
    <w:rsid w:val="00EB71A1"/>
    <w:rsid w:val="00EB720C"/>
    <w:rsid w:val="00EB7601"/>
    <w:rsid w:val="00EB7776"/>
    <w:rsid w:val="00EB7C0C"/>
    <w:rsid w:val="00EB7CCF"/>
    <w:rsid w:val="00EB7D08"/>
    <w:rsid w:val="00EC01D9"/>
    <w:rsid w:val="00EC07A3"/>
    <w:rsid w:val="00EC0B67"/>
    <w:rsid w:val="00EC1348"/>
    <w:rsid w:val="00EC250C"/>
    <w:rsid w:val="00EC25B8"/>
    <w:rsid w:val="00EC271E"/>
    <w:rsid w:val="00EC2A68"/>
    <w:rsid w:val="00EC2F58"/>
    <w:rsid w:val="00EC3420"/>
    <w:rsid w:val="00EC3939"/>
    <w:rsid w:val="00EC3B35"/>
    <w:rsid w:val="00EC3F5A"/>
    <w:rsid w:val="00EC456F"/>
    <w:rsid w:val="00EC46F5"/>
    <w:rsid w:val="00EC48FA"/>
    <w:rsid w:val="00EC4D70"/>
    <w:rsid w:val="00EC4DAF"/>
    <w:rsid w:val="00EC5171"/>
    <w:rsid w:val="00EC542B"/>
    <w:rsid w:val="00EC57CD"/>
    <w:rsid w:val="00EC57F1"/>
    <w:rsid w:val="00EC5871"/>
    <w:rsid w:val="00EC5AE5"/>
    <w:rsid w:val="00EC5C06"/>
    <w:rsid w:val="00EC5CB1"/>
    <w:rsid w:val="00EC5EC4"/>
    <w:rsid w:val="00EC5F21"/>
    <w:rsid w:val="00EC5FC9"/>
    <w:rsid w:val="00EC6131"/>
    <w:rsid w:val="00EC6162"/>
    <w:rsid w:val="00EC62FC"/>
    <w:rsid w:val="00EC64A6"/>
    <w:rsid w:val="00EC699E"/>
    <w:rsid w:val="00EC6C07"/>
    <w:rsid w:val="00EC6E83"/>
    <w:rsid w:val="00EC6FCD"/>
    <w:rsid w:val="00EC730A"/>
    <w:rsid w:val="00EC75CD"/>
    <w:rsid w:val="00EC7729"/>
    <w:rsid w:val="00EC7E71"/>
    <w:rsid w:val="00ED075D"/>
    <w:rsid w:val="00ED1109"/>
    <w:rsid w:val="00ED13EE"/>
    <w:rsid w:val="00ED1421"/>
    <w:rsid w:val="00ED1454"/>
    <w:rsid w:val="00ED14D5"/>
    <w:rsid w:val="00ED1725"/>
    <w:rsid w:val="00ED18DC"/>
    <w:rsid w:val="00ED1A3E"/>
    <w:rsid w:val="00ED1B04"/>
    <w:rsid w:val="00ED1C68"/>
    <w:rsid w:val="00ED211C"/>
    <w:rsid w:val="00ED248C"/>
    <w:rsid w:val="00ED2642"/>
    <w:rsid w:val="00ED27A3"/>
    <w:rsid w:val="00ED2824"/>
    <w:rsid w:val="00ED295F"/>
    <w:rsid w:val="00ED2B97"/>
    <w:rsid w:val="00ED2D74"/>
    <w:rsid w:val="00ED2DC6"/>
    <w:rsid w:val="00ED2FCF"/>
    <w:rsid w:val="00ED3118"/>
    <w:rsid w:val="00ED3A60"/>
    <w:rsid w:val="00ED3D04"/>
    <w:rsid w:val="00ED4148"/>
    <w:rsid w:val="00ED4370"/>
    <w:rsid w:val="00ED4911"/>
    <w:rsid w:val="00ED4C70"/>
    <w:rsid w:val="00ED4F32"/>
    <w:rsid w:val="00ED50C9"/>
    <w:rsid w:val="00ED52D6"/>
    <w:rsid w:val="00ED54AA"/>
    <w:rsid w:val="00ED5D69"/>
    <w:rsid w:val="00ED5FA0"/>
    <w:rsid w:val="00ED65C4"/>
    <w:rsid w:val="00ED6765"/>
    <w:rsid w:val="00ED67F1"/>
    <w:rsid w:val="00ED6A09"/>
    <w:rsid w:val="00ED6FAF"/>
    <w:rsid w:val="00ED6FBD"/>
    <w:rsid w:val="00ED75BD"/>
    <w:rsid w:val="00ED76BE"/>
    <w:rsid w:val="00ED7799"/>
    <w:rsid w:val="00ED7C53"/>
    <w:rsid w:val="00ED7DE2"/>
    <w:rsid w:val="00ED7F66"/>
    <w:rsid w:val="00ED7FD0"/>
    <w:rsid w:val="00EE0032"/>
    <w:rsid w:val="00EE0034"/>
    <w:rsid w:val="00EE0397"/>
    <w:rsid w:val="00EE0432"/>
    <w:rsid w:val="00EE0747"/>
    <w:rsid w:val="00EE07CF"/>
    <w:rsid w:val="00EE0E65"/>
    <w:rsid w:val="00EE0EF2"/>
    <w:rsid w:val="00EE0F3C"/>
    <w:rsid w:val="00EE0F45"/>
    <w:rsid w:val="00EE0F71"/>
    <w:rsid w:val="00EE1406"/>
    <w:rsid w:val="00EE1655"/>
    <w:rsid w:val="00EE1908"/>
    <w:rsid w:val="00EE1981"/>
    <w:rsid w:val="00EE1A7D"/>
    <w:rsid w:val="00EE1F51"/>
    <w:rsid w:val="00EE224E"/>
    <w:rsid w:val="00EE246F"/>
    <w:rsid w:val="00EE24F0"/>
    <w:rsid w:val="00EE2B90"/>
    <w:rsid w:val="00EE2B93"/>
    <w:rsid w:val="00EE2CE9"/>
    <w:rsid w:val="00EE3881"/>
    <w:rsid w:val="00EE3C36"/>
    <w:rsid w:val="00EE3CBA"/>
    <w:rsid w:val="00EE3EEA"/>
    <w:rsid w:val="00EE40D7"/>
    <w:rsid w:val="00EE4181"/>
    <w:rsid w:val="00EE42B2"/>
    <w:rsid w:val="00EE4414"/>
    <w:rsid w:val="00EE44D5"/>
    <w:rsid w:val="00EE4F2C"/>
    <w:rsid w:val="00EE5038"/>
    <w:rsid w:val="00EE51CE"/>
    <w:rsid w:val="00EE52BC"/>
    <w:rsid w:val="00EE56E1"/>
    <w:rsid w:val="00EE5735"/>
    <w:rsid w:val="00EE5AB2"/>
    <w:rsid w:val="00EE62E2"/>
    <w:rsid w:val="00EE66D5"/>
    <w:rsid w:val="00EE6BFA"/>
    <w:rsid w:val="00EE6E06"/>
    <w:rsid w:val="00EE708F"/>
    <w:rsid w:val="00EE78D4"/>
    <w:rsid w:val="00EE7AF3"/>
    <w:rsid w:val="00EE7DB5"/>
    <w:rsid w:val="00EE7DC6"/>
    <w:rsid w:val="00EF0086"/>
    <w:rsid w:val="00EF019F"/>
    <w:rsid w:val="00EF041B"/>
    <w:rsid w:val="00EF057A"/>
    <w:rsid w:val="00EF09B3"/>
    <w:rsid w:val="00EF0CFD"/>
    <w:rsid w:val="00EF0E20"/>
    <w:rsid w:val="00EF0E91"/>
    <w:rsid w:val="00EF10AE"/>
    <w:rsid w:val="00EF1533"/>
    <w:rsid w:val="00EF1620"/>
    <w:rsid w:val="00EF1767"/>
    <w:rsid w:val="00EF1FDC"/>
    <w:rsid w:val="00EF20EA"/>
    <w:rsid w:val="00EF25E4"/>
    <w:rsid w:val="00EF2CC9"/>
    <w:rsid w:val="00EF2CEA"/>
    <w:rsid w:val="00EF2E44"/>
    <w:rsid w:val="00EF300A"/>
    <w:rsid w:val="00EF3628"/>
    <w:rsid w:val="00EF36A2"/>
    <w:rsid w:val="00EF3789"/>
    <w:rsid w:val="00EF380F"/>
    <w:rsid w:val="00EF3997"/>
    <w:rsid w:val="00EF3A41"/>
    <w:rsid w:val="00EF3AAC"/>
    <w:rsid w:val="00EF3ACE"/>
    <w:rsid w:val="00EF3F5D"/>
    <w:rsid w:val="00EF40D4"/>
    <w:rsid w:val="00EF42B8"/>
    <w:rsid w:val="00EF4A52"/>
    <w:rsid w:val="00EF4B8C"/>
    <w:rsid w:val="00EF4D4A"/>
    <w:rsid w:val="00EF4D82"/>
    <w:rsid w:val="00EF5489"/>
    <w:rsid w:val="00EF55FC"/>
    <w:rsid w:val="00EF58B9"/>
    <w:rsid w:val="00EF5C68"/>
    <w:rsid w:val="00EF5F2C"/>
    <w:rsid w:val="00EF619B"/>
    <w:rsid w:val="00EF65A4"/>
    <w:rsid w:val="00EF65DB"/>
    <w:rsid w:val="00EF66D7"/>
    <w:rsid w:val="00EF6AE4"/>
    <w:rsid w:val="00EF6B97"/>
    <w:rsid w:val="00EF6C7F"/>
    <w:rsid w:val="00EF6DE9"/>
    <w:rsid w:val="00EF7060"/>
    <w:rsid w:val="00EF73D7"/>
    <w:rsid w:val="00EF7417"/>
    <w:rsid w:val="00EF758E"/>
    <w:rsid w:val="00EF769D"/>
    <w:rsid w:val="00EF76B1"/>
    <w:rsid w:val="00EF7710"/>
    <w:rsid w:val="00EF7AD6"/>
    <w:rsid w:val="00EF7ADD"/>
    <w:rsid w:val="00EF7B0E"/>
    <w:rsid w:val="00EF7C5E"/>
    <w:rsid w:val="00EF7E01"/>
    <w:rsid w:val="00F00055"/>
    <w:rsid w:val="00F00323"/>
    <w:rsid w:val="00F0043F"/>
    <w:rsid w:val="00F00735"/>
    <w:rsid w:val="00F00B38"/>
    <w:rsid w:val="00F00B55"/>
    <w:rsid w:val="00F00B7C"/>
    <w:rsid w:val="00F0113C"/>
    <w:rsid w:val="00F01B8B"/>
    <w:rsid w:val="00F01D64"/>
    <w:rsid w:val="00F01E62"/>
    <w:rsid w:val="00F01F7B"/>
    <w:rsid w:val="00F02058"/>
    <w:rsid w:val="00F02357"/>
    <w:rsid w:val="00F02506"/>
    <w:rsid w:val="00F02540"/>
    <w:rsid w:val="00F0274E"/>
    <w:rsid w:val="00F027CA"/>
    <w:rsid w:val="00F02865"/>
    <w:rsid w:val="00F02932"/>
    <w:rsid w:val="00F02987"/>
    <w:rsid w:val="00F029E9"/>
    <w:rsid w:val="00F029FA"/>
    <w:rsid w:val="00F02AD1"/>
    <w:rsid w:val="00F03017"/>
    <w:rsid w:val="00F031DF"/>
    <w:rsid w:val="00F03977"/>
    <w:rsid w:val="00F03B99"/>
    <w:rsid w:val="00F03C7D"/>
    <w:rsid w:val="00F03D56"/>
    <w:rsid w:val="00F03DA3"/>
    <w:rsid w:val="00F03E30"/>
    <w:rsid w:val="00F0417F"/>
    <w:rsid w:val="00F042BD"/>
    <w:rsid w:val="00F048F3"/>
    <w:rsid w:val="00F04F35"/>
    <w:rsid w:val="00F0509B"/>
    <w:rsid w:val="00F05E26"/>
    <w:rsid w:val="00F06349"/>
    <w:rsid w:val="00F06515"/>
    <w:rsid w:val="00F065B7"/>
    <w:rsid w:val="00F065D0"/>
    <w:rsid w:val="00F06AA1"/>
    <w:rsid w:val="00F06BB9"/>
    <w:rsid w:val="00F07182"/>
    <w:rsid w:val="00F071A7"/>
    <w:rsid w:val="00F077A7"/>
    <w:rsid w:val="00F07980"/>
    <w:rsid w:val="00F07BE5"/>
    <w:rsid w:val="00F07D4B"/>
    <w:rsid w:val="00F07F99"/>
    <w:rsid w:val="00F100C3"/>
    <w:rsid w:val="00F1043F"/>
    <w:rsid w:val="00F1049E"/>
    <w:rsid w:val="00F107B2"/>
    <w:rsid w:val="00F10A01"/>
    <w:rsid w:val="00F10D7E"/>
    <w:rsid w:val="00F10EF7"/>
    <w:rsid w:val="00F10F5F"/>
    <w:rsid w:val="00F10FF9"/>
    <w:rsid w:val="00F11623"/>
    <w:rsid w:val="00F11B32"/>
    <w:rsid w:val="00F11CDE"/>
    <w:rsid w:val="00F11CF8"/>
    <w:rsid w:val="00F121B8"/>
    <w:rsid w:val="00F12D3C"/>
    <w:rsid w:val="00F12E32"/>
    <w:rsid w:val="00F12E5C"/>
    <w:rsid w:val="00F13524"/>
    <w:rsid w:val="00F13B62"/>
    <w:rsid w:val="00F14024"/>
    <w:rsid w:val="00F141E4"/>
    <w:rsid w:val="00F1437D"/>
    <w:rsid w:val="00F146ED"/>
    <w:rsid w:val="00F14D01"/>
    <w:rsid w:val="00F14E7D"/>
    <w:rsid w:val="00F14F60"/>
    <w:rsid w:val="00F1510C"/>
    <w:rsid w:val="00F154CF"/>
    <w:rsid w:val="00F15811"/>
    <w:rsid w:val="00F15C84"/>
    <w:rsid w:val="00F15FDD"/>
    <w:rsid w:val="00F1644E"/>
    <w:rsid w:val="00F16538"/>
    <w:rsid w:val="00F16947"/>
    <w:rsid w:val="00F16B67"/>
    <w:rsid w:val="00F16D7C"/>
    <w:rsid w:val="00F16E58"/>
    <w:rsid w:val="00F172A9"/>
    <w:rsid w:val="00F1734C"/>
    <w:rsid w:val="00F1755B"/>
    <w:rsid w:val="00F17789"/>
    <w:rsid w:val="00F20239"/>
    <w:rsid w:val="00F202AA"/>
    <w:rsid w:val="00F2057E"/>
    <w:rsid w:val="00F2075F"/>
    <w:rsid w:val="00F20ABD"/>
    <w:rsid w:val="00F20B49"/>
    <w:rsid w:val="00F20CC3"/>
    <w:rsid w:val="00F2142B"/>
    <w:rsid w:val="00F218B3"/>
    <w:rsid w:val="00F2192C"/>
    <w:rsid w:val="00F219EA"/>
    <w:rsid w:val="00F21A94"/>
    <w:rsid w:val="00F21AB2"/>
    <w:rsid w:val="00F223FC"/>
    <w:rsid w:val="00F22765"/>
    <w:rsid w:val="00F228CD"/>
    <w:rsid w:val="00F22B42"/>
    <w:rsid w:val="00F22DF2"/>
    <w:rsid w:val="00F22F20"/>
    <w:rsid w:val="00F2325A"/>
    <w:rsid w:val="00F236D8"/>
    <w:rsid w:val="00F236EB"/>
    <w:rsid w:val="00F2398A"/>
    <w:rsid w:val="00F23B3A"/>
    <w:rsid w:val="00F23B45"/>
    <w:rsid w:val="00F23C77"/>
    <w:rsid w:val="00F23C80"/>
    <w:rsid w:val="00F23DB8"/>
    <w:rsid w:val="00F23F87"/>
    <w:rsid w:val="00F24770"/>
    <w:rsid w:val="00F247A0"/>
    <w:rsid w:val="00F2488D"/>
    <w:rsid w:val="00F248DE"/>
    <w:rsid w:val="00F24DEA"/>
    <w:rsid w:val="00F24E34"/>
    <w:rsid w:val="00F250C7"/>
    <w:rsid w:val="00F250FC"/>
    <w:rsid w:val="00F253CC"/>
    <w:rsid w:val="00F2551C"/>
    <w:rsid w:val="00F255D0"/>
    <w:rsid w:val="00F2579B"/>
    <w:rsid w:val="00F25A36"/>
    <w:rsid w:val="00F25CD8"/>
    <w:rsid w:val="00F25D69"/>
    <w:rsid w:val="00F2600C"/>
    <w:rsid w:val="00F26524"/>
    <w:rsid w:val="00F265B6"/>
    <w:rsid w:val="00F26610"/>
    <w:rsid w:val="00F26A2B"/>
    <w:rsid w:val="00F26BDA"/>
    <w:rsid w:val="00F26F0A"/>
    <w:rsid w:val="00F2702A"/>
    <w:rsid w:val="00F270F1"/>
    <w:rsid w:val="00F2770D"/>
    <w:rsid w:val="00F2785D"/>
    <w:rsid w:val="00F2796D"/>
    <w:rsid w:val="00F27A79"/>
    <w:rsid w:val="00F27EFA"/>
    <w:rsid w:val="00F27FEF"/>
    <w:rsid w:val="00F30124"/>
    <w:rsid w:val="00F30148"/>
    <w:rsid w:val="00F3016F"/>
    <w:rsid w:val="00F301F1"/>
    <w:rsid w:val="00F3062D"/>
    <w:rsid w:val="00F30798"/>
    <w:rsid w:val="00F308BC"/>
    <w:rsid w:val="00F308DF"/>
    <w:rsid w:val="00F311EF"/>
    <w:rsid w:val="00F318EF"/>
    <w:rsid w:val="00F31AC3"/>
    <w:rsid w:val="00F31DDD"/>
    <w:rsid w:val="00F31EA0"/>
    <w:rsid w:val="00F31EB3"/>
    <w:rsid w:val="00F32461"/>
    <w:rsid w:val="00F3246D"/>
    <w:rsid w:val="00F32619"/>
    <w:rsid w:val="00F32627"/>
    <w:rsid w:val="00F328BD"/>
    <w:rsid w:val="00F32D94"/>
    <w:rsid w:val="00F330E4"/>
    <w:rsid w:val="00F33748"/>
    <w:rsid w:val="00F33955"/>
    <w:rsid w:val="00F33AF9"/>
    <w:rsid w:val="00F33B32"/>
    <w:rsid w:val="00F3449B"/>
    <w:rsid w:val="00F34894"/>
    <w:rsid w:val="00F34B5A"/>
    <w:rsid w:val="00F34D6F"/>
    <w:rsid w:val="00F351BB"/>
    <w:rsid w:val="00F3585A"/>
    <w:rsid w:val="00F35B60"/>
    <w:rsid w:val="00F35DDD"/>
    <w:rsid w:val="00F35F7E"/>
    <w:rsid w:val="00F36342"/>
    <w:rsid w:val="00F367DC"/>
    <w:rsid w:val="00F367FD"/>
    <w:rsid w:val="00F3684D"/>
    <w:rsid w:val="00F3692A"/>
    <w:rsid w:val="00F36BBC"/>
    <w:rsid w:val="00F36BD1"/>
    <w:rsid w:val="00F36DD3"/>
    <w:rsid w:val="00F37106"/>
    <w:rsid w:val="00F37504"/>
    <w:rsid w:val="00F3776F"/>
    <w:rsid w:val="00F4002B"/>
    <w:rsid w:val="00F400D1"/>
    <w:rsid w:val="00F4059E"/>
    <w:rsid w:val="00F40611"/>
    <w:rsid w:val="00F40950"/>
    <w:rsid w:val="00F40EB1"/>
    <w:rsid w:val="00F40F53"/>
    <w:rsid w:val="00F4141B"/>
    <w:rsid w:val="00F41724"/>
    <w:rsid w:val="00F4174E"/>
    <w:rsid w:val="00F417F4"/>
    <w:rsid w:val="00F41AFE"/>
    <w:rsid w:val="00F41BBF"/>
    <w:rsid w:val="00F42346"/>
    <w:rsid w:val="00F42613"/>
    <w:rsid w:val="00F42707"/>
    <w:rsid w:val="00F4279E"/>
    <w:rsid w:val="00F428F3"/>
    <w:rsid w:val="00F42AAE"/>
    <w:rsid w:val="00F42BD0"/>
    <w:rsid w:val="00F43422"/>
    <w:rsid w:val="00F435E2"/>
    <w:rsid w:val="00F4360C"/>
    <w:rsid w:val="00F43B3A"/>
    <w:rsid w:val="00F4406D"/>
    <w:rsid w:val="00F4462C"/>
    <w:rsid w:val="00F446CF"/>
    <w:rsid w:val="00F446F3"/>
    <w:rsid w:val="00F446F9"/>
    <w:rsid w:val="00F44A15"/>
    <w:rsid w:val="00F44C09"/>
    <w:rsid w:val="00F44C14"/>
    <w:rsid w:val="00F44CA5"/>
    <w:rsid w:val="00F44CCA"/>
    <w:rsid w:val="00F44D14"/>
    <w:rsid w:val="00F44EFB"/>
    <w:rsid w:val="00F44FED"/>
    <w:rsid w:val="00F454F8"/>
    <w:rsid w:val="00F45631"/>
    <w:rsid w:val="00F4571E"/>
    <w:rsid w:val="00F458B4"/>
    <w:rsid w:val="00F45942"/>
    <w:rsid w:val="00F45ADC"/>
    <w:rsid w:val="00F45B86"/>
    <w:rsid w:val="00F45C02"/>
    <w:rsid w:val="00F460BD"/>
    <w:rsid w:val="00F46136"/>
    <w:rsid w:val="00F46421"/>
    <w:rsid w:val="00F46D7F"/>
    <w:rsid w:val="00F46DCE"/>
    <w:rsid w:val="00F46E91"/>
    <w:rsid w:val="00F47077"/>
    <w:rsid w:val="00F476EA"/>
    <w:rsid w:val="00F4786A"/>
    <w:rsid w:val="00F50106"/>
    <w:rsid w:val="00F50213"/>
    <w:rsid w:val="00F503E5"/>
    <w:rsid w:val="00F50484"/>
    <w:rsid w:val="00F506DB"/>
    <w:rsid w:val="00F50950"/>
    <w:rsid w:val="00F50C83"/>
    <w:rsid w:val="00F50CA8"/>
    <w:rsid w:val="00F50D1D"/>
    <w:rsid w:val="00F50E2F"/>
    <w:rsid w:val="00F51029"/>
    <w:rsid w:val="00F510CC"/>
    <w:rsid w:val="00F5120C"/>
    <w:rsid w:val="00F5126E"/>
    <w:rsid w:val="00F512E8"/>
    <w:rsid w:val="00F51864"/>
    <w:rsid w:val="00F51873"/>
    <w:rsid w:val="00F519CF"/>
    <w:rsid w:val="00F52036"/>
    <w:rsid w:val="00F5234A"/>
    <w:rsid w:val="00F5250D"/>
    <w:rsid w:val="00F52669"/>
    <w:rsid w:val="00F5266C"/>
    <w:rsid w:val="00F52D29"/>
    <w:rsid w:val="00F53091"/>
    <w:rsid w:val="00F53137"/>
    <w:rsid w:val="00F536AD"/>
    <w:rsid w:val="00F536F2"/>
    <w:rsid w:val="00F537C8"/>
    <w:rsid w:val="00F539AD"/>
    <w:rsid w:val="00F53C56"/>
    <w:rsid w:val="00F53D74"/>
    <w:rsid w:val="00F5419E"/>
    <w:rsid w:val="00F54512"/>
    <w:rsid w:val="00F54740"/>
    <w:rsid w:val="00F54A65"/>
    <w:rsid w:val="00F54BB1"/>
    <w:rsid w:val="00F54ECA"/>
    <w:rsid w:val="00F550DF"/>
    <w:rsid w:val="00F55253"/>
    <w:rsid w:val="00F55552"/>
    <w:rsid w:val="00F555C4"/>
    <w:rsid w:val="00F5569F"/>
    <w:rsid w:val="00F5572B"/>
    <w:rsid w:val="00F557DF"/>
    <w:rsid w:val="00F55A86"/>
    <w:rsid w:val="00F56089"/>
    <w:rsid w:val="00F560E0"/>
    <w:rsid w:val="00F56791"/>
    <w:rsid w:val="00F56AF1"/>
    <w:rsid w:val="00F56BA5"/>
    <w:rsid w:val="00F56C29"/>
    <w:rsid w:val="00F56C88"/>
    <w:rsid w:val="00F56E69"/>
    <w:rsid w:val="00F57246"/>
    <w:rsid w:val="00F57634"/>
    <w:rsid w:val="00F57702"/>
    <w:rsid w:val="00F57724"/>
    <w:rsid w:val="00F57978"/>
    <w:rsid w:val="00F57B9F"/>
    <w:rsid w:val="00F57D68"/>
    <w:rsid w:val="00F607B9"/>
    <w:rsid w:val="00F60E22"/>
    <w:rsid w:val="00F60E5B"/>
    <w:rsid w:val="00F60E6C"/>
    <w:rsid w:val="00F61227"/>
    <w:rsid w:val="00F61388"/>
    <w:rsid w:val="00F6165A"/>
    <w:rsid w:val="00F61A1A"/>
    <w:rsid w:val="00F61FE4"/>
    <w:rsid w:val="00F62282"/>
    <w:rsid w:val="00F62600"/>
    <w:rsid w:val="00F62748"/>
    <w:rsid w:val="00F62C58"/>
    <w:rsid w:val="00F62D1E"/>
    <w:rsid w:val="00F62FE2"/>
    <w:rsid w:val="00F6302F"/>
    <w:rsid w:val="00F63469"/>
    <w:rsid w:val="00F634D9"/>
    <w:rsid w:val="00F6351B"/>
    <w:rsid w:val="00F63CCB"/>
    <w:rsid w:val="00F640C5"/>
    <w:rsid w:val="00F6432D"/>
    <w:rsid w:val="00F649AD"/>
    <w:rsid w:val="00F64B8B"/>
    <w:rsid w:val="00F64DB1"/>
    <w:rsid w:val="00F65086"/>
    <w:rsid w:val="00F653D2"/>
    <w:rsid w:val="00F65545"/>
    <w:rsid w:val="00F659EC"/>
    <w:rsid w:val="00F65F23"/>
    <w:rsid w:val="00F66667"/>
    <w:rsid w:val="00F669A4"/>
    <w:rsid w:val="00F6703B"/>
    <w:rsid w:val="00F6731B"/>
    <w:rsid w:val="00F67538"/>
    <w:rsid w:val="00F676E7"/>
    <w:rsid w:val="00F67A0A"/>
    <w:rsid w:val="00F67A50"/>
    <w:rsid w:val="00F67B09"/>
    <w:rsid w:val="00F67C38"/>
    <w:rsid w:val="00F70327"/>
    <w:rsid w:val="00F704B2"/>
    <w:rsid w:val="00F70FB8"/>
    <w:rsid w:val="00F711C6"/>
    <w:rsid w:val="00F7124D"/>
    <w:rsid w:val="00F7178A"/>
    <w:rsid w:val="00F71A9D"/>
    <w:rsid w:val="00F7244A"/>
    <w:rsid w:val="00F72BD4"/>
    <w:rsid w:val="00F72EAB"/>
    <w:rsid w:val="00F72EB4"/>
    <w:rsid w:val="00F73170"/>
    <w:rsid w:val="00F734BE"/>
    <w:rsid w:val="00F73584"/>
    <w:rsid w:val="00F73588"/>
    <w:rsid w:val="00F735AE"/>
    <w:rsid w:val="00F73687"/>
    <w:rsid w:val="00F7394A"/>
    <w:rsid w:val="00F739DF"/>
    <w:rsid w:val="00F74151"/>
    <w:rsid w:val="00F74322"/>
    <w:rsid w:val="00F746C3"/>
    <w:rsid w:val="00F746FE"/>
    <w:rsid w:val="00F74E0A"/>
    <w:rsid w:val="00F75766"/>
    <w:rsid w:val="00F75A47"/>
    <w:rsid w:val="00F75F3C"/>
    <w:rsid w:val="00F76224"/>
    <w:rsid w:val="00F76487"/>
    <w:rsid w:val="00F764FE"/>
    <w:rsid w:val="00F76E2B"/>
    <w:rsid w:val="00F77B69"/>
    <w:rsid w:val="00F77C37"/>
    <w:rsid w:val="00F77CF9"/>
    <w:rsid w:val="00F77DF8"/>
    <w:rsid w:val="00F77F43"/>
    <w:rsid w:val="00F77FB6"/>
    <w:rsid w:val="00F804AE"/>
    <w:rsid w:val="00F80657"/>
    <w:rsid w:val="00F8067B"/>
    <w:rsid w:val="00F80A4F"/>
    <w:rsid w:val="00F80E66"/>
    <w:rsid w:val="00F81147"/>
    <w:rsid w:val="00F8167B"/>
    <w:rsid w:val="00F816DE"/>
    <w:rsid w:val="00F819BC"/>
    <w:rsid w:val="00F81BE3"/>
    <w:rsid w:val="00F82261"/>
    <w:rsid w:val="00F82642"/>
    <w:rsid w:val="00F82DD5"/>
    <w:rsid w:val="00F82E43"/>
    <w:rsid w:val="00F83A86"/>
    <w:rsid w:val="00F83E2B"/>
    <w:rsid w:val="00F84077"/>
    <w:rsid w:val="00F843AA"/>
    <w:rsid w:val="00F8487D"/>
    <w:rsid w:val="00F84D44"/>
    <w:rsid w:val="00F852F7"/>
    <w:rsid w:val="00F852FC"/>
    <w:rsid w:val="00F85337"/>
    <w:rsid w:val="00F85974"/>
    <w:rsid w:val="00F85A52"/>
    <w:rsid w:val="00F860B1"/>
    <w:rsid w:val="00F860D2"/>
    <w:rsid w:val="00F8621E"/>
    <w:rsid w:val="00F866A6"/>
    <w:rsid w:val="00F868FF"/>
    <w:rsid w:val="00F869AF"/>
    <w:rsid w:val="00F869E0"/>
    <w:rsid w:val="00F86B10"/>
    <w:rsid w:val="00F86B3A"/>
    <w:rsid w:val="00F874A1"/>
    <w:rsid w:val="00F875DA"/>
    <w:rsid w:val="00F876AC"/>
    <w:rsid w:val="00F877C0"/>
    <w:rsid w:val="00F87AE1"/>
    <w:rsid w:val="00F87BD3"/>
    <w:rsid w:val="00F90217"/>
    <w:rsid w:val="00F90433"/>
    <w:rsid w:val="00F9043B"/>
    <w:rsid w:val="00F90590"/>
    <w:rsid w:val="00F90767"/>
    <w:rsid w:val="00F90850"/>
    <w:rsid w:val="00F90AEF"/>
    <w:rsid w:val="00F90CAC"/>
    <w:rsid w:val="00F90CC2"/>
    <w:rsid w:val="00F90CDD"/>
    <w:rsid w:val="00F90CE4"/>
    <w:rsid w:val="00F91160"/>
    <w:rsid w:val="00F91542"/>
    <w:rsid w:val="00F917D1"/>
    <w:rsid w:val="00F91A90"/>
    <w:rsid w:val="00F91BBA"/>
    <w:rsid w:val="00F91BDC"/>
    <w:rsid w:val="00F9209D"/>
    <w:rsid w:val="00F92433"/>
    <w:rsid w:val="00F92850"/>
    <w:rsid w:val="00F92A8E"/>
    <w:rsid w:val="00F93327"/>
    <w:rsid w:val="00F9392B"/>
    <w:rsid w:val="00F93F64"/>
    <w:rsid w:val="00F93F8F"/>
    <w:rsid w:val="00F94216"/>
    <w:rsid w:val="00F94442"/>
    <w:rsid w:val="00F9451A"/>
    <w:rsid w:val="00F9491D"/>
    <w:rsid w:val="00F94F45"/>
    <w:rsid w:val="00F954CA"/>
    <w:rsid w:val="00F9568E"/>
    <w:rsid w:val="00F957AE"/>
    <w:rsid w:val="00F957C6"/>
    <w:rsid w:val="00F95A27"/>
    <w:rsid w:val="00F95A69"/>
    <w:rsid w:val="00F95D34"/>
    <w:rsid w:val="00F96160"/>
    <w:rsid w:val="00F96326"/>
    <w:rsid w:val="00F963B8"/>
    <w:rsid w:val="00F964F8"/>
    <w:rsid w:val="00F9653B"/>
    <w:rsid w:val="00F9666C"/>
    <w:rsid w:val="00F96778"/>
    <w:rsid w:val="00F96B55"/>
    <w:rsid w:val="00F96C41"/>
    <w:rsid w:val="00F96E6F"/>
    <w:rsid w:val="00F971FA"/>
    <w:rsid w:val="00F97516"/>
    <w:rsid w:val="00F976A7"/>
    <w:rsid w:val="00F97A52"/>
    <w:rsid w:val="00F97C9B"/>
    <w:rsid w:val="00F97D5B"/>
    <w:rsid w:val="00F97E2D"/>
    <w:rsid w:val="00F97E62"/>
    <w:rsid w:val="00FA00E2"/>
    <w:rsid w:val="00FA02EB"/>
    <w:rsid w:val="00FA0338"/>
    <w:rsid w:val="00FA0711"/>
    <w:rsid w:val="00FA084C"/>
    <w:rsid w:val="00FA08DD"/>
    <w:rsid w:val="00FA0908"/>
    <w:rsid w:val="00FA093F"/>
    <w:rsid w:val="00FA0D1A"/>
    <w:rsid w:val="00FA0D48"/>
    <w:rsid w:val="00FA0F18"/>
    <w:rsid w:val="00FA174E"/>
    <w:rsid w:val="00FA1A07"/>
    <w:rsid w:val="00FA1A78"/>
    <w:rsid w:val="00FA1EE7"/>
    <w:rsid w:val="00FA1FAA"/>
    <w:rsid w:val="00FA1FBB"/>
    <w:rsid w:val="00FA2595"/>
    <w:rsid w:val="00FA2B3C"/>
    <w:rsid w:val="00FA2E9D"/>
    <w:rsid w:val="00FA30A1"/>
    <w:rsid w:val="00FA35B3"/>
    <w:rsid w:val="00FA3858"/>
    <w:rsid w:val="00FA3987"/>
    <w:rsid w:val="00FA3D42"/>
    <w:rsid w:val="00FA3F46"/>
    <w:rsid w:val="00FA4035"/>
    <w:rsid w:val="00FA410D"/>
    <w:rsid w:val="00FA4293"/>
    <w:rsid w:val="00FA46DA"/>
    <w:rsid w:val="00FA4AD3"/>
    <w:rsid w:val="00FA4CD5"/>
    <w:rsid w:val="00FA4D1D"/>
    <w:rsid w:val="00FA57A0"/>
    <w:rsid w:val="00FA5957"/>
    <w:rsid w:val="00FA5C21"/>
    <w:rsid w:val="00FA5EAE"/>
    <w:rsid w:val="00FA5F9C"/>
    <w:rsid w:val="00FA60B9"/>
    <w:rsid w:val="00FA6127"/>
    <w:rsid w:val="00FA65A6"/>
    <w:rsid w:val="00FA65BB"/>
    <w:rsid w:val="00FA66D9"/>
    <w:rsid w:val="00FA6A30"/>
    <w:rsid w:val="00FA6A3E"/>
    <w:rsid w:val="00FA6C23"/>
    <w:rsid w:val="00FA6DA6"/>
    <w:rsid w:val="00FA7271"/>
    <w:rsid w:val="00FA7419"/>
    <w:rsid w:val="00FA7494"/>
    <w:rsid w:val="00FA7605"/>
    <w:rsid w:val="00FA77B7"/>
    <w:rsid w:val="00FA7959"/>
    <w:rsid w:val="00FA79C6"/>
    <w:rsid w:val="00FB0522"/>
    <w:rsid w:val="00FB05F9"/>
    <w:rsid w:val="00FB069F"/>
    <w:rsid w:val="00FB098E"/>
    <w:rsid w:val="00FB0A94"/>
    <w:rsid w:val="00FB0B2E"/>
    <w:rsid w:val="00FB0EC0"/>
    <w:rsid w:val="00FB1072"/>
    <w:rsid w:val="00FB1084"/>
    <w:rsid w:val="00FB10AB"/>
    <w:rsid w:val="00FB1351"/>
    <w:rsid w:val="00FB142C"/>
    <w:rsid w:val="00FB14D9"/>
    <w:rsid w:val="00FB1666"/>
    <w:rsid w:val="00FB1AC2"/>
    <w:rsid w:val="00FB1E9C"/>
    <w:rsid w:val="00FB2096"/>
    <w:rsid w:val="00FB2930"/>
    <w:rsid w:val="00FB2A66"/>
    <w:rsid w:val="00FB2E57"/>
    <w:rsid w:val="00FB2E91"/>
    <w:rsid w:val="00FB2ED7"/>
    <w:rsid w:val="00FB3912"/>
    <w:rsid w:val="00FB3A4F"/>
    <w:rsid w:val="00FB3D94"/>
    <w:rsid w:val="00FB3F52"/>
    <w:rsid w:val="00FB3F5D"/>
    <w:rsid w:val="00FB40F7"/>
    <w:rsid w:val="00FB4104"/>
    <w:rsid w:val="00FB4364"/>
    <w:rsid w:val="00FB43DD"/>
    <w:rsid w:val="00FB465A"/>
    <w:rsid w:val="00FB4BD3"/>
    <w:rsid w:val="00FB4E37"/>
    <w:rsid w:val="00FB4EB8"/>
    <w:rsid w:val="00FB52E5"/>
    <w:rsid w:val="00FB54A0"/>
    <w:rsid w:val="00FB57E4"/>
    <w:rsid w:val="00FB59EE"/>
    <w:rsid w:val="00FB5E1B"/>
    <w:rsid w:val="00FB616C"/>
    <w:rsid w:val="00FB62CF"/>
    <w:rsid w:val="00FB6330"/>
    <w:rsid w:val="00FB64DE"/>
    <w:rsid w:val="00FB6512"/>
    <w:rsid w:val="00FB68F0"/>
    <w:rsid w:val="00FB6A39"/>
    <w:rsid w:val="00FB6DB5"/>
    <w:rsid w:val="00FB726D"/>
    <w:rsid w:val="00FB739A"/>
    <w:rsid w:val="00FB78FA"/>
    <w:rsid w:val="00FB7B6A"/>
    <w:rsid w:val="00FC0A1C"/>
    <w:rsid w:val="00FC0F90"/>
    <w:rsid w:val="00FC0FA1"/>
    <w:rsid w:val="00FC1660"/>
    <w:rsid w:val="00FC171D"/>
    <w:rsid w:val="00FC1C3A"/>
    <w:rsid w:val="00FC1F8E"/>
    <w:rsid w:val="00FC2002"/>
    <w:rsid w:val="00FC219A"/>
    <w:rsid w:val="00FC2226"/>
    <w:rsid w:val="00FC27FD"/>
    <w:rsid w:val="00FC2925"/>
    <w:rsid w:val="00FC2B0C"/>
    <w:rsid w:val="00FC3301"/>
    <w:rsid w:val="00FC33C2"/>
    <w:rsid w:val="00FC351A"/>
    <w:rsid w:val="00FC36C7"/>
    <w:rsid w:val="00FC375C"/>
    <w:rsid w:val="00FC3A77"/>
    <w:rsid w:val="00FC3B9C"/>
    <w:rsid w:val="00FC3E44"/>
    <w:rsid w:val="00FC4122"/>
    <w:rsid w:val="00FC415B"/>
    <w:rsid w:val="00FC47E0"/>
    <w:rsid w:val="00FC488C"/>
    <w:rsid w:val="00FC4B1D"/>
    <w:rsid w:val="00FC5180"/>
    <w:rsid w:val="00FC54C6"/>
    <w:rsid w:val="00FC54E2"/>
    <w:rsid w:val="00FC551C"/>
    <w:rsid w:val="00FC563C"/>
    <w:rsid w:val="00FC5691"/>
    <w:rsid w:val="00FC5AF3"/>
    <w:rsid w:val="00FC6038"/>
    <w:rsid w:val="00FC6152"/>
    <w:rsid w:val="00FC634A"/>
    <w:rsid w:val="00FC650A"/>
    <w:rsid w:val="00FC6609"/>
    <w:rsid w:val="00FC6FE3"/>
    <w:rsid w:val="00FC721A"/>
    <w:rsid w:val="00FC7319"/>
    <w:rsid w:val="00FC73F0"/>
    <w:rsid w:val="00FC78EB"/>
    <w:rsid w:val="00FC7C8A"/>
    <w:rsid w:val="00FC7D96"/>
    <w:rsid w:val="00FD0360"/>
    <w:rsid w:val="00FD0576"/>
    <w:rsid w:val="00FD05AE"/>
    <w:rsid w:val="00FD05B2"/>
    <w:rsid w:val="00FD094F"/>
    <w:rsid w:val="00FD0C3E"/>
    <w:rsid w:val="00FD0C7F"/>
    <w:rsid w:val="00FD0EFE"/>
    <w:rsid w:val="00FD11D8"/>
    <w:rsid w:val="00FD125C"/>
    <w:rsid w:val="00FD12E4"/>
    <w:rsid w:val="00FD13DD"/>
    <w:rsid w:val="00FD1971"/>
    <w:rsid w:val="00FD1A5F"/>
    <w:rsid w:val="00FD1ABA"/>
    <w:rsid w:val="00FD1AFA"/>
    <w:rsid w:val="00FD1C57"/>
    <w:rsid w:val="00FD1CEF"/>
    <w:rsid w:val="00FD1F21"/>
    <w:rsid w:val="00FD20FC"/>
    <w:rsid w:val="00FD21EF"/>
    <w:rsid w:val="00FD2274"/>
    <w:rsid w:val="00FD2282"/>
    <w:rsid w:val="00FD26A1"/>
    <w:rsid w:val="00FD27E6"/>
    <w:rsid w:val="00FD2882"/>
    <w:rsid w:val="00FD2B50"/>
    <w:rsid w:val="00FD2E3F"/>
    <w:rsid w:val="00FD2FDF"/>
    <w:rsid w:val="00FD3315"/>
    <w:rsid w:val="00FD339E"/>
    <w:rsid w:val="00FD350A"/>
    <w:rsid w:val="00FD3C3B"/>
    <w:rsid w:val="00FD3D23"/>
    <w:rsid w:val="00FD3DC9"/>
    <w:rsid w:val="00FD421B"/>
    <w:rsid w:val="00FD4229"/>
    <w:rsid w:val="00FD44C4"/>
    <w:rsid w:val="00FD45B6"/>
    <w:rsid w:val="00FD46A6"/>
    <w:rsid w:val="00FD49F4"/>
    <w:rsid w:val="00FD4EA0"/>
    <w:rsid w:val="00FD4EC1"/>
    <w:rsid w:val="00FD4F75"/>
    <w:rsid w:val="00FD51B3"/>
    <w:rsid w:val="00FD54DA"/>
    <w:rsid w:val="00FD5540"/>
    <w:rsid w:val="00FD56E1"/>
    <w:rsid w:val="00FD5921"/>
    <w:rsid w:val="00FD5F29"/>
    <w:rsid w:val="00FD60E3"/>
    <w:rsid w:val="00FD61D4"/>
    <w:rsid w:val="00FD66F9"/>
    <w:rsid w:val="00FD6EA3"/>
    <w:rsid w:val="00FD6FEF"/>
    <w:rsid w:val="00FD70E8"/>
    <w:rsid w:val="00FD729D"/>
    <w:rsid w:val="00FD73FC"/>
    <w:rsid w:val="00FD76F2"/>
    <w:rsid w:val="00FD7903"/>
    <w:rsid w:val="00FD79FD"/>
    <w:rsid w:val="00FD79FF"/>
    <w:rsid w:val="00FD7ED1"/>
    <w:rsid w:val="00FD7F9C"/>
    <w:rsid w:val="00FE00CC"/>
    <w:rsid w:val="00FE0262"/>
    <w:rsid w:val="00FE0851"/>
    <w:rsid w:val="00FE0A9C"/>
    <w:rsid w:val="00FE0BC9"/>
    <w:rsid w:val="00FE0E1A"/>
    <w:rsid w:val="00FE0E59"/>
    <w:rsid w:val="00FE0EE6"/>
    <w:rsid w:val="00FE0F47"/>
    <w:rsid w:val="00FE12C4"/>
    <w:rsid w:val="00FE15F2"/>
    <w:rsid w:val="00FE18F9"/>
    <w:rsid w:val="00FE1DFE"/>
    <w:rsid w:val="00FE1F1B"/>
    <w:rsid w:val="00FE1F8C"/>
    <w:rsid w:val="00FE234C"/>
    <w:rsid w:val="00FE234D"/>
    <w:rsid w:val="00FE23D9"/>
    <w:rsid w:val="00FE2412"/>
    <w:rsid w:val="00FE29EC"/>
    <w:rsid w:val="00FE2A30"/>
    <w:rsid w:val="00FE2DE7"/>
    <w:rsid w:val="00FE31C6"/>
    <w:rsid w:val="00FE350D"/>
    <w:rsid w:val="00FE3566"/>
    <w:rsid w:val="00FE3895"/>
    <w:rsid w:val="00FE3B38"/>
    <w:rsid w:val="00FE4071"/>
    <w:rsid w:val="00FE4289"/>
    <w:rsid w:val="00FE4455"/>
    <w:rsid w:val="00FE45EF"/>
    <w:rsid w:val="00FE487F"/>
    <w:rsid w:val="00FE4928"/>
    <w:rsid w:val="00FE49FF"/>
    <w:rsid w:val="00FE5017"/>
    <w:rsid w:val="00FE52B3"/>
    <w:rsid w:val="00FE5681"/>
    <w:rsid w:val="00FE584B"/>
    <w:rsid w:val="00FE5B47"/>
    <w:rsid w:val="00FE5E14"/>
    <w:rsid w:val="00FE63A5"/>
    <w:rsid w:val="00FE66A3"/>
    <w:rsid w:val="00FE6783"/>
    <w:rsid w:val="00FE68A1"/>
    <w:rsid w:val="00FE6B45"/>
    <w:rsid w:val="00FE6BB0"/>
    <w:rsid w:val="00FE6F27"/>
    <w:rsid w:val="00FE7413"/>
    <w:rsid w:val="00FE762A"/>
    <w:rsid w:val="00FE7E5A"/>
    <w:rsid w:val="00FF0199"/>
    <w:rsid w:val="00FF0590"/>
    <w:rsid w:val="00FF08C7"/>
    <w:rsid w:val="00FF0923"/>
    <w:rsid w:val="00FF0BCF"/>
    <w:rsid w:val="00FF11B9"/>
    <w:rsid w:val="00FF14ED"/>
    <w:rsid w:val="00FF1BD8"/>
    <w:rsid w:val="00FF222C"/>
    <w:rsid w:val="00FF22DB"/>
    <w:rsid w:val="00FF24F4"/>
    <w:rsid w:val="00FF2A34"/>
    <w:rsid w:val="00FF2B48"/>
    <w:rsid w:val="00FF2D28"/>
    <w:rsid w:val="00FF2E0B"/>
    <w:rsid w:val="00FF2EA1"/>
    <w:rsid w:val="00FF2FF7"/>
    <w:rsid w:val="00FF30E6"/>
    <w:rsid w:val="00FF342C"/>
    <w:rsid w:val="00FF3492"/>
    <w:rsid w:val="00FF3556"/>
    <w:rsid w:val="00FF3C0C"/>
    <w:rsid w:val="00FF3C4E"/>
    <w:rsid w:val="00FF44D4"/>
    <w:rsid w:val="00FF460C"/>
    <w:rsid w:val="00FF4690"/>
    <w:rsid w:val="00FF4706"/>
    <w:rsid w:val="00FF4711"/>
    <w:rsid w:val="00FF48F6"/>
    <w:rsid w:val="00FF4D55"/>
    <w:rsid w:val="00FF4E38"/>
    <w:rsid w:val="00FF4EBD"/>
    <w:rsid w:val="00FF4F04"/>
    <w:rsid w:val="00FF522C"/>
    <w:rsid w:val="00FF53EA"/>
    <w:rsid w:val="00FF5851"/>
    <w:rsid w:val="00FF5EE6"/>
    <w:rsid w:val="00FF6BD0"/>
    <w:rsid w:val="00FF7255"/>
    <w:rsid w:val="00FF7621"/>
    <w:rsid w:val="00FF7876"/>
    <w:rsid w:val="00FF7B79"/>
    <w:rsid w:val="00FF7D01"/>
    <w:rsid w:val="00FF7DF5"/>
    <w:rsid w:val="00FF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53D7"/>
    <w:rPr>
      <w:lang w:val="en-US" w:eastAsia="en-US"/>
    </w:rPr>
  </w:style>
  <w:style w:type="paragraph" w:styleId="Heading1">
    <w:name w:val="heading 1"/>
    <w:basedOn w:val="Normal"/>
    <w:next w:val="Normal"/>
    <w:link w:val="Heading1Char"/>
    <w:qFormat/>
    <w:rsid w:val="00E24E60"/>
    <w:pPr>
      <w:keepNext/>
      <w:numPr>
        <w:numId w:val="54"/>
      </w:num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heme="majorHAnsi" w:eastAsia="Times New Roman" w:hAnsiTheme="majorHAnsi"/>
      <w:b/>
      <w:sz w:val="20"/>
      <w:szCs w:val="20"/>
      <w:bdr w:val="none" w:sz="0" w:space="0" w:color="auto"/>
      <w:lang w:val="es-ES_tradnl"/>
    </w:rPr>
  </w:style>
  <w:style w:type="paragraph" w:styleId="Heading2">
    <w:name w:val="heading 2"/>
    <w:basedOn w:val="Normal"/>
    <w:next w:val="Normal"/>
    <w:link w:val="Heading2Char"/>
    <w:uiPriority w:val="9"/>
    <w:qFormat/>
    <w:rsid w:val="00E24E60"/>
    <w:pPr>
      <w:keepNext/>
      <w:numPr>
        <w:ilvl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Theme="majorHAnsi" w:eastAsia="Times New Roman" w:hAnsiTheme="majorHAnsi"/>
      <w:b/>
      <w:sz w:val="20"/>
      <w:szCs w:val="20"/>
      <w:bdr w:val="none" w:sz="0" w:space="0" w:color="auto"/>
      <w:lang w:val="es-ES_tradnl"/>
    </w:rPr>
  </w:style>
  <w:style w:type="paragraph" w:styleId="Heading3">
    <w:name w:val="heading 3"/>
    <w:basedOn w:val="Normal"/>
    <w:next w:val="Normal"/>
    <w:link w:val="Heading3Char"/>
    <w:uiPriority w:val="9"/>
    <w:unhideWhenUsed/>
    <w:qFormat/>
    <w:rsid w:val="004B31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B31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tabs>
        <w:tab w:val="right" w:pos="9020"/>
      </w:tabs>
    </w:pPr>
    <w:rPr>
      <w:rFonts w:ascii="Helvetica" w:hAnsi="Arial Unicode MS" w:cs="Arial Unicode MS"/>
      <w:color w:val="000000"/>
    </w:rPr>
  </w:style>
  <w:style w:type="paragraph" w:styleId="Footer">
    <w:name w:val="footer"/>
    <w:link w:val="FooterChar"/>
    <w:rsid w:val="007753D7"/>
    <w:pPr>
      <w:tabs>
        <w:tab w:val="center" w:pos="4513"/>
        <w:tab w:val="right" w:pos="9026"/>
      </w:tabs>
    </w:pPr>
    <w:rPr>
      <w:rFonts w:ascii="Cambria" w:eastAsia="Cambria" w:hAnsi="Cambria" w:cs="Cambria"/>
      <w:color w:val="000000"/>
      <w:u w:color="000000"/>
      <w:lang w:val="en-US"/>
    </w:rPr>
  </w:style>
  <w:style w:type="paragraph" w:customStyle="1" w:styleId="Cuerpo">
    <w:name w:val="Cuerpo"/>
    <w:rsid w:val="007753D7"/>
    <w:rPr>
      <w:rFonts w:ascii="Cambria" w:eastAsia="Cambria" w:hAnsi="Cambria" w:cs="Cambria"/>
      <w:color w:val="000000"/>
      <w:u w:color="000000"/>
    </w:rPr>
  </w:style>
  <w:style w:type="paragraph" w:styleId="BodyTextIndent">
    <w:name w:val="Body Text Indent"/>
    <w:link w:val="BodyTextIndentChar"/>
    <w:rsid w:val="007753D7"/>
    <w:pPr>
      <w:ind w:left="2160" w:hanging="720"/>
    </w:pPr>
    <w:rPr>
      <w:rFonts w:eastAsia="Times New Roman"/>
      <w:color w:val="000000"/>
      <w:u w:color="000000"/>
      <w:lang w:val="es-ES_tradnl"/>
    </w:rPr>
  </w:style>
  <w:style w:type="paragraph" w:styleId="ListParagraph">
    <w:name w:val="List Paragraph"/>
    <w:aliases w:val="Párrafo de lista1,List Paragraph1,Colorful List - Accent 11,List Paragraph11,List Paragraph2"/>
    <w:link w:val="ListParagraphChar"/>
    <w:uiPriority w:val="99"/>
    <w:qFormat/>
    <w:rsid w:val="007753D7"/>
    <w:pPr>
      <w:ind w:left="720"/>
    </w:pPr>
    <w:rPr>
      <w:rFonts w:ascii="Cambria" w:eastAsia="Cambria" w:hAnsi="Cambria" w:cs="Cambria"/>
      <w:color w:val="000000"/>
      <w:u w:color="000000"/>
      <w:lang w:val="en-U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1">
    <w:name w:val="List 21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1">
    <w:name w:val="List 31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qFormat/>
    <w:rsid w:val="007753D7"/>
    <w:rPr>
      <w:rFonts w:ascii="Calibri" w:eastAsia="Calibri" w:hAnsi="Calibri" w:cs="Calibri"/>
      <w:color w:val="000000"/>
      <w:u w:color="000000"/>
      <w:lang w:val="en-U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1">
    <w:name w:val="List 41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1">
    <w:name w:val="List 51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E24E60"/>
    <w:rPr>
      <w:rFonts w:asciiTheme="majorHAnsi" w:eastAsia="Times New Roman" w:hAnsiTheme="majorHAnsi"/>
      <w:b/>
      <w:sz w:val="20"/>
      <w:szCs w:val="20"/>
      <w:bdr w:val="none" w:sz="0" w:space="0" w:color="auto"/>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0E3549"/>
    <w:pPr>
      <w:tabs>
        <w:tab w:val="left" w:pos="1440"/>
        <w:tab w:val="right" w:leader="dot" w:pos="9350"/>
      </w:tabs>
      <w:spacing w:after="100"/>
      <w:ind w:left="1440" w:hanging="720"/>
    </w:pPr>
    <w:rPr>
      <w:rFonts w:asciiTheme="majorHAnsi" w:hAnsiTheme="majorHAnsi"/>
      <w:b/>
      <w:noProof/>
      <w:sz w:val="20"/>
      <w:szCs w:val="20"/>
      <w:lang w:val="es-CO"/>
    </w:rPr>
  </w:style>
  <w:style w:type="paragraph" w:styleId="TOC1">
    <w:name w:val="toc 1"/>
    <w:basedOn w:val="Normal"/>
    <w:next w:val="Normal"/>
    <w:autoRedefine/>
    <w:uiPriority w:val="39"/>
    <w:unhideWhenUsed/>
    <w:qFormat/>
    <w:rsid w:val="00800842"/>
    <w:pPr>
      <w:tabs>
        <w:tab w:val="left" w:pos="1440"/>
        <w:tab w:val="right" w:leader="dot" w:pos="9440"/>
      </w:tabs>
      <w:spacing w:after="100"/>
    </w:pPr>
    <w:rPr>
      <w:rFonts w:asciiTheme="majorHAnsi" w:hAnsiTheme="majorHAnsi"/>
      <w:b/>
      <w:noProof/>
      <w:sz w:val="20"/>
      <w:szCs w:val="20"/>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A50FCF"/>
    <w:rPr>
      <w:rFonts w:ascii="Cambria" w:eastAsia="Cambria" w:hAnsi="Cambria" w:cs="Cambria"/>
      <w:color w:val="000000"/>
      <w:sz w:val="24"/>
      <w:szCs w:val="24"/>
      <w:u w:color="000000"/>
      <w:lang w:val="en-US"/>
    </w:rPr>
  </w:style>
  <w:style w:type="character" w:customStyle="1" w:styleId="Heading3Char">
    <w:name w:val="Heading 3 Char"/>
    <w:basedOn w:val="DefaultParagraphFont"/>
    <w:link w:val="Heading3"/>
    <w:uiPriority w:val="9"/>
    <w:rsid w:val="004B316C"/>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rsid w:val="00E24E60"/>
    <w:rPr>
      <w:rFonts w:asciiTheme="majorHAnsi" w:eastAsia="Times New Roman" w:hAnsiTheme="majorHAnsi"/>
      <w:b/>
      <w:bdr w:val="none" w:sz="0" w:space="0" w:color="auto"/>
      <w:lang w:val="es-ES_tradnl" w:eastAsia="en-US"/>
    </w:rPr>
  </w:style>
  <w:style w:type="character" w:customStyle="1" w:styleId="Heading4Char">
    <w:name w:val="Heading 4 Char"/>
    <w:basedOn w:val="DefaultParagraphFont"/>
    <w:link w:val="Heading4"/>
    <w:rsid w:val="004B316C"/>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4B316C"/>
    <w:rPr>
      <w:rFonts w:eastAsia="Times New Roman"/>
      <w:sz w:val="22"/>
      <w:bdr w:val="none" w:sz="0" w:space="0" w:color="auto"/>
      <w:lang w:val="en-US" w:eastAsia="en-US"/>
    </w:rPr>
  </w:style>
  <w:style w:type="character" w:customStyle="1" w:styleId="Heading6Char">
    <w:name w:val="Heading 6 Char"/>
    <w:basedOn w:val="DefaultParagraphFont"/>
    <w:link w:val="Heading6"/>
    <w:rsid w:val="004B316C"/>
    <w:rPr>
      <w:rFonts w:eastAsia="Times New Roman"/>
      <w:i/>
      <w:sz w:val="22"/>
      <w:bdr w:val="none" w:sz="0" w:space="0" w:color="auto"/>
      <w:lang w:val="en-US" w:eastAsia="en-US"/>
    </w:rPr>
  </w:style>
  <w:style w:type="character" w:customStyle="1" w:styleId="Heading7Char">
    <w:name w:val="Heading 7 Char"/>
    <w:basedOn w:val="DefaultParagraphFont"/>
    <w:link w:val="Heading7"/>
    <w:rsid w:val="004B316C"/>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4B316C"/>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basedOn w:val="DefaultParagraphFont"/>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basedOn w:val="DefaultParagraphFont"/>
    <w:link w:val="FootnoteText"/>
    <w:qFormat/>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link w:val="BVIfnrCar1CarCarCarCar"/>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link w:val="Style1Char"/>
    <w:autoRedefine/>
    <w:uiPriority w:val="99"/>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0"/>
      <w:szCs w:val="20"/>
      <w:bdr w:val="none" w:sz="0" w:space="0" w:color="auto"/>
    </w:r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4B316C"/>
    <w:rPr>
      <w:rFonts w:eastAsia="Times New Roman"/>
      <w:bdr w:val="none" w:sz="0" w:space="0" w:color="auto"/>
      <w:lang w:val="en-US" w:eastAsia="en-US"/>
    </w:rPr>
  </w:style>
  <w:style w:type="paragraph" w:customStyle="1" w:styleId="Style6">
    <w:name w:val="Style 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4B316C"/>
    <w:rPr>
      <w:rFonts w:eastAsia="Times New Roman"/>
      <w:bdr w:val="none" w:sz="0" w:space="0" w:color="auto"/>
      <w:lang w:val="en-US" w:eastAsia="en-US"/>
    </w:rPr>
  </w:style>
  <w:style w:type="paragraph" w:customStyle="1" w:styleId="Default">
    <w:name w:val="Default"/>
    <w:link w:val="DefaultChar"/>
    <w:rsid w:val="004B31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bdr w:val="none" w:sz="0" w:space="0" w:color="auto"/>
      <w:lang w:val="en-US" w:eastAsia="en-US"/>
    </w:rPr>
  </w:style>
  <w:style w:type="character" w:customStyle="1" w:styleId="ju-005fpara--char">
    <w:name w:val="ju-005fpara--char"/>
    <w:basedOn w:val="DefaultParagraphFont"/>
    <w:uiPriority w:val="99"/>
    <w:rsid w:val="004B316C"/>
  </w:style>
  <w:style w:type="paragraph" w:customStyle="1" w:styleId="Sinespaciado">
    <w:name w:val="Sin espaciado"/>
    <w:qFormat/>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4B316C"/>
  </w:style>
  <w:style w:type="paragraph" w:styleId="Title">
    <w:name w:val="Title"/>
    <w:basedOn w:val="Normal"/>
    <w:link w:val="Title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4B316C"/>
    <w:rPr>
      <w:i/>
      <w:iCs/>
    </w:rPr>
  </w:style>
  <w:style w:type="character" w:styleId="CommentReference">
    <w:name w:val="annotation reference"/>
    <w:semiHidden/>
    <w:rsid w:val="004B316C"/>
    <w:rPr>
      <w:sz w:val="16"/>
      <w:szCs w:val="16"/>
    </w:rPr>
  </w:style>
  <w:style w:type="paragraph" w:styleId="CommentText">
    <w:name w:val="annotation text"/>
    <w:basedOn w:val="Normal"/>
    <w:link w:val="CommentTextChar"/>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nhideWhenUsed/>
    <w:rsid w:val="005F74FD"/>
    <w:pPr>
      <w:spacing w:after="120" w:line="480" w:lineRule="auto"/>
    </w:pPr>
  </w:style>
  <w:style w:type="character" w:customStyle="1" w:styleId="BodyText2Char">
    <w:name w:val="Body Text 2 Char"/>
    <w:basedOn w:val="DefaultParagraphFont"/>
    <w:link w:val="BodyText2"/>
    <w:semiHidden/>
    <w:rsid w:val="005F74FD"/>
    <w:rPr>
      <w:sz w:val="24"/>
      <w:szCs w:val="24"/>
      <w:lang w:val="en-US" w:eastAsia="en-US"/>
    </w:rPr>
  </w:style>
  <w:style w:type="paragraph" w:styleId="PlainText">
    <w:name w:val="Plain Text"/>
    <w:basedOn w:val="Normal"/>
    <w:link w:val="PlainTextChar"/>
    <w:uiPriority w:val="99"/>
    <w:unhideWhenUsed/>
    <w:rsid w:val="006D5ED9"/>
    <w:rPr>
      <w:rFonts w:ascii="Consolas" w:hAnsi="Consolas" w:cs="Consolas"/>
      <w:sz w:val="21"/>
      <w:szCs w:val="21"/>
    </w:rPr>
  </w:style>
  <w:style w:type="character" w:customStyle="1" w:styleId="PlainTextChar">
    <w:name w:val="Plain Text Char"/>
    <w:basedOn w:val="DefaultParagraphFont"/>
    <w:link w:val="PlainText"/>
    <w:uiPriority w:val="99"/>
    <w:semiHidden/>
    <w:rsid w:val="006D5ED9"/>
    <w:rPr>
      <w:rFonts w:ascii="Consolas" w:hAnsi="Consolas" w:cs="Consolas"/>
      <w:sz w:val="21"/>
      <w:szCs w:val="21"/>
      <w:lang w:val="en-US" w:eastAsia="en-US"/>
    </w:rPr>
  </w:style>
  <w:style w:type="character" w:customStyle="1" w:styleId="ListParagraphChar">
    <w:name w:val="List Paragraph Char"/>
    <w:aliases w:val="Párrafo de lista1 Char,List Paragraph1 Char,Colorful List - Accent 11 Char,List Paragraph11 Char,List Paragraph2 Char"/>
    <w:link w:val="ListParagraph"/>
    <w:uiPriority w:val="99"/>
    <w:locked/>
    <w:rsid w:val="00AA09B7"/>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E40449"/>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E40449"/>
    <w:rPr>
      <w:rFonts w:ascii="Univers" w:hAnsi="Univers" w:cs="Times New Roman"/>
      <w:lang w:val="es-ES_tradnl" w:eastAsia="x-none"/>
    </w:rPr>
  </w:style>
  <w:style w:type="paragraph" w:styleId="Subtitle">
    <w:name w:val="Subtitle"/>
    <w:basedOn w:val="Normal"/>
    <w:link w:val="SubtitleChar"/>
    <w:qFormat/>
    <w:rsid w:val="00E4044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E40449"/>
    <w:rPr>
      <w:rFonts w:ascii="Arial" w:eastAsia="Batang" w:hAnsi="Arial" w:cs="Arial"/>
      <w:sz w:val="24"/>
      <w:szCs w:val="24"/>
      <w:bdr w:val="none" w:sz="0" w:space="0" w:color="auto"/>
      <w:lang w:val="es-ES_tradnl" w:eastAsia="en-US"/>
    </w:rPr>
  </w:style>
  <w:style w:type="paragraph" w:styleId="List2">
    <w:name w:val="List 2"/>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E40449"/>
    <w:rPr>
      <w:sz w:val="24"/>
      <w:lang w:val="en-US" w:eastAsia="en-US"/>
    </w:rPr>
  </w:style>
  <w:style w:type="paragraph" w:styleId="BlockText">
    <w:name w:val="Block Text"/>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E40449"/>
    <w:rPr>
      <w:rFonts w:cs="Times New Roman"/>
      <w:color w:val="800080"/>
      <w:u w:val="single"/>
    </w:rPr>
  </w:style>
  <w:style w:type="character" w:customStyle="1" w:styleId="ifinal011">
    <w:name w:val="ifinal011"/>
    <w:rsid w:val="00E40449"/>
    <w:rPr>
      <w:rFonts w:ascii="Verdana" w:hAnsi="Verdana"/>
      <w:color w:val="003399"/>
      <w:sz w:val="12"/>
    </w:rPr>
  </w:style>
  <w:style w:type="paragraph" w:customStyle="1" w:styleId="PlaceholderText1">
    <w:name w:val="Placeholder Text1"/>
    <w:basedOn w:val="Normal"/>
    <w:rsid w:val="00E4044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E40449"/>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E40449"/>
    <w:pPr>
      <w:keepNex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E40449"/>
    <w:pPr>
      <w:keepNex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E40449"/>
    <w:pPr>
      <w:keepNext/>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E40449"/>
    <w:pPr>
      <w:keepNext/>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E40449"/>
    <w:pPr>
      <w:keepNext/>
      <w:numPr>
        <w:ilvl w:val="5"/>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E40449"/>
    <w:pPr>
      <w:keepNext/>
      <w:numPr>
        <w:ilvl w:val="6"/>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E40449"/>
    <w:pPr>
      <w:keepNext/>
      <w:numPr>
        <w:ilvl w:val="7"/>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E40449"/>
    <w:pPr>
      <w:numPr>
        <w:ilvl w:val="8"/>
        <w:numId w:val="56"/>
      </w:numPr>
      <w:tabs>
        <w:tab w:val="clear" w:pos="5760"/>
      </w:tabs>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E40449"/>
    <w:rPr>
      <w:rFonts w:ascii="Univers" w:eastAsia="Batang" w:hAnsi="Univers"/>
      <w:lang w:val="es-CO" w:eastAsia="en-US" w:bidi="ar-SA"/>
    </w:rPr>
  </w:style>
  <w:style w:type="character" w:customStyle="1" w:styleId="apple-converted-space">
    <w:name w:val="apple-converted-space"/>
    <w:rsid w:val="00E40449"/>
    <w:rPr>
      <w:rFonts w:cs="Times New Roman"/>
    </w:rPr>
  </w:style>
  <w:style w:type="paragraph" w:customStyle="1" w:styleId="Estilo7">
    <w:name w:val="Estilo7"/>
    <w:basedOn w:val="Normal"/>
    <w:rsid w:val="00E40449"/>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E40449"/>
    <w:rPr>
      <w:rFonts w:cs="Times New Roman"/>
    </w:rPr>
  </w:style>
  <w:style w:type="character" w:customStyle="1" w:styleId="skypepnhcontainer">
    <w:name w:val="skype_pnh_container"/>
    <w:rsid w:val="00E40449"/>
    <w:rPr>
      <w:rFonts w:cs="Times New Roman"/>
    </w:rPr>
  </w:style>
  <w:style w:type="character" w:customStyle="1" w:styleId="s6b621b36">
    <w:name w:val="s6b621b36"/>
    <w:rsid w:val="00E40449"/>
    <w:rPr>
      <w:rFonts w:cs="Times New Roman"/>
    </w:rPr>
  </w:style>
  <w:style w:type="character" w:customStyle="1" w:styleId="tituloarticulo1">
    <w:name w:val="titulo_articulo1"/>
    <w:rsid w:val="00E40449"/>
    <w:rPr>
      <w:rFonts w:ascii="Arial" w:hAnsi="Arial"/>
      <w:b/>
      <w:sz w:val="36"/>
    </w:rPr>
  </w:style>
  <w:style w:type="paragraph" w:styleId="CommentSubject">
    <w:name w:val="annotation subject"/>
    <w:basedOn w:val="CommentText"/>
    <w:next w:val="CommentText"/>
    <w:link w:val="CommentSubjectChar"/>
    <w:semiHidden/>
    <w:rsid w:val="00E40449"/>
    <w:rPr>
      <w:rFonts w:ascii="Univers" w:eastAsia="Batang" w:hAnsi="Univers"/>
      <w:sz w:val="22"/>
      <w:lang w:val="es-ES_tradnl"/>
    </w:rPr>
  </w:style>
  <w:style w:type="character" w:customStyle="1" w:styleId="CommentSubjectChar">
    <w:name w:val="Comment Subject Char"/>
    <w:basedOn w:val="CommentTextChar"/>
    <w:link w:val="CommentSubject"/>
    <w:semiHidden/>
    <w:rsid w:val="00E40449"/>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E40449"/>
    <w:rPr>
      <w:rFonts w:ascii="Verdana" w:hAnsi="Verdana"/>
      <w:lang w:val="es-ES_tradnl" w:eastAsia="x-none"/>
    </w:rPr>
  </w:style>
  <w:style w:type="paragraph" w:styleId="Revision">
    <w:name w:val="Revision"/>
    <w:hidden/>
    <w:uiPriority w:val="71"/>
    <w:rsid w:val="00E40449"/>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E40449"/>
  </w:style>
  <w:style w:type="character" w:customStyle="1" w:styleId="DefaultChar">
    <w:name w:val="Default Char"/>
    <w:link w:val="Default"/>
    <w:rsid w:val="00424452"/>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unhideWhenUsed/>
    <w:qFormat/>
    <w:rsid w:val="00526252"/>
    <w:pPr>
      <w:keepLines/>
      <w:numPr>
        <w:numId w:val="0"/>
      </w:numPr>
      <w:spacing w:before="480" w:line="276" w:lineRule="auto"/>
      <w:outlineLvl w:val="9"/>
    </w:pPr>
    <w:rPr>
      <w:rFonts w:eastAsiaTheme="majorEastAsia" w:cstheme="majorBidi"/>
      <w:bCs/>
      <w:color w:val="365F91" w:themeColor="accent1" w:themeShade="BF"/>
      <w:sz w:val="28"/>
      <w:szCs w:val="28"/>
      <w:lang w:val="en-US" w:eastAsia="ja-JP"/>
    </w:rPr>
  </w:style>
  <w:style w:type="paragraph" w:customStyle="1" w:styleId="ColorfulList-Accent12">
    <w:name w:val="Colorful List - Accent 12"/>
    <w:link w:val="ColorfulList-Accent1Char"/>
    <w:uiPriority w:val="34"/>
    <w:qFormat/>
    <w:rsid w:val="005D3C3E"/>
    <w:pPr>
      <w:ind w:left="720"/>
    </w:pPr>
    <w:rPr>
      <w:rFonts w:ascii="Cambria" w:eastAsia="Cambria" w:hAnsi="Cambria" w:cs="Cambria"/>
      <w:color w:val="000000"/>
      <w:u w:color="000000"/>
      <w:lang w:val="en-US"/>
    </w:rPr>
  </w:style>
  <w:style w:type="character" w:customStyle="1" w:styleId="ColorfulList-Accent1Char">
    <w:name w:val="Colorful List - Accent 1 Char"/>
    <w:link w:val="ColorfulList-Accent12"/>
    <w:uiPriority w:val="34"/>
    <w:locked/>
    <w:rsid w:val="005D3C3E"/>
    <w:rPr>
      <w:rFonts w:ascii="Cambria" w:eastAsia="Cambria" w:hAnsi="Cambria" w:cs="Cambria"/>
      <w:color w:val="000000"/>
      <w:sz w:val="24"/>
      <w:szCs w:val="24"/>
      <w:u w:color="000000"/>
      <w:lang w:val="en-US"/>
    </w:rPr>
  </w:style>
  <w:style w:type="paragraph" w:customStyle="1" w:styleId="footnote">
    <w:name w:val="footnote"/>
    <w:basedOn w:val="NormalWeb"/>
    <w:rsid w:val="009E12CB"/>
  </w:style>
  <w:style w:type="character" w:styleId="PlaceholderText">
    <w:name w:val="Placeholder Text"/>
    <w:basedOn w:val="DefaultParagraphFont"/>
    <w:uiPriority w:val="99"/>
    <w:semiHidden/>
    <w:rsid w:val="00C762F5"/>
    <w:rPr>
      <w:color w:val="808080"/>
    </w:rPr>
  </w:style>
  <w:style w:type="character" w:customStyle="1" w:styleId="sb8d990e2">
    <w:name w:val="sb8d990e2"/>
    <w:basedOn w:val="DefaultParagraphFont"/>
    <w:rsid w:val="00417C85"/>
  </w:style>
  <w:style w:type="paragraph" w:styleId="HTMLPreformatted">
    <w:name w:val="HTML Preformatted"/>
    <w:basedOn w:val="Normal"/>
    <w:link w:val="HTMLPreformattedChar"/>
    <w:uiPriority w:val="99"/>
    <w:unhideWhenUsed/>
    <w:rsid w:val="004D264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4D2643"/>
    <w:rPr>
      <w:rFonts w:ascii="Courier New" w:eastAsia="Times New Roman" w:hAnsi="Courier New" w:cs="Courier New"/>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187EE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styleId="EndnoteText">
    <w:name w:val="endnote text"/>
    <w:basedOn w:val="Normal"/>
    <w:link w:val="EndnoteTextChar"/>
    <w:uiPriority w:val="99"/>
    <w:semiHidden/>
    <w:unhideWhenUsed/>
    <w:rsid w:val="00265E2F"/>
    <w:rPr>
      <w:sz w:val="20"/>
      <w:szCs w:val="20"/>
    </w:rPr>
  </w:style>
  <w:style w:type="character" w:customStyle="1" w:styleId="EndnoteTextChar">
    <w:name w:val="Endnote Text Char"/>
    <w:basedOn w:val="DefaultParagraphFont"/>
    <w:link w:val="EndnoteText"/>
    <w:uiPriority w:val="99"/>
    <w:semiHidden/>
    <w:rsid w:val="00265E2F"/>
    <w:rPr>
      <w:lang w:val="en-US" w:eastAsia="en-US"/>
    </w:rPr>
  </w:style>
  <w:style w:type="character" w:styleId="EndnoteReference">
    <w:name w:val="endnote reference"/>
    <w:basedOn w:val="DefaultParagraphFont"/>
    <w:uiPriority w:val="99"/>
    <w:semiHidden/>
    <w:unhideWhenUsed/>
    <w:rsid w:val="00265E2F"/>
    <w:rPr>
      <w:vertAlign w:val="superscript"/>
    </w:rPr>
  </w:style>
  <w:style w:type="table" w:styleId="MediumGrid1">
    <w:name w:val="Medium Grid 1"/>
    <w:basedOn w:val="TableNormal"/>
    <w:uiPriority w:val="67"/>
    <w:rsid w:val="002406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2406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186F0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tyle1Char">
    <w:name w:val="Style1 Char"/>
    <w:link w:val="Style1"/>
    <w:uiPriority w:val="99"/>
    <w:rsid w:val="000F7590"/>
    <w:rPr>
      <w:rFonts w:ascii="Univers" w:eastAsia="Times New Roman" w:hAnsi="Univers"/>
      <w:sz w:val="16"/>
      <w:szCs w:val="16"/>
      <w:u w:color="000000"/>
      <w:bdr w:val="none" w:sz="0" w:space="0" w:color="auto"/>
      <w:lang w:val="es-PY" w:eastAsia="en-US"/>
    </w:rPr>
  </w:style>
  <w:style w:type="paragraph" w:customStyle="1" w:styleId="MediumGrid1-Accent21">
    <w:name w:val="Medium Grid 1 - Accent 21"/>
    <w:uiPriority w:val="34"/>
    <w:qFormat/>
    <w:rsid w:val="003B4DAF"/>
    <w:pPr>
      <w:ind w:left="720"/>
    </w:pPr>
    <w:rPr>
      <w:rFonts w:ascii="Cambria" w:eastAsia="Cambria" w:hAnsi="Cambria" w:cs="Cambria"/>
      <w:color w:val="000000"/>
      <w:u w:color="000000"/>
      <w:lang w:val="en-US"/>
    </w:rPr>
  </w:style>
  <w:style w:type="paragraph" w:styleId="z-TopofForm">
    <w:name w:val="HTML Top of Form"/>
    <w:basedOn w:val="Normal"/>
    <w:next w:val="Normal"/>
    <w:link w:val="z-TopofFormChar"/>
    <w:hidden/>
    <w:uiPriority w:val="99"/>
    <w:semiHidden/>
    <w:unhideWhenUsed/>
    <w:rsid w:val="001F5955"/>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TopofFormChar">
    <w:name w:val="z-Top of Form Char"/>
    <w:basedOn w:val="DefaultParagraphFont"/>
    <w:link w:val="z-TopofForm"/>
    <w:uiPriority w:val="99"/>
    <w:semiHidden/>
    <w:rsid w:val="001F5955"/>
    <w:rPr>
      <w:rFonts w:ascii="Arial" w:eastAsia="Times New Roman" w:hAnsi="Arial" w:cs="Arial"/>
      <w:vanish/>
      <w:sz w:val="16"/>
      <w:szCs w:val="16"/>
      <w:bdr w:val="none" w:sz="0" w:space="0" w:color="auto"/>
      <w:lang w:val="en-US" w:eastAsia="en-US"/>
    </w:rPr>
  </w:style>
  <w:style w:type="paragraph" w:styleId="z-BottomofForm">
    <w:name w:val="HTML Bottom of Form"/>
    <w:basedOn w:val="Normal"/>
    <w:next w:val="Normal"/>
    <w:link w:val="z-BottomofFormChar"/>
    <w:hidden/>
    <w:uiPriority w:val="99"/>
    <w:semiHidden/>
    <w:unhideWhenUsed/>
    <w:rsid w:val="001F5955"/>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BottomofFormChar">
    <w:name w:val="z-Bottom of Form Char"/>
    <w:basedOn w:val="DefaultParagraphFont"/>
    <w:link w:val="z-BottomofForm"/>
    <w:uiPriority w:val="99"/>
    <w:semiHidden/>
    <w:rsid w:val="001F5955"/>
    <w:rPr>
      <w:rFonts w:ascii="Arial" w:eastAsia="Times New Roman" w:hAnsi="Arial" w:cs="Arial"/>
      <w:vanish/>
      <w:sz w:val="16"/>
      <w:szCs w:val="16"/>
      <w:bdr w:val="none" w:sz="0" w:space="0" w:color="auto"/>
      <w:lang w:val="en-US" w:eastAsia="en-US"/>
    </w:rPr>
  </w:style>
  <w:style w:type="paragraph" w:customStyle="1" w:styleId="s30eec3f8">
    <w:name w:val="s30eec3f8"/>
    <w:basedOn w:val="Normal"/>
    <w:rsid w:val="007B20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53D7"/>
    <w:rPr>
      <w:lang w:val="en-US" w:eastAsia="en-US"/>
    </w:rPr>
  </w:style>
  <w:style w:type="paragraph" w:styleId="Heading1">
    <w:name w:val="heading 1"/>
    <w:basedOn w:val="Normal"/>
    <w:next w:val="Normal"/>
    <w:link w:val="Heading1Char"/>
    <w:qFormat/>
    <w:rsid w:val="00E24E60"/>
    <w:pPr>
      <w:keepNext/>
      <w:numPr>
        <w:numId w:val="54"/>
      </w:num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heme="majorHAnsi" w:eastAsia="Times New Roman" w:hAnsiTheme="majorHAnsi"/>
      <w:b/>
      <w:sz w:val="20"/>
      <w:szCs w:val="20"/>
      <w:bdr w:val="none" w:sz="0" w:space="0" w:color="auto"/>
      <w:lang w:val="es-ES_tradnl"/>
    </w:rPr>
  </w:style>
  <w:style w:type="paragraph" w:styleId="Heading2">
    <w:name w:val="heading 2"/>
    <w:basedOn w:val="Normal"/>
    <w:next w:val="Normal"/>
    <w:link w:val="Heading2Char"/>
    <w:uiPriority w:val="9"/>
    <w:qFormat/>
    <w:rsid w:val="00E24E60"/>
    <w:pPr>
      <w:keepNext/>
      <w:numPr>
        <w:ilvl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Theme="majorHAnsi" w:eastAsia="Times New Roman" w:hAnsiTheme="majorHAnsi"/>
      <w:b/>
      <w:sz w:val="20"/>
      <w:szCs w:val="20"/>
      <w:bdr w:val="none" w:sz="0" w:space="0" w:color="auto"/>
      <w:lang w:val="es-ES_tradnl"/>
    </w:rPr>
  </w:style>
  <w:style w:type="paragraph" w:styleId="Heading3">
    <w:name w:val="heading 3"/>
    <w:basedOn w:val="Normal"/>
    <w:next w:val="Normal"/>
    <w:link w:val="Heading3Char"/>
    <w:uiPriority w:val="9"/>
    <w:unhideWhenUsed/>
    <w:qFormat/>
    <w:rsid w:val="004B31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B31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tabs>
        <w:tab w:val="right" w:pos="9020"/>
      </w:tabs>
    </w:pPr>
    <w:rPr>
      <w:rFonts w:ascii="Helvetica" w:hAnsi="Arial Unicode MS" w:cs="Arial Unicode MS"/>
      <w:color w:val="000000"/>
    </w:rPr>
  </w:style>
  <w:style w:type="paragraph" w:styleId="Footer">
    <w:name w:val="footer"/>
    <w:link w:val="FooterChar"/>
    <w:rsid w:val="007753D7"/>
    <w:pPr>
      <w:tabs>
        <w:tab w:val="center" w:pos="4513"/>
        <w:tab w:val="right" w:pos="9026"/>
      </w:tabs>
    </w:pPr>
    <w:rPr>
      <w:rFonts w:ascii="Cambria" w:eastAsia="Cambria" w:hAnsi="Cambria" w:cs="Cambria"/>
      <w:color w:val="000000"/>
      <w:u w:color="000000"/>
      <w:lang w:val="en-US"/>
    </w:rPr>
  </w:style>
  <w:style w:type="paragraph" w:customStyle="1" w:styleId="Cuerpo">
    <w:name w:val="Cuerpo"/>
    <w:rsid w:val="007753D7"/>
    <w:rPr>
      <w:rFonts w:ascii="Cambria" w:eastAsia="Cambria" w:hAnsi="Cambria" w:cs="Cambria"/>
      <w:color w:val="000000"/>
      <w:u w:color="000000"/>
    </w:rPr>
  </w:style>
  <w:style w:type="paragraph" w:styleId="BodyTextIndent">
    <w:name w:val="Body Text Indent"/>
    <w:link w:val="BodyTextIndentChar"/>
    <w:rsid w:val="007753D7"/>
    <w:pPr>
      <w:ind w:left="2160" w:hanging="720"/>
    </w:pPr>
    <w:rPr>
      <w:rFonts w:eastAsia="Times New Roman"/>
      <w:color w:val="000000"/>
      <w:u w:color="000000"/>
      <w:lang w:val="es-ES_tradnl"/>
    </w:rPr>
  </w:style>
  <w:style w:type="paragraph" w:styleId="ListParagraph">
    <w:name w:val="List Paragraph"/>
    <w:aliases w:val="Párrafo de lista1,List Paragraph1,Colorful List - Accent 11,List Paragraph11,List Paragraph2"/>
    <w:link w:val="ListParagraphChar"/>
    <w:uiPriority w:val="99"/>
    <w:qFormat/>
    <w:rsid w:val="007753D7"/>
    <w:pPr>
      <w:ind w:left="720"/>
    </w:pPr>
    <w:rPr>
      <w:rFonts w:ascii="Cambria" w:eastAsia="Cambria" w:hAnsi="Cambria" w:cs="Cambria"/>
      <w:color w:val="000000"/>
      <w:u w:color="000000"/>
      <w:lang w:val="en-U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1">
    <w:name w:val="List 21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1">
    <w:name w:val="List 31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qFormat/>
    <w:rsid w:val="007753D7"/>
    <w:rPr>
      <w:rFonts w:ascii="Calibri" w:eastAsia="Calibri" w:hAnsi="Calibri" w:cs="Calibri"/>
      <w:color w:val="000000"/>
      <w:u w:color="000000"/>
      <w:lang w:val="en-U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1">
    <w:name w:val="List 41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1">
    <w:name w:val="List 51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E24E60"/>
    <w:rPr>
      <w:rFonts w:asciiTheme="majorHAnsi" w:eastAsia="Times New Roman" w:hAnsiTheme="majorHAnsi"/>
      <w:b/>
      <w:sz w:val="20"/>
      <w:szCs w:val="20"/>
      <w:bdr w:val="none" w:sz="0" w:space="0" w:color="auto"/>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0E3549"/>
    <w:pPr>
      <w:tabs>
        <w:tab w:val="left" w:pos="1440"/>
        <w:tab w:val="right" w:leader="dot" w:pos="9350"/>
      </w:tabs>
      <w:spacing w:after="100"/>
      <w:ind w:left="1440" w:hanging="720"/>
    </w:pPr>
    <w:rPr>
      <w:rFonts w:asciiTheme="majorHAnsi" w:hAnsiTheme="majorHAnsi"/>
      <w:b/>
      <w:noProof/>
      <w:sz w:val="20"/>
      <w:szCs w:val="20"/>
      <w:lang w:val="es-CO"/>
    </w:rPr>
  </w:style>
  <w:style w:type="paragraph" w:styleId="TOC1">
    <w:name w:val="toc 1"/>
    <w:basedOn w:val="Normal"/>
    <w:next w:val="Normal"/>
    <w:autoRedefine/>
    <w:uiPriority w:val="39"/>
    <w:unhideWhenUsed/>
    <w:qFormat/>
    <w:rsid w:val="00800842"/>
    <w:pPr>
      <w:tabs>
        <w:tab w:val="left" w:pos="1440"/>
        <w:tab w:val="right" w:leader="dot" w:pos="9440"/>
      </w:tabs>
      <w:spacing w:after="100"/>
    </w:pPr>
    <w:rPr>
      <w:rFonts w:asciiTheme="majorHAnsi" w:hAnsiTheme="majorHAnsi"/>
      <w:b/>
      <w:noProof/>
      <w:sz w:val="20"/>
      <w:szCs w:val="20"/>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A50FCF"/>
    <w:rPr>
      <w:rFonts w:ascii="Cambria" w:eastAsia="Cambria" w:hAnsi="Cambria" w:cs="Cambria"/>
      <w:color w:val="000000"/>
      <w:sz w:val="24"/>
      <w:szCs w:val="24"/>
      <w:u w:color="000000"/>
      <w:lang w:val="en-US"/>
    </w:rPr>
  </w:style>
  <w:style w:type="character" w:customStyle="1" w:styleId="Heading3Char">
    <w:name w:val="Heading 3 Char"/>
    <w:basedOn w:val="DefaultParagraphFont"/>
    <w:link w:val="Heading3"/>
    <w:uiPriority w:val="9"/>
    <w:rsid w:val="004B316C"/>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rsid w:val="00E24E60"/>
    <w:rPr>
      <w:rFonts w:asciiTheme="majorHAnsi" w:eastAsia="Times New Roman" w:hAnsiTheme="majorHAnsi"/>
      <w:b/>
      <w:bdr w:val="none" w:sz="0" w:space="0" w:color="auto"/>
      <w:lang w:val="es-ES_tradnl" w:eastAsia="en-US"/>
    </w:rPr>
  </w:style>
  <w:style w:type="character" w:customStyle="1" w:styleId="Heading4Char">
    <w:name w:val="Heading 4 Char"/>
    <w:basedOn w:val="DefaultParagraphFont"/>
    <w:link w:val="Heading4"/>
    <w:rsid w:val="004B316C"/>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4B316C"/>
    <w:rPr>
      <w:rFonts w:eastAsia="Times New Roman"/>
      <w:sz w:val="22"/>
      <w:bdr w:val="none" w:sz="0" w:space="0" w:color="auto"/>
      <w:lang w:val="en-US" w:eastAsia="en-US"/>
    </w:rPr>
  </w:style>
  <w:style w:type="character" w:customStyle="1" w:styleId="Heading6Char">
    <w:name w:val="Heading 6 Char"/>
    <w:basedOn w:val="DefaultParagraphFont"/>
    <w:link w:val="Heading6"/>
    <w:rsid w:val="004B316C"/>
    <w:rPr>
      <w:rFonts w:eastAsia="Times New Roman"/>
      <w:i/>
      <w:sz w:val="22"/>
      <w:bdr w:val="none" w:sz="0" w:space="0" w:color="auto"/>
      <w:lang w:val="en-US" w:eastAsia="en-US"/>
    </w:rPr>
  </w:style>
  <w:style w:type="character" w:customStyle="1" w:styleId="Heading7Char">
    <w:name w:val="Heading 7 Char"/>
    <w:basedOn w:val="DefaultParagraphFont"/>
    <w:link w:val="Heading7"/>
    <w:rsid w:val="004B316C"/>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4B316C"/>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basedOn w:val="DefaultParagraphFont"/>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basedOn w:val="DefaultParagraphFont"/>
    <w:link w:val="FootnoteText"/>
    <w:qFormat/>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link w:val="BVIfnrCar1CarCarCarCar"/>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link w:val="Style1Char"/>
    <w:autoRedefine/>
    <w:uiPriority w:val="99"/>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0"/>
      <w:szCs w:val="20"/>
      <w:bdr w:val="none" w:sz="0" w:space="0" w:color="auto"/>
    </w:r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4B316C"/>
    <w:rPr>
      <w:rFonts w:eastAsia="Times New Roman"/>
      <w:bdr w:val="none" w:sz="0" w:space="0" w:color="auto"/>
      <w:lang w:val="en-US" w:eastAsia="en-US"/>
    </w:rPr>
  </w:style>
  <w:style w:type="paragraph" w:customStyle="1" w:styleId="Style6">
    <w:name w:val="Style 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4B316C"/>
    <w:rPr>
      <w:rFonts w:eastAsia="Times New Roman"/>
      <w:bdr w:val="none" w:sz="0" w:space="0" w:color="auto"/>
      <w:lang w:val="en-US" w:eastAsia="en-US"/>
    </w:rPr>
  </w:style>
  <w:style w:type="paragraph" w:customStyle="1" w:styleId="Default">
    <w:name w:val="Default"/>
    <w:link w:val="DefaultChar"/>
    <w:rsid w:val="004B31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bdr w:val="none" w:sz="0" w:space="0" w:color="auto"/>
      <w:lang w:val="en-US" w:eastAsia="en-US"/>
    </w:rPr>
  </w:style>
  <w:style w:type="character" w:customStyle="1" w:styleId="ju-005fpara--char">
    <w:name w:val="ju-005fpara--char"/>
    <w:basedOn w:val="DefaultParagraphFont"/>
    <w:uiPriority w:val="99"/>
    <w:rsid w:val="004B316C"/>
  </w:style>
  <w:style w:type="paragraph" w:customStyle="1" w:styleId="Sinespaciado">
    <w:name w:val="Sin espaciado"/>
    <w:qFormat/>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4B316C"/>
  </w:style>
  <w:style w:type="paragraph" w:styleId="Title">
    <w:name w:val="Title"/>
    <w:basedOn w:val="Normal"/>
    <w:link w:val="Title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4B316C"/>
    <w:rPr>
      <w:i/>
      <w:iCs/>
    </w:rPr>
  </w:style>
  <w:style w:type="character" w:styleId="CommentReference">
    <w:name w:val="annotation reference"/>
    <w:semiHidden/>
    <w:rsid w:val="004B316C"/>
    <w:rPr>
      <w:sz w:val="16"/>
      <w:szCs w:val="16"/>
    </w:rPr>
  </w:style>
  <w:style w:type="paragraph" w:styleId="CommentText">
    <w:name w:val="annotation text"/>
    <w:basedOn w:val="Normal"/>
    <w:link w:val="CommentTextChar"/>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nhideWhenUsed/>
    <w:rsid w:val="005F74FD"/>
    <w:pPr>
      <w:spacing w:after="120" w:line="480" w:lineRule="auto"/>
    </w:pPr>
  </w:style>
  <w:style w:type="character" w:customStyle="1" w:styleId="BodyText2Char">
    <w:name w:val="Body Text 2 Char"/>
    <w:basedOn w:val="DefaultParagraphFont"/>
    <w:link w:val="BodyText2"/>
    <w:semiHidden/>
    <w:rsid w:val="005F74FD"/>
    <w:rPr>
      <w:sz w:val="24"/>
      <w:szCs w:val="24"/>
      <w:lang w:val="en-US" w:eastAsia="en-US"/>
    </w:rPr>
  </w:style>
  <w:style w:type="paragraph" w:styleId="PlainText">
    <w:name w:val="Plain Text"/>
    <w:basedOn w:val="Normal"/>
    <w:link w:val="PlainTextChar"/>
    <w:uiPriority w:val="99"/>
    <w:unhideWhenUsed/>
    <w:rsid w:val="006D5ED9"/>
    <w:rPr>
      <w:rFonts w:ascii="Consolas" w:hAnsi="Consolas" w:cs="Consolas"/>
      <w:sz w:val="21"/>
      <w:szCs w:val="21"/>
    </w:rPr>
  </w:style>
  <w:style w:type="character" w:customStyle="1" w:styleId="PlainTextChar">
    <w:name w:val="Plain Text Char"/>
    <w:basedOn w:val="DefaultParagraphFont"/>
    <w:link w:val="PlainText"/>
    <w:uiPriority w:val="99"/>
    <w:semiHidden/>
    <w:rsid w:val="006D5ED9"/>
    <w:rPr>
      <w:rFonts w:ascii="Consolas" w:hAnsi="Consolas" w:cs="Consolas"/>
      <w:sz w:val="21"/>
      <w:szCs w:val="21"/>
      <w:lang w:val="en-US" w:eastAsia="en-US"/>
    </w:rPr>
  </w:style>
  <w:style w:type="character" w:customStyle="1" w:styleId="ListParagraphChar">
    <w:name w:val="List Paragraph Char"/>
    <w:aliases w:val="Párrafo de lista1 Char,List Paragraph1 Char,Colorful List - Accent 11 Char,List Paragraph11 Char,List Paragraph2 Char"/>
    <w:link w:val="ListParagraph"/>
    <w:uiPriority w:val="99"/>
    <w:locked/>
    <w:rsid w:val="00AA09B7"/>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E40449"/>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E40449"/>
    <w:rPr>
      <w:rFonts w:ascii="Univers" w:hAnsi="Univers" w:cs="Times New Roman"/>
      <w:lang w:val="es-ES_tradnl" w:eastAsia="x-none"/>
    </w:rPr>
  </w:style>
  <w:style w:type="paragraph" w:styleId="Subtitle">
    <w:name w:val="Subtitle"/>
    <w:basedOn w:val="Normal"/>
    <w:link w:val="SubtitleChar"/>
    <w:qFormat/>
    <w:rsid w:val="00E4044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E40449"/>
    <w:rPr>
      <w:rFonts w:ascii="Arial" w:eastAsia="Batang" w:hAnsi="Arial" w:cs="Arial"/>
      <w:sz w:val="24"/>
      <w:szCs w:val="24"/>
      <w:bdr w:val="none" w:sz="0" w:space="0" w:color="auto"/>
      <w:lang w:val="es-ES_tradnl" w:eastAsia="en-US"/>
    </w:rPr>
  </w:style>
  <w:style w:type="paragraph" w:styleId="List2">
    <w:name w:val="List 2"/>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E40449"/>
    <w:rPr>
      <w:sz w:val="24"/>
      <w:lang w:val="en-US" w:eastAsia="en-US"/>
    </w:rPr>
  </w:style>
  <w:style w:type="paragraph" w:styleId="BlockText">
    <w:name w:val="Block Text"/>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E40449"/>
    <w:rPr>
      <w:rFonts w:cs="Times New Roman"/>
      <w:color w:val="800080"/>
      <w:u w:val="single"/>
    </w:rPr>
  </w:style>
  <w:style w:type="character" w:customStyle="1" w:styleId="ifinal011">
    <w:name w:val="ifinal011"/>
    <w:rsid w:val="00E40449"/>
    <w:rPr>
      <w:rFonts w:ascii="Verdana" w:hAnsi="Verdana"/>
      <w:color w:val="003399"/>
      <w:sz w:val="12"/>
    </w:rPr>
  </w:style>
  <w:style w:type="paragraph" w:customStyle="1" w:styleId="PlaceholderText1">
    <w:name w:val="Placeholder Text1"/>
    <w:basedOn w:val="Normal"/>
    <w:rsid w:val="00E4044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E40449"/>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E40449"/>
    <w:pPr>
      <w:keepNex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E40449"/>
    <w:pPr>
      <w:keepNex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E40449"/>
    <w:pPr>
      <w:keepNext/>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E40449"/>
    <w:pPr>
      <w:keepNext/>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E40449"/>
    <w:pPr>
      <w:keepNext/>
      <w:numPr>
        <w:ilvl w:val="5"/>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E40449"/>
    <w:pPr>
      <w:keepNext/>
      <w:numPr>
        <w:ilvl w:val="6"/>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E40449"/>
    <w:pPr>
      <w:keepNext/>
      <w:numPr>
        <w:ilvl w:val="7"/>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E40449"/>
    <w:pPr>
      <w:numPr>
        <w:ilvl w:val="8"/>
        <w:numId w:val="56"/>
      </w:numPr>
      <w:tabs>
        <w:tab w:val="clear" w:pos="5760"/>
      </w:tabs>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E40449"/>
    <w:rPr>
      <w:rFonts w:ascii="Univers" w:eastAsia="Batang" w:hAnsi="Univers"/>
      <w:lang w:val="es-CO" w:eastAsia="en-US" w:bidi="ar-SA"/>
    </w:rPr>
  </w:style>
  <w:style w:type="character" w:customStyle="1" w:styleId="apple-converted-space">
    <w:name w:val="apple-converted-space"/>
    <w:rsid w:val="00E40449"/>
    <w:rPr>
      <w:rFonts w:cs="Times New Roman"/>
    </w:rPr>
  </w:style>
  <w:style w:type="paragraph" w:customStyle="1" w:styleId="Estilo7">
    <w:name w:val="Estilo7"/>
    <w:basedOn w:val="Normal"/>
    <w:rsid w:val="00E40449"/>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E40449"/>
    <w:rPr>
      <w:rFonts w:cs="Times New Roman"/>
    </w:rPr>
  </w:style>
  <w:style w:type="character" w:customStyle="1" w:styleId="skypepnhcontainer">
    <w:name w:val="skype_pnh_container"/>
    <w:rsid w:val="00E40449"/>
    <w:rPr>
      <w:rFonts w:cs="Times New Roman"/>
    </w:rPr>
  </w:style>
  <w:style w:type="character" w:customStyle="1" w:styleId="s6b621b36">
    <w:name w:val="s6b621b36"/>
    <w:rsid w:val="00E40449"/>
    <w:rPr>
      <w:rFonts w:cs="Times New Roman"/>
    </w:rPr>
  </w:style>
  <w:style w:type="character" w:customStyle="1" w:styleId="tituloarticulo1">
    <w:name w:val="titulo_articulo1"/>
    <w:rsid w:val="00E40449"/>
    <w:rPr>
      <w:rFonts w:ascii="Arial" w:hAnsi="Arial"/>
      <w:b/>
      <w:sz w:val="36"/>
    </w:rPr>
  </w:style>
  <w:style w:type="paragraph" w:styleId="CommentSubject">
    <w:name w:val="annotation subject"/>
    <w:basedOn w:val="CommentText"/>
    <w:next w:val="CommentText"/>
    <w:link w:val="CommentSubjectChar"/>
    <w:semiHidden/>
    <w:rsid w:val="00E40449"/>
    <w:rPr>
      <w:rFonts w:ascii="Univers" w:eastAsia="Batang" w:hAnsi="Univers"/>
      <w:sz w:val="22"/>
      <w:lang w:val="es-ES_tradnl"/>
    </w:rPr>
  </w:style>
  <w:style w:type="character" w:customStyle="1" w:styleId="CommentSubjectChar">
    <w:name w:val="Comment Subject Char"/>
    <w:basedOn w:val="CommentTextChar"/>
    <w:link w:val="CommentSubject"/>
    <w:semiHidden/>
    <w:rsid w:val="00E40449"/>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E40449"/>
    <w:rPr>
      <w:rFonts w:ascii="Verdana" w:hAnsi="Verdana"/>
      <w:lang w:val="es-ES_tradnl" w:eastAsia="x-none"/>
    </w:rPr>
  </w:style>
  <w:style w:type="paragraph" w:styleId="Revision">
    <w:name w:val="Revision"/>
    <w:hidden/>
    <w:uiPriority w:val="71"/>
    <w:rsid w:val="00E40449"/>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E40449"/>
  </w:style>
  <w:style w:type="character" w:customStyle="1" w:styleId="DefaultChar">
    <w:name w:val="Default Char"/>
    <w:link w:val="Default"/>
    <w:rsid w:val="00424452"/>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unhideWhenUsed/>
    <w:qFormat/>
    <w:rsid w:val="00526252"/>
    <w:pPr>
      <w:keepLines/>
      <w:numPr>
        <w:numId w:val="0"/>
      </w:numPr>
      <w:spacing w:before="480" w:line="276" w:lineRule="auto"/>
      <w:outlineLvl w:val="9"/>
    </w:pPr>
    <w:rPr>
      <w:rFonts w:eastAsiaTheme="majorEastAsia" w:cstheme="majorBidi"/>
      <w:bCs/>
      <w:color w:val="365F91" w:themeColor="accent1" w:themeShade="BF"/>
      <w:sz w:val="28"/>
      <w:szCs w:val="28"/>
      <w:lang w:val="en-US" w:eastAsia="ja-JP"/>
    </w:rPr>
  </w:style>
  <w:style w:type="paragraph" w:customStyle="1" w:styleId="ColorfulList-Accent12">
    <w:name w:val="Colorful List - Accent 12"/>
    <w:link w:val="ColorfulList-Accent1Char"/>
    <w:uiPriority w:val="34"/>
    <w:qFormat/>
    <w:rsid w:val="005D3C3E"/>
    <w:pPr>
      <w:ind w:left="720"/>
    </w:pPr>
    <w:rPr>
      <w:rFonts w:ascii="Cambria" w:eastAsia="Cambria" w:hAnsi="Cambria" w:cs="Cambria"/>
      <w:color w:val="000000"/>
      <w:u w:color="000000"/>
      <w:lang w:val="en-US"/>
    </w:rPr>
  </w:style>
  <w:style w:type="character" w:customStyle="1" w:styleId="ColorfulList-Accent1Char">
    <w:name w:val="Colorful List - Accent 1 Char"/>
    <w:link w:val="ColorfulList-Accent12"/>
    <w:uiPriority w:val="34"/>
    <w:locked/>
    <w:rsid w:val="005D3C3E"/>
    <w:rPr>
      <w:rFonts w:ascii="Cambria" w:eastAsia="Cambria" w:hAnsi="Cambria" w:cs="Cambria"/>
      <w:color w:val="000000"/>
      <w:sz w:val="24"/>
      <w:szCs w:val="24"/>
      <w:u w:color="000000"/>
      <w:lang w:val="en-US"/>
    </w:rPr>
  </w:style>
  <w:style w:type="paragraph" w:customStyle="1" w:styleId="footnote">
    <w:name w:val="footnote"/>
    <w:basedOn w:val="NormalWeb"/>
    <w:rsid w:val="009E12CB"/>
  </w:style>
  <w:style w:type="character" w:styleId="PlaceholderText">
    <w:name w:val="Placeholder Text"/>
    <w:basedOn w:val="DefaultParagraphFont"/>
    <w:uiPriority w:val="99"/>
    <w:semiHidden/>
    <w:rsid w:val="00C762F5"/>
    <w:rPr>
      <w:color w:val="808080"/>
    </w:rPr>
  </w:style>
  <w:style w:type="character" w:customStyle="1" w:styleId="sb8d990e2">
    <w:name w:val="sb8d990e2"/>
    <w:basedOn w:val="DefaultParagraphFont"/>
    <w:rsid w:val="00417C85"/>
  </w:style>
  <w:style w:type="paragraph" w:styleId="HTMLPreformatted">
    <w:name w:val="HTML Preformatted"/>
    <w:basedOn w:val="Normal"/>
    <w:link w:val="HTMLPreformattedChar"/>
    <w:uiPriority w:val="99"/>
    <w:unhideWhenUsed/>
    <w:rsid w:val="004D264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4D2643"/>
    <w:rPr>
      <w:rFonts w:ascii="Courier New" w:eastAsia="Times New Roman" w:hAnsi="Courier New" w:cs="Courier New"/>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187EE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styleId="EndnoteText">
    <w:name w:val="endnote text"/>
    <w:basedOn w:val="Normal"/>
    <w:link w:val="EndnoteTextChar"/>
    <w:uiPriority w:val="99"/>
    <w:semiHidden/>
    <w:unhideWhenUsed/>
    <w:rsid w:val="00265E2F"/>
    <w:rPr>
      <w:sz w:val="20"/>
      <w:szCs w:val="20"/>
    </w:rPr>
  </w:style>
  <w:style w:type="character" w:customStyle="1" w:styleId="EndnoteTextChar">
    <w:name w:val="Endnote Text Char"/>
    <w:basedOn w:val="DefaultParagraphFont"/>
    <w:link w:val="EndnoteText"/>
    <w:uiPriority w:val="99"/>
    <w:semiHidden/>
    <w:rsid w:val="00265E2F"/>
    <w:rPr>
      <w:lang w:val="en-US" w:eastAsia="en-US"/>
    </w:rPr>
  </w:style>
  <w:style w:type="character" w:styleId="EndnoteReference">
    <w:name w:val="endnote reference"/>
    <w:basedOn w:val="DefaultParagraphFont"/>
    <w:uiPriority w:val="99"/>
    <w:semiHidden/>
    <w:unhideWhenUsed/>
    <w:rsid w:val="00265E2F"/>
    <w:rPr>
      <w:vertAlign w:val="superscript"/>
    </w:rPr>
  </w:style>
  <w:style w:type="table" w:styleId="MediumGrid1">
    <w:name w:val="Medium Grid 1"/>
    <w:basedOn w:val="TableNormal"/>
    <w:uiPriority w:val="67"/>
    <w:rsid w:val="002406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2406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186F0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tyle1Char">
    <w:name w:val="Style1 Char"/>
    <w:link w:val="Style1"/>
    <w:uiPriority w:val="99"/>
    <w:rsid w:val="000F7590"/>
    <w:rPr>
      <w:rFonts w:ascii="Univers" w:eastAsia="Times New Roman" w:hAnsi="Univers"/>
      <w:sz w:val="16"/>
      <w:szCs w:val="16"/>
      <w:u w:color="000000"/>
      <w:bdr w:val="none" w:sz="0" w:space="0" w:color="auto"/>
      <w:lang w:val="es-PY" w:eastAsia="en-US"/>
    </w:rPr>
  </w:style>
  <w:style w:type="paragraph" w:customStyle="1" w:styleId="MediumGrid1-Accent21">
    <w:name w:val="Medium Grid 1 - Accent 21"/>
    <w:uiPriority w:val="34"/>
    <w:qFormat/>
    <w:rsid w:val="003B4DAF"/>
    <w:pPr>
      <w:ind w:left="720"/>
    </w:pPr>
    <w:rPr>
      <w:rFonts w:ascii="Cambria" w:eastAsia="Cambria" w:hAnsi="Cambria" w:cs="Cambria"/>
      <w:color w:val="000000"/>
      <w:u w:color="000000"/>
      <w:lang w:val="en-US"/>
    </w:rPr>
  </w:style>
  <w:style w:type="paragraph" w:styleId="z-TopofForm">
    <w:name w:val="HTML Top of Form"/>
    <w:basedOn w:val="Normal"/>
    <w:next w:val="Normal"/>
    <w:link w:val="z-TopofFormChar"/>
    <w:hidden/>
    <w:uiPriority w:val="99"/>
    <w:semiHidden/>
    <w:unhideWhenUsed/>
    <w:rsid w:val="001F5955"/>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TopofFormChar">
    <w:name w:val="z-Top of Form Char"/>
    <w:basedOn w:val="DefaultParagraphFont"/>
    <w:link w:val="z-TopofForm"/>
    <w:uiPriority w:val="99"/>
    <w:semiHidden/>
    <w:rsid w:val="001F5955"/>
    <w:rPr>
      <w:rFonts w:ascii="Arial" w:eastAsia="Times New Roman" w:hAnsi="Arial" w:cs="Arial"/>
      <w:vanish/>
      <w:sz w:val="16"/>
      <w:szCs w:val="16"/>
      <w:bdr w:val="none" w:sz="0" w:space="0" w:color="auto"/>
      <w:lang w:val="en-US" w:eastAsia="en-US"/>
    </w:rPr>
  </w:style>
  <w:style w:type="paragraph" w:styleId="z-BottomofForm">
    <w:name w:val="HTML Bottom of Form"/>
    <w:basedOn w:val="Normal"/>
    <w:next w:val="Normal"/>
    <w:link w:val="z-BottomofFormChar"/>
    <w:hidden/>
    <w:uiPriority w:val="99"/>
    <w:semiHidden/>
    <w:unhideWhenUsed/>
    <w:rsid w:val="001F5955"/>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BottomofFormChar">
    <w:name w:val="z-Bottom of Form Char"/>
    <w:basedOn w:val="DefaultParagraphFont"/>
    <w:link w:val="z-BottomofForm"/>
    <w:uiPriority w:val="99"/>
    <w:semiHidden/>
    <w:rsid w:val="001F5955"/>
    <w:rPr>
      <w:rFonts w:ascii="Arial" w:eastAsia="Times New Roman" w:hAnsi="Arial" w:cs="Arial"/>
      <w:vanish/>
      <w:sz w:val="16"/>
      <w:szCs w:val="16"/>
      <w:bdr w:val="none" w:sz="0" w:space="0" w:color="auto"/>
      <w:lang w:val="en-US" w:eastAsia="en-US"/>
    </w:rPr>
  </w:style>
  <w:style w:type="paragraph" w:customStyle="1" w:styleId="s30eec3f8">
    <w:name w:val="s30eec3f8"/>
    <w:basedOn w:val="Normal"/>
    <w:rsid w:val="007B20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900">
      <w:bodyDiv w:val="1"/>
      <w:marLeft w:val="0"/>
      <w:marRight w:val="0"/>
      <w:marTop w:val="0"/>
      <w:marBottom w:val="0"/>
      <w:divBdr>
        <w:top w:val="none" w:sz="0" w:space="0" w:color="auto"/>
        <w:left w:val="none" w:sz="0" w:space="0" w:color="auto"/>
        <w:bottom w:val="none" w:sz="0" w:space="0" w:color="auto"/>
        <w:right w:val="none" w:sz="0" w:space="0" w:color="auto"/>
      </w:divBdr>
      <w:divsChild>
        <w:div w:id="1614703790">
          <w:marLeft w:val="0"/>
          <w:marRight w:val="0"/>
          <w:marTop w:val="0"/>
          <w:marBottom w:val="0"/>
          <w:divBdr>
            <w:top w:val="none" w:sz="0" w:space="0" w:color="auto"/>
            <w:left w:val="none" w:sz="0" w:space="0" w:color="auto"/>
            <w:bottom w:val="none" w:sz="0" w:space="0" w:color="auto"/>
            <w:right w:val="none" w:sz="0" w:space="0" w:color="auto"/>
          </w:divBdr>
          <w:divsChild>
            <w:div w:id="1615555170">
              <w:marLeft w:val="0"/>
              <w:marRight w:val="0"/>
              <w:marTop w:val="0"/>
              <w:marBottom w:val="0"/>
              <w:divBdr>
                <w:top w:val="none" w:sz="0" w:space="0" w:color="auto"/>
                <w:left w:val="none" w:sz="0" w:space="0" w:color="auto"/>
                <w:bottom w:val="none" w:sz="0" w:space="0" w:color="auto"/>
                <w:right w:val="none" w:sz="0" w:space="0" w:color="auto"/>
              </w:divBdr>
              <w:divsChild>
                <w:div w:id="17087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5586">
      <w:bodyDiv w:val="1"/>
      <w:marLeft w:val="0"/>
      <w:marRight w:val="0"/>
      <w:marTop w:val="0"/>
      <w:marBottom w:val="0"/>
      <w:divBdr>
        <w:top w:val="none" w:sz="0" w:space="0" w:color="auto"/>
        <w:left w:val="none" w:sz="0" w:space="0" w:color="auto"/>
        <w:bottom w:val="none" w:sz="0" w:space="0" w:color="auto"/>
        <w:right w:val="none" w:sz="0" w:space="0" w:color="auto"/>
      </w:divBdr>
      <w:divsChild>
        <w:div w:id="1353456201">
          <w:marLeft w:val="0"/>
          <w:marRight w:val="0"/>
          <w:marTop w:val="0"/>
          <w:marBottom w:val="0"/>
          <w:divBdr>
            <w:top w:val="none" w:sz="0" w:space="0" w:color="auto"/>
            <w:left w:val="none" w:sz="0" w:space="0" w:color="auto"/>
            <w:bottom w:val="none" w:sz="0" w:space="0" w:color="auto"/>
            <w:right w:val="none" w:sz="0" w:space="0" w:color="auto"/>
          </w:divBdr>
          <w:divsChild>
            <w:div w:id="1301301712">
              <w:marLeft w:val="0"/>
              <w:marRight w:val="0"/>
              <w:marTop w:val="0"/>
              <w:marBottom w:val="0"/>
              <w:divBdr>
                <w:top w:val="none" w:sz="0" w:space="0" w:color="auto"/>
                <w:left w:val="none" w:sz="0" w:space="0" w:color="auto"/>
                <w:bottom w:val="none" w:sz="0" w:space="0" w:color="auto"/>
                <w:right w:val="none" w:sz="0" w:space="0" w:color="auto"/>
              </w:divBdr>
              <w:divsChild>
                <w:div w:id="13789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3949">
      <w:bodyDiv w:val="1"/>
      <w:marLeft w:val="0"/>
      <w:marRight w:val="0"/>
      <w:marTop w:val="0"/>
      <w:marBottom w:val="0"/>
      <w:divBdr>
        <w:top w:val="none" w:sz="0" w:space="0" w:color="auto"/>
        <w:left w:val="none" w:sz="0" w:space="0" w:color="auto"/>
        <w:bottom w:val="none" w:sz="0" w:space="0" w:color="auto"/>
        <w:right w:val="none" w:sz="0" w:space="0" w:color="auto"/>
      </w:divBdr>
      <w:divsChild>
        <w:div w:id="2063870308">
          <w:marLeft w:val="0"/>
          <w:marRight w:val="0"/>
          <w:marTop w:val="0"/>
          <w:marBottom w:val="0"/>
          <w:divBdr>
            <w:top w:val="none" w:sz="0" w:space="0" w:color="auto"/>
            <w:left w:val="none" w:sz="0" w:space="0" w:color="auto"/>
            <w:bottom w:val="none" w:sz="0" w:space="0" w:color="auto"/>
            <w:right w:val="none" w:sz="0" w:space="0" w:color="auto"/>
          </w:divBdr>
          <w:divsChild>
            <w:div w:id="1778405652">
              <w:marLeft w:val="0"/>
              <w:marRight w:val="0"/>
              <w:marTop w:val="0"/>
              <w:marBottom w:val="0"/>
              <w:divBdr>
                <w:top w:val="none" w:sz="0" w:space="0" w:color="auto"/>
                <w:left w:val="none" w:sz="0" w:space="0" w:color="auto"/>
                <w:bottom w:val="none" w:sz="0" w:space="0" w:color="auto"/>
                <w:right w:val="none" w:sz="0" w:space="0" w:color="auto"/>
              </w:divBdr>
              <w:divsChild>
                <w:div w:id="872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3612">
      <w:bodyDiv w:val="1"/>
      <w:marLeft w:val="0"/>
      <w:marRight w:val="0"/>
      <w:marTop w:val="0"/>
      <w:marBottom w:val="0"/>
      <w:divBdr>
        <w:top w:val="none" w:sz="0" w:space="0" w:color="auto"/>
        <w:left w:val="none" w:sz="0" w:space="0" w:color="auto"/>
        <w:bottom w:val="none" w:sz="0" w:space="0" w:color="auto"/>
        <w:right w:val="none" w:sz="0" w:space="0" w:color="auto"/>
      </w:divBdr>
    </w:div>
    <w:div w:id="125125692">
      <w:bodyDiv w:val="1"/>
      <w:marLeft w:val="0"/>
      <w:marRight w:val="0"/>
      <w:marTop w:val="0"/>
      <w:marBottom w:val="0"/>
      <w:divBdr>
        <w:top w:val="none" w:sz="0" w:space="0" w:color="auto"/>
        <w:left w:val="none" w:sz="0" w:space="0" w:color="auto"/>
        <w:bottom w:val="none" w:sz="0" w:space="0" w:color="auto"/>
        <w:right w:val="none" w:sz="0" w:space="0" w:color="auto"/>
      </w:divBdr>
    </w:div>
    <w:div w:id="128473114">
      <w:bodyDiv w:val="1"/>
      <w:marLeft w:val="0"/>
      <w:marRight w:val="0"/>
      <w:marTop w:val="0"/>
      <w:marBottom w:val="0"/>
      <w:divBdr>
        <w:top w:val="none" w:sz="0" w:space="0" w:color="auto"/>
        <w:left w:val="none" w:sz="0" w:space="0" w:color="auto"/>
        <w:bottom w:val="none" w:sz="0" w:space="0" w:color="auto"/>
        <w:right w:val="none" w:sz="0" w:space="0" w:color="auto"/>
      </w:divBdr>
    </w:div>
    <w:div w:id="182089093">
      <w:bodyDiv w:val="1"/>
      <w:marLeft w:val="0"/>
      <w:marRight w:val="0"/>
      <w:marTop w:val="0"/>
      <w:marBottom w:val="0"/>
      <w:divBdr>
        <w:top w:val="none" w:sz="0" w:space="0" w:color="auto"/>
        <w:left w:val="none" w:sz="0" w:space="0" w:color="auto"/>
        <w:bottom w:val="none" w:sz="0" w:space="0" w:color="auto"/>
        <w:right w:val="none" w:sz="0" w:space="0" w:color="auto"/>
      </w:divBdr>
    </w:div>
    <w:div w:id="217208730">
      <w:bodyDiv w:val="1"/>
      <w:marLeft w:val="0"/>
      <w:marRight w:val="0"/>
      <w:marTop w:val="0"/>
      <w:marBottom w:val="0"/>
      <w:divBdr>
        <w:top w:val="none" w:sz="0" w:space="0" w:color="auto"/>
        <w:left w:val="none" w:sz="0" w:space="0" w:color="auto"/>
        <w:bottom w:val="none" w:sz="0" w:space="0" w:color="auto"/>
        <w:right w:val="none" w:sz="0" w:space="0" w:color="auto"/>
      </w:divBdr>
      <w:divsChild>
        <w:div w:id="226035566">
          <w:marLeft w:val="0"/>
          <w:marRight w:val="0"/>
          <w:marTop w:val="0"/>
          <w:marBottom w:val="0"/>
          <w:divBdr>
            <w:top w:val="none" w:sz="0" w:space="0" w:color="auto"/>
            <w:left w:val="none" w:sz="0" w:space="0" w:color="auto"/>
            <w:bottom w:val="none" w:sz="0" w:space="0" w:color="auto"/>
            <w:right w:val="none" w:sz="0" w:space="0" w:color="auto"/>
          </w:divBdr>
          <w:divsChild>
            <w:div w:id="1873301713">
              <w:marLeft w:val="0"/>
              <w:marRight w:val="0"/>
              <w:marTop w:val="0"/>
              <w:marBottom w:val="0"/>
              <w:divBdr>
                <w:top w:val="none" w:sz="0" w:space="0" w:color="auto"/>
                <w:left w:val="none" w:sz="0" w:space="0" w:color="auto"/>
                <w:bottom w:val="none" w:sz="0" w:space="0" w:color="auto"/>
                <w:right w:val="none" w:sz="0" w:space="0" w:color="auto"/>
              </w:divBdr>
              <w:divsChild>
                <w:div w:id="10421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7795">
      <w:bodyDiv w:val="1"/>
      <w:marLeft w:val="0"/>
      <w:marRight w:val="0"/>
      <w:marTop w:val="0"/>
      <w:marBottom w:val="0"/>
      <w:divBdr>
        <w:top w:val="none" w:sz="0" w:space="0" w:color="auto"/>
        <w:left w:val="none" w:sz="0" w:space="0" w:color="auto"/>
        <w:bottom w:val="none" w:sz="0" w:space="0" w:color="auto"/>
        <w:right w:val="none" w:sz="0" w:space="0" w:color="auto"/>
      </w:divBdr>
      <w:divsChild>
        <w:div w:id="615672209">
          <w:marLeft w:val="0"/>
          <w:marRight w:val="0"/>
          <w:marTop w:val="0"/>
          <w:marBottom w:val="0"/>
          <w:divBdr>
            <w:top w:val="none" w:sz="0" w:space="0" w:color="auto"/>
            <w:left w:val="none" w:sz="0" w:space="0" w:color="auto"/>
            <w:bottom w:val="none" w:sz="0" w:space="0" w:color="auto"/>
            <w:right w:val="none" w:sz="0" w:space="0" w:color="auto"/>
          </w:divBdr>
          <w:divsChild>
            <w:div w:id="488667486">
              <w:marLeft w:val="0"/>
              <w:marRight w:val="0"/>
              <w:marTop w:val="0"/>
              <w:marBottom w:val="0"/>
              <w:divBdr>
                <w:top w:val="none" w:sz="0" w:space="0" w:color="auto"/>
                <w:left w:val="none" w:sz="0" w:space="0" w:color="auto"/>
                <w:bottom w:val="none" w:sz="0" w:space="0" w:color="auto"/>
                <w:right w:val="none" w:sz="0" w:space="0" w:color="auto"/>
              </w:divBdr>
              <w:divsChild>
                <w:div w:id="5353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79240">
      <w:bodyDiv w:val="1"/>
      <w:marLeft w:val="0"/>
      <w:marRight w:val="0"/>
      <w:marTop w:val="0"/>
      <w:marBottom w:val="0"/>
      <w:divBdr>
        <w:top w:val="none" w:sz="0" w:space="0" w:color="auto"/>
        <w:left w:val="none" w:sz="0" w:space="0" w:color="auto"/>
        <w:bottom w:val="none" w:sz="0" w:space="0" w:color="auto"/>
        <w:right w:val="none" w:sz="0" w:space="0" w:color="auto"/>
      </w:divBdr>
    </w:div>
    <w:div w:id="258100335">
      <w:bodyDiv w:val="1"/>
      <w:marLeft w:val="0"/>
      <w:marRight w:val="0"/>
      <w:marTop w:val="0"/>
      <w:marBottom w:val="0"/>
      <w:divBdr>
        <w:top w:val="none" w:sz="0" w:space="0" w:color="auto"/>
        <w:left w:val="none" w:sz="0" w:space="0" w:color="auto"/>
        <w:bottom w:val="none" w:sz="0" w:space="0" w:color="auto"/>
        <w:right w:val="none" w:sz="0" w:space="0" w:color="auto"/>
      </w:divBdr>
    </w:div>
    <w:div w:id="276060335">
      <w:bodyDiv w:val="1"/>
      <w:marLeft w:val="0"/>
      <w:marRight w:val="0"/>
      <w:marTop w:val="0"/>
      <w:marBottom w:val="0"/>
      <w:divBdr>
        <w:top w:val="none" w:sz="0" w:space="0" w:color="auto"/>
        <w:left w:val="none" w:sz="0" w:space="0" w:color="auto"/>
        <w:bottom w:val="none" w:sz="0" w:space="0" w:color="auto"/>
        <w:right w:val="none" w:sz="0" w:space="0" w:color="auto"/>
      </w:divBdr>
    </w:div>
    <w:div w:id="285085130">
      <w:bodyDiv w:val="1"/>
      <w:marLeft w:val="0"/>
      <w:marRight w:val="0"/>
      <w:marTop w:val="0"/>
      <w:marBottom w:val="0"/>
      <w:divBdr>
        <w:top w:val="none" w:sz="0" w:space="0" w:color="auto"/>
        <w:left w:val="none" w:sz="0" w:space="0" w:color="auto"/>
        <w:bottom w:val="none" w:sz="0" w:space="0" w:color="auto"/>
        <w:right w:val="none" w:sz="0" w:space="0" w:color="auto"/>
      </w:divBdr>
    </w:div>
    <w:div w:id="304041971">
      <w:bodyDiv w:val="1"/>
      <w:marLeft w:val="0"/>
      <w:marRight w:val="0"/>
      <w:marTop w:val="0"/>
      <w:marBottom w:val="0"/>
      <w:divBdr>
        <w:top w:val="none" w:sz="0" w:space="0" w:color="auto"/>
        <w:left w:val="none" w:sz="0" w:space="0" w:color="auto"/>
        <w:bottom w:val="none" w:sz="0" w:space="0" w:color="auto"/>
        <w:right w:val="none" w:sz="0" w:space="0" w:color="auto"/>
      </w:divBdr>
    </w:div>
    <w:div w:id="362901482">
      <w:bodyDiv w:val="1"/>
      <w:marLeft w:val="0"/>
      <w:marRight w:val="0"/>
      <w:marTop w:val="0"/>
      <w:marBottom w:val="0"/>
      <w:divBdr>
        <w:top w:val="none" w:sz="0" w:space="0" w:color="auto"/>
        <w:left w:val="none" w:sz="0" w:space="0" w:color="auto"/>
        <w:bottom w:val="none" w:sz="0" w:space="0" w:color="auto"/>
        <w:right w:val="none" w:sz="0" w:space="0" w:color="auto"/>
      </w:divBdr>
    </w:div>
    <w:div w:id="396171635">
      <w:bodyDiv w:val="1"/>
      <w:marLeft w:val="0"/>
      <w:marRight w:val="0"/>
      <w:marTop w:val="0"/>
      <w:marBottom w:val="0"/>
      <w:divBdr>
        <w:top w:val="none" w:sz="0" w:space="0" w:color="auto"/>
        <w:left w:val="none" w:sz="0" w:space="0" w:color="auto"/>
        <w:bottom w:val="none" w:sz="0" w:space="0" w:color="auto"/>
        <w:right w:val="none" w:sz="0" w:space="0" w:color="auto"/>
      </w:divBdr>
    </w:div>
    <w:div w:id="423039256">
      <w:bodyDiv w:val="1"/>
      <w:marLeft w:val="0"/>
      <w:marRight w:val="0"/>
      <w:marTop w:val="0"/>
      <w:marBottom w:val="0"/>
      <w:divBdr>
        <w:top w:val="none" w:sz="0" w:space="0" w:color="auto"/>
        <w:left w:val="none" w:sz="0" w:space="0" w:color="auto"/>
        <w:bottom w:val="none" w:sz="0" w:space="0" w:color="auto"/>
        <w:right w:val="none" w:sz="0" w:space="0" w:color="auto"/>
      </w:divBdr>
    </w:div>
    <w:div w:id="431360052">
      <w:bodyDiv w:val="1"/>
      <w:marLeft w:val="0"/>
      <w:marRight w:val="0"/>
      <w:marTop w:val="0"/>
      <w:marBottom w:val="0"/>
      <w:divBdr>
        <w:top w:val="none" w:sz="0" w:space="0" w:color="auto"/>
        <w:left w:val="none" w:sz="0" w:space="0" w:color="auto"/>
        <w:bottom w:val="none" w:sz="0" w:space="0" w:color="auto"/>
        <w:right w:val="none" w:sz="0" w:space="0" w:color="auto"/>
      </w:divBdr>
    </w:div>
    <w:div w:id="440344965">
      <w:bodyDiv w:val="1"/>
      <w:marLeft w:val="0"/>
      <w:marRight w:val="0"/>
      <w:marTop w:val="0"/>
      <w:marBottom w:val="0"/>
      <w:divBdr>
        <w:top w:val="none" w:sz="0" w:space="0" w:color="auto"/>
        <w:left w:val="none" w:sz="0" w:space="0" w:color="auto"/>
        <w:bottom w:val="none" w:sz="0" w:space="0" w:color="auto"/>
        <w:right w:val="none" w:sz="0" w:space="0" w:color="auto"/>
      </w:divBdr>
    </w:div>
    <w:div w:id="572394939">
      <w:bodyDiv w:val="1"/>
      <w:marLeft w:val="0"/>
      <w:marRight w:val="0"/>
      <w:marTop w:val="0"/>
      <w:marBottom w:val="0"/>
      <w:divBdr>
        <w:top w:val="none" w:sz="0" w:space="0" w:color="auto"/>
        <w:left w:val="none" w:sz="0" w:space="0" w:color="auto"/>
        <w:bottom w:val="none" w:sz="0" w:space="0" w:color="auto"/>
        <w:right w:val="none" w:sz="0" w:space="0" w:color="auto"/>
      </w:divBdr>
      <w:divsChild>
        <w:div w:id="1909606406">
          <w:marLeft w:val="0"/>
          <w:marRight w:val="0"/>
          <w:marTop w:val="0"/>
          <w:marBottom w:val="0"/>
          <w:divBdr>
            <w:top w:val="none" w:sz="0" w:space="0" w:color="auto"/>
            <w:left w:val="none" w:sz="0" w:space="0" w:color="auto"/>
            <w:bottom w:val="none" w:sz="0" w:space="0" w:color="auto"/>
            <w:right w:val="none" w:sz="0" w:space="0" w:color="auto"/>
          </w:divBdr>
          <w:divsChild>
            <w:div w:id="309869785">
              <w:marLeft w:val="0"/>
              <w:marRight w:val="0"/>
              <w:marTop w:val="0"/>
              <w:marBottom w:val="0"/>
              <w:divBdr>
                <w:top w:val="none" w:sz="0" w:space="0" w:color="auto"/>
                <w:left w:val="none" w:sz="0" w:space="0" w:color="auto"/>
                <w:bottom w:val="none" w:sz="0" w:space="0" w:color="auto"/>
                <w:right w:val="none" w:sz="0" w:space="0" w:color="auto"/>
              </w:divBdr>
              <w:divsChild>
                <w:div w:id="957755225">
                  <w:marLeft w:val="0"/>
                  <w:marRight w:val="0"/>
                  <w:marTop w:val="0"/>
                  <w:marBottom w:val="0"/>
                  <w:divBdr>
                    <w:top w:val="none" w:sz="0" w:space="0" w:color="auto"/>
                    <w:left w:val="none" w:sz="0" w:space="0" w:color="auto"/>
                    <w:bottom w:val="none" w:sz="0" w:space="0" w:color="auto"/>
                    <w:right w:val="none" w:sz="0" w:space="0" w:color="auto"/>
                  </w:divBdr>
                  <w:divsChild>
                    <w:div w:id="10392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16089">
      <w:bodyDiv w:val="1"/>
      <w:marLeft w:val="0"/>
      <w:marRight w:val="0"/>
      <w:marTop w:val="0"/>
      <w:marBottom w:val="0"/>
      <w:divBdr>
        <w:top w:val="none" w:sz="0" w:space="0" w:color="auto"/>
        <w:left w:val="none" w:sz="0" w:space="0" w:color="auto"/>
        <w:bottom w:val="none" w:sz="0" w:space="0" w:color="auto"/>
        <w:right w:val="none" w:sz="0" w:space="0" w:color="auto"/>
      </w:divBdr>
    </w:div>
    <w:div w:id="606502532">
      <w:bodyDiv w:val="1"/>
      <w:marLeft w:val="0"/>
      <w:marRight w:val="0"/>
      <w:marTop w:val="0"/>
      <w:marBottom w:val="0"/>
      <w:divBdr>
        <w:top w:val="none" w:sz="0" w:space="0" w:color="auto"/>
        <w:left w:val="none" w:sz="0" w:space="0" w:color="auto"/>
        <w:bottom w:val="none" w:sz="0" w:space="0" w:color="auto"/>
        <w:right w:val="none" w:sz="0" w:space="0" w:color="auto"/>
      </w:divBdr>
    </w:div>
    <w:div w:id="669524764">
      <w:bodyDiv w:val="1"/>
      <w:marLeft w:val="0"/>
      <w:marRight w:val="0"/>
      <w:marTop w:val="0"/>
      <w:marBottom w:val="0"/>
      <w:divBdr>
        <w:top w:val="none" w:sz="0" w:space="0" w:color="auto"/>
        <w:left w:val="none" w:sz="0" w:space="0" w:color="auto"/>
        <w:bottom w:val="none" w:sz="0" w:space="0" w:color="auto"/>
        <w:right w:val="none" w:sz="0" w:space="0" w:color="auto"/>
      </w:divBdr>
    </w:div>
    <w:div w:id="669601868">
      <w:bodyDiv w:val="1"/>
      <w:marLeft w:val="0"/>
      <w:marRight w:val="0"/>
      <w:marTop w:val="0"/>
      <w:marBottom w:val="0"/>
      <w:divBdr>
        <w:top w:val="none" w:sz="0" w:space="0" w:color="auto"/>
        <w:left w:val="none" w:sz="0" w:space="0" w:color="auto"/>
        <w:bottom w:val="none" w:sz="0" w:space="0" w:color="auto"/>
        <w:right w:val="none" w:sz="0" w:space="0" w:color="auto"/>
      </w:divBdr>
    </w:div>
    <w:div w:id="745146367">
      <w:bodyDiv w:val="1"/>
      <w:marLeft w:val="0"/>
      <w:marRight w:val="0"/>
      <w:marTop w:val="0"/>
      <w:marBottom w:val="0"/>
      <w:divBdr>
        <w:top w:val="none" w:sz="0" w:space="0" w:color="auto"/>
        <w:left w:val="none" w:sz="0" w:space="0" w:color="auto"/>
        <w:bottom w:val="none" w:sz="0" w:space="0" w:color="auto"/>
        <w:right w:val="none" w:sz="0" w:space="0" w:color="auto"/>
      </w:divBdr>
    </w:div>
    <w:div w:id="779111432">
      <w:bodyDiv w:val="1"/>
      <w:marLeft w:val="0"/>
      <w:marRight w:val="0"/>
      <w:marTop w:val="0"/>
      <w:marBottom w:val="0"/>
      <w:divBdr>
        <w:top w:val="none" w:sz="0" w:space="0" w:color="auto"/>
        <w:left w:val="none" w:sz="0" w:space="0" w:color="auto"/>
        <w:bottom w:val="none" w:sz="0" w:space="0" w:color="auto"/>
        <w:right w:val="none" w:sz="0" w:space="0" w:color="auto"/>
      </w:divBdr>
    </w:div>
    <w:div w:id="814300285">
      <w:bodyDiv w:val="1"/>
      <w:marLeft w:val="0"/>
      <w:marRight w:val="0"/>
      <w:marTop w:val="0"/>
      <w:marBottom w:val="0"/>
      <w:divBdr>
        <w:top w:val="none" w:sz="0" w:space="0" w:color="auto"/>
        <w:left w:val="none" w:sz="0" w:space="0" w:color="auto"/>
        <w:bottom w:val="none" w:sz="0" w:space="0" w:color="auto"/>
        <w:right w:val="none" w:sz="0" w:space="0" w:color="auto"/>
      </w:divBdr>
    </w:div>
    <w:div w:id="862866816">
      <w:bodyDiv w:val="1"/>
      <w:marLeft w:val="0"/>
      <w:marRight w:val="0"/>
      <w:marTop w:val="0"/>
      <w:marBottom w:val="0"/>
      <w:divBdr>
        <w:top w:val="none" w:sz="0" w:space="0" w:color="auto"/>
        <w:left w:val="none" w:sz="0" w:space="0" w:color="auto"/>
        <w:bottom w:val="none" w:sz="0" w:space="0" w:color="auto"/>
        <w:right w:val="none" w:sz="0" w:space="0" w:color="auto"/>
      </w:divBdr>
    </w:div>
    <w:div w:id="869807112">
      <w:bodyDiv w:val="1"/>
      <w:marLeft w:val="0"/>
      <w:marRight w:val="0"/>
      <w:marTop w:val="0"/>
      <w:marBottom w:val="0"/>
      <w:divBdr>
        <w:top w:val="none" w:sz="0" w:space="0" w:color="auto"/>
        <w:left w:val="none" w:sz="0" w:space="0" w:color="auto"/>
        <w:bottom w:val="none" w:sz="0" w:space="0" w:color="auto"/>
        <w:right w:val="none" w:sz="0" w:space="0" w:color="auto"/>
      </w:divBdr>
    </w:div>
    <w:div w:id="888735094">
      <w:bodyDiv w:val="1"/>
      <w:marLeft w:val="0"/>
      <w:marRight w:val="0"/>
      <w:marTop w:val="0"/>
      <w:marBottom w:val="0"/>
      <w:divBdr>
        <w:top w:val="none" w:sz="0" w:space="0" w:color="auto"/>
        <w:left w:val="none" w:sz="0" w:space="0" w:color="auto"/>
        <w:bottom w:val="none" w:sz="0" w:space="0" w:color="auto"/>
        <w:right w:val="none" w:sz="0" w:space="0" w:color="auto"/>
      </w:divBdr>
    </w:div>
    <w:div w:id="912397683">
      <w:bodyDiv w:val="1"/>
      <w:marLeft w:val="0"/>
      <w:marRight w:val="0"/>
      <w:marTop w:val="0"/>
      <w:marBottom w:val="0"/>
      <w:divBdr>
        <w:top w:val="none" w:sz="0" w:space="0" w:color="auto"/>
        <w:left w:val="none" w:sz="0" w:space="0" w:color="auto"/>
        <w:bottom w:val="none" w:sz="0" w:space="0" w:color="auto"/>
        <w:right w:val="none" w:sz="0" w:space="0" w:color="auto"/>
      </w:divBdr>
    </w:div>
    <w:div w:id="981352473">
      <w:bodyDiv w:val="1"/>
      <w:marLeft w:val="0"/>
      <w:marRight w:val="0"/>
      <w:marTop w:val="0"/>
      <w:marBottom w:val="0"/>
      <w:divBdr>
        <w:top w:val="none" w:sz="0" w:space="0" w:color="auto"/>
        <w:left w:val="none" w:sz="0" w:space="0" w:color="auto"/>
        <w:bottom w:val="none" w:sz="0" w:space="0" w:color="auto"/>
        <w:right w:val="none" w:sz="0" w:space="0" w:color="auto"/>
      </w:divBdr>
    </w:div>
    <w:div w:id="1015961032">
      <w:bodyDiv w:val="1"/>
      <w:marLeft w:val="0"/>
      <w:marRight w:val="0"/>
      <w:marTop w:val="0"/>
      <w:marBottom w:val="0"/>
      <w:divBdr>
        <w:top w:val="none" w:sz="0" w:space="0" w:color="auto"/>
        <w:left w:val="none" w:sz="0" w:space="0" w:color="auto"/>
        <w:bottom w:val="none" w:sz="0" w:space="0" w:color="auto"/>
        <w:right w:val="none" w:sz="0" w:space="0" w:color="auto"/>
      </w:divBdr>
      <w:divsChild>
        <w:div w:id="1428816711">
          <w:marLeft w:val="0"/>
          <w:marRight w:val="0"/>
          <w:marTop w:val="0"/>
          <w:marBottom w:val="0"/>
          <w:divBdr>
            <w:top w:val="none" w:sz="0" w:space="0" w:color="auto"/>
            <w:left w:val="none" w:sz="0" w:space="0" w:color="auto"/>
            <w:bottom w:val="none" w:sz="0" w:space="0" w:color="auto"/>
            <w:right w:val="none" w:sz="0" w:space="0" w:color="auto"/>
          </w:divBdr>
          <w:divsChild>
            <w:div w:id="63534394">
              <w:marLeft w:val="0"/>
              <w:marRight w:val="0"/>
              <w:marTop w:val="0"/>
              <w:marBottom w:val="0"/>
              <w:divBdr>
                <w:top w:val="none" w:sz="0" w:space="0" w:color="auto"/>
                <w:left w:val="none" w:sz="0" w:space="0" w:color="auto"/>
                <w:bottom w:val="none" w:sz="0" w:space="0" w:color="auto"/>
                <w:right w:val="none" w:sz="0" w:space="0" w:color="auto"/>
              </w:divBdr>
              <w:divsChild>
                <w:div w:id="15199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273860">
      <w:bodyDiv w:val="1"/>
      <w:marLeft w:val="0"/>
      <w:marRight w:val="0"/>
      <w:marTop w:val="0"/>
      <w:marBottom w:val="0"/>
      <w:divBdr>
        <w:top w:val="none" w:sz="0" w:space="0" w:color="auto"/>
        <w:left w:val="none" w:sz="0" w:space="0" w:color="auto"/>
        <w:bottom w:val="none" w:sz="0" w:space="0" w:color="auto"/>
        <w:right w:val="none" w:sz="0" w:space="0" w:color="auto"/>
      </w:divBdr>
    </w:div>
    <w:div w:id="1083725840">
      <w:bodyDiv w:val="1"/>
      <w:marLeft w:val="0"/>
      <w:marRight w:val="0"/>
      <w:marTop w:val="0"/>
      <w:marBottom w:val="0"/>
      <w:divBdr>
        <w:top w:val="none" w:sz="0" w:space="0" w:color="auto"/>
        <w:left w:val="none" w:sz="0" w:space="0" w:color="auto"/>
        <w:bottom w:val="none" w:sz="0" w:space="0" w:color="auto"/>
        <w:right w:val="none" w:sz="0" w:space="0" w:color="auto"/>
      </w:divBdr>
    </w:div>
    <w:div w:id="1114984648">
      <w:bodyDiv w:val="1"/>
      <w:marLeft w:val="0"/>
      <w:marRight w:val="0"/>
      <w:marTop w:val="0"/>
      <w:marBottom w:val="0"/>
      <w:divBdr>
        <w:top w:val="none" w:sz="0" w:space="0" w:color="auto"/>
        <w:left w:val="none" w:sz="0" w:space="0" w:color="auto"/>
        <w:bottom w:val="none" w:sz="0" w:space="0" w:color="auto"/>
        <w:right w:val="none" w:sz="0" w:space="0" w:color="auto"/>
      </w:divBdr>
    </w:div>
    <w:div w:id="1220936955">
      <w:bodyDiv w:val="1"/>
      <w:marLeft w:val="0"/>
      <w:marRight w:val="0"/>
      <w:marTop w:val="0"/>
      <w:marBottom w:val="0"/>
      <w:divBdr>
        <w:top w:val="none" w:sz="0" w:space="0" w:color="auto"/>
        <w:left w:val="none" w:sz="0" w:space="0" w:color="auto"/>
        <w:bottom w:val="none" w:sz="0" w:space="0" w:color="auto"/>
        <w:right w:val="none" w:sz="0" w:space="0" w:color="auto"/>
      </w:divBdr>
      <w:divsChild>
        <w:div w:id="804811409">
          <w:marLeft w:val="0"/>
          <w:marRight w:val="0"/>
          <w:marTop w:val="0"/>
          <w:marBottom w:val="0"/>
          <w:divBdr>
            <w:top w:val="none" w:sz="0" w:space="0" w:color="auto"/>
            <w:left w:val="none" w:sz="0" w:space="0" w:color="auto"/>
            <w:bottom w:val="none" w:sz="0" w:space="0" w:color="auto"/>
            <w:right w:val="none" w:sz="0" w:space="0" w:color="auto"/>
          </w:divBdr>
          <w:divsChild>
            <w:div w:id="992490227">
              <w:marLeft w:val="0"/>
              <w:marRight w:val="0"/>
              <w:marTop w:val="0"/>
              <w:marBottom w:val="0"/>
              <w:divBdr>
                <w:top w:val="none" w:sz="0" w:space="0" w:color="auto"/>
                <w:left w:val="none" w:sz="0" w:space="0" w:color="auto"/>
                <w:bottom w:val="none" w:sz="0" w:space="0" w:color="auto"/>
                <w:right w:val="none" w:sz="0" w:space="0" w:color="auto"/>
              </w:divBdr>
              <w:divsChild>
                <w:div w:id="10595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51637">
      <w:bodyDiv w:val="1"/>
      <w:marLeft w:val="0"/>
      <w:marRight w:val="0"/>
      <w:marTop w:val="0"/>
      <w:marBottom w:val="0"/>
      <w:divBdr>
        <w:top w:val="none" w:sz="0" w:space="0" w:color="auto"/>
        <w:left w:val="none" w:sz="0" w:space="0" w:color="auto"/>
        <w:bottom w:val="none" w:sz="0" w:space="0" w:color="auto"/>
        <w:right w:val="none" w:sz="0" w:space="0" w:color="auto"/>
      </w:divBdr>
    </w:div>
    <w:div w:id="1325426559">
      <w:bodyDiv w:val="1"/>
      <w:marLeft w:val="0"/>
      <w:marRight w:val="0"/>
      <w:marTop w:val="0"/>
      <w:marBottom w:val="0"/>
      <w:divBdr>
        <w:top w:val="none" w:sz="0" w:space="0" w:color="auto"/>
        <w:left w:val="none" w:sz="0" w:space="0" w:color="auto"/>
        <w:bottom w:val="none" w:sz="0" w:space="0" w:color="auto"/>
        <w:right w:val="none" w:sz="0" w:space="0" w:color="auto"/>
      </w:divBdr>
    </w:div>
    <w:div w:id="1390032220">
      <w:bodyDiv w:val="1"/>
      <w:marLeft w:val="0"/>
      <w:marRight w:val="0"/>
      <w:marTop w:val="0"/>
      <w:marBottom w:val="0"/>
      <w:divBdr>
        <w:top w:val="none" w:sz="0" w:space="0" w:color="auto"/>
        <w:left w:val="none" w:sz="0" w:space="0" w:color="auto"/>
        <w:bottom w:val="none" w:sz="0" w:space="0" w:color="auto"/>
        <w:right w:val="none" w:sz="0" w:space="0" w:color="auto"/>
      </w:divBdr>
      <w:divsChild>
        <w:div w:id="1793479875">
          <w:marLeft w:val="0"/>
          <w:marRight w:val="0"/>
          <w:marTop w:val="0"/>
          <w:marBottom w:val="0"/>
          <w:divBdr>
            <w:top w:val="none" w:sz="0" w:space="0" w:color="auto"/>
            <w:left w:val="none" w:sz="0" w:space="0" w:color="auto"/>
            <w:bottom w:val="none" w:sz="0" w:space="0" w:color="auto"/>
            <w:right w:val="none" w:sz="0" w:space="0" w:color="auto"/>
          </w:divBdr>
          <w:divsChild>
            <w:div w:id="59988567">
              <w:marLeft w:val="0"/>
              <w:marRight w:val="0"/>
              <w:marTop w:val="0"/>
              <w:marBottom w:val="0"/>
              <w:divBdr>
                <w:top w:val="none" w:sz="0" w:space="0" w:color="auto"/>
                <w:left w:val="none" w:sz="0" w:space="0" w:color="auto"/>
                <w:bottom w:val="none" w:sz="0" w:space="0" w:color="auto"/>
                <w:right w:val="none" w:sz="0" w:space="0" w:color="auto"/>
              </w:divBdr>
              <w:divsChild>
                <w:div w:id="2141341908">
                  <w:marLeft w:val="0"/>
                  <w:marRight w:val="0"/>
                  <w:marTop w:val="0"/>
                  <w:marBottom w:val="0"/>
                  <w:divBdr>
                    <w:top w:val="none" w:sz="0" w:space="0" w:color="auto"/>
                    <w:left w:val="none" w:sz="0" w:space="0" w:color="auto"/>
                    <w:bottom w:val="none" w:sz="0" w:space="0" w:color="auto"/>
                    <w:right w:val="none" w:sz="0" w:space="0" w:color="auto"/>
                  </w:divBdr>
                  <w:divsChild>
                    <w:div w:id="726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98783">
      <w:bodyDiv w:val="1"/>
      <w:marLeft w:val="0"/>
      <w:marRight w:val="0"/>
      <w:marTop w:val="0"/>
      <w:marBottom w:val="0"/>
      <w:divBdr>
        <w:top w:val="none" w:sz="0" w:space="0" w:color="auto"/>
        <w:left w:val="none" w:sz="0" w:space="0" w:color="auto"/>
        <w:bottom w:val="none" w:sz="0" w:space="0" w:color="auto"/>
        <w:right w:val="none" w:sz="0" w:space="0" w:color="auto"/>
      </w:divBdr>
    </w:div>
    <w:div w:id="1445809089">
      <w:bodyDiv w:val="1"/>
      <w:marLeft w:val="0"/>
      <w:marRight w:val="0"/>
      <w:marTop w:val="0"/>
      <w:marBottom w:val="0"/>
      <w:divBdr>
        <w:top w:val="none" w:sz="0" w:space="0" w:color="auto"/>
        <w:left w:val="none" w:sz="0" w:space="0" w:color="auto"/>
        <w:bottom w:val="none" w:sz="0" w:space="0" w:color="auto"/>
        <w:right w:val="none" w:sz="0" w:space="0" w:color="auto"/>
      </w:divBdr>
    </w:div>
    <w:div w:id="1468745761">
      <w:bodyDiv w:val="1"/>
      <w:marLeft w:val="0"/>
      <w:marRight w:val="0"/>
      <w:marTop w:val="0"/>
      <w:marBottom w:val="0"/>
      <w:divBdr>
        <w:top w:val="none" w:sz="0" w:space="0" w:color="auto"/>
        <w:left w:val="none" w:sz="0" w:space="0" w:color="auto"/>
        <w:bottom w:val="none" w:sz="0" w:space="0" w:color="auto"/>
        <w:right w:val="none" w:sz="0" w:space="0" w:color="auto"/>
      </w:divBdr>
    </w:div>
    <w:div w:id="1472137100">
      <w:bodyDiv w:val="1"/>
      <w:marLeft w:val="0"/>
      <w:marRight w:val="0"/>
      <w:marTop w:val="0"/>
      <w:marBottom w:val="0"/>
      <w:divBdr>
        <w:top w:val="none" w:sz="0" w:space="0" w:color="auto"/>
        <w:left w:val="none" w:sz="0" w:space="0" w:color="auto"/>
        <w:bottom w:val="none" w:sz="0" w:space="0" w:color="auto"/>
        <w:right w:val="none" w:sz="0" w:space="0" w:color="auto"/>
      </w:divBdr>
    </w:div>
    <w:div w:id="1477524889">
      <w:bodyDiv w:val="1"/>
      <w:marLeft w:val="0"/>
      <w:marRight w:val="0"/>
      <w:marTop w:val="0"/>
      <w:marBottom w:val="0"/>
      <w:divBdr>
        <w:top w:val="none" w:sz="0" w:space="0" w:color="auto"/>
        <w:left w:val="none" w:sz="0" w:space="0" w:color="auto"/>
        <w:bottom w:val="none" w:sz="0" w:space="0" w:color="auto"/>
        <w:right w:val="none" w:sz="0" w:space="0" w:color="auto"/>
      </w:divBdr>
    </w:div>
    <w:div w:id="1510368231">
      <w:bodyDiv w:val="1"/>
      <w:marLeft w:val="0"/>
      <w:marRight w:val="0"/>
      <w:marTop w:val="0"/>
      <w:marBottom w:val="0"/>
      <w:divBdr>
        <w:top w:val="none" w:sz="0" w:space="0" w:color="auto"/>
        <w:left w:val="none" w:sz="0" w:space="0" w:color="auto"/>
        <w:bottom w:val="none" w:sz="0" w:space="0" w:color="auto"/>
        <w:right w:val="none" w:sz="0" w:space="0" w:color="auto"/>
      </w:divBdr>
    </w:div>
    <w:div w:id="1515920160">
      <w:bodyDiv w:val="1"/>
      <w:marLeft w:val="0"/>
      <w:marRight w:val="0"/>
      <w:marTop w:val="0"/>
      <w:marBottom w:val="0"/>
      <w:divBdr>
        <w:top w:val="none" w:sz="0" w:space="0" w:color="auto"/>
        <w:left w:val="none" w:sz="0" w:space="0" w:color="auto"/>
        <w:bottom w:val="none" w:sz="0" w:space="0" w:color="auto"/>
        <w:right w:val="none" w:sz="0" w:space="0" w:color="auto"/>
      </w:divBdr>
      <w:divsChild>
        <w:div w:id="1778017893">
          <w:marLeft w:val="0"/>
          <w:marRight w:val="0"/>
          <w:marTop w:val="0"/>
          <w:marBottom w:val="0"/>
          <w:divBdr>
            <w:top w:val="none" w:sz="0" w:space="0" w:color="auto"/>
            <w:left w:val="none" w:sz="0" w:space="0" w:color="auto"/>
            <w:bottom w:val="none" w:sz="0" w:space="0" w:color="auto"/>
            <w:right w:val="none" w:sz="0" w:space="0" w:color="auto"/>
          </w:divBdr>
          <w:divsChild>
            <w:div w:id="518545274">
              <w:marLeft w:val="0"/>
              <w:marRight w:val="0"/>
              <w:marTop w:val="0"/>
              <w:marBottom w:val="0"/>
              <w:divBdr>
                <w:top w:val="none" w:sz="0" w:space="0" w:color="auto"/>
                <w:left w:val="none" w:sz="0" w:space="0" w:color="auto"/>
                <w:bottom w:val="none" w:sz="0" w:space="0" w:color="auto"/>
                <w:right w:val="none" w:sz="0" w:space="0" w:color="auto"/>
              </w:divBdr>
              <w:divsChild>
                <w:div w:id="1495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8871">
      <w:bodyDiv w:val="1"/>
      <w:marLeft w:val="0"/>
      <w:marRight w:val="0"/>
      <w:marTop w:val="0"/>
      <w:marBottom w:val="0"/>
      <w:divBdr>
        <w:top w:val="none" w:sz="0" w:space="0" w:color="auto"/>
        <w:left w:val="none" w:sz="0" w:space="0" w:color="auto"/>
        <w:bottom w:val="none" w:sz="0" w:space="0" w:color="auto"/>
        <w:right w:val="none" w:sz="0" w:space="0" w:color="auto"/>
      </w:divBdr>
      <w:divsChild>
        <w:div w:id="2000881240">
          <w:marLeft w:val="0"/>
          <w:marRight w:val="0"/>
          <w:marTop w:val="0"/>
          <w:marBottom w:val="0"/>
          <w:divBdr>
            <w:top w:val="none" w:sz="0" w:space="0" w:color="auto"/>
            <w:left w:val="none" w:sz="0" w:space="0" w:color="auto"/>
            <w:bottom w:val="none" w:sz="0" w:space="0" w:color="auto"/>
            <w:right w:val="none" w:sz="0" w:space="0" w:color="auto"/>
          </w:divBdr>
          <w:divsChild>
            <w:div w:id="183977375">
              <w:marLeft w:val="0"/>
              <w:marRight w:val="0"/>
              <w:marTop w:val="0"/>
              <w:marBottom w:val="0"/>
              <w:divBdr>
                <w:top w:val="none" w:sz="0" w:space="0" w:color="auto"/>
                <w:left w:val="none" w:sz="0" w:space="0" w:color="auto"/>
                <w:bottom w:val="none" w:sz="0" w:space="0" w:color="auto"/>
                <w:right w:val="none" w:sz="0" w:space="0" w:color="auto"/>
              </w:divBdr>
              <w:divsChild>
                <w:div w:id="4332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3114">
      <w:bodyDiv w:val="1"/>
      <w:marLeft w:val="0"/>
      <w:marRight w:val="0"/>
      <w:marTop w:val="0"/>
      <w:marBottom w:val="0"/>
      <w:divBdr>
        <w:top w:val="none" w:sz="0" w:space="0" w:color="auto"/>
        <w:left w:val="none" w:sz="0" w:space="0" w:color="auto"/>
        <w:bottom w:val="none" w:sz="0" w:space="0" w:color="auto"/>
        <w:right w:val="none" w:sz="0" w:space="0" w:color="auto"/>
      </w:divBdr>
      <w:divsChild>
        <w:div w:id="824705897">
          <w:marLeft w:val="0"/>
          <w:marRight w:val="0"/>
          <w:marTop w:val="0"/>
          <w:marBottom w:val="0"/>
          <w:divBdr>
            <w:top w:val="none" w:sz="0" w:space="0" w:color="auto"/>
            <w:left w:val="none" w:sz="0" w:space="0" w:color="auto"/>
            <w:bottom w:val="none" w:sz="0" w:space="0" w:color="auto"/>
            <w:right w:val="none" w:sz="0" w:space="0" w:color="auto"/>
          </w:divBdr>
          <w:divsChild>
            <w:div w:id="1783112884">
              <w:marLeft w:val="0"/>
              <w:marRight w:val="0"/>
              <w:marTop w:val="0"/>
              <w:marBottom w:val="0"/>
              <w:divBdr>
                <w:top w:val="none" w:sz="0" w:space="0" w:color="auto"/>
                <w:left w:val="none" w:sz="0" w:space="0" w:color="auto"/>
                <w:bottom w:val="none" w:sz="0" w:space="0" w:color="auto"/>
                <w:right w:val="none" w:sz="0" w:space="0" w:color="auto"/>
              </w:divBdr>
              <w:divsChild>
                <w:div w:id="12505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5607">
      <w:bodyDiv w:val="1"/>
      <w:marLeft w:val="0"/>
      <w:marRight w:val="0"/>
      <w:marTop w:val="0"/>
      <w:marBottom w:val="0"/>
      <w:divBdr>
        <w:top w:val="none" w:sz="0" w:space="0" w:color="auto"/>
        <w:left w:val="none" w:sz="0" w:space="0" w:color="auto"/>
        <w:bottom w:val="none" w:sz="0" w:space="0" w:color="auto"/>
        <w:right w:val="none" w:sz="0" w:space="0" w:color="auto"/>
      </w:divBdr>
      <w:divsChild>
        <w:div w:id="1885410878">
          <w:marLeft w:val="0"/>
          <w:marRight w:val="0"/>
          <w:marTop w:val="0"/>
          <w:marBottom w:val="0"/>
          <w:divBdr>
            <w:top w:val="none" w:sz="0" w:space="0" w:color="auto"/>
            <w:left w:val="none" w:sz="0" w:space="0" w:color="auto"/>
            <w:bottom w:val="none" w:sz="0" w:space="0" w:color="auto"/>
            <w:right w:val="none" w:sz="0" w:space="0" w:color="auto"/>
          </w:divBdr>
          <w:divsChild>
            <w:div w:id="862671937">
              <w:marLeft w:val="0"/>
              <w:marRight w:val="0"/>
              <w:marTop w:val="0"/>
              <w:marBottom w:val="0"/>
              <w:divBdr>
                <w:top w:val="none" w:sz="0" w:space="0" w:color="auto"/>
                <w:left w:val="none" w:sz="0" w:space="0" w:color="auto"/>
                <w:bottom w:val="none" w:sz="0" w:space="0" w:color="auto"/>
                <w:right w:val="none" w:sz="0" w:space="0" w:color="auto"/>
              </w:divBdr>
              <w:divsChild>
                <w:div w:id="9130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8499">
      <w:bodyDiv w:val="1"/>
      <w:marLeft w:val="0"/>
      <w:marRight w:val="0"/>
      <w:marTop w:val="0"/>
      <w:marBottom w:val="0"/>
      <w:divBdr>
        <w:top w:val="none" w:sz="0" w:space="0" w:color="auto"/>
        <w:left w:val="none" w:sz="0" w:space="0" w:color="auto"/>
        <w:bottom w:val="none" w:sz="0" w:space="0" w:color="auto"/>
        <w:right w:val="none" w:sz="0" w:space="0" w:color="auto"/>
      </w:divBdr>
    </w:div>
    <w:div w:id="1663240243">
      <w:bodyDiv w:val="1"/>
      <w:marLeft w:val="0"/>
      <w:marRight w:val="0"/>
      <w:marTop w:val="0"/>
      <w:marBottom w:val="0"/>
      <w:divBdr>
        <w:top w:val="none" w:sz="0" w:space="0" w:color="auto"/>
        <w:left w:val="none" w:sz="0" w:space="0" w:color="auto"/>
        <w:bottom w:val="none" w:sz="0" w:space="0" w:color="auto"/>
        <w:right w:val="none" w:sz="0" w:space="0" w:color="auto"/>
      </w:divBdr>
      <w:divsChild>
        <w:div w:id="110058648">
          <w:marLeft w:val="0"/>
          <w:marRight w:val="0"/>
          <w:marTop w:val="0"/>
          <w:marBottom w:val="0"/>
          <w:divBdr>
            <w:top w:val="none" w:sz="0" w:space="0" w:color="auto"/>
            <w:left w:val="none" w:sz="0" w:space="0" w:color="auto"/>
            <w:bottom w:val="none" w:sz="0" w:space="0" w:color="auto"/>
            <w:right w:val="none" w:sz="0" w:space="0" w:color="auto"/>
          </w:divBdr>
          <w:divsChild>
            <w:div w:id="125511039">
              <w:marLeft w:val="0"/>
              <w:marRight w:val="0"/>
              <w:marTop w:val="180"/>
              <w:marBottom w:val="0"/>
              <w:divBdr>
                <w:top w:val="none" w:sz="0" w:space="0" w:color="auto"/>
                <w:left w:val="none" w:sz="0" w:space="0" w:color="auto"/>
                <w:bottom w:val="none" w:sz="0" w:space="0" w:color="auto"/>
                <w:right w:val="none" w:sz="0" w:space="0" w:color="auto"/>
              </w:divBdr>
              <w:divsChild>
                <w:div w:id="811212909">
                  <w:marLeft w:val="0"/>
                  <w:marRight w:val="0"/>
                  <w:marTop w:val="0"/>
                  <w:marBottom w:val="0"/>
                  <w:divBdr>
                    <w:top w:val="none" w:sz="0" w:space="0" w:color="auto"/>
                    <w:left w:val="none" w:sz="0" w:space="0" w:color="auto"/>
                    <w:bottom w:val="none" w:sz="0" w:space="0" w:color="auto"/>
                    <w:right w:val="none" w:sz="0" w:space="0" w:color="auto"/>
                  </w:divBdr>
                  <w:divsChild>
                    <w:div w:id="1576278586">
                      <w:marLeft w:val="0"/>
                      <w:marRight w:val="0"/>
                      <w:marTop w:val="0"/>
                      <w:marBottom w:val="0"/>
                      <w:divBdr>
                        <w:top w:val="none" w:sz="0" w:space="0" w:color="auto"/>
                        <w:left w:val="none" w:sz="0" w:space="0" w:color="auto"/>
                        <w:bottom w:val="none" w:sz="0" w:space="0" w:color="auto"/>
                        <w:right w:val="none" w:sz="0" w:space="0" w:color="auto"/>
                      </w:divBdr>
                      <w:divsChild>
                        <w:div w:id="1747874853">
                          <w:marLeft w:val="180"/>
                          <w:marRight w:val="180"/>
                          <w:marTop w:val="0"/>
                          <w:marBottom w:val="0"/>
                          <w:divBdr>
                            <w:top w:val="single" w:sz="6" w:space="3" w:color="E5E5E5"/>
                            <w:left w:val="none" w:sz="0" w:space="0" w:color="auto"/>
                            <w:bottom w:val="none" w:sz="0" w:space="0" w:color="auto"/>
                            <w:right w:val="none" w:sz="0" w:space="0" w:color="auto"/>
                          </w:divBdr>
                          <w:divsChild>
                            <w:div w:id="1412317578">
                              <w:marLeft w:val="0"/>
                              <w:marRight w:val="0"/>
                              <w:marTop w:val="0"/>
                              <w:marBottom w:val="0"/>
                              <w:divBdr>
                                <w:top w:val="none" w:sz="0" w:space="0" w:color="auto"/>
                                <w:left w:val="none" w:sz="0" w:space="0" w:color="auto"/>
                                <w:bottom w:val="none" w:sz="0" w:space="0" w:color="auto"/>
                                <w:right w:val="none" w:sz="0" w:space="0" w:color="auto"/>
                              </w:divBdr>
                              <w:divsChild>
                                <w:div w:id="496187862">
                                  <w:marLeft w:val="0"/>
                                  <w:marRight w:val="0"/>
                                  <w:marTop w:val="0"/>
                                  <w:marBottom w:val="0"/>
                                  <w:divBdr>
                                    <w:top w:val="none" w:sz="0" w:space="0" w:color="auto"/>
                                    <w:left w:val="none" w:sz="0" w:space="0" w:color="auto"/>
                                    <w:bottom w:val="none" w:sz="0" w:space="0" w:color="auto"/>
                                    <w:right w:val="none" w:sz="0" w:space="0" w:color="auto"/>
                                  </w:divBdr>
                                  <w:divsChild>
                                    <w:div w:id="356152939">
                                      <w:marLeft w:val="0"/>
                                      <w:marRight w:val="0"/>
                                      <w:marTop w:val="0"/>
                                      <w:marBottom w:val="0"/>
                                      <w:divBdr>
                                        <w:top w:val="none" w:sz="0" w:space="0" w:color="auto"/>
                                        <w:left w:val="none" w:sz="0" w:space="0" w:color="auto"/>
                                        <w:bottom w:val="none" w:sz="0" w:space="0" w:color="auto"/>
                                        <w:right w:val="none" w:sz="0" w:space="0" w:color="auto"/>
                                      </w:divBdr>
                                    </w:div>
                                    <w:div w:id="495000895">
                                      <w:marLeft w:val="0"/>
                                      <w:marRight w:val="0"/>
                                      <w:marTop w:val="0"/>
                                      <w:marBottom w:val="0"/>
                                      <w:divBdr>
                                        <w:top w:val="none" w:sz="0" w:space="0" w:color="auto"/>
                                        <w:left w:val="none" w:sz="0" w:space="0" w:color="auto"/>
                                        <w:bottom w:val="none" w:sz="0" w:space="0" w:color="auto"/>
                                        <w:right w:val="none" w:sz="0" w:space="0" w:color="auto"/>
                                      </w:divBdr>
                                      <w:divsChild>
                                        <w:div w:id="148594779">
                                          <w:marLeft w:val="0"/>
                                          <w:marRight w:val="0"/>
                                          <w:marTop w:val="0"/>
                                          <w:marBottom w:val="0"/>
                                          <w:divBdr>
                                            <w:top w:val="none" w:sz="0" w:space="0" w:color="auto"/>
                                            <w:left w:val="none" w:sz="0" w:space="0" w:color="auto"/>
                                            <w:bottom w:val="none" w:sz="0" w:space="0" w:color="auto"/>
                                            <w:right w:val="none" w:sz="0" w:space="0" w:color="auto"/>
                                          </w:divBdr>
                                          <w:divsChild>
                                            <w:div w:id="2064522916">
                                              <w:marLeft w:val="0"/>
                                              <w:marRight w:val="0"/>
                                              <w:marTop w:val="0"/>
                                              <w:marBottom w:val="0"/>
                                              <w:divBdr>
                                                <w:top w:val="none" w:sz="0" w:space="0" w:color="auto"/>
                                                <w:left w:val="none" w:sz="0" w:space="0" w:color="auto"/>
                                                <w:bottom w:val="none" w:sz="0" w:space="0" w:color="auto"/>
                                                <w:right w:val="none" w:sz="0" w:space="0" w:color="auto"/>
                                              </w:divBdr>
                                              <w:divsChild>
                                                <w:div w:id="1291472498">
                                                  <w:marLeft w:val="0"/>
                                                  <w:marRight w:val="0"/>
                                                  <w:marTop w:val="0"/>
                                                  <w:marBottom w:val="0"/>
                                                  <w:divBdr>
                                                    <w:top w:val="none" w:sz="0" w:space="0" w:color="auto"/>
                                                    <w:left w:val="none" w:sz="0" w:space="0" w:color="auto"/>
                                                    <w:bottom w:val="none" w:sz="0" w:space="0" w:color="auto"/>
                                                    <w:right w:val="none" w:sz="0" w:space="0" w:color="auto"/>
                                                  </w:divBdr>
                                                  <w:divsChild>
                                                    <w:div w:id="1644576901">
                                                      <w:marLeft w:val="0"/>
                                                      <w:marRight w:val="0"/>
                                                      <w:marTop w:val="0"/>
                                                      <w:marBottom w:val="0"/>
                                                      <w:divBdr>
                                                        <w:top w:val="none" w:sz="0" w:space="0" w:color="auto"/>
                                                        <w:left w:val="none" w:sz="0" w:space="0" w:color="auto"/>
                                                        <w:bottom w:val="none" w:sz="0" w:space="0" w:color="auto"/>
                                                        <w:right w:val="none" w:sz="0" w:space="0" w:color="auto"/>
                                                      </w:divBdr>
                                                      <w:divsChild>
                                                        <w:div w:id="1328242944">
                                                          <w:marLeft w:val="0"/>
                                                          <w:marRight w:val="0"/>
                                                          <w:marTop w:val="480"/>
                                                          <w:marBottom w:val="0"/>
                                                          <w:divBdr>
                                                            <w:top w:val="none" w:sz="0" w:space="0" w:color="auto"/>
                                                            <w:left w:val="none" w:sz="0" w:space="0" w:color="auto"/>
                                                            <w:bottom w:val="none" w:sz="0" w:space="0" w:color="auto"/>
                                                            <w:right w:val="none" w:sz="0" w:space="0" w:color="auto"/>
                                                          </w:divBdr>
                                                          <w:divsChild>
                                                            <w:div w:id="479883735">
                                                              <w:marLeft w:val="0"/>
                                                              <w:marRight w:val="0"/>
                                                              <w:marTop w:val="0"/>
                                                              <w:marBottom w:val="0"/>
                                                              <w:divBdr>
                                                                <w:top w:val="none" w:sz="0" w:space="0" w:color="auto"/>
                                                                <w:left w:val="none" w:sz="0" w:space="0" w:color="auto"/>
                                                                <w:bottom w:val="none" w:sz="0" w:space="0" w:color="auto"/>
                                                                <w:right w:val="none" w:sz="0" w:space="0" w:color="auto"/>
                                                              </w:divBdr>
                                                              <w:divsChild>
                                                                <w:div w:id="193545575">
                                                                  <w:marLeft w:val="0"/>
                                                                  <w:marRight w:val="0"/>
                                                                  <w:marTop w:val="0"/>
                                                                  <w:marBottom w:val="0"/>
                                                                  <w:divBdr>
                                                                    <w:top w:val="none" w:sz="0" w:space="0" w:color="auto"/>
                                                                    <w:left w:val="none" w:sz="0" w:space="0" w:color="auto"/>
                                                                    <w:bottom w:val="none" w:sz="0" w:space="0" w:color="auto"/>
                                                                    <w:right w:val="none" w:sz="0" w:space="0" w:color="auto"/>
                                                                  </w:divBdr>
                                                                  <w:divsChild>
                                                                    <w:div w:id="12978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8080">
                                                              <w:marLeft w:val="0"/>
                                                              <w:marRight w:val="0"/>
                                                              <w:marTop w:val="0"/>
                                                              <w:marBottom w:val="0"/>
                                                              <w:divBdr>
                                                                <w:top w:val="none" w:sz="0" w:space="0" w:color="auto"/>
                                                                <w:left w:val="none" w:sz="0" w:space="0" w:color="auto"/>
                                                                <w:bottom w:val="none" w:sz="0" w:space="0" w:color="auto"/>
                                                                <w:right w:val="none" w:sz="0" w:space="0" w:color="auto"/>
                                                              </w:divBdr>
                                                              <w:divsChild>
                                                                <w:div w:id="1499879915">
                                                                  <w:marLeft w:val="0"/>
                                                                  <w:marRight w:val="0"/>
                                                                  <w:marTop w:val="0"/>
                                                                  <w:marBottom w:val="0"/>
                                                                  <w:divBdr>
                                                                    <w:top w:val="none" w:sz="0" w:space="0" w:color="auto"/>
                                                                    <w:left w:val="none" w:sz="0" w:space="0" w:color="auto"/>
                                                                    <w:bottom w:val="none" w:sz="0" w:space="0" w:color="auto"/>
                                                                    <w:right w:val="none" w:sz="0" w:space="0" w:color="auto"/>
                                                                  </w:divBdr>
                                                                  <w:divsChild>
                                                                    <w:div w:id="18039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3789">
                                                              <w:marLeft w:val="0"/>
                                                              <w:marRight w:val="0"/>
                                                              <w:marTop w:val="0"/>
                                                              <w:marBottom w:val="0"/>
                                                              <w:divBdr>
                                                                <w:top w:val="none" w:sz="0" w:space="0" w:color="auto"/>
                                                                <w:left w:val="none" w:sz="0" w:space="0" w:color="auto"/>
                                                                <w:bottom w:val="none" w:sz="0" w:space="0" w:color="auto"/>
                                                                <w:right w:val="none" w:sz="0" w:space="0" w:color="auto"/>
                                                              </w:divBdr>
                                                              <w:divsChild>
                                                                <w:div w:id="647708941">
                                                                  <w:marLeft w:val="0"/>
                                                                  <w:marRight w:val="0"/>
                                                                  <w:marTop w:val="0"/>
                                                                  <w:marBottom w:val="0"/>
                                                                  <w:divBdr>
                                                                    <w:top w:val="none" w:sz="0" w:space="0" w:color="auto"/>
                                                                    <w:left w:val="none" w:sz="0" w:space="0" w:color="auto"/>
                                                                    <w:bottom w:val="none" w:sz="0" w:space="0" w:color="auto"/>
                                                                    <w:right w:val="none" w:sz="0" w:space="0" w:color="auto"/>
                                                                  </w:divBdr>
                                                                  <w:divsChild>
                                                                    <w:div w:id="7842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02853">
                                                              <w:marLeft w:val="0"/>
                                                              <w:marRight w:val="0"/>
                                                              <w:marTop w:val="0"/>
                                                              <w:marBottom w:val="0"/>
                                                              <w:divBdr>
                                                                <w:top w:val="none" w:sz="0" w:space="0" w:color="auto"/>
                                                                <w:left w:val="none" w:sz="0" w:space="0" w:color="auto"/>
                                                                <w:bottom w:val="none" w:sz="0" w:space="0" w:color="auto"/>
                                                                <w:right w:val="none" w:sz="0" w:space="0" w:color="auto"/>
                                                              </w:divBdr>
                                                              <w:divsChild>
                                                                <w:div w:id="1856916083">
                                                                  <w:marLeft w:val="0"/>
                                                                  <w:marRight w:val="0"/>
                                                                  <w:marTop w:val="0"/>
                                                                  <w:marBottom w:val="0"/>
                                                                  <w:divBdr>
                                                                    <w:top w:val="none" w:sz="0" w:space="0" w:color="auto"/>
                                                                    <w:left w:val="none" w:sz="0" w:space="0" w:color="auto"/>
                                                                    <w:bottom w:val="none" w:sz="0" w:space="0" w:color="auto"/>
                                                                    <w:right w:val="none" w:sz="0" w:space="0" w:color="auto"/>
                                                                  </w:divBdr>
                                                                  <w:divsChild>
                                                                    <w:div w:id="12647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6283">
                                                              <w:marLeft w:val="0"/>
                                                              <w:marRight w:val="0"/>
                                                              <w:marTop w:val="0"/>
                                                              <w:marBottom w:val="0"/>
                                                              <w:divBdr>
                                                                <w:top w:val="none" w:sz="0" w:space="0" w:color="auto"/>
                                                                <w:left w:val="none" w:sz="0" w:space="0" w:color="auto"/>
                                                                <w:bottom w:val="none" w:sz="0" w:space="0" w:color="auto"/>
                                                                <w:right w:val="none" w:sz="0" w:space="0" w:color="auto"/>
                                                              </w:divBdr>
                                                              <w:divsChild>
                                                                <w:div w:id="1996033417">
                                                                  <w:marLeft w:val="0"/>
                                                                  <w:marRight w:val="0"/>
                                                                  <w:marTop w:val="0"/>
                                                                  <w:marBottom w:val="0"/>
                                                                  <w:divBdr>
                                                                    <w:top w:val="none" w:sz="0" w:space="0" w:color="auto"/>
                                                                    <w:left w:val="none" w:sz="0" w:space="0" w:color="auto"/>
                                                                    <w:bottom w:val="none" w:sz="0" w:space="0" w:color="auto"/>
                                                                    <w:right w:val="none" w:sz="0" w:space="0" w:color="auto"/>
                                                                  </w:divBdr>
                                                                  <w:divsChild>
                                                                    <w:div w:id="19739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1646">
                                                              <w:marLeft w:val="0"/>
                                                              <w:marRight w:val="0"/>
                                                              <w:marTop w:val="0"/>
                                                              <w:marBottom w:val="0"/>
                                                              <w:divBdr>
                                                                <w:top w:val="none" w:sz="0" w:space="0" w:color="auto"/>
                                                                <w:left w:val="none" w:sz="0" w:space="0" w:color="auto"/>
                                                                <w:bottom w:val="none" w:sz="0" w:space="0" w:color="auto"/>
                                                                <w:right w:val="none" w:sz="0" w:space="0" w:color="auto"/>
                                                              </w:divBdr>
                                                              <w:divsChild>
                                                                <w:div w:id="1809011367">
                                                                  <w:marLeft w:val="0"/>
                                                                  <w:marRight w:val="0"/>
                                                                  <w:marTop w:val="0"/>
                                                                  <w:marBottom w:val="0"/>
                                                                  <w:divBdr>
                                                                    <w:top w:val="none" w:sz="0" w:space="0" w:color="auto"/>
                                                                    <w:left w:val="none" w:sz="0" w:space="0" w:color="auto"/>
                                                                    <w:bottom w:val="none" w:sz="0" w:space="0" w:color="auto"/>
                                                                    <w:right w:val="none" w:sz="0" w:space="0" w:color="auto"/>
                                                                  </w:divBdr>
                                                                  <w:divsChild>
                                                                    <w:div w:id="107389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716594">
          <w:marLeft w:val="0"/>
          <w:marRight w:val="0"/>
          <w:marTop w:val="0"/>
          <w:marBottom w:val="0"/>
          <w:divBdr>
            <w:top w:val="none" w:sz="0" w:space="0" w:color="auto"/>
            <w:left w:val="none" w:sz="0" w:space="0" w:color="auto"/>
            <w:bottom w:val="none" w:sz="0" w:space="0" w:color="auto"/>
            <w:right w:val="none" w:sz="0" w:space="0" w:color="auto"/>
          </w:divBdr>
          <w:divsChild>
            <w:div w:id="13575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9476">
      <w:bodyDiv w:val="1"/>
      <w:marLeft w:val="0"/>
      <w:marRight w:val="0"/>
      <w:marTop w:val="0"/>
      <w:marBottom w:val="0"/>
      <w:divBdr>
        <w:top w:val="none" w:sz="0" w:space="0" w:color="auto"/>
        <w:left w:val="none" w:sz="0" w:space="0" w:color="auto"/>
        <w:bottom w:val="none" w:sz="0" w:space="0" w:color="auto"/>
        <w:right w:val="none" w:sz="0" w:space="0" w:color="auto"/>
      </w:divBdr>
    </w:div>
    <w:div w:id="1682122184">
      <w:bodyDiv w:val="1"/>
      <w:marLeft w:val="0"/>
      <w:marRight w:val="0"/>
      <w:marTop w:val="0"/>
      <w:marBottom w:val="0"/>
      <w:divBdr>
        <w:top w:val="none" w:sz="0" w:space="0" w:color="auto"/>
        <w:left w:val="none" w:sz="0" w:space="0" w:color="auto"/>
        <w:bottom w:val="none" w:sz="0" w:space="0" w:color="auto"/>
        <w:right w:val="none" w:sz="0" w:space="0" w:color="auto"/>
      </w:divBdr>
    </w:div>
    <w:div w:id="1730836369">
      <w:bodyDiv w:val="1"/>
      <w:marLeft w:val="0"/>
      <w:marRight w:val="0"/>
      <w:marTop w:val="0"/>
      <w:marBottom w:val="0"/>
      <w:divBdr>
        <w:top w:val="none" w:sz="0" w:space="0" w:color="auto"/>
        <w:left w:val="none" w:sz="0" w:space="0" w:color="auto"/>
        <w:bottom w:val="none" w:sz="0" w:space="0" w:color="auto"/>
        <w:right w:val="none" w:sz="0" w:space="0" w:color="auto"/>
      </w:divBdr>
      <w:divsChild>
        <w:div w:id="1244685949">
          <w:marLeft w:val="0"/>
          <w:marRight w:val="0"/>
          <w:marTop w:val="0"/>
          <w:marBottom w:val="0"/>
          <w:divBdr>
            <w:top w:val="none" w:sz="0" w:space="0" w:color="auto"/>
            <w:left w:val="none" w:sz="0" w:space="0" w:color="auto"/>
            <w:bottom w:val="none" w:sz="0" w:space="0" w:color="auto"/>
            <w:right w:val="none" w:sz="0" w:space="0" w:color="auto"/>
          </w:divBdr>
        </w:div>
      </w:divsChild>
    </w:div>
    <w:div w:id="1775709477">
      <w:bodyDiv w:val="1"/>
      <w:marLeft w:val="0"/>
      <w:marRight w:val="0"/>
      <w:marTop w:val="0"/>
      <w:marBottom w:val="0"/>
      <w:divBdr>
        <w:top w:val="none" w:sz="0" w:space="0" w:color="auto"/>
        <w:left w:val="none" w:sz="0" w:space="0" w:color="auto"/>
        <w:bottom w:val="none" w:sz="0" w:space="0" w:color="auto"/>
        <w:right w:val="none" w:sz="0" w:space="0" w:color="auto"/>
      </w:divBdr>
      <w:divsChild>
        <w:div w:id="1982227836">
          <w:marLeft w:val="0"/>
          <w:marRight w:val="0"/>
          <w:marTop w:val="0"/>
          <w:marBottom w:val="0"/>
          <w:divBdr>
            <w:top w:val="none" w:sz="0" w:space="0" w:color="auto"/>
            <w:left w:val="none" w:sz="0" w:space="0" w:color="auto"/>
            <w:bottom w:val="none" w:sz="0" w:space="0" w:color="auto"/>
            <w:right w:val="none" w:sz="0" w:space="0" w:color="auto"/>
          </w:divBdr>
          <w:divsChild>
            <w:div w:id="184757938">
              <w:marLeft w:val="0"/>
              <w:marRight w:val="0"/>
              <w:marTop w:val="0"/>
              <w:marBottom w:val="0"/>
              <w:divBdr>
                <w:top w:val="none" w:sz="0" w:space="0" w:color="auto"/>
                <w:left w:val="none" w:sz="0" w:space="0" w:color="auto"/>
                <w:bottom w:val="none" w:sz="0" w:space="0" w:color="auto"/>
                <w:right w:val="none" w:sz="0" w:space="0" w:color="auto"/>
              </w:divBdr>
              <w:divsChild>
                <w:div w:id="7650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1968368">
      <w:bodyDiv w:val="1"/>
      <w:marLeft w:val="0"/>
      <w:marRight w:val="0"/>
      <w:marTop w:val="0"/>
      <w:marBottom w:val="0"/>
      <w:divBdr>
        <w:top w:val="none" w:sz="0" w:space="0" w:color="auto"/>
        <w:left w:val="none" w:sz="0" w:space="0" w:color="auto"/>
        <w:bottom w:val="none" w:sz="0" w:space="0" w:color="auto"/>
        <w:right w:val="none" w:sz="0" w:space="0" w:color="auto"/>
      </w:divBdr>
      <w:divsChild>
        <w:div w:id="456724534">
          <w:marLeft w:val="0"/>
          <w:marRight w:val="0"/>
          <w:marTop w:val="0"/>
          <w:marBottom w:val="0"/>
          <w:divBdr>
            <w:top w:val="none" w:sz="0" w:space="0" w:color="auto"/>
            <w:left w:val="none" w:sz="0" w:space="0" w:color="auto"/>
            <w:bottom w:val="none" w:sz="0" w:space="0" w:color="auto"/>
            <w:right w:val="none" w:sz="0" w:space="0" w:color="auto"/>
          </w:divBdr>
          <w:divsChild>
            <w:div w:id="1916433413">
              <w:marLeft w:val="0"/>
              <w:marRight w:val="0"/>
              <w:marTop w:val="0"/>
              <w:marBottom w:val="0"/>
              <w:divBdr>
                <w:top w:val="none" w:sz="0" w:space="0" w:color="auto"/>
                <w:left w:val="none" w:sz="0" w:space="0" w:color="auto"/>
                <w:bottom w:val="none" w:sz="0" w:space="0" w:color="auto"/>
                <w:right w:val="none" w:sz="0" w:space="0" w:color="auto"/>
              </w:divBdr>
              <w:divsChild>
                <w:div w:id="1300066048">
                  <w:marLeft w:val="0"/>
                  <w:marRight w:val="0"/>
                  <w:marTop w:val="0"/>
                  <w:marBottom w:val="0"/>
                  <w:divBdr>
                    <w:top w:val="none" w:sz="0" w:space="0" w:color="auto"/>
                    <w:left w:val="none" w:sz="0" w:space="0" w:color="auto"/>
                    <w:bottom w:val="none" w:sz="0" w:space="0" w:color="auto"/>
                    <w:right w:val="none" w:sz="0" w:space="0" w:color="auto"/>
                  </w:divBdr>
                </w:div>
                <w:div w:id="20708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87195">
      <w:bodyDiv w:val="1"/>
      <w:marLeft w:val="0"/>
      <w:marRight w:val="0"/>
      <w:marTop w:val="0"/>
      <w:marBottom w:val="0"/>
      <w:divBdr>
        <w:top w:val="none" w:sz="0" w:space="0" w:color="auto"/>
        <w:left w:val="none" w:sz="0" w:space="0" w:color="auto"/>
        <w:bottom w:val="none" w:sz="0" w:space="0" w:color="auto"/>
        <w:right w:val="none" w:sz="0" w:space="0" w:color="auto"/>
      </w:divBdr>
    </w:div>
    <w:div w:id="1839805601">
      <w:bodyDiv w:val="1"/>
      <w:marLeft w:val="0"/>
      <w:marRight w:val="0"/>
      <w:marTop w:val="0"/>
      <w:marBottom w:val="0"/>
      <w:divBdr>
        <w:top w:val="none" w:sz="0" w:space="0" w:color="auto"/>
        <w:left w:val="none" w:sz="0" w:space="0" w:color="auto"/>
        <w:bottom w:val="none" w:sz="0" w:space="0" w:color="auto"/>
        <w:right w:val="none" w:sz="0" w:space="0" w:color="auto"/>
      </w:divBdr>
      <w:divsChild>
        <w:div w:id="24913458">
          <w:marLeft w:val="0"/>
          <w:marRight w:val="0"/>
          <w:marTop w:val="0"/>
          <w:marBottom w:val="0"/>
          <w:divBdr>
            <w:top w:val="none" w:sz="0" w:space="0" w:color="auto"/>
            <w:left w:val="none" w:sz="0" w:space="0" w:color="auto"/>
            <w:bottom w:val="none" w:sz="0" w:space="0" w:color="auto"/>
            <w:right w:val="none" w:sz="0" w:space="0" w:color="auto"/>
          </w:divBdr>
          <w:divsChild>
            <w:div w:id="673724396">
              <w:marLeft w:val="0"/>
              <w:marRight w:val="0"/>
              <w:marTop w:val="0"/>
              <w:marBottom w:val="0"/>
              <w:divBdr>
                <w:top w:val="none" w:sz="0" w:space="0" w:color="auto"/>
                <w:left w:val="none" w:sz="0" w:space="0" w:color="auto"/>
                <w:bottom w:val="none" w:sz="0" w:space="0" w:color="auto"/>
                <w:right w:val="none" w:sz="0" w:space="0" w:color="auto"/>
              </w:divBdr>
              <w:divsChild>
                <w:div w:id="6708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259">
      <w:bodyDiv w:val="1"/>
      <w:marLeft w:val="0"/>
      <w:marRight w:val="0"/>
      <w:marTop w:val="0"/>
      <w:marBottom w:val="0"/>
      <w:divBdr>
        <w:top w:val="none" w:sz="0" w:space="0" w:color="auto"/>
        <w:left w:val="none" w:sz="0" w:space="0" w:color="auto"/>
        <w:bottom w:val="none" w:sz="0" w:space="0" w:color="auto"/>
        <w:right w:val="none" w:sz="0" w:space="0" w:color="auto"/>
      </w:divBdr>
    </w:div>
    <w:div w:id="1900021470">
      <w:bodyDiv w:val="1"/>
      <w:marLeft w:val="0"/>
      <w:marRight w:val="0"/>
      <w:marTop w:val="0"/>
      <w:marBottom w:val="0"/>
      <w:divBdr>
        <w:top w:val="none" w:sz="0" w:space="0" w:color="auto"/>
        <w:left w:val="none" w:sz="0" w:space="0" w:color="auto"/>
        <w:bottom w:val="none" w:sz="0" w:space="0" w:color="auto"/>
        <w:right w:val="none" w:sz="0" w:space="0" w:color="auto"/>
      </w:divBdr>
    </w:div>
    <w:div w:id="1915434249">
      <w:bodyDiv w:val="1"/>
      <w:marLeft w:val="0"/>
      <w:marRight w:val="0"/>
      <w:marTop w:val="0"/>
      <w:marBottom w:val="0"/>
      <w:divBdr>
        <w:top w:val="none" w:sz="0" w:space="0" w:color="auto"/>
        <w:left w:val="none" w:sz="0" w:space="0" w:color="auto"/>
        <w:bottom w:val="none" w:sz="0" w:space="0" w:color="auto"/>
        <w:right w:val="none" w:sz="0" w:space="0" w:color="auto"/>
      </w:divBdr>
    </w:div>
    <w:div w:id="1963267792">
      <w:bodyDiv w:val="1"/>
      <w:marLeft w:val="0"/>
      <w:marRight w:val="0"/>
      <w:marTop w:val="0"/>
      <w:marBottom w:val="0"/>
      <w:divBdr>
        <w:top w:val="none" w:sz="0" w:space="0" w:color="auto"/>
        <w:left w:val="none" w:sz="0" w:space="0" w:color="auto"/>
        <w:bottom w:val="none" w:sz="0" w:space="0" w:color="auto"/>
        <w:right w:val="none" w:sz="0" w:space="0" w:color="auto"/>
      </w:divBdr>
      <w:divsChild>
        <w:div w:id="165872867">
          <w:marLeft w:val="0"/>
          <w:marRight w:val="0"/>
          <w:marTop w:val="0"/>
          <w:marBottom w:val="0"/>
          <w:divBdr>
            <w:top w:val="none" w:sz="0" w:space="0" w:color="auto"/>
            <w:left w:val="none" w:sz="0" w:space="0" w:color="auto"/>
            <w:bottom w:val="none" w:sz="0" w:space="0" w:color="auto"/>
            <w:right w:val="none" w:sz="0" w:space="0" w:color="auto"/>
          </w:divBdr>
        </w:div>
        <w:div w:id="972365312">
          <w:marLeft w:val="0"/>
          <w:marRight w:val="0"/>
          <w:marTop w:val="0"/>
          <w:marBottom w:val="0"/>
          <w:divBdr>
            <w:top w:val="none" w:sz="0" w:space="0" w:color="auto"/>
            <w:left w:val="none" w:sz="0" w:space="0" w:color="auto"/>
            <w:bottom w:val="none" w:sz="0" w:space="0" w:color="auto"/>
            <w:right w:val="none" w:sz="0" w:space="0" w:color="auto"/>
          </w:divBdr>
        </w:div>
      </w:divsChild>
    </w:div>
    <w:div w:id="1966963980">
      <w:bodyDiv w:val="1"/>
      <w:marLeft w:val="0"/>
      <w:marRight w:val="0"/>
      <w:marTop w:val="0"/>
      <w:marBottom w:val="0"/>
      <w:divBdr>
        <w:top w:val="none" w:sz="0" w:space="0" w:color="auto"/>
        <w:left w:val="none" w:sz="0" w:space="0" w:color="auto"/>
        <w:bottom w:val="none" w:sz="0" w:space="0" w:color="auto"/>
        <w:right w:val="none" w:sz="0" w:space="0" w:color="auto"/>
      </w:divBdr>
      <w:divsChild>
        <w:div w:id="21711777">
          <w:marLeft w:val="0"/>
          <w:marRight w:val="0"/>
          <w:marTop w:val="0"/>
          <w:marBottom w:val="0"/>
          <w:divBdr>
            <w:top w:val="none" w:sz="0" w:space="0" w:color="auto"/>
            <w:left w:val="none" w:sz="0" w:space="0" w:color="auto"/>
            <w:bottom w:val="none" w:sz="0" w:space="0" w:color="auto"/>
            <w:right w:val="none" w:sz="0" w:space="0" w:color="auto"/>
          </w:divBdr>
          <w:divsChild>
            <w:div w:id="1650017355">
              <w:marLeft w:val="0"/>
              <w:marRight w:val="0"/>
              <w:marTop w:val="0"/>
              <w:marBottom w:val="0"/>
              <w:divBdr>
                <w:top w:val="none" w:sz="0" w:space="0" w:color="auto"/>
                <w:left w:val="none" w:sz="0" w:space="0" w:color="auto"/>
                <w:bottom w:val="none" w:sz="0" w:space="0" w:color="auto"/>
                <w:right w:val="none" w:sz="0" w:space="0" w:color="auto"/>
              </w:divBdr>
              <w:divsChild>
                <w:div w:id="11794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5976">
      <w:bodyDiv w:val="1"/>
      <w:marLeft w:val="0"/>
      <w:marRight w:val="0"/>
      <w:marTop w:val="0"/>
      <w:marBottom w:val="0"/>
      <w:divBdr>
        <w:top w:val="none" w:sz="0" w:space="0" w:color="auto"/>
        <w:left w:val="none" w:sz="0" w:space="0" w:color="auto"/>
        <w:bottom w:val="none" w:sz="0" w:space="0" w:color="auto"/>
        <w:right w:val="none" w:sz="0" w:space="0" w:color="auto"/>
      </w:divBdr>
    </w:div>
    <w:div w:id="2027559892">
      <w:bodyDiv w:val="1"/>
      <w:marLeft w:val="0"/>
      <w:marRight w:val="0"/>
      <w:marTop w:val="0"/>
      <w:marBottom w:val="0"/>
      <w:divBdr>
        <w:top w:val="none" w:sz="0" w:space="0" w:color="auto"/>
        <w:left w:val="none" w:sz="0" w:space="0" w:color="auto"/>
        <w:bottom w:val="none" w:sz="0" w:space="0" w:color="auto"/>
        <w:right w:val="none" w:sz="0" w:space="0" w:color="auto"/>
      </w:divBdr>
    </w:div>
    <w:div w:id="2039357256">
      <w:bodyDiv w:val="1"/>
      <w:marLeft w:val="0"/>
      <w:marRight w:val="0"/>
      <w:marTop w:val="0"/>
      <w:marBottom w:val="0"/>
      <w:divBdr>
        <w:top w:val="none" w:sz="0" w:space="0" w:color="auto"/>
        <w:left w:val="none" w:sz="0" w:space="0" w:color="auto"/>
        <w:bottom w:val="none" w:sz="0" w:space="0" w:color="auto"/>
        <w:right w:val="none" w:sz="0" w:space="0" w:color="auto"/>
      </w:divBdr>
      <w:divsChild>
        <w:div w:id="992835716">
          <w:marLeft w:val="0"/>
          <w:marRight w:val="0"/>
          <w:marTop w:val="0"/>
          <w:marBottom w:val="0"/>
          <w:divBdr>
            <w:top w:val="none" w:sz="0" w:space="0" w:color="auto"/>
            <w:left w:val="none" w:sz="0" w:space="0" w:color="auto"/>
            <w:bottom w:val="none" w:sz="0" w:space="0" w:color="auto"/>
            <w:right w:val="none" w:sz="0" w:space="0" w:color="auto"/>
          </w:divBdr>
          <w:divsChild>
            <w:div w:id="819346187">
              <w:marLeft w:val="0"/>
              <w:marRight w:val="0"/>
              <w:marTop w:val="0"/>
              <w:marBottom w:val="0"/>
              <w:divBdr>
                <w:top w:val="none" w:sz="0" w:space="0" w:color="auto"/>
                <w:left w:val="none" w:sz="0" w:space="0" w:color="auto"/>
                <w:bottom w:val="none" w:sz="0" w:space="0" w:color="auto"/>
                <w:right w:val="none" w:sz="0" w:space="0" w:color="auto"/>
              </w:divBdr>
              <w:divsChild>
                <w:div w:id="14393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2119">
      <w:bodyDiv w:val="1"/>
      <w:marLeft w:val="0"/>
      <w:marRight w:val="0"/>
      <w:marTop w:val="0"/>
      <w:marBottom w:val="0"/>
      <w:divBdr>
        <w:top w:val="none" w:sz="0" w:space="0" w:color="auto"/>
        <w:left w:val="none" w:sz="0" w:space="0" w:color="auto"/>
        <w:bottom w:val="none" w:sz="0" w:space="0" w:color="auto"/>
        <w:right w:val="none" w:sz="0" w:space="0" w:color="auto"/>
      </w:divBdr>
    </w:div>
    <w:div w:id="2086876998">
      <w:bodyDiv w:val="1"/>
      <w:marLeft w:val="0"/>
      <w:marRight w:val="0"/>
      <w:marTop w:val="0"/>
      <w:marBottom w:val="0"/>
      <w:divBdr>
        <w:top w:val="none" w:sz="0" w:space="0" w:color="auto"/>
        <w:left w:val="none" w:sz="0" w:space="0" w:color="auto"/>
        <w:bottom w:val="none" w:sz="0" w:space="0" w:color="auto"/>
        <w:right w:val="none" w:sz="0" w:space="0" w:color="auto"/>
      </w:divBdr>
    </w:div>
    <w:div w:id="2096509803">
      <w:bodyDiv w:val="1"/>
      <w:marLeft w:val="0"/>
      <w:marRight w:val="0"/>
      <w:marTop w:val="0"/>
      <w:marBottom w:val="0"/>
      <w:divBdr>
        <w:top w:val="none" w:sz="0" w:space="0" w:color="auto"/>
        <w:left w:val="none" w:sz="0" w:space="0" w:color="auto"/>
        <w:bottom w:val="none" w:sz="0" w:space="0" w:color="auto"/>
        <w:right w:val="none" w:sz="0" w:space="0" w:color="auto"/>
      </w:divBdr>
    </w:div>
    <w:div w:id="2131048309">
      <w:bodyDiv w:val="1"/>
      <w:marLeft w:val="0"/>
      <w:marRight w:val="0"/>
      <w:marTop w:val="0"/>
      <w:marBottom w:val="0"/>
      <w:divBdr>
        <w:top w:val="none" w:sz="0" w:space="0" w:color="auto"/>
        <w:left w:val="none" w:sz="0" w:space="0" w:color="auto"/>
        <w:bottom w:val="none" w:sz="0" w:space="0" w:color="auto"/>
        <w:right w:val="none" w:sz="0" w:space="0" w:color="auto"/>
      </w:divBdr>
    </w:div>
    <w:div w:id="2133282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old.congreso.gob.gt/archivos/decretos/2008/gtdcx6-2008.pdf" TargetMode="External"/><Relationship Id="rId13" Type="http://schemas.openxmlformats.org/officeDocument/2006/relationships/hyperlink" Target="http://www.cicig.org/index.php?mact=News,cntnt01,detail,0&amp;cntnt01articleid=420&amp;cntnt01returnid=67" TargetMode="External"/><Relationship Id="rId3" Type="http://schemas.openxmlformats.org/officeDocument/2006/relationships/hyperlink" Target="http://www.refworld.org/docid/3ae6b4d014.html" TargetMode="External"/><Relationship Id="rId7" Type="http://schemas.openxmlformats.org/officeDocument/2006/relationships/hyperlink" Target="http://elperiodico.com.gt/2016/02/12/opinion/conmutacion-de-la-pena-de-muerte/" TargetMode="External"/><Relationship Id="rId12" Type="http://schemas.openxmlformats.org/officeDocument/2006/relationships/hyperlink" Target="http://old.congreso.gob.gt/archivos/iniciativas/registro5100.pdf" TargetMode="External"/><Relationship Id="rId2" Type="http://schemas.openxmlformats.org/officeDocument/2006/relationships/hyperlink" Target="https://www.oas.org/juridico/mla/sp/gtm/sp_gtm-int-text-const.pdf." TargetMode="External"/><Relationship Id="rId16" Type="http://schemas.openxmlformats.org/officeDocument/2006/relationships/hyperlink" Target="http://www.cicig.org/index.php?mact=News,cntnt01,detail,0&amp;cntnt01articleid=420&amp;cntnt01returnid=67" TargetMode="External"/><Relationship Id="rId1" Type="http://schemas.openxmlformats.org/officeDocument/2006/relationships/hyperlink" Target="http://www.cidh.oas.org/annualrep/2004sp/Guatemala.723.01.htm" TargetMode="External"/><Relationship Id="rId6" Type="http://schemas.openxmlformats.org/officeDocument/2006/relationships/hyperlink" Target="http://www.efe.com/efe/america/politica/piden-en-guatemala-restituir-figura-de-indulto-y-con-ella-la-pena-muerte/20000035-2863701" TargetMode="External"/><Relationship Id="rId11" Type="http://schemas.openxmlformats.org/officeDocument/2006/relationships/hyperlink" Target="http://www.laprensa.com.ni/2010/11/05/internacionales/42724-colom-veta-ley-con-que-reactivarian-pena-de-muerte" TargetMode="External"/><Relationship Id="rId5" Type="http://schemas.openxmlformats.org/officeDocument/2006/relationships/hyperlink" Target="http://old.congreso.gob.gt/archivos/decretos/1996/gtdcx20-1996.pdf" TargetMode="External"/><Relationship Id="rId15" Type="http://schemas.openxmlformats.org/officeDocument/2006/relationships/hyperlink" Target="http://www.prensalibre.com/guatemala/justicia/fiscalia-espaola-mantiene-peticion-de-160-aos-de-carcel-para-carlos-vielmann." TargetMode="External"/><Relationship Id="rId10" Type="http://schemas.openxmlformats.org/officeDocument/2006/relationships/hyperlink" Target="http://news.bbc.co.uk/hi/spanish/latin_america/newsid_7297000/7297884.stm" TargetMode="External"/><Relationship Id="rId4" Type="http://schemas.openxmlformats.org/officeDocument/2006/relationships/hyperlink" Target="http://old.congreso.gob.gt/archivos/decretos/2000/gtdcx32-2000.pdf," TargetMode="External"/><Relationship Id="rId9" Type="http://schemas.openxmlformats.org/officeDocument/2006/relationships/hyperlink" Target="http://www.elmundo.es/elmundo/2008/03/15/internacional/1205539033.html" TargetMode="External"/><Relationship Id="rId14" Type="http://schemas.openxmlformats.org/officeDocument/2006/relationships/hyperlink" Target="http://www.cicig.org/uploads/documents/2013/SENT-20131018-01-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45C0A-B955-44CE-9F76-1EF4924A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38</Pages>
  <Words>16794</Words>
  <Characters>95730</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%username%</cp:lastModifiedBy>
  <cp:revision>46</cp:revision>
  <cp:lastPrinted>2017-10-11T21:32:00Z</cp:lastPrinted>
  <dcterms:created xsi:type="dcterms:W3CDTF">2017-09-25T21:23:00Z</dcterms:created>
  <dcterms:modified xsi:type="dcterms:W3CDTF">2018-01-18T17:16:00Z</dcterms:modified>
</cp:coreProperties>
</file>