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FD7742" w:rsidRDefault="00D42955" w:rsidP="00627C9F">
      <w:pPr>
        <w:jc w:val="both"/>
        <w:rPr>
          <w:rFonts w:ascii="Cambria" w:hAnsi="Cambria" w:cs="Univers"/>
          <w:b/>
          <w:bCs/>
          <w:sz w:val="20"/>
          <w:szCs w:val="20"/>
          <w:lang w:val="es-ES_tradnl"/>
        </w:rPr>
      </w:pPr>
      <w:r w:rsidRPr="00FD7742">
        <w:rPr>
          <w:rFonts w:ascii="Cambria" w:hAnsi="Cambria"/>
          <w:noProof/>
          <w:sz w:val="20"/>
          <w:szCs w:val="20"/>
          <w:lang w:val="es-ES" w:eastAsia="es-ES"/>
        </w:rPr>
        <mc:AlternateContent>
          <mc:Choice Requires="wps">
            <w:drawing>
              <wp:anchor distT="0" distB="0" distL="114300" distR="114300" simplePos="0" relativeHeight="251654144" behindDoc="0" locked="0" layoutInCell="1" allowOverlap="1">
                <wp:simplePos x="0" y="0"/>
                <wp:positionH relativeFrom="column">
                  <wp:posOffset>-415290</wp:posOffset>
                </wp:positionH>
                <wp:positionV relativeFrom="paragraph">
                  <wp:posOffset>-438785</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95C59"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J54JnplAgAAywQAAA4AAAAAAAAAAAAAAAAALgIA&#10;AGRycy9lMm9Eb2MueG1sUEsBAi0AFAAGAAgAAAAhANZxqJriAAAADAEAAA8AAAAAAAAAAAAAAAAA&#10;vwQAAGRycy9kb3ducmV2LnhtbFBLBQYAAAAABAAEAPMAAADOBQAAAAA=&#10;" fillcolor="#4a7194" stroked="f" strokeweight="2pt">
                <v:path arrowok="t"/>
              </v:rect>
            </w:pict>
          </mc:Fallback>
        </mc:AlternateContent>
      </w:r>
      <w:r w:rsidRPr="00FD7742">
        <w:rPr>
          <w:rFonts w:ascii="Cambria" w:hAnsi="Cambria"/>
          <w:noProof/>
          <w:sz w:val="20"/>
          <w:szCs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BB0B93" w:rsidRDefault="00BB0B93" w:rsidP="00AE5488">
                            <w:r w:rsidRPr="007372D2">
                              <w:rPr>
                                <w:noProof/>
                                <w:lang w:val="es-ES" w:eastAsia="es-ES"/>
                              </w:rPr>
                              <w:drawing>
                                <wp:inline distT="0" distB="0" distL="0" distR="0">
                                  <wp:extent cx="2647950" cy="504825"/>
                                  <wp:effectExtent l="0" t="0" r="0" b="9525"/>
                                  <wp:docPr id="3"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rsidR="00BB0B93" w:rsidRDefault="00BB0B93" w:rsidP="00AE5488">
                      <w:r w:rsidRPr="007372D2">
                        <w:rPr>
                          <w:noProof/>
                          <w:lang w:val="es-ES" w:eastAsia="es-ES"/>
                        </w:rPr>
                        <w:drawing>
                          <wp:inline distT="0" distB="0" distL="0" distR="0">
                            <wp:extent cx="2647950" cy="504825"/>
                            <wp:effectExtent l="0" t="0" r="0" b="9525"/>
                            <wp:docPr id="3"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v:textbox>
              </v:shape>
            </w:pict>
          </mc:Fallback>
        </mc:AlternateContent>
      </w:r>
    </w:p>
    <w:p w:rsidR="00040C3A" w:rsidRPr="00FD7742" w:rsidRDefault="00040C3A" w:rsidP="00040C3A">
      <w:pPr>
        <w:tabs>
          <w:tab w:val="center" w:pos="5400"/>
        </w:tabs>
        <w:suppressAutoHyphens/>
        <w:jc w:val="both"/>
        <w:rPr>
          <w:rFonts w:ascii="Cambria" w:hAnsi="Cambria"/>
          <w:sz w:val="20"/>
          <w:szCs w:val="20"/>
          <w:lang w:val="es-ES_tradnl"/>
        </w:rPr>
      </w:pPr>
    </w:p>
    <w:p w:rsidR="00040C3A" w:rsidRPr="00FD7742" w:rsidRDefault="00040C3A" w:rsidP="00040C3A">
      <w:pPr>
        <w:tabs>
          <w:tab w:val="center" w:pos="5400"/>
        </w:tabs>
        <w:suppressAutoHyphens/>
        <w:jc w:val="both"/>
        <w:rPr>
          <w:rFonts w:ascii="Cambria" w:hAnsi="Cambria"/>
          <w:sz w:val="20"/>
          <w:szCs w:val="20"/>
          <w:lang w:val="es-ES_tradnl"/>
        </w:rPr>
      </w:pPr>
    </w:p>
    <w:p w:rsidR="005128E4" w:rsidRPr="00FD7742" w:rsidRDefault="005128E4" w:rsidP="00040C3A">
      <w:pPr>
        <w:tabs>
          <w:tab w:val="center" w:pos="5400"/>
        </w:tabs>
        <w:suppressAutoHyphens/>
        <w:rPr>
          <w:rFonts w:ascii="Cambria" w:hAnsi="Cambria"/>
          <w:sz w:val="20"/>
          <w:szCs w:val="20"/>
          <w:lang w:val="es-ES_tradnl"/>
        </w:rPr>
      </w:pPr>
    </w:p>
    <w:p w:rsidR="005128E4" w:rsidRPr="00FD7742" w:rsidRDefault="005128E4" w:rsidP="00040C3A">
      <w:pPr>
        <w:tabs>
          <w:tab w:val="center" w:pos="5400"/>
        </w:tabs>
        <w:suppressAutoHyphens/>
        <w:rPr>
          <w:rFonts w:ascii="Cambria" w:hAnsi="Cambria"/>
          <w:sz w:val="20"/>
          <w:szCs w:val="20"/>
          <w:lang w:val="es-ES_tradnl"/>
        </w:rPr>
      </w:pPr>
    </w:p>
    <w:p w:rsidR="005128E4" w:rsidRPr="00FD7742" w:rsidRDefault="005128E4" w:rsidP="00040C3A">
      <w:pPr>
        <w:tabs>
          <w:tab w:val="center" w:pos="5400"/>
        </w:tabs>
        <w:suppressAutoHyphens/>
        <w:rPr>
          <w:rFonts w:ascii="Cambria" w:hAnsi="Cambria"/>
          <w:sz w:val="20"/>
          <w:szCs w:val="20"/>
          <w:lang w:val="es-ES_tradnl"/>
        </w:rPr>
      </w:pPr>
    </w:p>
    <w:p w:rsidR="00040C3A" w:rsidRPr="00FD7742" w:rsidRDefault="00040C3A" w:rsidP="005128E4">
      <w:pPr>
        <w:tabs>
          <w:tab w:val="center" w:pos="5400"/>
        </w:tabs>
        <w:suppressAutoHyphens/>
        <w:jc w:val="center"/>
        <w:rPr>
          <w:rFonts w:ascii="Cambria" w:hAnsi="Cambria"/>
          <w:sz w:val="20"/>
          <w:szCs w:val="20"/>
          <w:lang w:val="es-ES_tradnl"/>
        </w:rPr>
      </w:pPr>
    </w:p>
    <w:p w:rsidR="00040C3A" w:rsidRPr="00FD7742" w:rsidRDefault="00040C3A" w:rsidP="005128E4">
      <w:pPr>
        <w:tabs>
          <w:tab w:val="center" w:pos="5400"/>
        </w:tabs>
        <w:suppressAutoHyphens/>
        <w:jc w:val="center"/>
        <w:rPr>
          <w:rFonts w:ascii="Cambria" w:hAnsi="Cambria"/>
          <w:sz w:val="20"/>
          <w:szCs w:val="20"/>
          <w:lang w:val="es-ES_tradnl"/>
        </w:rPr>
      </w:pPr>
    </w:p>
    <w:p w:rsidR="005B52B0" w:rsidRPr="00FD7742" w:rsidRDefault="005B52B0" w:rsidP="005128E4">
      <w:pPr>
        <w:tabs>
          <w:tab w:val="center" w:pos="5400"/>
        </w:tabs>
        <w:suppressAutoHyphens/>
        <w:jc w:val="center"/>
        <w:rPr>
          <w:rFonts w:ascii="Cambria" w:hAnsi="Cambria"/>
          <w:sz w:val="20"/>
          <w:szCs w:val="20"/>
          <w:lang w:val="es-ES_tradnl"/>
        </w:rPr>
      </w:pPr>
    </w:p>
    <w:p w:rsidR="005B52B0" w:rsidRPr="00FD7742" w:rsidRDefault="005B52B0" w:rsidP="005128E4">
      <w:pPr>
        <w:tabs>
          <w:tab w:val="center" w:pos="5400"/>
        </w:tabs>
        <w:suppressAutoHyphens/>
        <w:jc w:val="center"/>
        <w:rPr>
          <w:rFonts w:ascii="Cambria" w:hAnsi="Cambria"/>
          <w:sz w:val="20"/>
          <w:szCs w:val="20"/>
          <w:lang w:val="es-ES_tradnl"/>
        </w:rPr>
      </w:pPr>
    </w:p>
    <w:p w:rsidR="005B52B0" w:rsidRPr="00FD7742" w:rsidRDefault="005B52B0" w:rsidP="005128E4">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D42955" w:rsidP="00040C3A">
      <w:pPr>
        <w:tabs>
          <w:tab w:val="center" w:pos="5400"/>
        </w:tabs>
        <w:suppressAutoHyphens/>
        <w:jc w:val="center"/>
        <w:rPr>
          <w:rFonts w:ascii="Cambria" w:hAnsi="Cambria"/>
          <w:sz w:val="20"/>
          <w:szCs w:val="20"/>
          <w:lang w:val="es-ES_tradnl"/>
        </w:rPr>
      </w:pPr>
      <w:r w:rsidRPr="00FD7742">
        <w:rPr>
          <w:rFonts w:ascii="Cambria" w:hAnsi="Cambria"/>
          <w:noProof/>
          <w:sz w:val="20"/>
          <w:szCs w:val="20"/>
          <w:lang w:val="es-ES" w:eastAsia="es-ES"/>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BB0B93" w:rsidRPr="00673E50" w:rsidRDefault="00BB0B93" w:rsidP="00997BC5">
                            <w:pPr>
                              <w:spacing w:line="276" w:lineRule="auto"/>
                              <w:rPr>
                                <w:rFonts w:ascii="Cambria" w:hAnsi="Cambria" w:cs="Arial"/>
                                <w:b/>
                                <w:bCs/>
                                <w:color w:val="0D0D0D"/>
                                <w:sz w:val="36"/>
                                <w:szCs w:val="22"/>
                                <w:lang w:val="es-ES"/>
                              </w:rPr>
                            </w:pPr>
                            <w:r w:rsidRPr="00673E50">
                              <w:rPr>
                                <w:rFonts w:ascii="Cambria" w:hAnsi="Cambria" w:cs="Arial"/>
                                <w:b/>
                                <w:bCs/>
                                <w:color w:val="0D0D0D"/>
                                <w:sz w:val="36"/>
                                <w:szCs w:val="22"/>
                                <w:lang w:val="es-ES"/>
                              </w:rPr>
                              <w:t xml:space="preserve">INFORME </w:t>
                            </w:r>
                            <w:r w:rsidRPr="00673E50">
                              <w:rPr>
                                <w:rFonts w:ascii="Cambria" w:hAnsi="Cambria" w:cs="Arial"/>
                                <w:b/>
                                <w:bCs/>
                                <w:color w:val="0D0D0D"/>
                                <w:sz w:val="36"/>
                                <w:szCs w:val="40"/>
                                <w:lang w:val="es-ES"/>
                              </w:rPr>
                              <w:t>No.</w:t>
                            </w:r>
                            <w:r w:rsidRPr="00673E50">
                              <w:rPr>
                                <w:rFonts w:ascii="Cambria" w:hAnsi="Cambria" w:cs="Arial"/>
                                <w:b/>
                                <w:bCs/>
                                <w:color w:val="0D0D0D"/>
                                <w:sz w:val="36"/>
                                <w:szCs w:val="22"/>
                                <w:lang w:val="es-ES"/>
                              </w:rPr>
                              <w:t xml:space="preserve"> </w:t>
                            </w:r>
                            <w:r>
                              <w:rPr>
                                <w:rFonts w:ascii="Cambria" w:hAnsi="Cambria" w:cs="Arial"/>
                                <w:b/>
                                <w:bCs/>
                                <w:color w:val="0D0D0D"/>
                                <w:sz w:val="36"/>
                                <w:szCs w:val="22"/>
                                <w:lang w:val="es-ES"/>
                              </w:rPr>
                              <w:t>111</w:t>
                            </w:r>
                            <w:r w:rsidRPr="00673E50">
                              <w:rPr>
                                <w:rFonts w:ascii="Cambria" w:hAnsi="Cambria" w:cs="Arial"/>
                                <w:b/>
                                <w:bCs/>
                                <w:color w:val="0D0D0D"/>
                                <w:sz w:val="36"/>
                                <w:szCs w:val="22"/>
                                <w:lang w:val="es-ES"/>
                              </w:rPr>
                              <w:t>/1</w:t>
                            </w:r>
                            <w:r>
                              <w:rPr>
                                <w:rFonts w:ascii="Cambria" w:hAnsi="Cambria" w:cs="Arial"/>
                                <w:b/>
                                <w:bCs/>
                                <w:color w:val="0D0D0D"/>
                                <w:sz w:val="36"/>
                                <w:szCs w:val="22"/>
                                <w:lang w:val="es-ES"/>
                              </w:rPr>
                              <w:t>8</w:t>
                            </w:r>
                          </w:p>
                          <w:p w:rsidR="00BB0B93" w:rsidRPr="00673E50" w:rsidRDefault="00BB0B93" w:rsidP="00997BC5">
                            <w:pPr>
                              <w:spacing w:line="276" w:lineRule="auto"/>
                              <w:rPr>
                                <w:rFonts w:ascii="Cambria" w:hAnsi="Cambria" w:cs="Arial"/>
                                <w:b/>
                                <w:color w:val="0D0D0D"/>
                                <w:sz w:val="36"/>
                                <w:szCs w:val="22"/>
                                <w:lang w:val="es-ES"/>
                              </w:rPr>
                            </w:pPr>
                            <w:r w:rsidRPr="00673E50">
                              <w:rPr>
                                <w:rFonts w:ascii="Cambria" w:hAnsi="Cambria" w:cs="Arial"/>
                                <w:b/>
                                <w:color w:val="0D0D0D"/>
                                <w:sz w:val="36"/>
                                <w:szCs w:val="22"/>
                                <w:lang w:val="es-ES"/>
                              </w:rPr>
                              <w:t xml:space="preserve">CASO </w:t>
                            </w:r>
                            <w:r>
                              <w:rPr>
                                <w:rFonts w:ascii="Cambria" w:hAnsi="Cambria" w:cs="Arial"/>
                                <w:b/>
                                <w:color w:val="0D0D0D"/>
                                <w:sz w:val="36"/>
                                <w:szCs w:val="22"/>
                                <w:lang w:val="es-ES"/>
                              </w:rPr>
                              <w:t>12.786</w:t>
                            </w:r>
                          </w:p>
                          <w:p w:rsidR="00BB0B93" w:rsidRPr="007372D2" w:rsidRDefault="00BB0B93" w:rsidP="00161414">
                            <w:pPr>
                              <w:spacing w:line="276" w:lineRule="auto"/>
                              <w:rPr>
                                <w:rFonts w:ascii="Cambria" w:hAnsi="Cambria" w:cs="Arial"/>
                                <w:color w:val="0D0D0D"/>
                                <w:szCs w:val="22"/>
                                <w:lang w:val="es-ES_tradnl"/>
                              </w:rPr>
                            </w:pPr>
                            <w:r w:rsidRPr="007372D2">
                              <w:rPr>
                                <w:rFonts w:ascii="Cambria" w:hAnsi="Cambria" w:cs="Arial"/>
                                <w:color w:val="0D0D0D"/>
                                <w:szCs w:val="22"/>
                                <w:lang w:val="es-ES_tradnl"/>
                              </w:rPr>
                              <w:t>INFORME DE FONDO</w:t>
                            </w:r>
                          </w:p>
                          <w:p w:rsidR="00BB0B93" w:rsidRPr="007372D2" w:rsidRDefault="00BB0B93" w:rsidP="00997BC5">
                            <w:pPr>
                              <w:spacing w:line="276" w:lineRule="auto"/>
                              <w:rPr>
                                <w:rFonts w:ascii="Cambria" w:hAnsi="Cambria" w:cs="Arial"/>
                                <w:color w:val="0D0D0D"/>
                                <w:szCs w:val="22"/>
                                <w:lang w:val="es-ES_tradnl"/>
                              </w:rPr>
                            </w:pPr>
                            <w:bookmarkStart w:id="0" w:name="_ftnref1"/>
                          </w:p>
                          <w:p w:rsidR="00BB0B93" w:rsidRPr="007372D2" w:rsidRDefault="00BB0B93" w:rsidP="00997BC5">
                            <w:pPr>
                              <w:spacing w:line="276" w:lineRule="auto"/>
                              <w:rPr>
                                <w:rFonts w:ascii="Cambria" w:hAnsi="Cambria" w:cs="Arial"/>
                                <w:color w:val="0D0D0D"/>
                                <w:szCs w:val="22"/>
                                <w:lang w:val="es-ES"/>
                              </w:rPr>
                            </w:pPr>
                            <w:r>
                              <w:rPr>
                                <w:rFonts w:ascii="Cambria" w:hAnsi="Cambria" w:cs="Arial"/>
                                <w:color w:val="0D0D0D"/>
                                <w:szCs w:val="22"/>
                                <w:lang w:val="es-ES_tradnl"/>
                              </w:rPr>
                              <w:t>LUIS EDUARDO GUACHA</w:t>
                            </w:r>
                            <w:r w:rsidRPr="00765C18">
                              <w:rPr>
                                <w:rFonts w:ascii="Cambria" w:hAnsi="Cambria" w:cs="Arial"/>
                                <w:color w:val="0D0D0D"/>
                                <w:lang w:val="es-ES_tradnl"/>
                              </w:rPr>
                              <w:t>L</w:t>
                            </w:r>
                            <w:r w:rsidRPr="00765C18">
                              <w:rPr>
                                <w:rFonts w:ascii="Cambria" w:hAnsi="Cambria"/>
                                <w:lang w:val="es-ES_tradnl"/>
                              </w:rPr>
                              <w:t>Á</w:t>
                            </w:r>
                            <w:r>
                              <w:rPr>
                                <w:rFonts w:ascii="Cambria" w:hAnsi="Cambria" w:cs="Arial"/>
                                <w:color w:val="0D0D0D"/>
                                <w:szCs w:val="22"/>
                                <w:lang w:val="es-ES_tradnl"/>
                              </w:rPr>
                              <w:t xml:space="preserve"> </w:t>
                            </w:r>
                            <w:r w:rsidRPr="00765C18">
                              <w:rPr>
                                <w:rFonts w:ascii="Cambria" w:hAnsi="Cambria"/>
                                <w:lang w:val="es-ES_tradnl"/>
                              </w:rPr>
                              <w:t>CHIMBÓ</w:t>
                            </w:r>
                            <w:r>
                              <w:rPr>
                                <w:rFonts w:ascii="Cambria" w:hAnsi="Cambria" w:cs="Arial"/>
                                <w:color w:val="0D0D0D"/>
                                <w:szCs w:val="22"/>
                                <w:lang w:val="es-ES_tradnl"/>
                              </w:rPr>
                              <w:t xml:space="preserve"> Y FAMILIA</w:t>
                            </w:r>
                          </w:p>
                          <w:bookmarkEnd w:id="0"/>
                          <w:p w:rsidR="00BB0B93" w:rsidRPr="007372D2" w:rsidRDefault="00BB0B93" w:rsidP="00997BC5">
                            <w:pP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BB0B93" w:rsidRPr="007372D2" w:rsidRDefault="00BB0B93"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aLCPtAAgAAgAQA&#10;AA4AAAAAAAAAAAAAAAAALgIAAGRycy9lMm9Eb2MueG1sUEsBAi0AFAAGAAgAAAAhAPVEdxfgAAAA&#10;CgEAAA8AAAAAAAAAAAAAAAAAmgQAAGRycy9kb3ducmV2LnhtbFBLBQYAAAAABAAEAPMAAACnBQAA&#10;AAA=&#10;" filled="f" stroked="f" strokeweight=".5pt">
                <v:path arrowok="t"/>
                <v:textbox>
                  <w:txbxContent>
                    <w:p w:rsidR="00BB0B93" w:rsidRPr="00673E50" w:rsidRDefault="00BB0B93" w:rsidP="00997BC5">
                      <w:pPr>
                        <w:spacing w:line="276" w:lineRule="auto"/>
                        <w:rPr>
                          <w:rFonts w:ascii="Cambria" w:hAnsi="Cambria" w:cs="Arial"/>
                          <w:b/>
                          <w:bCs/>
                          <w:color w:val="0D0D0D"/>
                          <w:sz w:val="36"/>
                          <w:szCs w:val="22"/>
                          <w:lang w:val="es-ES"/>
                        </w:rPr>
                      </w:pPr>
                      <w:r w:rsidRPr="00673E50">
                        <w:rPr>
                          <w:rFonts w:ascii="Cambria" w:hAnsi="Cambria" w:cs="Arial"/>
                          <w:b/>
                          <w:bCs/>
                          <w:color w:val="0D0D0D"/>
                          <w:sz w:val="36"/>
                          <w:szCs w:val="22"/>
                          <w:lang w:val="es-ES"/>
                        </w:rPr>
                        <w:t xml:space="preserve">INFORME </w:t>
                      </w:r>
                      <w:r w:rsidRPr="00673E50">
                        <w:rPr>
                          <w:rFonts w:ascii="Cambria" w:hAnsi="Cambria" w:cs="Arial"/>
                          <w:b/>
                          <w:bCs/>
                          <w:color w:val="0D0D0D"/>
                          <w:sz w:val="36"/>
                          <w:szCs w:val="40"/>
                          <w:lang w:val="es-ES"/>
                        </w:rPr>
                        <w:t>No.</w:t>
                      </w:r>
                      <w:r w:rsidRPr="00673E50">
                        <w:rPr>
                          <w:rFonts w:ascii="Cambria" w:hAnsi="Cambria" w:cs="Arial"/>
                          <w:b/>
                          <w:bCs/>
                          <w:color w:val="0D0D0D"/>
                          <w:sz w:val="36"/>
                          <w:szCs w:val="22"/>
                          <w:lang w:val="es-ES"/>
                        </w:rPr>
                        <w:t xml:space="preserve"> </w:t>
                      </w:r>
                      <w:r>
                        <w:rPr>
                          <w:rFonts w:ascii="Cambria" w:hAnsi="Cambria" w:cs="Arial"/>
                          <w:b/>
                          <w:bCs/>
                          <w:color w:val="0D0D0D"/>
                          <w:sz w:val="36"/>
                          <w:szCs w:val="22"/>
                          <w:lang w:val="es-ES"/>
                        </w:rPr>
                        <w:t>111</w:t>
                      </w:r>
                      <w:r w:rsidRPr="00673E50">
                        <w:rPr>
                          <w:rFonts w:ascii="Cambria" w:hAnsi="Cambria" w:cs="Arial"/>
                          <w:b/>
                          <w:bCs/>
                          <w:color w:val="0D0D0D"/>
                          <w:sz w:val="36"/>
                          <w:szCs w:val="22"/>
                          <w:lang w:val="es-ES"/>
                        </w:rPr>
                        <w:t>/1</w:t>
                      </w:r>
                      <w:r>
                        <w:rPr>
                          <w:rFonts w:ascii="Cambria" w:hAnsi="Cambria" w:cs="Arial"/>
                          <w:b/>
                          <w:bCs/>
                          <w:color w:val="0D0D0D"/>
                          <w:sz w:val="36"/>
                          <w:szCs w:val="22"/>
                          <w:lang w:val="es-ES"/>
                        </w:rPr>
                        <w:t>8</w:t>
                      </w:r>
                    </w:p>
                    <w:p w:rsidR="00BB0B93" w:rsidRPr="00673E50" w:rsidRDefault="00BB0B93" w:rsidP="00997BC5">
                      <w:pPr>
                        <w:spacing w:line="276" w:lineRule="auto"/>
                        <w:rPr>
                          <w:rFonts w:ascii="Cambria" w:hAnsi="Cambria" w:cs="Arial"/>
                          <w:b/>
                          <w:color w:val="0D0D0D"/>
                          <w:sz w:val="36"/>
                          <w:szCs w:val="22"/>
                          <w:lang w:val="es-ES"/>
                        </w:rPr>
                      </w:pPr>
                      <w:r w:rsidRPr="00673E50">
                        <w:rPr>
                          <w:rFonts w:ascii="Cambria" w:hAnsi="Cambria" w:cs="Arial"/>
                          <w:b/>
                          <w:color w:val="0D0D0D"/>
                          <w:sz w:val="36"/>
                          <w:szCs w:val="22"/>
                          <w:lang w:val="es-ES"/>
                        </w:rPr>
                        <w:t xml:space="preserve">CASO </w:t>
                      </w:r>
                      <w:r>
                        <w:rPr>
                          <w:rFonts w:ascii="Cambria" w:hAnsi="Cambria" w:cs="Arial"/>
                          <w:b/>
                          <w:color w:val="0D0D0D"/>
                          <w:sz w:val="36"/>
                          <w:szCs w:val="22"/>
                          <w:lang w:val="es-ES"/>
                        </w:rPr>
                        <w:t>12.786</w:t>
                      </w:r>
                    </w:p>
                    <w:p w:rsidR="00BB0B93" w:rsidRPr="007372D2" w:rsidRDefault="00BB0B93" w:rsidP="00161414">
                      <w:pPr>
                        <w:spacing w:line="276" w:lineRule="auto"/>
                        <w:rPr>
                          <w:rFonts w:ascii="Cambria" w:hAnsi="Cambria" w:cs="Arial"/>
                          <w:color w:val="0D0D0D"/>
                          <w:szCs w:val="22"/>
                          <w:lang w:val="es-ES_tradnl"/>
                        </w:rPr>
                      </w:pPr>
                      <w:r w:rsidRPr="007372D2">
                        <w:rPr>
                          <w:rFonts w:ascii="Cambria" w:hAnsi="Cambria" w:cs="Arial"/>
                          <w:color w:val="0D0D0D"/>
                          <w:szCs w:val="22"/>
                          <w:lang w:val="es-ES_tradnl"/>
                        </w:rPr>
                        <w:t>INFORME DE FONDO</w:t>
                      </w:r>
                    </w:p>
                    <w:p w:rsidR="00BB0B93" w:rsidRPr="007372D2" w:rsidRDefault="00BB0B93" w:rsidP="00997BC5">
                      <w:pPr>
                        <w:spacing w:line="276" w:lineRule="auto"/>
                        <w:rPr>
                          <w:rFonts w:ascii="Cambria" w:hAnsi="Cambria" w:cs="Arial"/>
                          <w:color w:val="0D0D0D"/>
                          <w:szCs w:val="22"/>
                          <w:lang w:val="es-ES_tradnl"/>
                        </w:rPr>
                      </w:pPr>
                      <w:bookmarkStart w:id="1" w:name="_ftnref1"/>
                    </w:p>
                    <w:p w:rsidR="00BB0B93" w:rsidRPr="007372D2" w:rsidRDefault="00BB0B93" w:rsidP="00997BC5">
                      <w:pPr>
                        <w:spacing w:line="276" w:lineRule="auto"/>
                        <w:rPr>
                          <w:rFonts w:ascii="Cambria" w:hAnsi="Cambria" w:cs="Arial"/>
                          <w:color w:val="0D0D0D"/>
                          <w:szCs w:val="22"/>
                          <w:lang w:val="es-ES"/>
                        </w:rPr>
                      </w:pPr>
                      <w:r>
                        <w:rPr>
                          <w:rFonts w:ascii="Cambria" w:hAnsi="Cambria" w:cs="Arial"/>
                          <w:color w:val="0D0D0D"/>
                          <w:szCs w:val="22"/>
                          <w:lang w:val="es-ES_tradnl"/>
                        </w:rPr>
                        <w:t>LUIS EDUARDO GUACHA</w:t>
                      </w:r>
                      <w:r w:rsidRPr="00765C18">
                        <w:rPr>
                          <w:rFonts w:ascii="Cambria" w:hAnsi="Cambria" w:cs="Arial"/>
                          <w:color w:val="0D0D0D"/>
                          <w:lang w:val="es-ES_tradnl"/>
                        </w:rPr>
                        <w:t>L</w:t>
                      </w:r>
                      <w:r w:rsidRPr="00765C18">
                        <w:rPr>
                          <w:rFonts w:ascii="Cambria" w:hAnsi="Cambria"/>
                          <w:lang w:val="es-ES_tradnl"/>
                        </w:rPr>
                        <w:t>Á</w:t>
                      </w:r>
                      <w:r>
                        <w:rPr>
                          <w:rFonts w:ascii="Cambria" w:hAnsi="Cambria" w:cs="Arial"/>
                          <w:color w:val="0D0D0D"/>
                          <w:szCs w:val="22"/>
                          <w:lang w:val="es-ES_tradnl"/>
                        </w:rPr>
                        <w:t xml:space="preserve"> </w:t>
                      </w:r>
                      <w:r w:rsidRPr="00765C18">
                        <w:rPr>
                          <w:rFonts w:ascii="Cambria" w:hAnsi="Cambria"/>
                          <w:lang w:val="es-ES_tradnl"/>
                        </w:rPr>
                        <w:t>CHIMBÓ</w:t>
                      </w:r>
                      <w:r>
                        <w:rPr>
                          <w:rFonts w:ascii="Cambria" w:hAnsi="Cambria" w:cs="Arial"/>
                          <w:color w:val="0D0D0D"/>
                          <w:szCs w:val="22"/>
                          <w:lang w:val="es-ES_tradnl"/>
                        </w:rPr>
                        <w:t xml:space="preserve"> Y FAMILIA</w:t>
                      </w:r>
                    </w:p>
                    <w:bookmarkEnd w:id="1"/>
                    <w:p w:rsidR="00BB0B93" w:rsidRPr="007372D2" w:rsidRDefault="00BB0B93" w:rsidP="00997BC5">
                      <w:pP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BB0B93" w:rsidRPr="007372D2" w:rsidRDefault="00BB0B93" w:rsidP="007A5817">
                      <w:pPr>
                        <w:rPr>
                          <w:color w:val="0D0D0D"/>
                          <w:lang w:val="es-ES_tradnl"/>
                        </w:rPr>
                      </w:pPr>
                    </w:p>
                  </w:txbxContent>
                </v:textbox>
              </v:shape>
            </w:pict>
          </mc:Fallback>
        </mc:AlternateContent>
      </w:r>
    </w:p>
    <w:p w:rsidR="00040C3A" w:rsidRPr="00FD7742" w:rsidRDefault="00CA29EB" w:rsidP="00040C3A">
      <w:pPr>
        <w:tabs>
          <w:tab w:val="center" w:pos="5400"/>
        </w:tabs>
        <w:suppressAutoHyphens/>
        <w:jc w:val="center"/>
        <w:rPr>
          <w:rFonts w:ascii="Cambria" w:hAnsi="Cambria"/>
          <w:sz w:val="20"/>
          <w:szCs w:val="20"/>
          <w:lang w:val="es-ES_tradnl"/>
        </w:rPr>
      </w:pPr>
      <w:r w:rsidRPr="00FD7742">
        <w:rPr>
          <w:rFonts w:ascii="Cambria" w:hAnsi="Cambria"/>
          <w:noProof/>
          <w:sz w:val="20"/>
          <w:szCs w:val="20"/>
          <w:lang w:val="es-ES" w:eastAsia="es-ES"/>
        </w:rPr>
        <mc:AlternateContent>
          <mc:Choice Requires="wps">
            <w:drawing>
              <wp:anchor distT="0" distB="0" distL="114300" distR="114300" simplePos="0" relativeHeight="251657216" behindDoc="0" locked="0" layoutInCell="1" allowOverlap="1" wp14:anchorId="42A0D3D4" wp14:editId="2EEB4DE0">
                <wp:simplePos x="0" y="0"/>
                <wp:positionH relativeFrom="column">
                  <wp:posOffset>-417195</wp:posOffset>
                </wp:positionH>
                <wp:positionV relativeFrom="paragraph">
                  <wp:posOffset>14605</wp:posOffset>
                </wp:positionV>
                <wp:extent cx="146367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675" cy="1377315"/>
                        </a:xfrm>
                        <a:prstGeom prst="rect">
                          <a:avLst/>
                        </a:prstGeom>
                        <a:noFill/>
                        <a:ln w="6350">
                          <a:noFill/>
                        </a:ln>
                        <a:effectLst/>
                      </wps:spPr>
                      <wps:txbx>
                        <w:txbxContent>
                          <w:p w:rsidR="00BB0B93" w:rsidRPr="007372D2" w:rsidRDefault="00BB0B93" w:rsidP="007A5817">
                            <w:pPr>
                              <w:spacing w:line="276" w:lineRule="auto"/>
                              <w:jc w:val="right"/>
                              <w:rPr>
                                <w:rFonts w:ascii="Calibri" w:hAnsi="Calibri"/>
                                <w:color w:val="FFFFFF"/>
                                <w:sz w:val="22"/>
                                <w:lang w:val="pt-BR"/>
                              </w:rPr>
                            </w:pPr>
                            <w:r w:rsidRPr="007372D2">
                              <w:rPr>
                                <w:rFonts w:ascii="Calibri" w:hAnsi="Calibri"/>
                                <w:color w:val="FFFFFF"/>
                                <w:sz w:val="22"/>
                                <w:lang w:val="pt-BR"/>
                              </w:rPr>
                              <w:t>OEA/Ser.L/V/II.1</w:t>
                            </w:r>
                            <w:r>
                              <w:rPr>
                                <w:rFonts w:ascii="Calibri" w:hAnsi="Calibri"/>
                                <w:color w:val="FFFFFF"/>
                                <w:sz w:val="22"/>
                                <w:lang w:val="pt-BR"/>
                              </w:rPr>
                              <w:t>69</w:t>
                            </w:r>
                          </w:p>
                          <w:p w:rsidR="00BB0B93" w:rsidRPr="007372D2" w:rsidRDefault="00BB0B93" w:rsidP="007A5817">
                            <w:pPr>
                              <w:spacing w:line="276" w:lineRule="auto"/>
                              <w:jc w:val="right"/>
                              <w:rPr>
                                <w:rFonts w:ascii="Calibri" w:hAnsi="Calibri"/>
                                <w:color w:val="FFFFFF"/>
                                <w:sz w:val="22"/>
                                <w:lang w:val="pt-BR"/>
                              </w:rPr>
                            </w:pPr>
                            <w:r w:rsidRPr="007372D2">
                              <w:rPr>
                                <w:rFonts w:ascii="Calibri" w:hAnsi="Calibri"/>
                                <w:color w:val="FFFFFF"/>
                                <w:sz w:val="22"/>
                                <w:lang w:val="pt-BR"/>
                              </w:rPr>
                              <w:t xml:space="preserve">Doc. </w:t>
                            </w:r>
                            <w:r>
                              <w:rPr>
                                <w:rFonts w:ascii="Calibri" w:hAnsi="Calibri"/>
                                <w:color w:val="FFFFFF"/>
                                <w:sz w:val="22"/>
                                <w:lang w:val="pt-BR"/>
                              </w:rPr>
                              <w:t>128</w:t>
                            </w:r>
                          </w:p>
                          <w:p w:rsidR="00BB0B93" w:rsidRPr="00703939" w:rsidRDefault="00BB0B93" w:rsidP="007A5817">
                            <w:pPr>
                              <w:spacing w:line="276" w:lineRule="auto"/>
                              <w:jc w:val="right"/>
                              <w:rPr>
                                <w:rFonts w:ascii="Calibri" w:hAnsi="Calibri"/>
                                <w:color w:val="FFFFFF"/>
                                <w:sz w:val="22"/>
                                <w:lang w:val="es-ES"/>
                              </w:rPr>
                            </w:pPr>
                            <w:r>
                              <w:rPr>
                                <w:rFonts w:ascii="Calibri" w:hAnsi="Calibri"/>
                                <w:color w:val="FFFFFF"/>
                                <w:sz w:val="22"/>
                                <w:lang w:val="es-ES"/>
                              </w:rPr>
                              <w:t>5 de octubre</w:t>
                            </w:r>
                            <w:r w:rsidRPr="00703939">
                              <w:rPr>
                                <w:rFonts w:ascii="Calibri" w:hAnsi="Calibri"/>
                                <w:color w:val="FFFFFF"/>
                                <w:sz w:val="22"/>
                                <w:lang w:val="es-ES"/>
                              </w:rPr>
                              <w:t xml:space="preserve"> de 201</w:t>
                            </w:r>
                            <w:r>
                              <w:rPr>
                                <w:rFonts w:ascii="Calibri" w:hAnsi="Calibri"/>
                                <w:color w:val="FFFFFF"/>
                                <w:sz w:val="22"/>
                                <w:lang w:val="es-ES"/>
                              </w:rPr>
                              <w:t>8</w:t>
                            </w:r>
                          </w:p>
                          <w:p w:rsidR="00BB0B93" w:rsidRPr="00703939" w:rsidRDefault="00BB0B93" w:rsidP="007A5817">
                            <w:pPr>
                              <w:spacing w:line="276" w:lineRule="auto"/>
                              <w:jc w:val="right"/>
                              <w:rPr>
                                <w:rFonts w:ascii="Calibri" w:hAnsi="Calibri"/>
                                <w:color w:val="FFFFFF"/>
                                <w:sz w:val="22"/>
                                <w:lang w:val="es-ES"/>
                              </w:rPr>
                            </w:pPr>
                            <w:r w:rsidRPr="00703939">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2.85pt;margin-top:1.15pt;width:115.2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" filled="f" stroked="f" strokeweight=".5pt">
                <v:path arrowok="t"/>
                <v:textbox>
                  <w:txbxContent>
                    <w:p w:rsidR="00BB0B93" w:rsidRPr="007372D2" w:rsidRDefault="00BB0B93" w:rsidP="007A5817">
                      <w:pPr>
                        <w:spacing w:line="276" w:lineRule="auto"/>
                        <w:jc w:val="right"/>
                        <w:rPr>
                          <w:rFonts w:ascii="Calibri" w:hAnsi="Calibri"/>
                          <w:color w:val="FFFFFF"/>
                          <w:sz w:val="22"/>
                          <w:lang w:val="pt-BR"/>
                        </w:rPr>
                      </w:pPr>
                      <w:r w:rsidRPr="007372D2">
                        <w:rPr>
                          <w:rFonts w:ascii="Calibri" w:hAnsi="Calibri"/>
                          <w:color w:val="FFFFFF"/>
                          <w:sz w:val="22"/>
                          <w:lang w:val="pt-BR"/>
                        </w:rPr>
                        <w:t>OEA/Ser.L/V/II.1</w:t>
                      </w:r>
                      <w:r>
                        <w:rPr>
                          <w:rFonts w:ascii="Calibri" w:hAnsi="Calibri"/>
                          <w:color w:val="FFFFFF"/>
                          <w:sz w:val="22"/>
                          <w:lang w:val="pt-BR"/>
                        </w:rPr>
                        <w:t>69</w:t>
                      </w:r>
                    </w:p>
                    <w:p w:rsidR="00BB0B93" w:rsidRPr="007372D2" w:rsidRDefault="00BB0B93" w:rsidP="007A5817">
                      <w:pPr>
                        <w:spacing w:line="276" w:lineRule="auto"/>
                        <w:jc w:val="right"/>
                        <w:rPr>
                          <w:rFonts w:ascii="Calibri" w:hAnsi="Calibri"/>
                          <w:color w:val="FFFFFF"/>
                          <w:sz w:val="22"/>
                          <w:lang w:val="pt-BR"/>
                        </w:rPr>
                      </w:pPr>
                      <w:r w:rsidRPr="007372D2">
                        <w:rPr>
                          <w:rFonts w:ascii="Calibri" w:hAnsi="Calibri"/>
                          <w:color w:val="FFFFFF"/>
                          <w:sz w:val="22"/>
                          <w:lang w:val="pt-BR"/>
                        </w:rPr>
                        <w:t xml:space="preserve">Doc. </w:t>
                      </w:r>
                      <w:r>
                        <w:rPr>
                          <w:rFonts w:ascii="Calibri" w:hAnsi="Calibri"/>
                          <w:color w:val="FFFFFF"/>
                          <w:sz w:val="22"/>
                          <w:lang w:val="pt-BR"/>
                        </w:rPr>
                        <w:t>128</w:t>
                      </w:r>
                    </w:p>
                    <w:p w:rsidR="00BB0B93" w:rsidRPr="00703939" w:rsidRDefault="00BB0B93" w:rsidP="007A5817">
                      <w:pPr>
                        <w:spacing w:line="276" w:lineRule="auto"/>
                        <w:jc w:val="right"/>
                        <w:rPr>
                          <w:rFonts w:ascii="Calibri" w:hAnsi="Calibri"/>
                          <w:color w:val="FFFFFF"/>
                          <w:sz w:val="22"/>
                          <w:lang w:val="es-ES"/>
                        </w:rPr>
                      </w:pPr>
                      <w:r>
                        <w:rPr>
                          <w:rFonts w:ascii="Calibri" w:hAnsi="Calibri"/>
                          <w:color w:val="FFFFFF"/>
                          <w:sz w:val="22"/>
                          <w:lang w:val="es-ES"/>
                        </w:rPr>
                        <w:t>5 de octubre</w:t>
                      </w:r>
                      <w:r w:rsidRPr="00703939">
                        <w:rPr>
                          <w:rFonts w:ascii="Calibri" w:hAnsi="Calibri"/>
                          <w:color w:val="FFFFFF"/>
                          <w:sz w:val="22"/>
                          <w:lang w:val="es-ES"/>
                        </w:rPr>
                        <w:t xml:space="preserve"> de 201</w:t>
                      </w:r>
                      <w:r>
                        <w:rPr>
                          <w:rFonts w:ascii="Calibri" w:hAnsi="Calibri"/>
                          <w:color w:val="FFFFFF"/>
                          <w:sz w:val="22"/>
                          <w:lang w:val="es-ES"/>
                        </w:rPr>
                        <w:t>8</w:t>
                      </w:r>
                    </w:p>
                    <w:p w:rsidR="00BB0B93" w:rsidRPr="00703939" w:rsidRDefault="00BB0B93" w:rsidP="007A5817">
                      <w:pPr>
                        <w:spacing w:line="276" w:lineRule="auto"/>
                        <w:jc w:val="right"/>
                        <w:rPr>
                          <w:rFonts w:ascii="Calibri" w:hAnsi="Calibri"/>
                          <w:color w:val="FFFFFF"/>
                          <w:sz w:val="22"/>
                          <w:lang w:val="es-ES"/>
                        </w:rPr>
                      </w:pPr>
                      <w:r w:rsidRPr="00703939">
                        <w:rPr>
                          <w:rFonts w:ascii="Calibri" w:hAnsi="Calibri"/>
                          <w:color w:val="FFFFFF"/>
                          <w:sz w:val="22"/>
                          <w:lang w:val="es-ES"/>
                        </w:rPr>
                        <w:t>Original: español</w:t>
                      </w:r>
                    </w:p>
                  </w:txbxContent>
                </v:textbox>
              </v:shape>
            </w:pict>
          </mc:Fallback>
        </mc:AlternateContent>
      </w: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cs="Arial"/>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5128E4" w:rsidRPr="00FD7742" w:rsidRDefault="005128E4"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5128E4" w:rsidRPr="00FD7742" w:rsidRDefault="005128E4" w:rsidP="00040C3A">
      <w:pPr>
        <w:tabs>
          <w:tab w:val="center" w:pos="5400"/>
        </w:tabs>
        <w:suppressAutoHyphens/>
        <w:jc w:val="center"/>
        <w:rPr>
          <w:rFonts w:ascii="Cambria" w:hAnsi="Cambria"/>
          <w:sz w:val="20"/>
          <w:szCs w:val="20"/>
          <w:lang w:val="es-ES_tradnl"/>
        </w:rPr>
      </w:pPr>
    </w:p>
    <w:p w:rsidR="005128E4" w:rsidRPr="00FD7742" w:rsidRDefault="005128E4" w:rsidP="00040C3A">
      <w:pPr>
        <w:tabs>
          <w:tab w:val="center" w:pos="5400"/>
        </w:tabs>
        <w:suppressAutoHyphens/>
        <w:jc w:val="center"/>
        <w:rPr>
          <w:rFonts w:ascii="Cambria" w:hAnsi="Cambria"/>
          <w:sz w:val="20"/>
          <w:szCs w:val="20"/>
          <w:lang w:val="es-ES_tradnl"/>
        </w:rPr>
      </w:pPr>
    </w:p>
    <w:p w:rsidR="005128E4" w:rsidRPr="00FD7742" w:rsidRDefault="005128E4"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040C3A" w:rsidRPr="00FD7742" w:rsidRDefault="00040C3A"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D42955" w:rsidP="00040C3A">
      <w:pPr>
        <w:tabs>
          <w:tab w:val="center" w:pos="5400"/>
        </w:tabs>
        <w:suppressAutoHyphens/>
        <w:jc w:val="center"/>
        <w:rPr>
          <w:rFonts w:ascii="Cambria" w:hAnsi="Cambria"/>
          <w:sz w:val="20"/>
          <w:szCs w:val="20"/>
          <w:lang w:val="es-ES_tradnl"/>
        </w:rPr>
      </w:pPr>
      <w:r w:rsidRPr="00FD7742">
        <w:rPr>
          <w:rFonts w:ascii="Cambria" w:hAnsi="Cambria"/>
          <w:noProof/>
          <w:sz w:val="20"/>
          <w:szCs w:val="20"/>
          <w:lang w:val="es-ES" w:eastAsia="es-ES"/>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53340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BB0B93" w:rsidRPr="007372D2" w:rsidRDefault="00BB0B93" w:rsidP="00247403">
                            <w:pPr>
                              <w:tabs>
                                <w:tab w:val="center" w:pos="5400"/>
                              </w:tabs>
                              <w:suppressAutoHyphens/>
                              <w:spacing w:before="60"/>
                              <w:rPr>
                                <w:rFonts w:ascii="Cambria" w:hAnsi="Cambria" w:cs="Univers"/>
                                <w:color w:val="0D0D0D"/>
                                <w:sz w:val="18"/>
                                <w:szCs w:val="20"/>
                                <w:lang w:val="es-ES_tradnl"/>
                              </w:rPr>
                            </w:pPr>
                            <w:r w:rsidRPr="007372D2">
                              <w:rPr>
                                <w:rFonts w:ascii="Cambria" w:hAnsi="Cambria"/>
                                <w:color w:val="0D0D0D"/>
                                <w:sz w:val="18"/>
                                <w:szCs w:val="20"/>
                                <w:lang w:val="es-ES"/>
                              </w:rPr>
                              <w:t xml:space="preserve">Aprobado por la Comisión en su </w:t>
                            </w:r>
                            <w:r>
                              <w:rPr>
                                <w:rFonts w:ascii="Cambria" w:hAnsi="Cambria"/>
                                <w:color w:val="0D0D0D"/>
                                <w:sz w:val="18"/>
                                <w:szCs w:val="20"/>
                                <w:lang w:val="es-ES"/>
                              </w:rPr>
                              <w:t>S</w:t>
                            </w:r>
                            <w:r w:rsidRPr="007372D2">
                              <w:rPr>
                                <w:rFonts w:ascii="Cambria" w:hAnsi="Cambria"/>
                                <w:color w:val="0D0D0D"/>
                                <w:sz w:val="18"/>
                                <w:szCs w:val="20"/>
                                <w:lang w:val="es-ES"/>
                              </w:rPr>
                              <w:t xml:space="preserve">esión No. </w:t>
                            </w:r>
                            <w:r>
                              <w:rPr>
                                <w:rFonts w:ascii="Cambria" w:hAnsi="Cambria"/>
                                <w:color w:val="0D0D0D"/>
                                <w:sz w:val="18"/>
                                <w:szCs w:val="20"/>
                                <w:lang w:val="es-ES"/>
                              </w:rPr>
                              <w:t>2137</w:t>
                            </w:r>
                            <w:r w:rsidRPr="007372D2">
                              <w:rPr>
                                <w:rFonts w:ascii="Cambria" w:hAnsi="Cambria"/>
                                <w:color w:val="0D0D0D"/>
                                <w:sz w:val="18"/>
                                <w:szCs w:val="20"/>
                                <w:lang w:val="es-ES"/>
                              </w:rPr>
                              <w:t xml:space="preserve"> celebrada el </w:t>
                            </w:r>
                            <w:r>
                              <w:rPr>
                                <w:rFonts w:ascii="Cambria" w:hAnsi="Cambria"/>
                                <w:color w:val="0D0D0D"/>
                                <w:sz w:val="18"/>
                                <w:szCs w:val="20"/>
                                <w:lang w:val="es-ES"/>
                              </w:rPr>
                              <w:t>5 de octubre de 2018</w:t>
                            </w:r>
                            <w:r w:rsidRPr="007372D2">
                              <w:rPr>
                                <w:rFonts w:ascii="Cambria" w:hAnsi="Cambria"/>
                                <w:color w:val="0D0D0D"/>
                                <w:sz w:val="18"/>
                                <w:szCs w:val="20"/>
                                <w:lang w:val="es-ES"/>
                              </w:rPr>
                              <w:br/>
                            </w:r>
                            <w:r w:rsidRPr="007372D2">
                              <w:rPr>
                                <w:rFonts w:ascii="Cambria" w:hAnsi="Cambria" w:cs="Univers"/>
                                <w:color w:val="0D0D0D"/>
                                <w:sz w:val="18"/>
                                <w:szCs w:val="20"/>
                                <w:lang w:val="es-ES_tradnl"/>
                              </w:rPr>
                              <w:t>1</w:t>
                            </w:r>
                            <w:r>
                              <w:rPr>
                                <w:rFonts w:ascii="Cambria" w:hAnsi="Cambria" w:cs="Univers"/>
                                <w:color w:val="0D0D0D"/>
                                <w:sz w:val="18"/>
                                <w:szCs w:val="20"/>
                                <w:lang w:val="es-ES_tradnl"/>
                              </w:rPr>
                              <w:t>69 Período Ordinario de S</w:t>
                            </w:r>
                            <w:r w:rsidRPr="007372D2">
                              <w:rPr>
                                <w:rFonts w:ascii="Cambria" w:hAnsi="Cambria" w:cs="Univers"/>
                                <w:color w:val="0D0D0D"/>
                                <w:sz w:val="18"/>
                                <w:szCs w:val="20"/>
                                <w:lang w:val="es-ES_tradnl"/>
                              </w:rPr>
                              <w:t>esiones</w:t>
                            </w:r>
                          </w:p>
                          <w:p w:rsidR="00BB0B93" w:rsidRPr="007372D2" w:rsidRDefault="00BB0B93" w:rsidP="00247403">
                            <w:pPr>
                              <w:tabs>
                                <w:tab w:val="center" w:pos="5400"/>
                              </w:tabs>
                              <w:suppressAutoHyphens/>
                              <w:spacing w:before="60"/>
                              <w:rPr>
                                <w:rFonts w:ascii="Calibri" w:hAnsi="Calibri" w:cs="Univers"/>
                                <w:color w:val="0D0D0D"/>
                                <w:sz w:val="20"/>
                                <w:szCs w:val="20"/>
                                <w:lang w:val="es-ES"/>
                              </w:rPr>
                            </w:pPr>
                          </w:p>
                          <w:p w:rsidR="00BB0B93" w:rsidRPr="007372D2" w:rsidRDefault="00BB0B93"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8pt;margin-top:4.2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" filled="f" stroked="f" strokeweight=".5pt">
                <v:path arrowok="t"/>
                <v:textbox>
                  <w:txbxContent>
                    <w:p w:rsidR="00BB0B93" w:rsidRPr="007372D2" w:rsidRDefault="00BB0B93" w:rsidP="00247403">
                      <w:pPr>
                        <w:tabs>
                          <w:tab w:val="center" w:pos="5400"/>
                        </w:tabs>
                        <w:suppressAutoHyphens/>
                        <w:spacing w:before="60"/>
                        <w:rPr>
                          <w:rFonts w:ascii="Cambria" w:hAnsi="Cambria" w:cs="Univers"/>
                          <w:color w:val="0D0D0D"/>
                          <w:sz w:val="18"/>
                          <w:szCs w:val="20"/>
                          <w:lang w:val="es-ES_tradnl"/>
                        </w:rPr>
                      </w:pPr>
                      <w:r w:rsidRPr="007372D2">
                        <w:rPr>
                          <w:rFonts w:ascii="Cambria" w:hAnsi="Cambria"/>
                          <w:color w:val="0D0D0D"/>
                          <w:sz w:val="18"/>
                          <w:szCs w:val="20"/>
                          <w:lang w:val="es-ES"/>
                        </w:rPr>
                        <w:t xml:space="preserve">Aprobado por la Comisión en su </w:t>
                      </w:r>
                      <w:r>
                        <w:rPr>
                          <w:rFonts w:ascii="Cambria" w:hAnsi="Cambria"/>
                          <w:color w:val="0D0D0D"/>
                          <w:sz w:val="18"/>
                          <w:szCs w:val="20"/>
                          <w:lang w:val="es-ES"/>
                        </w:rPr>
                        <w:t>S</w:t>
                      </w:r>
                      <w:r w:rsidRPr="007372D2">
                        <w:rPr>
                          <w:rFonts w:ascii="Cambria" w:hAnsi="Cambria"/>
                          <w:color w:val="0D0D0D"/>
                          <w:sz w:val="18"/>
                          <w:szCs w:val="20"/>
                          <w:lang w:val="es-ES"/>
                        </w:rPr>
                        <w:t xml:space="preserve">esión No. </w:t>
                      </w:r>
                      <w:r>
                        <w:rPr>
                          <w:rFonts w:ascii="Cambria" w:hAnsi="Cambria"/>
                          <w:color w:val="0D0D0D"/>
                          <w:sz w:val="18"/>
                          <w:szCs w:val="20"/>
                          <w:lang w:val="es-ES"/>
                        </w:rPr>
                        <w:t>2137</w:t>
                      </w:r>
                      <w:r w:rsidRPr="007372D2">
                        <w:rPr>
                          <w:rFonts w:ascii="Cambria" w:hAnsi="Cambria"/>
                          <w:color w:val="0D0D0D"/>
                          <w:sz w:val="18"/>
                          <w:szCs w:val="20"/>
                          <w:lang w:val="es-ES"/>
                        </w:rPr>
                        <w:t xml:space="preserve"> celebrada el </w:t>
                      </w:r>
                      <w:r>
                        <w:rPr>
                          <w:rFonts w:ascii="Cambria" w:hAnsi="Cambria"/>
                          <w:color w:val="0D0D0D"/>
                          <w:sz w:val="18"/>
                          <w:szCs w:val="20"/>
                          <w:lang w:val="es-ES"/>
                        </w:rPr>
                        <w:t>5 de octubre de 2018</w:t>
                      </w:r>
                      <w:r w:rsidRPr="007372D2">
                        <w:rPr>
                          <w:rFonts w:ascii="Cambria" w:hAnsi="Cambria"/>
                          <w:color w:val="0D0D0D"/>
                          <w:sz w:val="18"/>
                          <w:szCs w:val="20"/>
                          <w:lang w:val="es-ES"/>
                        </w:rPr>
                        <w:br/>
                      </w:r>
                      <w:r w:rsidRPr="007372D2">
                        <w:rPr>
                          <w:rFonts w:ascii="Cambria" w:hAnsi="Cambria" w:cs="Univers"/>
                          <w:color w:val="0D0D0D"/>
                          <w:sz w:val="18"/>
                          <w:szCs w:val="20"/>
                          <w:lang w:val="es-ES_tradnl"/>
                        </w:rPr>
                        <w:t>1</w:t>
                      </w:r>
                      <w:r>
                        <w:rPr>
                          <w:rFonts w:ascii="Cambria" w:hAnsi="Cambria" w:cs="Univers"/>
                          <w:color w:val="0D0D0D"/>
                          <w:sz w:val="18"/>
                          <w:szCs w:val="20"/>
                          <w:lang w:val="es-ES_tradnl"/>
                        </w:rPr>
                        <w:t>69 Período Ordinario de S</w:t>
                      </w:r>
                      <w:r w:rsidRPr="007372D2">
                        <w:rPr>
                          <w:rFonts w:ascii="Cambria" w:hAnsi="Cambria" w:cs="Univers"/>
                          <w:color w:val="0D0D0D"/>
                          <w:sz w:val="18"/>
                          <w:szCs w:val="20"/>
                          <w:lang w:val="es-ES_tradnl"/>
                        </w:rPr>
                        <w:t>esiones</w:t>
                      </w:r>
                    </w:p>
                    <w:p w:rsidR="00BB0B93" w:rsidRPr="007372D2" w:rsidRDefault="00BB0B93" w:rsidP="00247403">
                      <w:pPr>
                        <w:tabs>
                          <w:tab w:val="center" w:pos="5400"/>
                        </w:tabs>
                        <w:suppressAutoHyphens/>
                        <w:spacing w:before="60"/>
                        <w:rPr>
                          <w:rFonts w:ascii="Calibri" w:hAnsi="Calibri" w:cs="Univers"/>
                          <w:color w:val="0D0D0D"/>
                          <w:sz w:val="20"/>
                          <w:szCs w:val="20"/>
                          <w:lang w:val="es-ES"/>
                        </w:rPr>
                      </w:pPr>
                    </w:p>
                    <w:p w:rsidR="00BB0B93" w:rsidRPr="007372D2" w:rsidRDefault="00BB0B93"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A50FCF" w:rsidP="00040C3A">
      <w:pPr>
        <w:tabs>
          <w:tab w:val="center" w:pos="5400"/>
        </w:tabs>
        <w:suppressAutoHyphens/>
        <w:jc w:val="center"/>
        <w:rPr>
          <w:rFonts w:ascii="Cambria" w:hAnsi="Cambria"/>
          <w:sz w:val="20"/>
          <w:szCs w:val="20"/>
          <w:lang w:val="es-ES_tradnl"/>
        </w:rPr>
      </w:pPr>
    </w:p>
    <w:p w:rsidR="00A50FCF" w:rsidRPr="00FD7742" w:rsidRDefault="00D42955" w:rsidP="00040C3A">
      <w:pPr>
        <w:tabs>
          <w:tab w:val="center" w:pos="5400"/>
        </w:tabs>
        <w:suppressAutoHyphens/>
        <w:jc w:val="center"/>
        <w:rPr>
          <w:rFonts w:ascii="Cambria" w:hAnsi="Cambria"/>
          <w:sz w:val="20"/>
          <w:szCs w:val="20"/>
          <w:lang w:val="es-ES_tradnl"/>
        </w:rPr>
      </w:pPr>
      <w:r w:rsidRPr="00FD7742">
        <w:rPr>
          <w:rFonts w:ascii="Cambria" w:hAnsi="Cambria"/>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669790"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9790" cy="657225"/>
                        </a:xfrm>
                        <a:prstGeom prst="rect">
                          <a:avLst/>
                        </a:prstGeom>
                        <a:noFill/>
                        <a:ln w="6350">
                          <a:noFill/>
                        </a:ln>
                        <a:effectLst/>
                      </wps:spPr>
                      <wps:txbx>
                        <w:txbxContent>
                          <w:p w:rsidR="00BB0B93" w:rsidRPr="00BA591A" w:rsidRDefault="00BB0B93" w:rsidP="00FB2A16">
                            <w:pPr>
                              <w:spacing w:line="276" w:lineRule="auto"/>
                              <w:jc w:val="both"/>
                              <w:rPr>
                                <w:rFonts w:ascii="Cambria" w:hAnsi="Cambria"/>
                                <w:color w:val="595959"/>
                                <w:sz w:val="18"/>
                                <w:szCs w:val="18"/>
                                <w:lang w:val="es-ES"/>
                              </w:rPr>
                            </w:pPr>
                            <w:r w:rsidRPr="007372D2">
                              <w:rPr>
                                <w:rFonts w:ascii="Cambria" w:hAnsi="Cambria"/>
                                <w:b/>
                                <w:color w:val="595959"/>
                                <w:sz w:val="18"/>
                                <w:szCs w:val="18"/>
                                <w:lang w:val="pt-BR"/>
                              </w:rPr>
                              <w:t>Citar como:</w:t>
                            </w:r>
                            <w:r>
                              <w:rPr>
                                <w:rFonts w:ascii="Cambria" w:hAnsi="Cambria"/>
                                <w:color w:val="595959"/>
                                <w:sz w:val="18"/>
                                <w:szCs w:val="18"/>
                                <w:lang w:val="pt-BR"/>
                              </w:rPr>
                              <w:t xml:space="preserve"> CIDH.</w:t>
                            </w:r>
                            <w:r w:rsidRPr="007372D2">
                              <w:rPr>
                                <w:rFonts w:ascii="Cambria" w:hAnsi="Cambria"/>
                                <w:color w:val="595959"/>
                                <w:sz w:val="18"/>
                                <w:szCs w:val="18"/>
                                <w:lang w:val="pt-BR"/>
                              </w:rPr>
                              <w:t xml:space="preserve"> Informe No</w:t>
                            </w:r>
                            <w:r>
                              <w:rPr>
                                <w:rFonts w:ascii="Cambria" w:hAnsi="Cambria"/>
                                <w:color w:val="595959"/>
                                <w:sz w:val="18"/>
                                <w:szCs w:val="18"/>
                                <w:lang w:val="pt-BR"/>
                              </w:rPr>
                              <w:t>. 111/18.</w:t>
                            </w:r>
                            <w:r w:rsidRPr="00CA29EB">
                              <w:rPr>
                                <w:rFonts w:ascii="Cambria" w:hAnsi="Cambria"/>
                                <w:color w:val="595959"/>
                                <w:sz w:val="18"/>
                                <w:szCs w:val="18"/>
                                <w:lang w:val="pt-BR"/>
                              </w:rPr>
                              <w:t xml:space="preserve"> </w:t>
                            </w:r>
                            <w:r w:rsidRPr="00765C18">
                              <w:rPr>
                                <w:rFonts w:ascii="Cambria" w:hAnsi="Cambria"/>
                                <w:color w:val="595959"/>
                                <w:sz w:val="18"/>
                                <w:szCs w:val="18"/>
                                <w:lang w:val="es-PE"/>
                              </w:rPr>
                              <w:t xml:space="preserve">Caso 12.786. </w:t>
                            </w:r>
                            <w:r>
                              <w:rPr>
                                <w:rFonts w:ascii="Cambria" w:hAnsi="Cambria"/>
                                <w:color w:val="595959"/>
                                <w:sz w:val="18"/>
                                <w:szCs w:val="18"/>
                                <w:lang w:val="es-ES_tradnl"/>
                              </w:rPr>
                              <w:t xml:space="preserve">Fondo. Luis Eduardo Guachalá Chimbó y familia. Ecuador. 5 de octubre de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67.7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" filled="f" stroked="f" strokeweight=".5pt">
                <v:path arrowok="t"/>
                <v:textbox>
                  <w:txbxContent>
                    <w:p w:rsidR="00BB0B93" w:rsidRPr="00BA591A" w:rsidRDefault="00BB0B93" w:rsidP="00FB2A16">
                      <w:pPr>
                        <w:spacing w:line="276" w:lineRule="auto"/>
                        <w:jc w:val="both"/>
                        <w:rPr>
                          <w:rFonts w:ascii="Cambria" w:hAnsi="Cambria"/>
                          <w:color w:val="595959"/>
                          <w:sz w:val="18"/>
                          <w:szCs w:val="18"/>
                          <w:lang w:val="es-ES"/>
                        </w:rPr>
                      </w:pPr>
                      <w:r w:rsidRPr="007372D2">
                        <w:rPr>
                          <w:rFonts w:ascii="Cambria" w:hAnsi="Cambria"/>
                          <w:b/>
                          <w:color w:val="595959"/>
                          <w:sz w:val="18"/>
                          <w:szCs w:val="18"/>
                          <w:lang w:val="pt-BR"/>
                        </w:rPr>
                        <w:t>Citar como:</w:t>
                      </w:r>
                      <w:r>
                        <w:rPr>
                          <w:rFonts w:ascii="Cambria" w:hAnsi="Cambria"/>
                          <w:color w:val="595959"/>
                          <w:sz w:val="18"/>
                          <w:szCs w:val="18"/>
                          <w:lang w:val="pt-BR"/>
                        </w:rPr>
                        <w:t xml:space="preserve"> CIDH.</w:t>
                      </w:r>
                      <w:r w:rsidRPr="007372D2">
                        <w:rPr>
                          <w:rFonts w:ascii="Cambria" w:hAnsi="Cambria"/>
                          <w:color w:val="595959"/>
                          <w:sz w:val="18"/>
                          <w:szCs w:val="18"/>
                          <w:lang w:val="pt-BR"/>
                        </w:rPr>
                        <w:t xml:space="preserve"> Informe No</w:t>
                      </w:r>
                      <w:r>
                        <w:rPr>
                          <w:rFonts w:ascii="Cambria" w:hAnsi="Cambria"/>
                          <w:color w:val="595959"/>
                          <w:sz w:val="18"/>
                          <w:szCs w:val="18"/>
                          <w:lang w:val="pt-BR"/>
                        </w:rPr>
                        <w:t>. 111/18.</w:t>
                      </w:r>
                      <w:r w:rsidRPr="00CA29EB">
                        <w:rPr>
                          <w:rFonts w:ascii="Cambria" w:hAnsi="Cambria"/>
                          <w:color w:val="595959"/>
                          <w:sz w:val="18"/>
                          <w:szCs w:val="18"/>
                          <w:lang w:val="pt-BR"/>
                        </w:rPr>
                        <w:t xml:space="preserve"> </w:t>
                      </w:r>
                      <w:r w:rsidRPr="00765C18">
                        <w:rPr>
                          <w:rFonts w:ascii="Cambria" w:hAnsi="Cambria"/>
                          <w:color w:val="595959"/>
                          <w:sz w:val="18"/>
                          <w:szCs w:val="18"/>
                          <w:lang w:val="es-PE"/>
                        </w:rPr>
                        <w:t xml:space="preserve">Caso 12.786. </w:t>
                      </w:r>
                      <w:r>
                        <w:rPr>
                          <w:rFonts w:ascii="Cambria" w:hAnsi="Cambria"/>
                          <w:color w:val="595959"/>
                          <w:sz w:val="18"/>
                          <w:szCs w:val="18"/>
                          <w:lang w:val="es-ES_tradnl"/>
                        </w:rPr>
                        <w:t xml:space="preserve">Fondo. Luis Eduardo Guachalá Chimbó y familia. Ecuador. 5 de octubre de 2018. </w:t>
                      </w:r>
                    </w:p>
                  </w:txbxContent>
                </v:textbox>
              </v:shape>
            </w:pict>
          </mc:Fallback>
        </mc:AlternateContent>
      </w:r>
    </w:p>
    <w:p w:rsidR="00A50FCF" w:rsidRPr="00FD7742" w:rsidRDefault="00A50FCF" w:rsidP="00040C3A">
      <w:pPr>
        <w:tabs>
          <w:tab w:val="center" w:pos="5400"/>
        </w:tabs>
        <w:suppressAutoHyphens/>
        <w:jc w:val="center"/>
        <w:rPr>
          <w:rFonts w:ascii="Cambria" w:hAnsi="Cambria"/>
          <w:sz w:val="20"/>
          <w:szCs w:val="20"/>
          <w:lang w:val="es-ES_tradnl"/>
        </w:rPr>
      </w:pPr>
    </w:p>
    <w:p w:rsidR="0090270B" w:rsidRPr="00FD7742" w:rsidRDefault="00D42955" w:rsidP="005516A1">
      <w:pPr>
        <w:tabs>
          <w:tab w:val="center" w:pos="5400"/>
        </w:tabs>
        <w:suppressAutoHyphens/>
        <w:jc w:val="center"/>
        <w:rPr>
          <w:rFonts w:ascii="Cambria" w:hAnsi="Cambria"/>
          <w:b/>
          <w:sz w:val="20"/>
          <w:szCs w:val="20"/>
          <w:lang w:val="es-ES_tradnl"/>
        </w:rPr>
      </w:pPr>
      <w:r w:rsidRPr="00FD7742">
        <w:rPr>
          <w:rFonts w:ascii="Cambria" w:hAnsi="Cambria"/>
          <w:noProof/>
          <w:sz w:val="20"/>
          <w:szCs w:val="20"/>
          <w:lang w:val="es-ES" w:eastAsia="es-ES"/>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BB0B93" w:rsidRPr="007372D2" w:rsidRDefault="00BB0B93" w:rsidP="00F02AD1">
                            <w:pPr>
                              <w:rPr>
                                <w:color w:val="FFFFFF"/>
                              </w:rPr>
                            </w:pPr>
                            <w:r w:rsidRPr="007372D2">
                              <w:rPr>
                                <w:noProof/>
                                <w:color w:val="FFFFFF"/>
                                <w:lang w:val="es-ES" w:eastAsia="es-ES"/>
                              </w:rPr>
                              <w:drawing>
                                <wp:inline distT="0" distB="0" distL="0" distR="0">
                                  <wp:extent cx="1343025" cy="390525"/>
                                  <wp:effectExtent l="0" t="0" r="9525" b="9525"/>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BB0B93" w:rsidRPr="007372D2" w:rsidRDefault="00BB0B93" w:rsidP="00F02AD1">
                      <w:pPr>
                        <w:rPr>
                          <w:color w:val="FFFFFF"/>
                        </w:rPr>
                      </w:pPr>
                      <w:r w:rsidRPr="007372D2">
                        <w:rPr>
                          <w:noProof/>
                          <w:color w:val="FFFFFF"/>
                          <w:lang w:val="es-ES" w:eastAsia="es-ES"/>
                        </w:rPr>
                        <w:drawing>
                          <wp:inline distT="0" distB="0" distL="0" distR="0">
                            <wp:extent cx="1343025" cy="390525"/>
                            <wp:effectExtent l="0" t="0" r="9525" b="9525"/>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sidRPr="00FD7742">
        <w:rPr>
          <w:rFonts w:ascii="Cambria" w:hAnsi="Cambria"/>
          <w:noProof/>
          <w:sz w:val="20"/>
          <w:szCs w:val="20"/>
          <w:lang w:val="es-ES" w:eastAsia="es-ES"/>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BB0B93" w:rsidRPr="007372D2" w:rsidRDefault="00BB0B93" w:rsidP="00D306D1">
                            <w:pPr>
                              <w:jc w:val="center"/>
                              <w:rPr>
                                <w:rFonts w:ascii="Calibri" w:hAnsi="Calibri"/>
                                <w:b/>
                                <w:color w:val="FFFFFF"/>
                              </w:rPr>
                            </w:pPr>
                            <w:r w:rsidRPr="007372D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tGPw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PUN60Y/AgAAfwQA&#10;AA4AAAAAAAAAAAAAAAAALgIAAGRycy9lMm9Eb2MueG1sUEsBAi0AFAAGAAgAAAAhAJRcaBLhAAAA&#10;CwEAAA8AAAAAAAAAAAAAAAAAmQQAAGRycy9kb3ducmV2LnhtbFBLBQYAAAAABAAEAPMAAACnBQAA&#10;AAA=&#10;" filled="f" stroked="f" strokeweight=".5pt">
                <v:path arrowok="t"/>
                <v:textbox>
                  <w:txbxContent>
                    <w:p w:rsidR="00BB0B93" w:rsidRPr="007372D2" w:rsidRDefault="00BB0B93" w:rsidP="00D306D1">
                      <w:pPr>
                        <w:jc w:val="center"/>
                        <w:rPr>
                          <w:rFonts w:ascii="Calibri" w:hAnsi="Calibri"/>
                          <w:b/>
                          <w:color w:val="FFFFFF"/>
                        </w:rPr>
                      </w:pPr>
                      <w:r w:rsidRPr="007372D2">
                        <w:rPr>
                          <w:rFonts w:ascii="Calibri" w:hAnsi="Calibri"/>
                          <w:b/>
                          <w:color w:val="FFFFFF"/>
                          <w:lang w:val="pt-BR"/>
                        </w:rPr>
                        <w:t>www.cidh.org</w:t>
                      </w:r>
                    </w:p>
                  </w:txbxContent>
                </v:textbox>
              </v:shape>
            </w:pict>
          </mc:Fallback>
        </mc:AlternateContent>
      </w:r>
    </w:p>
    <w:p w:rsidR="0070697F" w:rsidRPr="00FD7742" w:rsidRDefault="0070697F" w:rsidP="005516A1">
      <w:pPr>
        <w:tabs>
          <w:tab w:val="center" w:pos="5400"/>
        </w:tabs>
        <w:suppressAutoHyphens/>
        <w:jc w:val="center"/>
        <w:rPr>
          <w:rFonts w:ascii="Cambria" w:hAnsi="Cambria"/>
          <w:b/>
          <w:sz w:val="20"/>
          <w:szCs w:val="20"/>
          <w:lang w:val="es-ES_tradnl"/>
        </w:rPr>
        <w:sectPr w:rsidR="0070697F" w:rsidRPr="00FD7742"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22C9F" w:rsidRPr="00D1219D" w:rsidRDefault="00722C9F" w:rsidP="00722C9F">
      <w:pPr>
        <w:tabs>
          <w:tab w:val="center" w:pos="5400"/>
        </w:tabs>
        <w:suppressAutoHyphens/>
        <w:spacing w:line="276" w:lineRule="auto"/>
        <w:jc w:val="center"/>
        <w:rPr>
          <w:rFonts w:ascii="Cambria" w:hAnsi="Cambria"/>
          <w:b/>
          <w:sz w:val="18"/>
          <w:szCs w:val="18"/>
          <w:lang w:val="es-ES_tradnl"/>
        </w:rPr>
      </w:pPr>
      <w:r w:rsidRPr="00D1219D">
        <w:rPr>
          <w:rFonts w:ascii="Cambria" w:hAnsi="Cambria"/>
          <w:b/>
          <w:sz w:val="18"/>
          <w:szCs w:val="18"/>
          <w:lang w:val="es-ES_tradnl"/>
        </w:rPr>
        <w:lastRenderedPageBreak/>
        <w:t xml:space="preserve">INFORME No. </w:t>
      </w:r>
      <w:r w:rsidR="00CA29EB">
        <w:rPr>
          <w:rFonts w:ascii="Cambria" w:hAnsi="Cambria"/>
          <w:b/>
          <w:sz w:val="18"/>
          <w:szCs w:val="18"/>
          <w:lang w:val="es-ES_tradnl"/>
        </w:rPr>
        <w:t>111</w:t>
      </w:r>
      <w:r w:rsidRPr="00D1219D">
        <w:rPr>
          <w:rFonts w:ascii="Cambria" w:hAnsi="Cambria"/>
          <w:b/>
          <w:sz w:val="18"/>
          <w:szCs w:val="18"/>
          <w:lang w:val="es-ES_tradnl"/>
        </w:rPr>
        <w:t>/1</w:t>
      </w:r>
      <w:r w:rsidR="001E7FAD" w:rsidRPr="00D1219D">
        <w:rPr>
          <w:rFonts w:ascii="Cambria" w:hAnsi="Cambria"/>
          <w:b/>
          <w:sz w:val="18"/>
          <w:szCs w:val="18"/>
          <w:lang w:val="es-ES_tradnl"/>
        </w:rPr>
        <w:t>8</w:t>
      </w:r>
    </w:p>
    <w:p w:rsidR="00722C9F" w:rsidRPr="00D1219D" w:rsidRDefault="00722C9F" w:rsidP="00722C9F">
      <w:pPr>
        <w:tabs>
          <w:tab w:val="center" w:pos="5400"/>
        </w:tabs>
        <w:suppressAutoHyphens/>
        <w:spacing w:line="276" w:lineRule="auto"/>
        <w:jc w:val="center"/>
        <w:rPr>
          <w:rFonts w:ascii="Cambria" w:hAnsi="Cambria"/>
          <w:b/>
          <w:sz w:val="18"/>
          <w:szCs w:val="18"/>
          <w:lang w:val="es-ES_tradnl"/>
        </w:rPr>
      </w:pPr>
      <w:r w:rsidRPr="00D1219D">
        <w:rPr>
          <w:rFonts w:ascii="Cambria" w:hAnsi="Cambria"/>
          <w:b/>
          <w:sz w:val="18"/>
          <w:szCs w:val="18"/>
          <w:lang w:val="es-ES_tradnl"/>
        </w:rPr>
        <w:t xml:space="preserve">CASO </w:t>
      </w:r>
      <w:r w:rsidR="00BA591A" w:rsidRPr="00D1219D">
        <w:rPr>
          <w:rFonts w:ascii="Cambria" w:hAnsi="Cambria"/>
          <w:b/>
          <w:sz w:val="18"/>
          <w:szCs w:val="18"/>
          <w:lang w:val="es-ES_tradnl"/>
        </w:rPr>
        <w:t>12.786</w:t>
      </w:r>
    </w:p>
    <w:p w:rsidR="00722C9F" w:rsidRPr="00D1219D" w:rsidRDefault="00161414" w:rsidP="00161414">
      <w:pPr>
        <w:tabs>
          <w:tab w:val="center" w:pos="5400"/>
        </w:tabs>
        <w:suppressAutoHyphens/>
        <w:spacing w:line="276" w:lineRule="auto"/>
        <w:jc w:val="center"/>
        <w:rPr>
          <w:rFonts w:ascii="Cambria" w:hAnsi="Cambria"/>
          <w:sz w:val="18"/>
          <w:szCs w:val="18"/>
          <w:lang w:val="es-ES_tradnl"/>
        </w:rPr>
      </w:pPr>
      <w:r w:rsidRPr="00D1219D">
        <w:rPr>
          <w:rFonts w:ascii="Cambria" w:hAnsi="Cambria"/>
          <w:sz w:val="18"/>
          <w:szCs w:val="18"/>
          <w:lang w:val="es-ES_tradnl"/>
        </w:rPr>
        <w:t>FONDO</w:t>
      </w:r>
    </w:p>
    <w:p w:rsidR="00722C9F" w:rsidRPr="00D1219D" w:rsidRDefault="00BA591A" w:rsidP="00722C9F">
      <w:pPr>
        <w:tabs>
          <w:tab w:val="center" w:pos="5400"/>
        </w:tabs>
        <w:suppressAutoHyphens/>
        <w:spacing w:line="276" w:lineRule="auto"/>
        <w:jc w:val="center"/>
        <w:rPr>
          <w:rFonts w:ascii="Cambria" w:hAnsi="Cambria"/>
          <w:sz w:val="18"/>
          <w:szCs w:val="18"/>
          <w:lang w:val="es-ES_tradnl"/>
        </w:rPr>
      </w:pPr>
      <w:r w:rsidRPr="00D1219D">
        <w:rPr>
          <w:rFonts w:ascii="Cambria" w:hAnsi="Cambria"/>
          <w:sz w:val="18"/>
          <w:szCs w:val="18"/>
          <w:lang w:val="es-ES_tradnl"/>
        </w:rPr>
        <w:t>LUIS EDUARDO GUACHALÁ CHIMBÓ</w:t>
      </w:r>
      <w:r w:rsidR="002D0077" w:rsidRPr="00D1219D">
        <w:rPr>
          <w:rFonts w:ascii="Cambria" w:hAnsi="Cambria"/>
          <w:sz w:val="18"/>
          <w:szCs w:val="18"/>
          <w:lang w:val="es-ES_tradnl"/>
        </w:rPr>
        <w:t xml:space="preserve"> Y FAMILIA</w:t>
      </w:r>
    </w:p>
    <w:p w:rsidR="0070697F" w:rsidRPr="00D1219D" w:rsidRDefault="00BA591A" w:rsidP="00722C9F">
      <w:pPr>
        <w:tabs>
          <w:tab w:val="center" w:pos="5400"/>
        </w:tabs>
        <w:suppressAutoHyphens/>
        <w:spacing w:line="276" w:lineRule="auto"/>
        <w:jc w:val="center"/>
        <w:rPr>
          <w:rFonts w:ascii="Cambria" w:hAnsi="Cambria"/>
          <w:sz w:val="18"/>
          <w:szCs w:val="18"/>
          <w:lang w:val="es-ES_tradnl"/>
        </w:rPr>
      </w:pPr>
      <w:r w:rsidRPr="00D1219D">
        <w:rPr>
          <w:rFonts w:ascii="Cambria" w:hAnsi="Cambria"/>
          <w:sz w:val="18"/>
          <w:szCs w:val="18"/>
          <w:lang w:val="es-ES_tradnl"/>
        </w:rPr>
        <w:t>ECUADOR</w:t>
      </w:r>
    </w:p>
    <w:p w:rsidR="00722C9F" w:rsidRPr="00D1219D" w:rsidRDefault="00CA29EB" w:rsidP="00722C9F">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5 DE OCTUBRE DE 2018</w:t>
      </w:r>
    </w:p>
    <w:p w:rsidR="00722C9F" w:rsidRPr="00D1219D" w:rsidRDefault="00722C9F" w:rsidP="00722C9F">
      <w:pPr>
        <w:tabs>
          <w:tab w:val="center" w:pos="5400"/>
        </w:tabs>
        <w:suppressAutoHyphens/>
        <w:spacing w:line="276" w:lineRule="auto"/>
        <w:jc w:val="center"/>
        <w:rPr>
          <w:rFonts w:ascii="Cambria" w:hAnsi="Cambria"/>
          <w:sz w:val="20"/>
          <w:szCs w:val="20"/>
          <w:lang w:val="es-ES_tradnl"/>
        </w:rPr>
      </w:pPr>
    </w:p>
    <w:p w:rsidR="00722C9F" w:rsidRPr="00D1219D" w:rsidRDefault="00722C9F" w:rsidP="00722C9F">
      <w:pPr>
        <w:tabs>
          <w:tab w:val="center" w:pos="5400"/>
        </w:tabs>
        <w:suppressAutoHyphens/>
        <w:spacing w:line="276" w:lineRule="auto"/>
        <w:jc w:val="center"/>
        <w:rPr>
          <w:rFonts w:ascii="Cambria" w:hAnsi="Cambria"/>
          <w:b/>
          <w:sz w:val="20"/>
          <w:szCs w:val="20"/>
          <w:lang w:val="es-ES_tradnl"/>
        </w:rPr>
      </w:pPr>
      <w:r w:rsidRPr="00D1219D">
        <w:rPr>
          <w:rFonts w:ascii="Cambria" w:hAnsi="Cambria"/>
          <w:b/>
          <w:sz w:val="20"/>
          <w:szCs w:val="20"/>
          <w:lang w:val="es-ES_tradnl"/>
        </w:rPr>
        <w:t>ÍNDICE</w:t>
      </w:r>
    </w:p>
    <w:p w:rsidR="0070697F" w:rsidRPr="00D1219D" w:rsidRDefault="0070697F" w:rsidP="00FC72CE">
      <w:pPr>
        <w:tabs>
          <w:tab w:val="left" w:pos="720"/>
          <w:tab w:val="center" w:pos="5400"/>
        </w:tabs>
        <w:suppressAutoHyphens/>
        <w:spacing w:line="276" w:lineRule="auto"/>
        <w:rPr>
          <w:rFonts w:ascii="Cambria" w:hAnsi="Cambria"/>
          <w:sz w:val="20"/>
          <w:szCs w:val="20"/>
          <w:lang w:val="es-ES_tradnl"/>
        </w:rPr>
      </w:pPr>
    </w:p>
    <w:p w:rsidR="00471FC6" w:rsidRPr="00D1219D" w:rsidRDefault="00471FC6"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r w:rsidRPr="00D1219D">
        <w:rPr>
          <w:rFonts w:ascii="Cambria" w:hAnsi="Cambria"/>
          <w:sz w:val="20"/>
          <w:szCs w:val="20"/>
          <w:lang w:val="es-ES_tradnl"/>
        </w:rPr>
        <w:fldChar w:fldCharType="begin"/>
      </w:r>
      <w:r w:rsidRPr="00D1219D">
        <w:rPr>
          <w:rFonts w:ascii="Cambria" w:hAnsi="Cambria"/>
          <w:sz w:val="20"/>
          <w:szCs w:val="20"/>
          <w:lang w:val="es-ES_tradnl"/>
        </w:rPr>
        <w:instrText xml:space="preserve"> TOC \o "1-3" \h \z \u </w:instrText>
      </w:r>
      <w:r w:rsidRPr="00D1219D">
        <w:rPr>
          <w:rFonts w:ascii="Cambria" w:hAnsi="Cambria"/>
          <w:sz w:val="20"/>
          <w:szCs w:val="20"/>
          <w:lang w:val="es-ES_tradnl"/>
        </w:rPr>
        <w:fldChar w:fldCharType="separate"/>
      </w:r>
      <w:hyperlink w:anchor="_Toc525547496" w:history="1">
        <w:r w:rsidRPr="00D1219D">
          <w:rPr>
            <w:rStyle w:val="Hyperlink"/>
            <w:rFonts w:ascii="Cambria" w:hAnsi="Cambria"/>
            <w:noProof/>
            <w:sz w:val="20"/>
            <w:szCs w:val="20"/>
            <w:lang w:val="es-ES_tradnl"/>
          </w:rPr>
          <w:t>I.</w:t>
        </w:r>
        <w:r w:rsidRPr="00D1219D">
          <w:rPr>
            <w:rFonts w:ascii="Cambria" w:eastAsia="Times New Roman" w:hAnsi="Cambria"/>
            <w:noProof/>
            <w:sz w:val="20"/>
            <w:szCs w:val="20"/>
            <w:bdr w:val="none" w:sz="0" w:space="0" w:color="auto"/>
            <w:lang w:val="es-ES" w:eastAsia="es-ES"/>
          </w:rPr>
          <w:tab/>
        </w:r>
        <w:r w:rsidRPr="00D1219D">
          <w:rPr>
            <w:rStyle w:val="Hyperlink"/>
            <w:rFonts w:ascii="Cambria" w:hAnsi="Cambria"/>
            <w:noProof/>
            <w:sz w:val="20"/>
            <w:szCs w:val="20"/>
            <w:lang w:val="es-ES_tradnl"/>
          </w:rPr>
          <w:t>RESUMEN</w:t>
        </w:r>
        <w:r w:rsidRPr="00D1219D">
          <w:rPr>
            <w:rFonts w:ascii="Cambria" w:hAnsi="Cambria"/>
            <w:noProof/>
            <w:webHidden/>
            <w:sz w:val="20"/>
            <w:szCs w:val="20"/>
          </w:rPr>
          <w:tab/>
        </w:r>
        <w:r w:rsidRPr="00D1219D">
          <w:rPr>
            <w:rFonts w:ascii="Cambria" w:hAnsi="Cambria"/>
            <w:noProof/>
            <w:webHidden/>
            <w:sz w:val="20"/>
            <w:szCs w:val="20"/>
          </w:rPr>
          <w:fldChar w:fldCharType="begin"/>
        </w:r>
        <w:r w:rsidRPr="00D1219D">
          <w:rPr>
            <w:rFonts w:ascii="Cambria" w:hAnsi="Cambria"/>
            <w:noProof/>
            <w:webHidden/>
            <w:sz w:val="20"/>
            <w:szCs w:val="20"/>
          </w:rPr>
          <w:instrText xml:space="preserve"> PAGEREF _Toc525547496 \h </w:instrText>
        </w:r>
        <w:r w:rsidRPr="00D1219D">
          <w:rPr>
            <w:rFonts w:ascii="Cambria" w:hAnsi="Cambria"/>
            <w:noProof/>
            <w:webHidden/>
            <w:sz w:val="20"/>
            <w:szCs w:val="20"/>
          </w:rPr>
        </w:r>
        <w:r w:rsidRPr="00D1219D">
          <w:rPr>
            <w:rFonts w:ascii="Cambria" w:hAnsi="Cambria"/>
            <w:noProof/>
            <w:webHidden/>
            <w:sz w:val="20"/>
            <w:szCs w:val="20"/>
          </w:rPr>
          <w:fldChar w:fldCharType="separate"/>
        </w:r>
        <w:r w:rsidR="00671C11">
          <w:rPr>
            <w:rFonts w:ascii="Cambria" w:hAnsi="Cambria"/>
            <w:noProof/>
            <w:webHidden/>
            <w:sz w:val="20"/>
            <w:szCs w:val="20"/>
          </w:rPr>
          <w:t>2</w:t>
        </w:r>
        <w:r w:rsidRPr="00D1219D">
          <w:rPr>
            <w:rFonts w:ascii="Cambria" w:hAnsi="Cambria"/>
            <w:noProof/>
            <w:webHidden/>
            <w:sz w:val="20"/>
            <w:szCs w:val="20"/>
          </w:rPr>
          <w:fldChar w:fldCharType="end"/>
        </w:r>
      </w:hyperlink>
    </w:p>
    <w:p w:rsidR="00471FC6" w:rsidRPr="00D1219D" w:rsidRDefault="00BB0B93"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hyperlink w:anchor="_Toc525547497" w:history="1">
        <w:r w:rsidR="00471FC6" w:rsidRPr="00D1219D">
          <w:rPr>
            <w:rStyle w:val="Hyperlink"/>
            <w:rFonts w:ascii="Cambria" w:hAnsi="Cambria"/>
            <w:noProof/>
            <w:sz w:val="20"/>
            <w:szCs w:val="20"/>
            <w:lang w:val="es-ES_tradnl"/>
          </w:rPr>
          <w:t>II.</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_tradnl"/>
          </w:rPr>
          <w:t>TRÁMITE ANTE LA COMISIÓN</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_Toc525547497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2</w:t>
        </w:r>
        <w:r w:rsidR="00471FC6" w:rsidRPr="00D1219D">
          <w:rPr>
            <w:rFonts w:ascii="Cambria" w:hAnsi="Cambria"/>
            <w:noProof/>
            <w:webHidden/>
            <w:sz w:val="20"/>
            <w:szCs w:val="20"/>
          </w:rPr>
          <w:fldChar w:fldCharType="end"/>
        </w:r>
      </w:hyperlink>
    </w:p>
    <w:p w:rsidR="00471FC6" w:rsidRPr="00D1219D" w:rsidRDefault="00BB0B93"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hyperlink w:anchor="_Toc525547498" w:history="1">
        <w:r w:rsidR="00471FC6" w:rsidRPr="00D1219D">
          <w:rPr>
            <w:rStyle w:val="Hyperlink"/>
            <w:rFonts w:ascii="Cambria" w:hAnsi="Cambria"/>
            <w:noProof/>
            <w:sz w:val="20"/>
            <w:szCs w:val="20"/>
            <w:lang w:val="es-ES_tradnl"/>
          </w:rPr>
          <w:t>III.</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_tradnl"/>
          </w:rPr>
          <w:t>POSICIÓN DE LAS PARTES</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_Toc525547498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2</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499" w:history="1">
        <w:r w:rsidR="00471FC6" w:rsidRPr="00D1219D">
          <w:rPr>
            <w:rStyle w:val="Hyperlink"/>
            <w:rFonts w:ascii="Cambria" w:hAnsi="Cambria"/>
            <w:noProof/>
            <w:sz w:val="20"/>
            <w:szCs w:val="20"/>
            <w:lang w:val="es-ES_tradnl"/>
          </w:rPr>
          <w:t>A.</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_tradnl"/>
          </w:rPr>
          <w:t>Posición de los peticionarios</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_Toc525547499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3</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0" w:history="1">
        <w:r w:rsidR="00471FC6" w:rsidRPr="00D1219D">
          <w:rPr>
            <w:rStyle w:val="Hyperlink"/>
            <w:rFonts w:ascii="Cambria" w:hAnsi="Cambria"/>
            <w:noProof/>
            <w:sz w:val="20"/>
            <w:szCs w:val="20"/>
            <w:lang w:val="es-ES_tradnl"/>
          </w:rPr>
          <w:t>B.</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_tradnl"/>
          </w:rPr>
          <w:t>Posición del Estado</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_Toc525547500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4</w:t>
        </w:r>
        <w:r w:rsidR="00471FC6" w:rsidRPr="00D1219D">
          <w:rPr>
            <w:rFonts w:ascii="Cambria" w:hAnsi="Cambria"/>
            <w:noProof/>
            <w:webHidden/>
            <w:sz w:val="20"/>
            <w:szCs w:val="20"/>
          </w:rPr>
          <w:fldChar w:fldCharType="end"/>
        </w:r>
      </w:hyperlink>
    </w:p>
    <w:p w:rsidR="00471FC6" w:rsidRPr="00D1219D" w:rsidRDefault="00BB0B93"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hyperlink w:anchor="_Toc525547501" w:history="1">
        <w:r w:rsidR="00471FC6" w:rsidRPr="00D1219D">
          <w:rPr>
            <w:rStyle w:val="Hyperlink"/>
            <w:rFonts w:ascii="Cambria" w:hAnsi="Cambria"/>
            <w:noProof/>
            <w:sz w:val="20"/>
            <w:szCs w:val="20"/>
            <w:lang w:val="es-ES_tradnl"/>
          </w:rPr>
          <w:t>IV.</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_tradnl"/>
          </w:rPr>
          <w:t>HECHOS PROBADOS</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_Toc525547501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5</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2" w:history="1">
        <w:r w:rsidR="00471FC6" w:rsidRPr="00D1219D">
          <w:rPr>
            <w:rStyle w:val="Hyperlink"/>
            <w:rFonts w:ascii="Cambria" w:hAnsi="Cambria"/>
            <w:noProof/>
            <w:sz w:val="20"/>
            <w:szCs w:val="20"/>
            <w:lang w:val="es-ES"/>
          </w:rPr>
          <w:t>A.</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la situación de Luis Eduardo Guachalá Chimbó antes de su ingreso al Hospital Psiquiátrico Julio Endara</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_Toc525547502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5</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3" w:history="1">
        <w:r w:rsidR="00471FC6" w:rsidRPr="00D1219D">
          <w:rPr>
            <w:rStyle w:val="Hyperlink"/>
            <w:rFonts w:ascii="Cambria" w:hAnsi="Cambria"/>
            <w:noProof/>
            <w:sz w:val="20"/>
            <w:szCs w:val="20"/>
            <w:lang w:val="es-ES"/>
          </w:rPr>
          <w:t>B.</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el ingreso de Luis Guachalá al Hospital Psiquiátrico Julio Endara en mayo de 2003</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_Toc525547503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6</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4" w:history="1">
        <w:r w:rsidR="00471FC6" w:rsidRPr="00D1219D">
          <w:rPr>
            <w:rStyle w:val="Hyperlink"/>
            <w:rFonts w:ascii="Cambria" w:hAnsi="Cambria"/>
            <w:noProof/>
            <w:sz w:val="20"/>
            <w:szCs w:val="20"/>
            <w:lang w:val="es-ES"/>
          </w:rPr>
          <w:t>C.</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el ingreso de Luis Guachalá al Hospital Psiquiátrico Julio Endara en enero de 2004</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_Toc525547504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7</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5" w:history="1">
        <w:r w:rsidR="00471FC6" w:rsidRPr="00D1219D">
          <w:rPr>
            <w:rStyle w:val="Hyperlink"/>
            <w:rFonts w:ascii="Cambria" w:hAnsi="Cambria"/>
            <w:noProof/>
            <w:sz w:val="20"/>
            <w:szCs w:val="20"/>
            <w:lang w:val="es-ES"/>
          </w:rPr>
          <w:t>D.</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lo sucedido en el hospital entre el 11 y 16 de enero</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_Toc525547505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8</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6" w:history="1">
        <w:r w:rsidR="00471FC6" w:rsidRPr="00D1219D">
          <w:rPr>
            <w:rStyle w:val="Hyperlink"/>
            <w:rFonts w:ascii="Cambria" w:hAnsi="Cambria"/>
            <w:noProof/>
            <w:sz w:val="20"/>
            <w:szCs w:val="20"/>
            <w:lang w:val="es-ES"/>
          </w:rPr>
          <w:t>E.</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lo sucedido el 17 de enero de 2004</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_Toc525547506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10</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7" w:history="1">
        <w:r w:rsidR="00471FC6" w:rsidRPr="00D1219D">
          <w:rPr>
            <w:rStyle w:val="Hyperlink"/>
            <w:rFonts w:ascii="Cambria" w:hAnsi="Cambria"/>
            <w:noProof/>
            <w:sz w:val="20"/>
            <w:szCs w:val="20"/>
            <w:lang w:val="es-ES"/>
          </w:rPr>
          <w:t>F.</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lo sucedido a partir del 18 de enero de 2004</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_Toc525547507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10</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08" w:history="1">
        <w:r w:rsidR="00471FC6" w:rsidRPr="00D1219D">
          <w:rPr>
            <w:rStyle w:val="Hyperlink"/>
            <w:rFonts w:ascii="Cambria" w:hAnsi="Cambria"/>
            <w:noProof/>
            <w:sz w:val="20"/>
            <w:szCs w:val="20"/>
            <w:lang w:val="es-ES"/>
          </w:rPr>
          <w:t>G.</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los recursos presentados</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_Toc525547508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13</w:t>
        </w:r>
        <w:r w:rsidR="00471FC6" w:rsidRPr="00D1219D">
          <w:rPr>
            <w:rFonts w:ascii="Cambria" w:hAnsi="Cambria"/>
            <w:noProof/>
            <w:webHidden/>
            <w:sz w:val="20"/>
            <w:szCs w:val="20"/>
          </w:rPr>
          <w:fldChar w:fldCharType="end"/>
        </w:r>
      </w:hyperlink>
    </w:p>
    <w:p w:rsidR="00471FC6" w:rsidRPr="00D1219D" w:rsidRDefault="00BB0B93"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hyperlink w:anchor="_Toc525547509" w:history="1">
        <w:r w:rsidR="00471FC6" w:rsidRPr="00D1219D">
          <w:rPr>
            <w:rStyle w:val="Hyperlink"/>
            <w:rFonts w:ascii="Cambria" w:hAnsi="Cambria"/>
            <w:noProof/>
            <w:sz w:val="20"/>
            <w:szCs w:val="20"/>
            <w:lang w:val="es-ES_tradnl"/>
          </w:rPr>
          <w:t>V.</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ANÁLISIS DE DERECHO</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_Toc525547509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20</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10" w:history="1">
        <w:r w:rsidR="00471FC6" w:rsidRPr="00D1219D">
          <w:rPr>
            <w:rStyle w:val="Hyperlink"/>
            <w:rFonts w:ascii="Cambria" w:hAnsi="Cambria"/>
            <w:noProof/>
            <w:sz w:val="20"/>
            <w:szCs w:val="20"/>
            <w:lang w:val="es-CO"/>
          </w:rPr>
          <w:t>A.</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Cuesti</w:t>
        </w:r>
        <w:r w:rsidR="00471FC6" w:rsidRPr="00D1219D">
          <w:rPr>
            <w:rStyle w:val="Hyperlink"/>
            <w:rFonts w:ascii="Cambria" w:hAnsi="Cambria"/>
            <w:noProof/>
            <w:sz w:val="20"/>
            <w:szCs w:val="20"/>
            <w:lang w:val="es-CO"/>
          </w:rPr>
          <w:t>ón previa</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_Toc525547510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20</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11" w:history="1">
        <w:r w:rsidR="00471FC6" w:rsidRPr="00D1219D">
          <w:rPr>
            <w:rStyle w:val="Hyperlink"/>
            <w:rFonts w:ascii="Cambria" w:hAnsi="Cambria"/>
            <w:noProof/>
            <w:sz w:val="20"/>
            <w:szCs w:val="20"/>
            <w:lang w:val="es-ES"/>
          </w:rPr>
          <w:t>B.</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Derechos al reconocimiento de la personalidad jur</w:t>
        </w:r>
        <w:r w:rsidR="00471FC6" w:rsidRPr="00D1219D">
          <w:rPr>
            <w:rStyle w:val="Hyperlink"/>
            <w:rFonts w:ascii="Cambria" w:hAnsi="Cambria"/>
            <w:noProof/>
            <w:sz w:val="20"/>
            <w:szCs w:val="20"/>
            <w:lang w:val="es-CO"/>
          </w:rPr>
          <w:t>ídica, a la vida, a la libertad personal, a la integr</w:t>
        </w:r>
        <w:r w:rsidR="00471FC6" w:rsidRPr="00D1219D">
          <w:rPr>
            <w:rStyle w:val="Hyperlink"/>
            <w:rFonts w:ascii="Cambria" w:hAnsi="Cambria"/>
            <w:noProof/>
            <w:sz w:val="20"/>
            <w:szCs w:val="20"/>
            <w:lang w:val="es-CO"/>
          </w:rPr>
          <w:t>i</w:t>
        </w:r>
        <w:r w:rsidR="00471FC6" w:rsidRPr="00D1219D">
          <w:rPr>
            <w:rStyle w:val="Hyperlink"/>
            <w:rFonts w:ascii="Cambria" w:hAnsi="Cambria"/>
            <w:noProof/>
            <w:sz w:val="20"/>
            <w:szCs w:val="20"/>
            <w:lang w:val="es-CO"/>
          </w:rPr>
          <w:t>dad personal, a la salud, al acceso a la información (artículos 3, 4, 5.1, 7.1, 7.3, 13.1 y 26 de la Convención Americana</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_Toc525547511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20</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15" w:history="1">
        <w:r w:rsidR="00471FC6" w:rsidRPr="00D1219D">
          <w:rPr>
            <w:rStyle w:val="Hyperlink"/>
            <w:rFonts w:ascii="Cambria" w:hAnsi="Cambria"/>
            <w:noProof/>
            <w:sz w:val="20"/>
            <w:szCs w:val="20"/>
            <w:lang w:val="es-ES"/>
          </w:rPr>
          <w:t>C.</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Sobre los derechos a las garantías judiciales y protección judicial (artículos 8.1 y 25.1 de la Convenci</w:t>
        </w:r>
        <w:r w:rsidR="00471FC6" w:rsidRPr="00D1219D">
          <w:rPr>
            <w:rStyle w:val="Hyperlink"/>
            <w:rFonts w:ascii="Cambria" w:hAnsi="Cambria"/>
            <w:noProof/>
            <w:sz w:val="20"/>
            <w:szCs w:val="20"/>
            <w:lang w:val="es-ES"/>
          </w:rPr>
          <w:t>ó</w:t>
        </w:r>
        <w:r w:rsidR="00471FC6" w:rsidRPr="00D1219D">
          <w:rPr>
            <w:rStyle w:val="Hyperlink"/>
            <w:rFonts w:ascii="Cambria" w:hAnsi="Cambria"/>
            <w:noProof/>
            <w:sz w:val="20"/>
            <w:szCs w:val="20"/>
            <w:lang w:val="es-ES"/>
          </w:rPr>
          <w:t>n Americana en relación con el artículo 1.1 del mismo instrumento</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_Toc525547515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38</w:t>
        </w:r>
        <w:r w:rsidR="00471FC6" w:rsidRPr="00D1219D">
          <w:rPr>
            <w:rFonts w:ascii="Cambria" w:hAnsi="Cambria"/>
            <w:noProof/>
            <w:webHidden/>
            <w:sz w:val="20"/>
            <w:szCs w:val="20"/>
          </w:rPr>
          <w:fldChar w:fldCharType="end"/>
        </w:r>
      </w:hyperlink>
    </w:p>
    <w:p w:rsidR="00471FC6" w:rsidRPr="00D1219D" w:rsidRDefault="00BB0B93" w:rsidP="00471FC6">
      <w:pPr>
        <w:pStyle w:val="TOC2"/>
        <w:tabs>
          <w:tab w:val="clear" w:pos="1440"/>
          <w:tab w:val="left" w:pos="630"/>
        </w:tabs>
        <w:rPr>
          <w:rFonts w:ascii="Cambria" w:eastAsia="Times New Roman" w:hAnsi="Cambria"/>
          <w:noProof/>
          <w:sz w:val="20"/>
          <w:szCs w:val="20"/>
          <w:bdr w:val="none" w:sz="0" w:space="0" w:color="auto"/>
          <w:lang w:val="es-ES" w:eastAsia="es-ES"/>
        </w:rPr>
      </w:pPr>
      <w:hyperlink w:anchor="_Toc525547516" w:history="1">
        <w:r w:rsidR="00471FC6" w:rsidRPr="00D1219D">
          <w:rPr>
            <w:rStyle w:val="Hyperlink"/>
            <w:rFonts w:ascii="Cambria" w:hAnsi="Cambria"/>
            <w:noProof/>
            <w:sz w:val="20"/>
            <w:szCs w:val="20"/>
            <w:lang w:val="es-ES"/>
          </w:rPr>
          <w:t>D.</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Derecho a la integridad personal de los familiares (artículo 5.1 de la Convención Americana en relación con el artículo 1.1 del mismo instrumento)</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_Toc525547516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43</w:t>
        </w:r>
        <w:r w:rsidR="00471FC6" w:rsidRPr="00D1219D">
          <w:rPr>
            <w:rFonts w:ascii="Cambria" w:hAnsi="Cambria"/>
            <w:noProof/>
            <w:webHidden/>
            <w:sz w:val="20"/>
            <w:szCs w:val="20"/>
          </w:rPr>
          <w:fldChar w:fldCharType="end"/>
        </w:r>
      </w:hyperlink>
    </w:p>
    <w:p w:rsidR="00471FC6" w:rsidRPr="00D1219D" w:rsidRDefault="00BB0B93"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hyperlink w:anchor="_Toc525547517" w:history="1">
        <w:r w:rsidR="00471FC6" w:rsidRPr="00D1219D">
          <w:rPr>
            <w:rStyle w:val="Hyperlink"/>
            <w:rFonts w:ascii="Cambria" w:hAnsi="Cambria"/>
            <w:noProof/>
            <w:sz w:val="20"/>
            <w:szCs w:val="20"/>
            <w:lang w:val="es-ES"/>
          </w:rPr>
          <w:t>VI.</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lang w:val="es-ES"/>
          </w:rPr>
          <w:t>CONCLUSIONES</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_Toc525547517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43</w:t>
        </w:r>
        <w:r w:rsidR="00471FC6" w:rsidRPr="00D1219D">
          <w:rPr>
            <w:rFonts w:ascii="Cambria" w:hAnsi="Cambria"/>
            <w:noProof/>
            <w:webHidden/>
            <w:sz w:val="20"/>
            <w:szCs w:val="20"/>
          </w:rPr>
          <w:fldChar w:fldCharType="end"/>
        </w:r>
      </w:hyperlink>
    </w:p>
    <w:p w:rsidR="00471FC6" w:rsidRPr="00D1219D" w:rsidRDefault="00BB0B93" w:rsidP="00471FC6">
      <w:pPr>
        <w:pStyle w:val="TOC1"/>
        <w:tabs>
          <w:tab w:val="left" w:pos="630"/>
          <w:tab w:val="right" w:leader="dot" w:pos="9350"/>
        </w:tabs>
        <w:rPr>
          <w:rFonts w:ascii="Cambria" w:eastAsia="Times New Roman" w:hAnsi="Cambria"/>
          <w:noProof/>
          <w:sz w:val="20"/>
          <w:szCs w:val="20"/>
          <w:bdr w:val="none" w:sz="0" w:space="0" w:color="auto"/>
          <w:lang w:val="es-ES" w:eastAsia="es-ES"/>
        </w:rPr>
      </w:pPr>
      <w:hyperlink w:anchor="_Toc525547518" w:history="1">
        <w:r w:rsidR="00471FC6" w:rsidRPr="00D1219D">
          <w:rPr>
            <w:rStyle w:val="Hyperlink"/>
            <w:rFonts w:ascii="Cambria" w:hAnsi="Cambria"/>
            <w:noProof/>
            <w:sz w:val="20"/>
            <w:szCs w:val="20"/>
          </w:rPr>
          <w:t>VII.</w:t>
        </w:r>
        <w:r w:rsidR="00471FC6" w:rsidRPr="00D1219D">
          <w:rPr>
            <w:rFonts w:ascii="Cambria" w:eastAsia="Times New Roman" w:hAnsi="Cambria"/>
            <w:noProof/>
            <w:sz w:val="20"/>
            <w:szCs w:val="20"/>
            <w:bdr w:val="none" w:sz="0" w:space="0" w:color="auto"/>
            <w:lang w:val="es-ES" w:eastAsia="es-ES"/>
          </w:rPr>
          <w:tab/>
        </w:r>
        <w:r w:rsidR="00471FC6" w:rsidRPr="00D1219D">
          <w:rPr>
            <w:rStyle w:val="Hyperlink"/>
            <w:rFonts w:ascii="Cambria" w:hAnsi="Cambria"/>
            <w:noProof/>
            <w:sz w:val="20"/>
            <w:szCs w:val="20"/>
          </w:rPr>
          <w:t>RECOMENDACIONES</w:t>
        </w:r>
        <w:r w:rsidR="00471FC6" w:rsidRPr="00D1219D">
          <w:rPr>
            <w:rFonts w:ascii="Cambria" w:hAnsi="Cambria"/>
            <w:noProof/>
            <w:webHidden/>
            <w:sz w:val="20"/>
            <w:szCs w:val="20"/>
          </w:rPr>
          <w:tab/>
        </w:r>
        <w:r w:rsidR="00471FC6" w:rsidRPr="00D1219D">
          <w:rPr>
            <w:rFonts w:ascii="Cambria" w:hAnsi="Cambria"/>
            <w:noProof/>
            <w:webHidden/>
            <w:sz w:val="20"/>
            <w:szCs w:val="20"/>
          </w:rPr>
          <w:fldChar w:fldCharType="begin"/>
        </w:r>
        <w:r w:rsidR="00471FC6" w:rsidRPr="00D1219D">
          <w:rPr>
            <w:rFonts w:ascii="Cambria" w:hAnsi="Cambria"/>
            <w:noProof/>
            <w:webHidden/>
            <w:sz w:val="20"/>
            <w:szCs w:val="20"/>
          </w:rPr>
          <w:instrText xml:space="preserve"> PAGEREF _Toc525547518 \h </w:instrText>
        </w:r>
        <w:r w:rsidR="00471FC6" w:rsidRPr="00D1219D">
          <w:rPr>
            <w:rFonts w:ascii="Cambria" w:hAnsi="Cambria"/>
            <w:noProof/>
            <w:webHidden/>
            <w:sz w:val="20"/>
            <w:szCs w:val="20"/>
          </w:rPr>
        </w:r>
        <w:r w:rsidR="00471FC6" w:rsidRPr="00D1219D">
          <w:rPr>
            <w:rFonts w:ascii="Cambria" w:hAnsi="Cambria"/>
            <w:noProof/>
            <w:webHidden/>
            <w:sz w:val="20"/>
            <w:szCs w:val="20"/>
          </w:rPr>
          <w:fldChar w:fldCharType="separate"/>
        </w:r>
        <w:r w:rsidR="00671C11">
          <w:rPr>
            <w:rFonts w:ascii="Cambria" w:hAnsi="Cambria"/>
            <w:noProof/>
            <w:webHidden/>
            <w:sz w:val="20"/>
            <w:szCs w:val="20"/>
          </w:rPr>
          <w:t>43</w:t>
        </w:r>
        <w:r w:rsidR="00471FC6" w:rsidRPr="00D1219D">
          <w:rPr>
            <w:rFonts w:ascii="Cambria" w:hAnsi="Cambria"/>
            <w:noProof/>
            <w:webHidden/>
            <w:sz w:val="20"/>
            <w:szCs w:val="20"/>
          </w:rPr>
          <w:fldChar w:fldCharType="end"/>
        </w:r>
      </w:hyperlink>
    </w:p>
    <w:p w:rsidR="00CA29EB" w:rsidRPr="00D1219D" w:rsidRDefault="00471FC6" w:rsidP="00CA29EB">
      <w:pPr>
        <w:tabs>
          <w:tab w:val="center" w:pos="5400"/>
        </w:tabs>
        <w:suppressAutoHyphens/>
        <w:spacing w:line="276" w:lineRule="auto"/>
        <w:jc w:val="center"/>
        <w:rPr>
          <w:rFonts w:ascii="Cambria" w:hAnsi="Cambria"/>
          <w:b/>
          <w:sz w:val="18"/>
          <w:szCs w:val="18"/>
          <w:lang w:val="es-ES_tradnl"/>
        </w:rPr>
      </w:pPr>
      <w:r w:rsidRPr="00D1219D">
        <w:rPr>
          <w:rFonts w:ascii="Cambria" w:hAnsi="Cambria"/>
          <w:sz w:val="20"/>
          <w:szCs w:val="20"/>
          <w:lang w:val="es-ES_tradnl"/>
        </w:rPr>
        <w:fldChar w:fldCharType="end"/>
      </w:r>
      <w:r w:rsidR="00161414" w:rsidRPr="00FD7742">
        <w:rPr>
          <w:rFonts w:ascii="Cambria" w:hAnsi="Cambria"/>
          <w:sz w:val="20"/>
          <w:szCs w:val="20"/>
          <w:lang w:val="es-ES_tradnl"/>
        </w:rPr>
        <w:br w:type="page"/>
      </w:r>
      <w:r w:rsidR="00CA29EB" w:rsidRPr="00D1219D">
        <w:rPr>
          <w:rFonts w:ascii="Cambria" w:hAnsi="Cambria"/>
          <w:b/>
          <w:sz w:val="18"/>
          <w:szCs w:val="18"/>
          <w:lang w:val="es-ES_tradnl"/>
        </w:rPr>
        <w:lastRenderedPageBreak/>
        <w:t xml:space="preserve">INFORME No. </w:t>
      </w:r>
      <w:r w:rsidR="00CA29EB">
        <w:rPr>
          <w:rFonts w:ascii="Cambria" w:hAnsi="Cambria"/>
          <w:b/>
          <w:sz w:val="18"/>
          <w:szCs w:val="18"/>
          <w:lang w:val="es-ES_tradnl"/>
        </w:rPr>
        <w:t>111</w:t>
      </w:r>
      <w:r w:rsidR="00CA29EB" w:rsidRPr="00D1219D">
        <w:rPr>
          <w:rFonts w:ascii="Cambria" w:hAnsi="Cambria"/>
          <w:b/>
          <w:sz w:val="18"/>
          <w:szCs w:val="18"/>
          <w:lang w:val="es-ES_tradnl"/>
        </w:rPr>
        <w:t>/18</w:t>
      </w:r>
    </w:p>
    <w:p w:rsidR="00CA29EB" w:rsidRPr="00D1219D" w:rsidRDefault="00CA29EB" w:rsidP="00CA29EB">
      <w:pPr>
        <w:tabs>
          <w:tab w:val="center" w:pos="5400"/>
        </w:tabs>
        <w:suppressAutoHyphens/>
        <w:spacing w:line="276" w:lineRule="auto"/>
        <w:jc w:val="center"/>
        <w:rPr>
          <w:rFonts w:ascii="Cambria" w:hAnsi="Cambria"/>
          <w:b/>
          <w:sz w:val="18"/>
          <w:szCs w:val="18"/>
          <w:lang w:val="es-ES_tradnl"/>
        </w:rPr>
      </w:pPr>
      <w:r w:rsidRPr="00D1219D">
        <w:rPr>
          <w:rFonts w:ascii="Cambria" w:hAnsi="Cambria"/>
          <w:b/>
          <w:sz w:val="18"/>
          <w:szCs w:val="18"/>
          <w:lang w:val="es-ES_tradnl"/>
        </w:rPr>
        <w:t>CASO 12.786</w:t>
      </w:r>
    </w:p>
    <w:p w:rsidR="00CA29EB" w:rsidRPr="00D1219D" w:rsidRDefault="00CA29EB" w:rsidP="00CA29EB">
      <w:pPr>
        <w:tabs>
          <w:tab w:val="center" w:pos="5400"/>
        </w:tabs>
        <w:suppressAutoHyphens/>
        <w:spacing w:line="276" w:lineRule="auto"/>
        <w:jc w:val="center"/>
        <w:rPr>
          <w:rFonts w:ascii="Cambria" w:hAnsi="Cambria"/>
          <w:sz w:val="18"/>
          <w:szCs w:val="18"/>
          <w:lang w:val="es-ES_tradnl"/>
        </w:rPr>
      </w:pPr>
      <w:r w:rsidRPr="00D1219D">
        <w:rPr>
          <w:rFonts w:ascii="Cambria" w:hAnsi="Cambria"/>
          <w:sz w:val="18"/>
          <w:szCs w:val="18"/>
          <w:lang w:val="es-ES_tradnl"/>
        </w:rPr>
        <w:t>FONDO</w:t>
      </w:r>
    </w:p>
    <w:p w:rsidR="00CA29EB" w:rsidRPr="00D1219D" w:rsidRDefault="00CA29EB" w:rsidP="00CA29EB">
      <w:pPr>
        <w:tabs>
          <w:tab w:val="center" w:pos="5400"/>
        </w:tabs>
        <w:suppressAutoHyphens/>
        <w:spacing w:line="276" w:lineRule="auto"/>
        <w:jc w:val="center"/>
        <w:rPr>
          <w:rFonts w:ascii="Cambria" w:hAnsi="Cambria"/>
          <w:sz w:val="18"/>
          <w:szCs w:val="18"/>
          <w:lang w:val="es-ES_tradnl"/>
        </w:rPr>
      </w:pPr>
      <w:r w:rsidRPr="00D1219D">
        <w:rPr>
          <w:rFonts w:ascii="Cambria" w:hAnsi="Cambria"/>
          <w:sz w:val="18"/>
          <w:szCs w:val="18"/>
          <w:lang w:val="es-ES_tradnl"/>
        </w:rPr>
        <w:t>LUIS EDUARDO GUACHALÁ CHIMBÓ Y FAMILIA</w:t>
      </w:r>
    </w:p>
    <w:p w:rsidR="00CA29EB" w:rsidRPr="00D1219D" w:rsidRDefault="00CA29EB" w:rsidP="00CA29EB">
      <w:pPr>
        <w:tabs>
          <w:tab w:val="center" w:pos="5400"/>
        </w:tabs>
        <w:suppressAutoHyphens/>
        <w:spacing w:line="276" w:lineRule="auto"/>
        <w:jc w:val="center"/>
        <w:rPr>
          <w:rFonts w:ascii="Cambria" w:hAnsi="Cambria"/>
          <w:sz w:val="18"/>
          <w:szCs w:val="18"/>
          <w:lang w:val="es-ES_tradnl"/>
        </w:rPr>
      </w:pPr>
      <w:r w:rsidRPr="00D1219D">
        <w:rPr>
          <w:rFonts w:ascii="Cambria" w:hAnsi="Cambria"/>
          <w:sz w:val="18"/>
          <w:szCs w:val="18"/>
          <w:lang w:val="es-ES_tradnl"/>
        </w:rPr>
        <w:t>ECUADOR</w:t>
      </w:r>
    </w:p>
    <w:p w:rsidR="00CA29EB" w:rsidRPr="00D1219D" w:rsidRDefault="00CA29EB" w:rsidP="00CA29EB">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5 DE OCTUBRE DE 2018</w:t>
      </w:r>
    </w:p>
    <w:p w:rsidR="000F494B" w:rsidRPr="00FD7742" w:rsidRDefault="000F494B" w:rsidP="00CA29EB">
      <w:pPr>
        <w:tabs>
          <w:tab w:val="left" w:pos="630"/>
          <w:tab w:val="left" w:pos="720"/>
        </w:tabs>
        <w:jc w:val="center"/>
        <w:rPr>
          <w:rFonts w:ascii="Cambria" w:hAnsi="Cambria"/>
          <w:sz w:val="20"/>
          <w:szCs w:val="20"/>
          <w:lang w:val="es-ES_tradnl"/>
        </w:rPr>
      </w:pPr>
    </w:p>
    <w:p w:rsidR="000F494B" w:rsidRPr="008A084A" w:rsidRDefault="000F494B" w:rsidP="000F494B">
      <w:pPr>
        <w:pStyle w:val="Heading1"/>
        <w:tabs>
          <w:tab w:val="left" w:pos="1440"/>
        </w:tabs>
        <w:spacing w:before="0"/>
        <w:ind w:left="0" w:firstLine="720"/>
        <w:jc w:val="both"/>
        <w:rPr>
          <w:color w:val="auto"/>
          <w:sz w:val="20"/>
          <w:szCs w:val="20"/>
          <w:lang w:val="es-ES_tradnl"/>
        </w:rPr>
      </w:pPr>
      <w:bookmarkStart w:id="2" w:name="_Toc370830569"/>
      <w:bookmarkStart w:id="3" w:name="_Toc370831280"/>
      <w:bookmarkStart w:id="4" w:name="_Toc412635569"/>
      <w:bookmarkStart w:id="5" w:name="_Toc416685625"/>
      <w:bookmarkStart w:id="6" w:name="_Toc525547496"/>
      <w:r w:rsidRPr="008A084A">
        <w:rPr>
          <w:color w:val="auto"/>
          <w:sz w:val="20"/>
          <w:szCs w:val="20"/>
          <w:lang w:val="es-ES_tradnl"/>
        </w:rPr>
        <w:t>RESUMEN</w:t>
      </w:r>
      <w:bookmarkEnd w:id="2"/>
      <w:bookmarkEnd w:id="3"/>
      <w:bookmarkEnd w:id="4"/>
      <w:bookmarkEnd w:id="5"/>
      <w:bookmarkEnd w:id="6"/>
    </w:p>
    <w:p w:rsidR="000F494B" w:rsidRPr="008A084A" w:rsidRDefault="000F494B" w:rsidP="000F494B">
      <w:pPr>
        <w:ind w:firstLine="567"/>
        <w:jc w:val="both"/>
        <w:rPr>
          <w:rFonts w:ascii="Cambria" w:hAnsi="Cambria" w:cs="Arial"/>
          <w:sz w:val="20"/>
          <w:szCs w:val="20"/>
          <w:lang w:val="es-ES_tradnl"/>
        </w:rPr>
      </w:pPr>
    </w:p>
    <w:p w:rsidR="000F494B" w:rsidRPr="008A084A" w:rsidRDefault="000F494B" w:rsidP="00BA591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 xml:space="preserve">El </w:t>
      </w:r>
      <w:r w:rsidR="00BA591A" w:rsidRPr="008A084A">
        <w:rPr>
          <w:rFonts w:ascii="Cambria" w:hAnsi="Cambria"/>
          <w:color w:val="auto"/>
          <w:sz w:val="20"/>
          <w:szCs w:val="20"/>
        </w:rPr>
        <w:t>1 de marzo de 2007</w:t>
      </w:r>
      <w:r w:rsidRPr="008A084A">
        <w:rPr>
          <w:rFonts w:ascii="Cambria" w:hAnsi="Cambria"/>
          <w:color w:val="auto"/>
          <w:sz w:val="20"/>
          <w:szCs w:val="20"/>
        </w:rPr>
        <w:t xml:space="preserve"> la Comisión Interamericana de Derechos Humanos (en adelante “la Comisión”, “la Comisión Interamericana” o “la CIDH”) recibió una petición presentada por </w:t>
      </w:r>
      <w:r w:rsidR="00152D31" w:rsidRPr="008A084A">
        <w:rPr>
          <w:rFonts w:ascii="Cambria" w:hAnsi="Cambria"/>
          <w:color w:val="auto"/>
          <w:sz w:val="20"/>
          <w:szCs w:val="20"/>
        </w:rPr>
        <w:t xml:space="preserve">la </w:t>
      </w:r>
      <w:r w:rsidR="00BA591A" w:rsidRPr="008A084A">
        <w:rPr>
          <w:rFonts w:ascii="Cambria" w:hAnsi="Cambria"/>
          <w:color w:val="auto"/>
          <w:sz w:val="20"/>
          <w:szCs w:val="20"/>
        </w:rPr>
        <w:t xml:space="preserve">Clínica de Derechos Humanos de la Pontificia Universidad Católica del Ecuador, la Fundación Regional de Asesoría en Derechos Humanos y la Comisión Ecuménica de Derechos Humanos </w:t>
      </w:r>
      <w:r w:rsidR="0089339B" w:rsidRPr="008A084A">
        <w:rPr>
          <w:rFonts w:ascii="Cambria" w:hAnsi="Cambria"/>
          <w:color w:val="auto"/>
          <w:sz w:val="20"/>
          <w:szCs w:val="20"/>
        </w:rPr>
        <w:t>(en adelante “los peticionarios”</w:t>
      </w:r>
      <w:r w:rsidR="009D501A" w:rsidRPr="008A084A">
        <w:rPr>
          <w:rFonts w:ascii="Cambria" w:hAnsi="Cambria"/>
          <w:color w:val="auto"/>
          <w:sz w:val="20"/>
          <w:szCs w:val="20"/>
        </w:rPr>
        <w:t>)</w:t>
      </w:r>
      <w:r w:rsidR="00152D31" w:rsidRPr="008A084A">
        <w:rPr>
          <w:rFonts w:ascii="Cambria" w:hAnsi="Cambria"/>
          <w:color w:val="auto"/>
          <w:sz w:val="20"/>
          <w:szCs w:val="20"/>
        </w:rPr>
        <w:t>. Los peticionarios alegaron</w:t>
      </w:r>
      <w:r w:rsidRPr="008A084A">
        <w:rPr>
          <w:rFonts w:ascii="Cambria" w:hAnsi="Cambria"/>
          <w:color w:val="auto"/>
          <w:sz w:val="20"/>
          <w:szCs w:val="20"/>
        </w:rPr>
        <w:t xml:space="preserve"> la responsabilidad internacional de la República de </w:t>
      </w:r>
      <w:r w:rsidR="00BA591A" w:rsidRPr="008A084A">
        <w:rPr>
          <w:rFonts w:ascii="Cambria" w:hAnsi="Cambria"/>
          <w:color w:val="auto"/>
          <w:sz w:val="20"/>
          <w:szCs w:val="20"/>
        </w:rPr>
        <w:t>Ecuador</w:t>
      </w:r>
      <w:r w:rsidRPr="008A084A">
        <w:rPr>
          <w:rFonts w:ascii="Cambria" w:hAnsi="Cambria"/>
          <w:color w:val="auto"/>
          <w:sz w:val="20"/>
          <w:szCs w:val="20"/>
        </w:rPr>
        <w:t xml:space="preserve"> (en adelante “el Estado”, “el Estado </w:t>
      </w:r>
      <w:r w:rsidR="00A5414A" w:rsidRPr="008A084A">
        <w:rPr>
          <w:rFonts w:ascii="Cambria" w:hAnsi="Cambria"/>
          <w:color w:val="auto"/>
          <w:sz w:val="20"/>
          <w:szCs w:val="20"/>
        </w:rPr>
        <w:t>ecuatoriano</w:t>
      </w:r>
      <w:r w:rsidRPr="008A084A">
        <w:rPr>
          <w:rFonts w:ascii="Cambria" w:hAnsi="Cambria"/>
          <w:color w:val="auto"/>
          <w:sz w:val="20"/>
          <w:szCs w:val="20"/>
        </w:rPr>
        <w:t>” o “</w:t>
      </w:r>
      <w:r w:rsidR="00A5414A" w:rsidRPr="008A084A">
        <w:rPr>
          <w:rFonts w:ascii="Cambria" w:hAnsi="Cambria"/>
          <w:color w:val="auto"/>
          <w:sz w:val="20"/>
          <w:szCs w:val="20"/>
        </w:rPr>
        <w:t>Ecuador</w:t>
      </w:r>
      <w:r w:rsidRPr="008A084A">
        <w:rPr>
          <w:rFonts w:ascii="Cambria" w:hAnsi="Cambria"/>
          <w:color w:val="auto"/>
          <w:sz w:val="20"/>
          <w:szCs w:val="20"/>
        </w:rPr>
        <w:t xml:space="preserve">”) por </w:t>
      </w:r>
      <w:r w:rsidR="00152D31" w:rsidRPr="008A084A">
        <w:rPr>
          <w:rFonts w:ascii="Cambria" w:hAnsi="Cambria"/>
          <w:color w:val="auto"/>
          <w:sz w:val="20"/>
          <w:szCs w:val="20"/>
        </w:rPr>
        <w:t xml:space="preserve">la </w:t>
      </w:r>
      <w:r w:rsidR="00BA591A" w:rsidRPr="008A084A">
        <w:rPr>
          <w:rFonts w:ascii="Cambria" w:hAnsi="Cambria"/>
          <w:color w:val="auto"/>
          <w:sz w:val="20"/>
          <w:szCs w:val="20"/>
        </w:rPr>
        <w:t>desaparición de Luis Eduardo Guach</w:t>
      </w:r>
      <w:r w:rsidR="00953850" w:rsidRPr="008A084A">
        <w:rPr>
          <w:rFonts w:ascii="Cambria" w:hAnsi="Cambria"/>
          <w:color w:val="auto"/>
          <w:sz w:val="20"/>
          <w:szCs w:val="20"/>
        </w:rPr>
        <w:t>alá</w:t>
      </w:r>
      <w:r w:rsidR="00BA591A" w:rsidRPr="008A084A">
        <w:rPr>
          <w:rFonts w:ascii="Cambria" w:hAnsi="Cambria"/>
          <w:color w:val="auto"/>
          <w:sz w:val="20"/>
          <w:szCs w:val="20"/>
        </w:rPr>
        <w:t xml:space="preserve"> Chimbó </w:t>
      </w:r>
      <w:r w:rsidR="00953850" w:rsidRPr="008A084A">
        <w:rPr>
          <w:rFonts w:ascii="Cambria" w:hAnsi="Cambria"/>
          <w:color w:val="auto"/>
          <w:sz w:val="20"/>
          <w:szCs w:val="20"/>
        </w:rPr>
        <w:t xml:space="preserve">en enero de 2004 </w:t>
      </w:r>
      <w:r w:rsidR="00BA591A" w:rsidRPr="008A084A">
        <w:rPr>
          <w:rFonts w:ascii="Cambria" w:hAnsi="Cambria"/>
          <w:color w:val="auto"/>
          <w:sz w:val="20"/>
          <w:szCs w:val="20"/>
        </w:rPr>
        <w:t>mientras se encontraba en un hospital público</w:t>
      </w:r>
      <w:r w:rsidR="00953850" w:rsidRPr="008A084A">
        <w:rPr>
          <w:rFonts w:ascii="Cambria" w:hAnsi="Cambria"/>
          <w:color w:val="auto"/>
          <w:sz w:val="20"/>
          <w:szCs w:val="20"/>
        </w:rPr>
        <w:t xml:space="preserve"> psiquiátrico</w:t>
      </w:r>
      <w:r w:rsidR="00BA591A" w:rsidRPr="008A084A">
        <w:rPr>
          <w:rFonts w:ascii="Cambria" w:hAnsi="Cambria"/>
          <w:color w:val="auto"/>
          <w:sz w:val="20"/>
          <w:szCs w:val="20"/>
        </w:rPr>
        <w:t xml:space="preserve"> en la ciudad de Quito</w:t>
      </w:r>
      <w:r w:rsidR="00152D31" w:rsidRPr="008A084A">
        <w:rPr>
          <w:rFonts w:ascii="Cambria" w:hAnsi="Cambria"/>
          <w:color w:val="auto"/>
          <w:sz w:val="20"/>
          <w:szCs w:val="20"/>
        </w:rPr>
        <w:t>.</w:t>
      </w:r>
      <w:r w:rsidR="0048196B" w:rsidRPr="008A084A">
        <w:rPr>
          <w:rFonts w:ascii="Cambria" w:hAnsi="Cambria"/>
          <w:color w:val="auto"/>
          <w:sz w:val="20"/>
          <w:szCs w:val="20"/>
        </w:rPr>
        <w:t xml:space="preserve"> </w:t>
      </w:r>
      <w:r w:rsidR="00E516C7" w:rsidRPr="008A084A">
        <w:rPr>
          <w:rFonts w:ascii="Cambria" w:hAnsi="Cambria"/>
          <w:color w:val="auto"/>
          <w:sz w:val="20"/>
          <w:szCs w:val="20"/>
        </w:rPr>
        <w:t xml:space="preserve">Indicaron </w:t>
      </w:r>
      <w:r w:rsidR="0048196B" w:rsidRPr="008A084A">
        <w:rPr>
          <w:rFonts w:ascii="Cambria" w:hAnsi="Cambria"/>
          <w:color w:val="auto"/>
          <w:sz w:val="20"/>
          <w:szCs w:val="20"/>
        </w:rPr>
        <w:t xml:space="preserve">que a la fecha el Estado no ha esclarecido lo sucedido </w:t>
      </w:r>
      <w:r w:rsidR="00366D69" w:rsidRPr="008A084A">
        <w:rPr>
          <w:rFonts w:ascii="Cambria" w:hAnsi="Cambria"/>
          <w:color w:val="auto"/>
          <w:sz w:val="20"/>
          <w:szCs w:val="20"/>
        </w:rPr>
        <w:t xml:space="preserve">al </w:t>
      </w:r>
      <w:r w:rsidR="0048196B" w:rsidRPr="008A084A">
        <w:rPr>
          <w:rFonts w:ascii="Cambria" w:hAnsi="Cambria"/>
          <w:color w:val="auto"/>
          <w:sz w:val="20"/>
          <w:szCs w:val="20"/>
        </w:rPr>
        <w:t>señor Guachalá ni se ha determinado su paradero.</w:t>
      </w:r>
    </w:p>
    <w:p w:rsidR="000F494B" w:rsidRPr="008A084A" w:rsidRDefault="000F494B" w:rsidP="00C5048D">
      <w:pPr>
        <w:pStyle w:val="BodyTextIndent"/>
        <w:ind w:left="0" w:firstLine="0"/>
        <w:rPr>
          <w:rFonts w:ascii="Cambria" w:hAnsi="Cambria"/>
          <w:color w:val="auto"/>
          <w:sz w:val="20"/>
          <w:szCs w:val="20"/>
        </w:rPr>
      </w:pPr>
    </w:p>
    <w:p w:rsidR="00866579" w:rsidRPr="008A084A" w:rsidRDefault="00C5048D" w:rsidP="005A2F9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Por su parte, e</w:t>
      </w:r>
      <w:r w:rsidR="000F494B" w:rsidRPr="008A084A">
        <w:rPr>
          <w:rFonts w:ascii="Cambria" w:hAnsi="Cambria"/>
          <w:color w:val="auto"/>
          <w:sz w:val="20"/>
          <w:szCs w:val="20"/>
        </w:rPr>
        <w:t>l Estado</w:t>
      </w:r>
      <w:r w:rsidR="0094505F" w:rsidRPr="008A084A">
        <w:rPr>
          <w:rFonts w:ascii="Cambria" w:hAnsi="Cambria"/>
          <w:color w:val="auto"/>
          <w:sz w:val="20"/>
          <w:szCs w:val="20"/>
        </w:rPr>
        <w:t xml:space="preserve"> de </w:t>
      </w:r>
      <w:r w:rsidR="00953850" w:rsidRPr="008A084A">
        <w:rPr>
          <w:rFonts w:ascii="Cambria" w:hAnsi="Cambria"/>
          <w:color w:val="auto"/>
          <w:sz w:val="20"/>
          <w:szCs w:val="20"/>
        </w:rPr>
        <w:t>Ecuador alegó que el señor Guachalá se habría escapado de la institución por lo que no tendría responsabilidad por su desaparición. Sostuvo que se inició una investigación a efectos de esclarecer lo sucedido y determinar eventuales responsabilidades.</w:t>
      </w:r>
      <w:r w:rsidR="00D67CF6" w:rsidRPr="008A084A">
        <w:rPr>
          <w:rFonts w:ascii="Cambria" w:hAnsi="Cambria"/>
          <w:color w:val="auto"/>
          <w:sz w:val="20"/>
          <w:szCs w:val="20"/>
        </w:rPr>
        <w:t xml:space="preserve"> </w:t>
      </w:r>
    </w:p>
    <w:p w:rsidR="000F494B" w:rsidRPr="008A084A" w:rsidRDefault="000F494B" w:rsidP="000F494B">
      <w:pPr>
        <w:pStyle w:val="BodyTextIndent"/>
        <w:ind w:left="0" w:firstLine="567"/>
        <w:rPr>
          <w:rFonts w:ascii="Cambria" w:hAnsi="Cambria"/>
          <w:color w:val="auto"/>
          <w:sz w:val="20"/>
          <w:szCs w:val="20"/>
        </w:rPr>
      </w:pPr>
    </w:p>
    <w:p w:rsidR="000F494B" w:rsidRPr="008A084A" w:rsidRDefault="000F494B" w:rsidP="005A2F9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Tras analizar la información disponible, la Comisión concluyó que el Estado es responsable por la violación de los derechos a</w:t>
      </w:r>
      <w:r w:rsidR="0048196B" w:rsidRPr="008A084A">
        <w:rPr>
          <w:rFonts w:ascii="Cambria" w:hAnsi="Cambria"/>
          <w:color w:val="auto"/>
          <w:sz w:val="20"/>
          <w:szCs w:val="20"/>
        </w:rPr>
        <w:t>l reconocimiento a la personalidad jurídica,</w:t>
      </w:r>
      <w:r w:rsidRPr="008A084A">
        <w:rPr>
          <w:rFonts w:ascii="Cambria" w:hAnsi="Cambria"/>
          <w:color w:val="auto"/>
          <w:sz w:val="20"/>
          <w:szCs w:val="20"/>
        </w:rPr>
        <w:t xml:space="preserve"> </w:t>
      </w:r>
      <w:r w:rsidR="008D051B" w:rsidRPr="008A084A">
        <w:rPr>
          <w:rFonts w:ascii="Cambria" w:hAnsi="Cambria"/>
          <w:color w:val="auto"/>
          <w:sz w:val="20"/>
          <w:szCs w:val="20"/>
        </w:rPr>
        <w:t>vida, integridad personal</w:t>
      </w:r>
      <w:r w:rsidRPr="008A084A">
        <w:rPr>
          <w:rFonts w:ascii="Cambria" w:hAnsi="Cambria"/>
          <w:color w:val="auto"/>
          <w:sz w:val="20"/>
          <w:szCs w:val="20"/>
        </w:rPr>
        <w:t>,</w:t>
      </w:r>
      <w:r w:rsidR="008D051B" w:rsidRPr="008A084A">
        <w:rPr>
          <w:rFonts w:ascii="Cambria" w:hAnsi="Cambria"/>
          <w:color w:val="auto"/>
          <w:sz w:val="20"/>
          <w:szCs w:val="20"/>
        </w:rPr>
        <w:t xml:space="preserve"> libertad personal, garantías judiciales</w:t>
      </w:r>
      <w:r w:rsidR="00502011" w:rsidRPr="008A084A">
        <w:rPr>
          <w:rFonts w:ascii="Cambria" w:hAnsi="Cambria"/>
          <w:color w:val="auto"/>
          <w:sz w:val="20"/>
          <w:szCs w:val="20"/>
        </w:rPr>
        <w:t>,</w:t>
      </w:r>
      <w:r w:rsidR="008D051B" w:rsidRPr="008A084A">
        <w:rPr>
          <w:rFonts w:ascii="Cambria" w:hAnsi="Cambria"/>
          <w:color w:val="auto"/>
          <w:sz w:val="20"/>
          <w:szCs w:val="20"/>
        </w:rPr>
        <w:t xml:space="preserve"> </w:t>
      </w:r>
      <w:r w:rsidR="00471FC6" w:rsidRPr="008A084A">
        <w:rPr>
          <w:rFonts w:ascii="Cambria" w:hAnsi="Cambria"/>
          <w:color w:val="auto"/>
          <w:sz w:val="20"/>
          <w:szCs w:val="20"/>
        </w:rPr>
        <w:t xml:space="preserve">acceso a la información, </w:t>
      </w:r>
      <w:r w:rsidR="00383748" w:rsidRPr="008A084A">
        <w:rPr>
          <w:rFonts w:ascii="Cambria" w:hAnsi="Cambria"/>
          <w:color w:val="auto"/>
          <w:sz w:val="20"/>
          <w:szCs w:val="20"/>
        </w:rPr>
        <w:t>igualdad y no discriminación</w:t>
      </w:r>
      <w:r w:rsidR="005F7E6D" w:rsidRPr="008A084A">
        <w:rPr>
          <w:rFonts w:ascii="Cambria" w:hAnsi="Cambria"/>
          <w:color w:val="auto"/>
          <w:sz w:val="20"/>
          <w:szCs w:val="20"/>
        </w:rPr>
        <w:t xml:space="preserve">, </w:t>
      </w:r>
      <w:r w:rsidR="00B836D5" w:rsidRPr="008A084A">
        <w:rPr>
          <w:rFonts w:ascii="Cambria" w:hAnsi="Cambria"/>
          <w:color w:val="auto"/>
          <w:sz w:val="20"/>
          <w:szCs w:val="20"/>
        </w:rPr>
        <w:t>p</w:t>
      </w:r>
      <w:r w:rsidR="005F7E6D" w:rsidRPr="008A084A">
        <w:rPr>
          <w:rFonts w:ascii="Cambria" w:hAnsi="Cambria"/>
          <w:color w:val="auto"/>
          <w:sz w:val="20"/>
          <w:szCs w:val="20"/>
        </w:rPr>
        <w:t>rotección judicial</w:t>
      </w:r>
      <w:r w:rsidR="00383748" w:rsidRPr="008A084A">
        <w:rPr>
          <w:rFonts w:ascii="Cambria" w:hAnsi="Cambria"/>
          <w:color w:val="auto"/>
          <w:sz w:val="20"/>
          <w:szCs w:val="20"/>
        </w:rPr>
        <w:t xml:space="preserve"> </w:t>
      </w:r>
      <w:r w:rsidR="00502011" w:rsidRPr="008A084A">
        <w:rPr>
          <w:rFonts w:ascii="Cambria" w:hAnsi="Cambria"/>
          <w:color w:val="auto"/>
          <w:sz w:val="20"/>
          <w:szCs w:val="20"/>
        </w:rPr>
        <w:t xml:space="preserve">y salud </w:t>
      </w:r>
      <w:r w:rsidRPr="008A084A">
        <w:rPr>
          <w:rFonts w:ascii="Cambria" w:hAnsi="Cambria"/>
          <w:color w:val="auto"/>
          <w:sz w:val="20"/>
          <w:szCs w:val="20"/>
        </w:rPr>
        <w:t xml:space="preserve">establecidos en los artículos </w:t>
      </w:r>
      <w:r w:rsidR="0048196B" w:rsidRPr="008A084A">
        <w:rPr>
          <w:rFonts w:ascii="Cambria" w:hAnsi="Cambria"/>
          <w:color w:val="auto"/>
          <w:sz w:val="20"/>
          <w:szCs w:val="20"/>
        </w:rPr>
        <w:t xml:space="preserve">3, </w:t>
      </w:r>
      <w:r w:rsidR="008D051B" w:rsidRPr="008A084A">
        <w:rPr>
          <w:rFonts w:ascii="Cambria" w:hAnsi="Cambria"/>
          <w:color w:val="auto"/>
          <w:sz w:val="20"/>
          <w:szCs w:val="20"/>
        </w:rPr>
        <w:t xml:space="preserve">4.1, </w:t>
      </w:r>
      <w:r w:rsidR="00340677" w:rsidRPr="008A084A">
        <w:rPr>
          <w:rFonts w:ascii="Cambria" w:hAnsi="Cambria"/>
          <w:color w:val="auto"/>
          <w:sz w:val="20"/>
          <w:szCs w:val="20"/>
        </w:rPr>
        <w:t xml:space="preserve">5.1, </w:t>
      </w:r>
      <w:r w:rsidR="008D051B" w:rsidRPr="008A084A">
        <w:rPr>
          <w:rFonts w:ascii="Cambria" w:hAnsi="Cambria"/>
          <w:color w:val="auto"/>
          <w:sz w:val="20"/>
          <w:szCs w:val="20"/>
        </w:rPr>
        <w:t>7</w:t>
      </w:r>
      <w:r w:rsidR="00D521EE" w:rsidRPr="008A084A">
        <w:rPr>
          <w:rFonts w:ascii="Cambria" w:hAnsi="Cambria"/>
          <w:color w:val="auto"/>
          <w:sz w:val="20"/>
          <w:szCs w:val="20"/>
        </w:rPr>
        <w:t>.1</w:t>
      </w:r>
      <w:r w:rsidR="008D051B" w:rsidRPr="008A084A">
        <w:rPr>
          <w:rFonts w:ascii="Cambria" w:hAnsi="Cambria"/>
          <w:color w:val="auto"/>
          <w:sz w:val="20"/>
          <w:szCs w:val="20"/>
        </w:rPr>
        <w:t>,</w:t>
      </w:r>
      <w:r w:rsidR="00CC50D2" w:rsidRPr="008A084A">
        <w:rPr>
          <w:rFonts w:ascii="Cambria" w:hAnsi="Cambria"/>
          <w:color w:val="auto"/>
          <w:sz w:val="20"/>
          <w:szCs w:val="20"/>
        </w:rPr>
        <w:t xml:space="preserve"> 7.3,</w:t>
      </w:r>
      <w:r w:rsidR="008D051B" w:rsidRPr="008A084A">
        <w:rPr>
          <w:rFonts w:ascii="Cambria" w:hAnsi="Cambria"/>
          <w:color w:val="auto"/>
          <w:sz w:val="20"/>
          <w:szCs w:val="20"/>
        </w:rPr>
        <w:t xml:space="preserve"> </w:t>
      </w:r>
      <w:r w:rsidR="000842C9" w:rsidRPr="008A084A">
        <w:rPr>
          <w:rFonts w:ascii="Cambria" w:hAnsi="Cambria"/>
          <w:color w:val="auto"/>
          <w:sz w:val="20"/>
          <w:szCs w:val="20"/>
        </w:rPr>
        <w:t>8</w:t>
      </w:r>
      <w:r w:rsidR="00D91D6C" w:rsidRPr="008A084A">
        <w:rPr>
          <w:rFonts w:ascii="Cambria" w:hAnsi="Cambria"/>
          <w:color w:val="auto"/>
          <w:sz w:val="20"/>
          <w:szCs w:val="20"/>
        </w:rPr>
        <w:t>.1</w:t>
      </w:r>
      <w:r w:rsidR="005D4D8C" w:rsidRPr="008A084A">
        <w:rPr>
          <w:rFonts w:ascii="Cambria" w:hAnsi="Cambria"/>
          <w:color w:val="auto"/>
          <w:sz w:val="20"/>
          <w:szCs w:val="20"/>
        </w:rPr>
        <w:t>,</w:t>
      </w:r>
      <w:r w:rsidR="008B1A55" w:rsidRPr="008A084A">
        <w:rPr>
          <w:rFonts w:ascii="Cambria" w:hAnsi="Cambria"/>
          <w:color w:val="auto"/>
          <w:sz w:val="20"/>
          <w:szCs w:val="20"/>
        </w:rPr>
        <w:t xml:space="preserve"> 13.1,</w:t>
      </w:r>
      <w:r w:rsidRPr="008A084A">
        <w:rPr>
          <w:rFonts w:ascii="Cambria" w:hAnsi="Cambria"/>
          <w:color w:val="auto"/>
          <w:sz w:val="20"/>
          <w:szCs w:val="20"/>
        </w:rPr>
        <w:t xml:space="preserve"> </w:t>
      </w:r>
      <w:r w:rsidR="00383748" w:rsidRPr="008A084A">
        <w:rPr>
          <w:rFonts w:ascii="Cambria" w:hAnsi="Cambria"/>
          <w:color w:val="auto"/>
          <w:sz w:val="20"/>
          <w:szCs w:val="20"/>
        </w:rPr>
        <w:t xml:space="preserve">24, </w:t>
      </w:r>
      <w:r w:rsidRPr="008A084A">
        <w:rPr>
          <w:rFonts w:ascii="Cambria" w:hAnsi="Cambria"/>
          <w:color w:val="auto"/>
          <w:sz w:val="20"/>
          <w:szCs w:val="20"/>
        </w:rPr>
        <w:t>25</w:t>
      </w:r>
      <w:r w:rsidR="00D91D6C" w:rsidRPr="008A084A">
        <w:rPr>
          <w:rFonts w:ascii="Cambria" w:hAnsi="Cambria"/>
          <w:color w:val="auto"/>
          <w:sz w:val="20"/>
          <w:szCs w:val="20"/>
        </w:rPr>
        <w:t>.1</w:t>
      </w:r>
      <w:r w:rsidRPr="008A084A">
        <w:rPr>
          <w:rFonts w:ascii="Cambria" w:hAnsi="Cambria"/>
          <w:color w:val="auto"/>
          <w:sz w:val="20"/>
          <w:szCs w:val="20"/>
        </w:rPr>
        <w:t xml:space="preserve"> </w:t>
      </w:r>
      <w:r w:rsidR="005D4D8C" w:rsidRPr="008A084A">
        <w:rPr>
          <w:rFonts w:ascii="Cambria" w:hAnsi="Cambria"/>
          <w:color w:val="auto"/>
          <w:sz w:val="20"/>
          <w:szCs w:val="20"/>
        </w:rPr>
        <w:t xml:space="preserve">y 26 </w:t>
      </w:r>
      <w:r w:rsidRPr="008A084A">
        <w:rPr>
          <w:rFonts w:ascii="Cambria" w:hAnsi="Cambria"/>
          <w:color w:val="auto"/>
          <w:sz w:val="20"/>
          <w:szCs w:val="20"/>
        </w:rPr>
        <w:t>de la Convención Americana</w:t>
      </w:r>
      <w:r w:rsidR="001C36AB" w:rsidRPr="008A084A">
        <w:rPr>
          <w:rFonts w:ascii="Cambria" w:hAnsi="Cambria"/>
          <w:color w:val="auto"/>
          <w:sz w:val="20"/>
          <w:szCs w:val="20"/>
        </w:rPr>
        <w:t xml:space="preserve"> sobre Derechos Humanos (en adelante “la Convención Americana”)</w:t>
      </w:r>
      <w:r w:rsidRPr="008A084A">
        <w:rPr>
          <w:rFonts w:ascii="Cambria" w:hAnsi="Cambria"/>
          <w:color w:val="auto"/>
          <w:sz w:val="20"/>
          <w:szCs w:val="20"/>
        </w:rPr>
        <w:t xml:space="preserve"> en relación con las obligaciones establecidas en </w:t>
      </w:r>
      <w:r w:rsidR="001F611B" w:rsidRPr="008A084A">
        <w:rPr>
          <w:rFonts w:ascii="Cambria" w:hAnsi="Cambria"/>
          <w:color w:val="auto"/>
          <w:sz w:val="20"/>
          <w:szCs w:val="20"/>
        </w:rPr>
        <w:t xml:space="preserve">los </w:t>
      </w:r>
      <w:r w:rsidRPr="008A084A">
        <w:rPr>
          <w:rFonts w:ascii="Cambria" w:hAnsi="Cambria"/>
          <w:color w:val="auto"/>
          <w:sz w:val="20"/>
          <w:szCs w:val="20"/>
        </w:rPr>
        <w:t>artículo</w:t>
      </w:r>
      <w:r w:rsidR="001F611B" w:rsidRPr="008A084A">
        <w:rPr>
          <w:rFonts w:ascii="Cambria" w:hAnsi="Cambria"/>
          <w:color w:val="auto"/>
          <w:sz w:val="20"/>
          <w:szCs w:val="20"/>
        </w:rPr>
        <w:t>s</w:t>
      </w:r>
      <w:r w:rsidRPr="008A084A">
        <w:rPr>
          <w:rFonts w:ascii="Cambria" w:hAnsi="Cambria"/>
          <w:color w:val="auto"/>
          <w:sz w:val="20"/>
          <w:szCs w:val="20"/>
        </w:rPr>
        <w:t xml:space="preserve"> 1.1</w:t>
      </w:r>
      <w:r w:rsidR="001F611B" w:rsidRPr="008A084A">
        <w:rPr>
          <w:rFonts w:ascii="Cambria" w:hAnsi="Cambria"/>
          <w:color w:val="auto"/>
          <w:sz w:val="20"/>
          <w:szCs w:val="20"/>
        </w:rPr>
        <w:t xml:space="preserve"> y 2</w:t>
      </w:r>
      <w:r w:rsidRPr="008A084A">
        <w:rPr>
          <w:rFonts w:ascii="Cambria" w:hAnsi="Cambria"/>
          <w:color w:val="auto"/>
          <w:sz w:val="20"/>
          <w:szCs w:val="20"/>
        </w:rPr>
        <w:t xml:space="preserve"> del mismo </w:t>
      </w:r>
      <w:r w:rsidR="000842C9" w:rsidRPr="008A084A">
        <w:rPr>
          <w:rFonts w:ascii="Cambria" w:hAnsi="Cambria"/>
          <w:color w:val="auto"/>
          <w:sz w:val="20"/>
          <w:szCs w:val="20"/>
        </w:rPr>
        <w:t xml:space="preserve">instrumento, en perjuicio de </w:t>
      </w:r>
      <w:r w:rsidR="001F611B" w:rsidRPr="008A084A">
        <w:rPr>
          <w:rFonts w:ascii="Cambria" w:hAnsi="Cambria"/>
          <w:color w:val="auto"/>
          <w:sz w:val="20"/>
          <w:szCs w:val="20"/>
        </w:rPr>
        <w:t>Luis Eduardo Guachalá Chimbó</w:t>
      </w:r>
      <w:r w:rsidR="00BB0AE9" w:rsidRPr="008A084A">
        <w:rPr>
          <w:rFonts w:ascii="Cambria" w:hAnsi="Cambria"/>
          <w:color w:val="auto"/>
          <w:sz w:val="20"/>
          <w:szCs w:val="20"/>
        </w:rPr>
        <w:t>.</w:t>
      </w:r>
      <w:r w:rsidR="00366D69" w:rsidRPr="008A084A">
        <w:rPr>
          <w:rFonts w:ascii="Cambria" w:hAnsi="Cambria"/>
          <w:color w:val="auto"/>
          <w:sz w:val="20"/>
          <w:szCs w:val="20"/>
        </w:rPr>
        <w:t xml:space="preserve"> Asimismo, la Comisión concluyó que el Estado es responsable por la violación de los derechos a la integridad personal, a las garantías judicial</w:t>
      </w:r>
      <w:r w:rsidR="00596E37" w:rsidRPr="008A084A">
        <w:rPr>
          <w:rFonts w:ascii="Cambria" w:hAnsi="Cambria"/>
          <w:color w:val="auto"/>
          <w:sz w:val="20"/>
          <w:szCs w:val="20"/>
        </w:rPr>
        <w:t>es</w:t>
      </w:r>
      <w:r w:rsidR="00366D69" w:rsidRPr="008A084A">
        <w:rPr>
          <w:rFonts w:ascii="Cambria" w:hAnsi="Cambria"/>
          <w:color w:val="auto"/>
          <w:sz w:val="20"/>
          <w:szCs w:val="20"/>
        </w:rPr>
        <w:t xml:space="preserve"> y a la protección judicial de los familiares. </w:t>
      </w:r>
    </w:p>
    <w:p w:rsidR="000F494B" w:rsidRPr="008A084A" w:rsidRDefault="000F494B" w:rsidP="000F494B">
      <w:pPr>
        <w:pStyle w:val="NormalWeb"/>
        <w:spacing w:before="0" w:beforeAutospacing="0" w:after="0" w:afterAutospacing="0"/>
        <w:ind w:firstLine="567"/>
        <w:jc w:val="both"/>
        <w:rPr>
          <w:rFonts w:ascii="Cambria" w:hAnsi="Cambria" w:cs="Arial"/>
          <w:sz w:val="20"/>
          <w:szCs w:val="20"/>
          <w:lang w:val="es-ES_tradnl"/>
        </w:rPr>
      </w:pPr>
    </w:p>
    <w:p w:rsidR="000F494B" w:rsidRPr="008A084A" w:rsidRDefault="000F494B" w:rsidP="00F51010">
      <w:pPr>
        <w:pStyle w:val="Heading1"/>
        <w:tabs>
          <w:tab w:val="left" w:pos="1440"/>
        </w:tabs>
        <w:spacing w:before="0"/>
        <w:ind w:left="0" w:firstLine="720"/>
        <w:jc w:val="both"/>
        <w:rPr>
          <w:color w:val="auto"/>
          <w:sz w:val="20"/>
          <w:szCs w:val="20"/>
          <w:lang w:val="es-ES_tradnl"/>
        </w:rPr>
      </w:pPr>
      <w:bookmarkStart w:id="7" w:name="_Toc370830570"/>
      <w:bookmarkStart w:id="8" w:name="_Toc370831281"/>
      <w:bookmarkStart w:id="9" w:name="_Toc412635570"/>
      <w:bookmarkStart w:id="10" w:name="_Toc416685626"/>
      <w:bookmarkStart w:id="11" w:name="_Toc525547497"/>
      <w:r w:rsidRPr="008A084A">
        <w:rPr>
          <w:color w:val="auto"/>
          <w:sz w:val="20"/>
          <w:szCs w:val="20"/>
          <w:lang w:val="es-ES_tradnl"/>
        </w:rPr>
        <w:t>TRÁMITE ANTE LA COMISIÓN</w:t>
      </w:r>
      <w:bookmarkEnd w:id="7"/>
      <w:bookmarkEnd w:id="8"/>
      <w:bookmarkEnd w:id="9"/>
      <w:bookmarkEnd w:id="10"/>
      <w:bookmarkEnd w:id="11"/>
      <w:r w:rsidRPr="008A084A">
        <w:rPr>
          <w:color w:val="auto"/>
          <w:sz w:val="20"/>
          <w:szCs w:val="20"/>
          <w:lang w:val="es-ES_tradnl"/>
        </w:rPr>
        <w:t xml:space="preserve"> </w:t>
      </w:r>
    </w:p>
    <w:p w:rsidR="00FA6A10" w:rsidRPr="008A084A" w:rsidRDefault="00FA6A10" w:rsidP="00F51010">
      <w:pPr>
        <w:tabs>
          <w:tab w:val="center" w:pos="5400"/>
        </w:tabs>
        <w:suppressAutoHyphens/>
        <w:spacing w:line="276" w:lineRule="auto"/>
        <w:rPr>
          <w:rFonts w:ascii="Cambria" w:hAnsi="Cambria"/>
          <w:sz w:val="20"/>
          <w:szCs w:val="20"/>
          <w:lang w:val="es-ES_tradnl"/>
        </w:rPr>
      </w:pPr>
    </w:p>
    <w:p w:rsidR="001D0061" w:rsidRPr="008A084A" w:rsidRDefault="00D245FA" w:rsidP="005A2F9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color w:val="auto"/>
          <w:sz w:val="20"/>
          <w:szCs w:val="20"/>
        </w:rPr>
      </w:pPr>
      <w:r w:rsidRPr="008A084A">
        <w:rPr>
          <w:rFonts w:ascii="Cambria" w:hAnsi="Cambria"/>
          <w:color w:val="auto"/>
          <w:sz w:val="20"/>
          <w:szCs w:val="20"/>
        </w:rPr>
        <w:t xml:space="preserve">El </w:t>
      </w:r>
      <w:r w:rsidR="009B0CB9" w:rsidRPr="008A084A">
        <w:rPr>
          <w:rFonts w:ascii="Cambria" w:hAnsi="Cambria"/>
          <w:color w:val="auto"/>
          <w:sz w:val="20"/>
          <w:szCs w:val="20"/>
        </w:rPr>
        <w:t xml:space="preserve">1 de marzo de </w:t>
      </w:r>
      <w:r w:rsidR="00896AD8" w:rsidRPr="008A084A">
        <w:rPr>
          <w:rFonts w:ascii="Cambria" w:hAnsi="Cambria"/>
          <w:color w:val="auto"/>
          <w:sz w:val="20"/>
          <w:szCs w:val="20"/>
        </w:rPr>
        <w:t>2007</w:t>
      </w:r>
      <w:r w:rsidR="001D0061" w:rsidRPr="008A084A">
        <w:rPr>
          <w:rFonts w:ascii="Cambria" w:hAnsi="Cambria"/>
          <w:color w:val="auto"/>
          <w:sz w:val="20"/>
          <w:szCs w:val="20"/>
        </w:rPr>
        <w:t xml:space="preserve"> </w:t>
      </w:r>
      <w:r w:rsidR="000F43A8" w:rsidRPr="008A084A">
        <w:rPr>
          <w:rFonts w:ascii="Cambria" w:hAnsi="Cambria"/>
          <w:color w:val="auto"/>
          <w:sz w:val="20"/>
          <w:szCs w:val="20"/>
        </w:rPr>
        <w:t xml:space="preserve">la </w:t>
      </w:r>
      <w:r w:rsidR="009B0CB9" w:rsidRPr="008A084A">
        <w:rPr>
          <w:rFonts w:ascii="Cambria" w:hAnsi="Cambria"/>
          <w:color w:val="auto"/>
          <w:sz w:val="20"/>
          <w:szCs w:val="20"/>
        </w:rPr>
        <w:t>CIDH recibió la petición inicial. El detalle del trámite ante la Comisión hasta la decisión de admisibilidad del caso se encuentra en el informe de admisibilidad No. 141/10 de 1 de noviembre de 2010</w:t>
      </w:r>
      <w:r w:rsidR="009B0CB9" w:rsidRPr="008A084A">
        <w:rPr>
          <w:rStyle w:val="FootnoteReference"/>
          <w:rFonts w:ascii="Cambria" w:hAnsi="Cambria"/>
          <w:color w:val="auto"/>
          <w:sz w:val="20"/>
          <w:szCs w:val="20"/>
        </w:rPr>
        <w:footnoteReference w:id="2"/>
      </w:r>
      <w:r w:rsidR="009B0CB9" w:rsidRPr="008A084A">
        <w:rPr>
          <w:rFonts w:ascii="Cambria" w:hAnsi="Cambria"/>
          <w:color w:val="auto"/>
          <w:sz w:val="20"/>
          <w:szCs w:val="20"/>
        </w:rPr>
        <w:t xml:space="preserve">. </w:t>
      </w:r>
    </w:p>
    <w:p w:rsidR="001D0061" w:rsidRPr="008A084A" w:rsidRDefault="001D0061" w:rsidP="001D0061">
      <w:pPr>
        <w:ind w:firstLine="567"/>
        <w:jc w:val="both"/>
        <w:rPr>
          <w:rFonts w:ascii="Cambria" w:hAnsi="Cambria" w:cs="Arial"/>
          <w:sz w:val="20"/>
          <w:szCs w:val="20"/>
          <w:lang w:val="es-ES_tradnl"/>
        </w:rPr>
      </w:pPr>
    </w:p>
    <w:p w:rsidR="00D1065D" w:rsidRPr="008A084A" w:rsidRDefault="00D1065D" w:rsidP="005A2F9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El 10 de noviembre de 2010 la CIDH notificó a las partes el informe de admisibilidad. En dicha comunicación la Comisión se puso a disposición de las partes a fin de llegar a una solución amistosa.</w:t>
      </w:r>
      <w:r w:rsidR="00D560E5" w:rsidRPr="008A084A">
        <w:rPr>
          <w:rFonts w:ascii="Cambria" w:hAnsi="Cambria"/>
          <w:color w:val="auto"/>
          <w:sz w:val="20"/>
          <w:szCs w:val="20"/>
        </w:rPr>
        <w:t xml:space="preserve"> El 25 de mayo de 2011 los peticionarios presentaron una comunicación </w:t>
      </w:r>
      <w:r w:rsidR="00B447EE" w:rsidRPr="008A084A">
        <w:rPr>
          <w:rFonts w:ascii="Cambria" w:hAnsi="Cambria"/>
          <w:color w:val="auto"/>
          <w:sz w:val="20"/>
          <w:szCs w:val="20"/>
        </w:rPr>
        <w:t xml:space="preserve">mediante la cual </w:t>
      </w:r>
      <w:r w:rsidR="00D560E5" w:rsidRPr="008A084A">
        <w:rPr>
          <w:rFonts w:ascii="Cambria" w:hAnsi="Cambria"/>
          <w:color w:val="auto"/>
          <w:sz w:val="20"/>
          <w:szCs w:val="20"/>
        </w:rPr>
        <w:t xml:space="preserve">señalaron que no deseaban iniciar una solución amistosa. </w:t>
      </w:r>
      <w:r w:rsidR="007F4BA4" w:rsidRPr="008A084A">
        <w:rPr>
          <w:rFonts w:ascii="Cambria" w:hAnsi="Cambria"/>
          <w:color w:val="auto"/>
          <w:sz w:val="20"/>
          <w:szCs w:val="20"/>
        </w:rPr>
        <w:t>En dicho escrito también</w:t>
      </w:r>
      <w:r w:rsidR="00D560E5" w:rsidRPr="008A084A">
        <w:rPr>
          <w:rFonts w:ascii="Cambria" w:hAnsi="Cambria"/>
          <w:color w:val="auto"/>
          <w:sz w:val="20"/>
          <w:szCs w:val="20"/>
        </w:rPr>
        <w:t xml:space="preserve"> presentaron sus observaciones de fondo.</w:t>
      </w:r>
      <w:r w:rsidR="00D15BDE" w:rsidRPr="008A084A">
        <w:rPr>
          <w:rFonts w:ascii="Cambria" w:hAnsi="Cambria"/>
          <w:color w:val="auto"/>
          <w:sz w:val="20"/>
          <w:szCs w:val="20"/>
        </w:rPr>
        <w:t xml:space="preserve"> E</w:t>
      </w:r>
      <w:r w:rsidR="00D560E5" w:rsidRPr="008A084A">
        <w:rPr>
          <w:rFonts w:ascii="Cambria" w:hAnsi="Cambria"/>
          <w:color w:val="auto"/>
          <w:sz w:val="20"/>
          <w:szCs w:val="20"/>
        </w:rPr>
        <w:t>l 23 de diciembre de 20</w:t>
      </w:r>
      <w:r w:rsidR="00511A2C" w:rsidRPr="008A084A">
        <w:rPr>
          <w:rFonts w:ascii="Cambria" w:hAnsi="Cambria"/>
          <w:color w:val="auto"/>
          <w:sz w:val="20"/>
          <w:szCs w:val="20"/>
        </w:rPr>
        <w:t>1</w:t>
      </w:r>
      <w:r w:rsidR="00D560E5" w:rsidRPr="008A084A">
        <w:rPr>
          <w:rFonts w:ascii="Cambria" w:hAnsi="Cambria"/>
          <w:color w:val="auto"/>
          <w:sz w:val="20"/>
          <w:szCs w:val="20"/>
        </w:rPr>
        <w:t>1 el Estado presentó sus observaciones de fondo.</w:t>
      </w:r>
    </w:p>
    <w:p w:rsidR="00D1065D" w:rsidRPr="008A084A" w:rsidRDefault="00D1065D" w:rsidP="00D1065D">
      <w:pPr>
        <w:pStyle w:val="MediumGrid1-Accent21"/>
        <w:rPr>
          <w:rFonts w:ascii="Cambria" w:hAnsi="Cambria" w:cs="Arial"/>
          <w:sz w:val="20"/>
          <w:szCs w:val="20"/>
          <w:lang w:val="es-ES"/>
        </w:rPr>
      </w:pPr>
    </w:p>
    <w:p w:rsidR="009B1199" w:rsidRPr="008A084A" w:rsidRDefault="00D560E5" w:rsidP="005A2F9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s="Arial"/>
          <w:color w:val="auto"/>
          <w:sz w:val="20"/>
          <w:szCs w:val="20"/>
        </w:rPr>
        <w:t xml:space="preserve">Posteriormente la Comisión recibió comunicaciones de ambas partes, las cuales fueron debidamente trasladadas. Adicionalmente, el 4 de abril de 2016, en el marco de su 157 Período de Sesiones, la CIDH realizó una audiencia pública del caso en </w:t>
      </w:r>
      <w:r w:rsidR="00D15BDE" w:rsidRPr="008A084A">
        <w:rPr>
          <w:rFonts w:ascii="Cambria" w:hAnsi="Cambria" w:cs="Arial"/>
          <w:color w:val="auto"/>
          <w:sz w:val="20"/>
          <w:szCs w:val="20"/>
        </w:rPr>
        <w:t xml:space="preserve">la cual </w:t>
      </w:r>
      <w:r w:rsidRPr="008A084A">
        <w:rPr>
          <w:rFonts w:ascii="Cambria" w:hAnsi="Cambria" w:cs="Arial"/>
          <w:color w:val="auto"/>
          <w:sz w:val="20"/>
          <w:szCs w:val="20"/>
        </w:rPr>
        <w:t>participaron ambas partes</w:t>
      </w:r>
      <w:r w:rsidRPr="008A084A">
        <w:rPr>
          <w:rStyle w:val="FootnoteReference"/>
          <w:rFonts w:ascii="Cambria" w:hAnsi="Cambria" w:cs="Arial"/>
          <w:color w:val="auto"/>
          <w:sz w:val="20"/>
          <w:szCs w:val="20"/>
        </w:rPr>
        <w:footnoteReference w:id="3"/>
      </w:r>
      <w:r w:rsidRPr="008A084A">
        <w:rPr>
          <w:rFonts w:ascii="Cambria" w:hAnsi="Cambria" w:cs="Arial"/>
          <w:color w:val="auto"/>
          <w:sz w:val="20"/>
          <w:szCs w:val="20"/>
        </w:rPr>
        <w:t>.</w:t>
      </w:r>
    </w:p>
    <w:p w:rsidR="00866579" w:rsidRDefault="00866579" w:rsidP="0086657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rPr>
      </w:pPr>
    </w:p>
    <w:p w:rsidR="00671C11" w:rsidRDefault="00671C11" w:rsidP="0086657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rPr>
      </w:pPr>
    </w:p>
    <w:p w:rsidR="00671C11" w:rsidRDefault="00671C11" w:rsidP="0086657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rPr>
      </w:pPr>
    </w:p>
    <w:p w:rsidR="00671C11" w:rsidRDefault="00671C11" w:rsidP="0086657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rPr>
      </w:pPr>
    </w:p>
    <w:p w:rsidR="000F494B" w:rsidRPr="008A084A" w:rsidRDefault="000F494B" w:rsidP="00866579">
      <w:pPr>
        <w:pStyle w:val="Heading1"/>
        <w:tabs>
          <w:tab w:val="left" w:pos="1440"/>
        </w:tabs>
        <w:spacing w:before="0"/>
        <w:ind w:left="0" w:firstLine="720"/>
        <w:jc w:val="both"/>
        <w:rPr>
          <w:color w:val="auto"/>
          <w:sz w:val="20"/>
          <w:szCs w:val="20"/>
          <w:lang w:val="es-ES_tradnl"/>
        </w:rPr>
      </w:pPr>
      <w:bookmarkStart w:id="12" w:name="_Toc412635571"/>
      <w:bookmarkStart w:id="13" w:name="_Toc416685627"/>
      <w:bookmarkStart w:id="14" w:name="_Toc525547498"/>
      <w:r w:rsidRPr="008A084A">
        <w:rPr>
          <w:color w:val="auto"/>
          <w:sz w:val="20"/>
          <w:szCs w:val="20"/>
          <w:lang w:val="es-ES_tradnl"/>
        </w:rPr>
        <w:lastRenderedPageBreak/>
        <w:t>POSICIÓN DE LAS PARTES</w:t>
      </w:r>
      <w:bookmarkEnd w:id="12"/>
      <w:bookmarkEnd w:id="13"/>
      <w:bookmarkEnd w:id="14"/>
    </w:p>
    <w:p w:rsidR="000F494B" w:rsidRPr="008A084A" w:rsidRDefault="000F494B" w:rsidP="00866579">
      <w:pPr>
        <w:ind w:firstLine="567"/>
        <w:rPr>
          <w:rFonts w:ascii="Cambria" w:hAnsi="Cambria"/>
          <w:sz w:val="20"/>
          <w:szCs w:val="20"/>
          <w:lang w:val="es-ES_tradnl"/>
        </w:rPr>
      </w:pPr>
    </w:p>
    <w:p w:rsidR="000F494B" w:rsidRPr="008A084A" w:rsidRDefault="000F494B" w:rsidP="005A2F94">
      <w:pPr>
        <w:pStyle w:val="Heading2"/>
        <w:numPr>
          <w:ilvl w:val="0"/>
          <w:numId w:val="56"/>
        </w:numPr>
        <w:spacing w:before="0" w:after="0"/>
        <w:rPr>
          <w:rFonts w:ascii="Cambria" w:hAnsi="Cambria"/>
          <w:i w:val="0"/>
          <w:sz w:val="20"/>
          <w:szCs w:val="20"/>
          <w:lang w:val="es-ES_tradnl"/>
        </w:rPr>
      </w:pPr>
      <w:bookmarkStart w:id="15" w:name="_Toc370831283"/>
      <w:bookmarkStart w:id="16" w:name="_Toc412635572"/>
      <w:bookmarkStart w:id="17" w:name="_Toc416685628"/>
      <w:bookmarkStart w:id="18" w:name="_Toc525547499"/>
      <w:r w:rsidRPr="008A084A">
        <w:rPr>
          <w:rFonts w:ascii="Cambria" w:hAnsi="Cambria"/>
          <w:i w:val="0"/>
          <w:sz w:val="20"/>
          <w:szCs w:val="20"/>
          <w:lang w:val="es-ES_tradnl"/>
        </w:rPr>
        <w:t>Posición de los peticionarios</w:t>
      </w:r>
      <w:bookmarkEnd w:id="15"/>
      <w:bookmarkEnd w:id="16"/>
      <w:bookmarkEnd w:id="17"/>
      <w:bookmarkEnd w:id="18"/>
    </w:p>
    <w:p w:rsidR="009B1199" w:rsidRPr="008A084A" w:rsidRDefault="009B1199" w:rsidP="00007D4C">
      <w:pPr>
        <w:pStyle w:val="LightList-Accent51"/>
        <w:ind w:left="1440"/>
        <w:jc w:val="both"/>
        <w:rPr>
          <w:color w:val="auto"/>
          <w:sz w:val="20"/>
          <w:szCs w:val="20"/>
          <w:lang w:val="es-ES_tradnl"/>
        </w:rPr>
      </w:pPr>
    </w:p>
    <w:p w:rsidR="00051CE0" w:rsidRPr="008A084A" w:rsidRDefault="00051CE0" w:rsidP="00F5101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 xml:space="preserve">Los peticionarios </w:t>
      </w:r>
      <w:r w:rsidR="00EF7DDB" w:rsidRPr="008A084A">
        <w:rPr>
          <w:rFonts w:ascii="Cambria" w:hAnsi="Cambria"/>
          <w:color w:val="auto"/>
          <w:sz w:val="20"/>
          <w:szCs w:val="20"/>
        </w:rPr>
        <w:t xml:space="preserve">indicaron que el Estado es responsable por </w:t>
      </w:r>
      <w:r w:rsidR="004F5531" w:rsidRPr="008A084A">
        <w:rPr>
          <w:rFonts w:ascii="Cambria" w:hAnsi="Cambria"/>
          <w:color w:val="auto"/>
          <w:sz w:val="20"/>
          <w:szCs w:val="20"/>
        </w:rPr>
        <w:t>la desaparición del señor Guachalá</w:t>
      </w:r>
      <w:r w:rsidR="008D051B" w:rsidRPr="008A084A">
        <w:rPr>
          <w:rFonts w:ascii="Cambria" w:hAnsi="Cambria"/>
          <w:color w:val="auto"/>
          <w:sz w:val="20"/>
          <w:szCs w:val="20"/>
        </w:rPr>
        <w:t xml:space="preserve">. </w:t>
      </w:r>
      <w:r w:rsidR="00007D4C" w:rsidRPr="008A084A">
        <w:rPr>
          <w:rFonts w:ascii="Cambria" w:hAnsi="Cambria"/>
          <w:color w:val="auto"/>
          <w:sz w:val="20"/>
          <w:szCs w:val="20"/>
        </w:rPr>
        <w:t xml:space="preserve"> </w:t>
      </w:r>
      <w:r w:rsidR="004F5531" w:rsidRPr="008A084A">
        <w:rPr>
          <w:rFonts w:ascii="Cambria" w:hAnsi="Cambria"/>
          <w:color w:val="auto"/>
          <w:sz w:val="20"/>
          <w:szCs w:val="20"/>
        </w:rPr>
        <w:t>Señalaron que</w:t>
      </w:r>
      <w:r w:rsidR="00E64D1B" w:rsidRPr="008A084A">
        <w:rPr>
          <w:rFonts w:ascii="Cambria" w:hAnsi="Cambria"/>
          <w:color w:val="auto"/>
          <w:sz w:val="20"/>
          <w:szCs w:val="20"/>
        </w:rPr>
        <w:t xml:space="preserve"> la presunta víctima, </w:t>
      </w:r>
      <w:r w:rsidR="004F5531" w:rsidRPr="008A084A">
        <w:rPr>
          <w:rFonts w:ascii="Cambria" w:hAnsi="Cambria"/>
          <w:color w:val="auto"/>
          <w:sz w:val="20"/>
          <w:szCs w:val="20"/>
        </w:rPr>
        <w:t xml:space="preserve">quien </w:t>
      </w:r>
      <w:r w:rsidR="00A5414A" w:rsidRPr="008A084A">
        <w:rPr>
          <w:rFonts w:ascii="Cambria" w:hAnsi="Cambria"/>
          <w:color w:val="auto"/>
          <w:sz w:val="20"/>
          <w:szCs w:val="20"/>
        </w:rPr>
        <w:t xml:space="preserve">es </w:t>
      </w:r>
      <w:r w:rsidR="004F5531" w:rsidRPr="008A084A">
        <w:rPr>
          <w:rFonts w:ascii="Cambria" w:hAnsi="Cambria"/>
          <w:color w:val="auto"/>
          <w:sz w:val="20"/>
          <w:szCs w:val="20"/>
        </w:rPr>
        <w:t>una persona con discapacidad mental, desapareció en enero de 2004 mientras se encontraba institucionalizado en un hospital público</w:t>
      </w:r>
      <w:r w:rsidR="0023586D" w:rsidRPr="008A084A">
        <w:rPr>
          <w:rFonts w:ascii="Cambria" w:hAnsi="Cambria"/>
          <w:color w:val="auto"/>
          <w:sz w:val="20"/>
          <w:szCs w:val="20"/>
        </w:rPr>
        <w:t xml:space="preserve"> al cual ingresó el 10 de enero de dicho año.</w:t>
      </w:r>
      <w:r w:rsidR="004F5531" w:rsidRPr="008A084A">
        <w:rPr>
          <w:rFonts w:ascii="Cambria" w:hAnsi="Cambria"/>
          <w:color w:val="auto"/>
          <w:sz w:val="20"/>
          <w:szCs w:val="20"/>
        </w:rPr>
        <w:t xml:space="preserve"> </w:t>
      </w:r>
      <w:r w:rsidR="0023586D" w:rsidRPr="008A084A">
        <w:rPr>
          <w:rFonts w:ascii="Cambria" w:hAnsi="Cambria"/>
          <w:color w:val="auto"/>
          <w:sz w:val="20"/>
          <w:szCs w:val="20"/>
        </w:rPr>
        <w:t>Señalaron que una semana después el personal de dicho hospital le informó a la madre del señor Guachalá que éste habría desaparecido.</w:t>
      </w:r>
      <w:r w:rsidR="00FC1217" w:rsidRPr="008A084A">
        <w:rPr>
          <w:rFonts w:ascii="Cambria" w:hAnsi="Cambria"/>
          <w:color w:val="auto"/>
          <w:sz w:val="20"/>
          <w:szCs w:val="20"/>
        </w:rPr>
        <w:t xml:space="preserve"> </w:t>
      </w:r>
      <w:r w:rsidR="004F5531" w:rsidRPr="008A084A">
        <w:rPr>
          <w:rFonts w:ascii="Cambria" w:hAnsi="Cambria"/>
          <w:color w:val="auto"/>
          <w:sz w:val="20"/>
          <w:szCs w:val="20"/>
        </w:rPr>
        <w:t xml:space="preserve">Indicaron que a pesar de los recursos presentados a la fecha no se ha logrado determinar el paradero del señor Guachalá. </w:t>
      </w:r>
      <w:r w:rsidR="00EF7DDB" w:rsidRPr="008A084A">
        <w:rPr>
          <w:rFonts w:ascii="Cambria" w:hAnsi="Cambria"/>
          <w:color w:val="auto"/>
          <w:sz w:val="20"/>
          <w:szCs w:val="20"/>
          <w:lang w:val="es-CO"/>
        </w:rPr>
        <w:t>El detalle de los hechos y los procesos internos será referido en el análisis fáctico de la Comisión, basado en la inform</w:t>
      </w:r>
      <w:r w:rsidR="00BA3D36" w:rsidRPr="008A084A">
        <w:rPr>
          <w:rFonts w:ascii="Cambria" w:hAnsi="Cambria"/>
          <w:color w:val="auto"/>
          <w:sz w:val="20"/>
          <w:szCs w:val="20"/>
          <w:lang w:val="es-CO"/>
        </w:rPr>
        <w:t>ación aportada por ambas partes.</w:t>
      </w:r>
    </w:p>
    <w:p w:rsidR="006B027D" w:rsidRPr="008A084A" w:rsidRDefault="006B027D" w:rsidP="006B027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F15868" w:rsidRPr="008A084A" w:rsidRDefault="006B027D" w:rsidP="00F1586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Los peticionarios alegaron que lo sucedido al señor Guachalá cons</w:t>
      </w:r>
      <w:r w:rsidR="00F15868" w:rsidRPr="008A084A">
        <w:rPr>
          <w:rFonts w:ascii="Cambria" w:hAnsi="Cambria"/>
          <w:color w:val="auto"/>
          <w:sz w:val="20"/>
          <w:szCs w:val="20"/>
        </w:rPr>
        <w:t>tituye una desaparición forzada debido a que se presentan los tres elementos concurrentes que la configuran:</w:t>
      </w:r>
      <w:r w:rsidRPr="008A084A">
        <w:rPr>
          <w:rFonts w:ascii="Cambria" w:hAnsi="Cambria"/>
          <w:color w:val="auto"/>
          <w:sz w:val="20"/>
          <w:szCs w:val="20"/>
        </w:rPr>
        <w:t xml:space="preserve"> </w:t>
      </w:r>
      <w:r w:rsidR="00F15868" w:rsidRPr="008A084A">
        <w:rPr>
          <w:rFonts w:ascii="Cambria" w:hAnsi="Cambria"/>
          <w:color w:val="auto"/>
          <w:sz w:val="20"/>
          <w:szCs w:val="20"/>
        </w:rPr>
        <w:t xml:space="preserve">i) la privación de la libertad; ii) la intervención directa de agentes estatales o la aquiescencia de éstos; y iii) la negativa de reconocer la detención y de revelar la suerte o el paradero de la persona interesada. En consecuencia, indicaron que el Estado vulneró sus derechos al reconocimiento de la personalidad jurídica, vida, integridad personal y libertad personal. </w:t>
      </w:r>
    </w:p>
    <w:p w:rsidR="00676B40" w:rsidRPr="008A084A" w:rsidRDefault="00676B40" w:rsidP="00676B4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F15868" w:rsidRPr="008A084A" w:rsidRDefault="00F15868" w:rsidP="00F1586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 xml:space="preserve">Respecto del </w:t>
      </w:r>
      <w:r w:rsidRPr="008A084A">
        <w:rPr>
          <w:rFonts w:ascii="Cambria" w:hAnsi="Cambria"/>
          <w:b/>
          <w:color w:val="auto"/>
          <w:sz w:val="20"/>
          <w:szCs w:val="20"/>
        </w:rPr>
        <w:t>derecho a la libertad personal</w:t>
      </w:r>
      <w:r w:rsidRPr="008A084A">
        <w:rPr>
          <w:rFonts w:ascii="Cambria" w:hAnsi="Cambria"/>
          <w:color w:val="auto"/>
          <w:sz w:val="20"/>
          <w:szCs w:val="20"/>
        </w:rPr>
        <w:t xml:space="preserve">, los peticionarios indicaron que </w:t>
      </w:r>
      <w:r w:rsidR="004A5A21" w:rsidRPr="008A084A">
        <w:rPr>
          <w:rFonts w:ascii="Cambria" w:hAnsi="Cambria"/>
          <w:color w:val="auto"/>
          <w:sz w:val="20"/>
          <w:szCs w:val="20"/>
        </w:rPr>
        <w:t xml:space="preserve">la reclusión en un hospital psiquiátrico es una restricción a dicho derecho. Señalaron que </w:t>
      </w:r>
      <w:r w:rsidRPr="008A084A">
        <w:rPr>
          <w:rFonts w:ascii="Cambria" w:hAnsi="Cambria"/>
          <w:color w:val="auto"/>
          <w:sz w:val="20"/>
          <w:szCs w:val="20"/>
        </w:rPr>
        <w:t xml:space="preserve">si bien en un principio se consintió el internamiento del señor Guachalá, existió una sistemática negación de su paradero a su madre y, en consecuencia, </w:t>
      </w:r>
      <w:r w:rsidR="000246B3" w:rsidRPr="008A084A">
        <w:rPr>
          <w:rFonts w:ascii="Cambria" w:hAnsi="Cambria"/>
          <w:color w:val="auto"/>
          <w:sz w:val="20"/>
          <w:szCs w:val="20"/>
        </w:rPr>
        <w:t xml:space="preserve">devino en </w:t>
      </w:r>
      <w:r w:rsidRPr="008A084A">
        <w:rPr>
          <w:rFonts w:ascii="Cambria" w:hAnsi="Cambria"/>
          <w:color w:val="auto"/>
          <w:sz w:val="20"/>
          <w:szCs w:val="20"/>
        </w:rPr>
        <w:t xml:space="preserve">una privación no consentida e ilegítima de su libertad. </w:t>
      </w:r>
    </w:p>
    <w:p w:rsidR="00F15868" w:rsidRPr="008A084A" w:rsidRDefault="00F15868" w:rsidP="00F15868">
      <w:pPr>
        <w:pStyle w:val="ColorfulList-Accent11"/>
        <w:ind w:left="0"/>
        <w:rPr>
          <w:rFonts w:ascii="Cambria" w:hAnsi="Cambria"/>
          <w:sz w:val="20"/>
          <w:szCs w:val="20"/>
          <w:lang w:val="es-ES"/>
        </w:rPr>
      </w:pPr>
    </w:p>
    <w:p w:rsidR="00676B40" w:rsidRPr="008A084A" w:rsidRDefault="00676B40" w:rsidP="0048196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8A084A">
        <w:rPr>
          <w:rFonts w:ascii="Cambria" w:hAnsi="Cambria"/>
          <w:color w:val="auto"/>
          <w:sz w:val="20"/>
          <w:szCs w:val="20"/>
        </w:rPr>
        <w:t xml:space="preserve">En relación </w:t>
      </w:r>
      <w:r w:rsidR="00634ECA" w:rsidRPr="008A084A">
        <w:rPr>
          <w:rFonts w:ascii="Cambria" w:hAnsi="Cambria"/>
          <w:color w:val="auto"/>
          <w:sz w:val="20"/>
          <w:szCs w:val="20"/>
        </w:rPr>
        <w:t xml:space="preserve">con la alegada violación del </w:t>
      </w:r>
      <w:r w:rsidR="00634ECA" w:rsidRPr="008A084A">
        <w:rPr>
          <w:rFonts w:ascii="Cambria" w:hAnsi="Cambria"/>
          <w:b/>
          <w:color w:val="auto"/>
          <w:sz w:val="20"/>
          <w:szCs w:val="20"/>
        </w:rPr>
        <w:t>derecho al reconocimiento a la personalidad</w:t>
      </w:r>
      <w:r w:rsidR="00634ECA" w:rsidRPr="008A084A">
        <w:rPr>
          <w:rFonts w:ascii="Cambria" w:hAnsi="Cambria"/>
          <w:color w:val="auto"/>
          <w:sz w:val="20"/>
          <w:szCs w:val="20"/>
        </w:rPr>
        <w:t xml:space="preserve"> </w:t>
      </w:r>
      <w:r w:rsidR="00634ECA" w:rsidRPr="008A084A">
        <w:rPr>
          <w:rFonts w:ascii="Cambria" w:hAnsi="Cambria"/>
          <w:b/>
          <w:color w:val="auto"/>
          <w:sz w:val="20"/>
          <w:szCs w:val="20"/>
        </w:rPr>
        <w:t>jurídica,</w:t>
      </w:r>
      <w:r w:rsidR="00634ECA" w:rsidRPr="008A084A">
        <w:rPr>
          <w:rFonts w:ascii="Cambria" w:hAnsi="Cambria"/>
          <w:color w:val="auto"/>
          <w:sz w:val="20"/>
          <w:szCs w:val="20"/>
        </w:rPr>
        <w:t xml:space="preserve"> </w:t>
      </w:r>
      <w:r w:rsidR="0012504A" w:rsidRPr="008A084A">
        <w:rPr>
          <w:rFonts w:ascii="Cambria" w:hAnsi="Cambria"/>
          <w:color w:val="auto"/>
          <w:sz w:val="20"/>
          <w:szCs w:val="20"/>
        </w:rPr>
        <w:t xml:space="preserve">los peticionarios alegaron que la desaparición forzada del señor Guachalá resultó “en un limbo jurídico” sobre su estado legal. </w:t>
      </w:r>
      <w:r w:rsidR="00BD2A17" w:rsidRPr="008A084A">
        <w:rPr>
          <w:rFonts w:ascii="Cambria" w:hAnsi="Cambria"/>
          <w:color w:val="auto"/>
          <w:sz w:val="20"/>
          <w:szCs w:val="20"/>
        </w:rPr>
        <w:t>Sostuvieron que la desaparición del señor Guachalá le privó de su capacidad de ejercer sus derechos y tener una personalidad jurídica ante el Estado y la sociedad.</w:t>
      </w:r>
    </w:p>
    <w:p w:rsidR="008D051B" w:rsidRPr="008A084A" w:rsidRDefault="008D051B" w:rsidP="00E76B54">
      <w:pPr>
        <w:pStyle w:val="MediumGrid1-Accent21"/>
        <w:ind w:left="0"/>
        <w:rPr>
          <w:rFonts w:ascii="Cambria" w:eastAsia="Times New Roman" w:hAnsi="Cambria"/>
          <w:sz w:val="20"/>
          <w:szCs w:val="20"/>
          <w:u w:color="000000"/>
          <w:lang w:val="es-ES_tradnl" w:eastAsia="es-ES"/>
        </w:rPr>
      </w:pPr>
    </w:p>
    <w:p w:rsidR="008D051B" w:rsidRPr="008A084A" w:rsidRDefault="008D051B" w:rsidP="00007D4C">
      <w:pPr>
        <w:numPr>
          <w:ilvl w:val="0"/>
          <w:numId w:val="55"/>
        </w:numPr>
        <w:jc w:val="both"/>
        <w:rPr>
          <w:rFonts w:ascii="Cambria" w:eastAsia="Times New Roman" w:hAnsi="Cambria"/>
          <w:sz w:val="20"/>
          <w:szCs w:val="20"/>
          <w:u w:color="000000"/>
          <w:lang w:val="es-ES_tradnl" w:eastAsia="es-ES"/>
        </w:rPr>
      </w:pPr>
      <w:r w:rsidRPr="008A084A">
        <w:rPr>
          <w:rFonts w:ascii="Cambria" w:eastAsia="Times New Roman" w:hAnsi="Cambria"/>
          <w:sz w:val="20"/>
          <w:szCs w:val="20"/>
          <w:u w:color="000000"/>
          <w:lang w:val="es-ES_tradnl" w:eastAsia="es-ES"/>
        </w:rPr>
        <w:t>Respecto de la alegada violación de</w:t>
      </w:r>
      <w:r w:rsidR="00E76B54" w:rsidRPr="008A084A">
        <w:rPr>
          <w:rFonts w:ascii="Cambria" w:eastAsia="Times New Roman" w:hAnsi="Cambria"/>
          <w:sz w:val="20"/>
          <w:szCs w:val="20"/>
          <w:u w:color="000000"/>
          <w:lang w:val="es-ES_tradnl" w:eastAsia="es-ES"/>
        </w:rPr>
        <w:t xml:space="preserve"> </w:t>
      </w:r>
      <w:r w:rsidRPr="008A084A">
        <w:rPr>
          <w:rFonts w:ascii="Cambria" w:eastAsia="Times New Roman" w:hAnsi="Cambria"/>
          <w:sz w:val="20"/>
          <w:szCs w:val="20"/>
          <w:u w:color="000000"/>
          <w:lang w:val="es-ES_tradnl" w:eastAsia="es-ES"/>
        </w:rPr>
        <w:t>l</w:t>
      </w:r>
      <w:r w:rsidR="00E76B54" w:rsidRPr="008A084A">
        <w:rPr>
          <w:rFonts w:ascii="Cambria" w:eastAsia="Times New Roman" w:hAnsi="Cambria"/>
          <w:sz w:val="20"/>
          <w:szCs w:val="20"/>
          <w:u w:color="000000"/>
          <w:lang w:val="es-ES_tradnl" w:eastAsia="es-ES"/>
        </w:rPr>
        <w:t>os</w:t>
      </w:r>
      <w:r w:rsidRPr="008A084A">
        <w:rPr>
          <w:rFonts w:ascii="Cambria" w:eastAsia="Times New Roman" w:hAnsi="Cambria"/>
          <w:sz w:val="20"/>
          <w:szCs w:val="20"/>
          <w:u w:color="000000"/>
          <w:lang w:val="es-ES_tradnl" w:eastAsia="es-ES"/>
        </w:rPr>
        <w:t xml:space="preserve"> </w:t>
      </w:r>
      <w:r w:rsidRPr="008A084A">
        <w:rPr>
          <w:rFonts w:ascii="Cambria" w:eastAsia="Times New Roman" w:hAnsi="Cambria"/>
          <w:b/>
          <w:sz w:val="20"/>
          <w:szCs w:val="20"/>
          <w:u w:color="000000"/>
          <w:lang w:val="es-ES_tradnl" w:eastAsia="es-ES"/>
        </w:rPr>
        <w:t>derecho</w:t>
      </w:r>
      <w:r w:rsidR="00E76B54" w:rsidRPr="008A084A">
        <w:rPr>
          <w:rFonts w:ascii="Cambria" w:eastAsia="Times New Roman" w:hAnsi="Cambria"/>
          <w:b/>
          <w:sz w:val="20"/>
          <w:szCs w:val="20"/>
          <w:u w:color="000000"/>
          <w:lang w:val="es-ES_tradnl" w:eastAsia="es-ES"/>
        </w:rPr>
        <w:t>s</w:t>
      </w:r>
      <w:r w:rsidRPr="008A084A">
        <w:rPr>
          <w:rFonts w:ascii="Cambria" w:eastAsia="Times New Roman" w:hAnsi="Cambria"/>
          <w:b/>
          <w:sz w:val="20"/>
          <w:szCs w:val="20"/>
          <w:u w:color="000000"/>
          <w:lang w:val="es-ES_tradnl" w:eastAsia="es-ES"/>
        </w:rPr>
        <w:t xml:space="preserve"> a la</w:t>
      </w:r>
      <w:r w:rsidR="00F15868" w:rsidRPr="008A084A">
        <w:rPr>
          <w:rFonts w:ascii="Cambria" w:eastAsia="Times New Roman" w:hAnsi="Cambria"/>
          <w:b/>
          <w:sz w:val="20"/>
          <w:szCs w:val="20"/>
          <w:u w:color="000000"/>
          <w:lang w:val="es-ES_tradnl" w:eastAsia="es-ES"/>
        </w:rPr>
        <w:t xml:space="preserve"> vida e</w:t>
      </w:r>
      <w:r w:rsidR="008D25CE" w:rsidRPr="008A084A">
        <w:rPr>
          <w:rFonts w:ascii="Cambria" w:eastAsia="Times New Roman" w:hAnsi="Cambria"/>
          <w:b/>
          <w:sz w:val="20"/>
          <w:szCs w:val="20"/>
          <w:u w:color="000000"/>
          <w:lang w:val="es-ES_tradnl" w:eastAsia="es-ES"/>
        </w:rPr>
        <w:t xml:space="preserve"> </w:t>
      </w:r>
      <w:r w:rsidRPr="008A084A">
        <w:rPr>
          <w:rFonts w:ascii="Cambria" w:eastAsia="Times New Roman" w:hAnsi="Cambria"/>
          <w:b/>
          <w:sz w:val="20"/>
          <w:szCs w:val="20"/>
          <w:u w:color="000000"/>
          <w:lang w:val="es-ES_tradnl" w:eastAsia="es-ES"/>
        </w:rPr>
        <w:t>integridad personal</w:t>
      </w:r>
      <w:r w:rsidRPr="008A084A">
        <w:rPr>
          <w:rFonts w:ascii="Cambria" w:eastAsia="Times New Roman" w:hAnsi="Cambria"/>
          <w:sz w:val="20"/>
          <w:szCs w:val="20"/>
          <w:u w:color="000000"/>
          <w:lang w:val="es-ES_tradnl" w:eastAsia="es-ES"/>
        </w:rPr>
        <w:t>, los peticionarios indicaron</w:t>
      </w:r>
      <w:r w:rsidR="00931872" w:rsidRPr="008A084A">
        <w:rPr>
          <w:rFonts w:ascii="Cambria" w:eastAsia="Times New Roman" w:hAnsi="Cambria"/>
          <w:sz w:val="20"/>
          <w:szCs w:val="20"/>
          <w:u w:color="000000"/>
          <w:lang w:val="es-ES_tradnl" w:eastAsia="es-ES"/>
        </w:rPr>
        <w:t xml:space="preserve"> que el Estado </w:t>
      </w:r>
      <w:r w:rsidR="008D25CE" w:rsidRPr="008A084A">
        <w:rPr>
          <w:rFonts w:ascii="Cambria" w:eastAsia="Times New Roman" w:hAnsi="Cambria"/>
          <w:sz w:val="20"/>
          <w:szCs w:val="20"/>
          <w:u w:color="000000"/>
          <w:lang w:val="es-ES_tradnl" w:eastAsia="es-ES"/>
        </w:rPr>
        <w:t>no realizó ninguna acción tendiente a esclarecer lo sucedido al señor Guachalá. Indicaron que de esa manera no</w:t>
      </w:r>
      <w:r w:rsidR="00FD65F6" w:rsidRPr="008A084A">
        <w:rPr>
          <w:rFonts w:ascii="Cambria" w:eastAsia="Times New Roman" w:hAnsi="Cambria"/>
          <w:sz w:val="20"/>
          <w:szCs w:val="20"/>
          <w:u w:color="000000"/>
          <w:lang w:val="es-ES_tradnl" w:eastAsia="es-ES"/>
        </w:rPr>
        <w:t xml:space="preserve"> se</w:t>
      </w:r>
      <w:r w:rsidR="008D25CE" w:rsidRPr="008A084A">
        <w:rPr>
          <w:rFonts w:ascii="Cambria" w:eastAsia="Times New Roman" w:hAnsi="Cambria"/>
          <w:sz w:val="20"/>
          <w:szCs w:val="20"/>
          <w:u w:color="000000"/>
          <w:lang w:val="es-ES_tradnl" w:eastAsia="es-ES"/>
        </w:rPr>
        <w:t xml:space="preserve"> protegieron sus derechos a la vida e integridad personal.</w:t>
      </w:r>
      <w:r w:rsidR="008F20DC" w:rsidRPr="008A084A">
        <w:rPr>
          <w:rFonts w:ascii="Cambria" w:eastAsia="Times New Roman" w:hAnsi="Cambria"/>
          <w:sz w:val="20"/>
          <w:szCs w:val="20"/>
          <w:u w:color="000000"/>
          <w:lang w:val="es-ES_tradnl" w:eastAsia="es-ES"/>
        </w:rPr>
        <w:t xml:space="preserve"> Asimismo, señalaron que dicha omisión estatal, así como la presunta fuga del señor Guachalá, constituye un incumplimiento al deber específico y reforzado de cuidado a personas con discapacidad institucionalizadas. </w:t>
      </w:r>
      <w:r w:rsidR="00A813CA" w:rsidRPr="008A084A">
        <w:rPr>
          <w:rFonts w:ascii="Cambria" w:eastAsia="Times New Roman" w:hAnsi="Cambria"/>
          <w:sz w:val="20"/>
          <w:szCs w:val="20"/>
          <w:u w:color="000000"/>
          <w:lang w:val="es-ES_tradnl" w:eastAsia="es-ES"/>
        </w:rPr>
        <w:t xml:space="preserve">Alegaron </w:t>
      </w:r>
      <w:r w:rsidR="008F20DC" w:rsidRPr="008A084A">
        <w:rPr>
          <w:rFonts w:ascii="Cambria" w:eastAsia="Times New Roman" w:hAnsi="Cambria"/>
          <w:sz w:val="20"/>
          <w:szCs w:val="20"/>
          <w:u w:color="000000"/>
          <w:lang w:val="es-ES_tradnl" w:eastAsia="es-ES"/>
        </w:rPr>
        <w:t>que</w:t>
      </w:r>
      <w:r w:rsidR="00D7301F" w:rsidRPr="008A084A">
        <w:rPr>
          <w:rFonts w:ascii="Cambria" w:eastAsia="Times New Roman" w:hAnsi="Cambria"/>
          <w:sz w:val="20"/>
          <w:szCs w:val="20"/>
          <w:u w:color="000000"/>
          <w:lang w:val="es-ES_tradnl" w:eastAsia="es-ES"/>
        </w:rPr>
        <w:t xml:space="preserve"> por el estado de salud del señor Guachalá el personal médico tenía la obligación de vigilancia. </w:t>
      </w:r>
    </w:p>
    <w:p w:rsidR="008D051B" w:rsidRPr="008A084A" w:rsidRDefault="008D051B" w:rsidP="00BD2A17">
      <w:pPr>
        <w:pStyle w:val="MediumGrid1-Accent21"/>
        <w:ind w:left="0"/>
        <w:rPr>
          <w:rFonts w:ascii="Cambria" w:eastAsia="Times New Roman" w:hAnsi="Cambria"/>
          <w:sz w:val="20"/>
          <w:szCs w:val="20"/>
          <w:u w:color="000000"/>
          <w:lang w:val="es-ES_tradnl" w:eastAsia="es-ES"/>
        </w:rPr>
      </w:pPr>
    </w:p>
    <w:p w:rsidR="00D7301F" w:rsidRPr="008A084A" w:rsidRDefault="008D051B" w:rsidP="00007D4C">
      <w:pPr>
        <w:numPr>
          <w:ilvl w:val="0"/>
          <w:numId w:val="55"/>
        </w:numPr>
        <w:jc w:val="both"/>
        <w:rPr>
          <w:rFonts w:ascii="Cambria" w:eastAsia="Times New Roman" w:hAnsi="Cambria"/>
          <w:sz w:val="20"/>
          <w:szCs w:val="20"/>
          <w:u w:color="000000"/>
          <w:lang w:val="es-ES_tradnl" w:eastAsia="es-ES"/>
        </w:rPr>
      </w:pPr>
      <w:r w:rsidRPr="008A084A">
        <w:rPr>
          <w:rFonts w:ascii="Cambria" w:eastAsia="Times New Roman" w:hAnsi="Cambria"/>
          <w:sz w:val="20"/>
          <w:szCs w:val="20"/>
          <w:u w:color="000000"/>
          <w:lang w:val="es-ES_tradnl" w:eastAsia="es-ES"/>
        </w:rPr>
        <w:t xml:space="preserve">Respecto de la alegada violación de los </w:t>
      </w:r>
      <w:r w:rsidRPr="008A084A">
        <w:rPr>
          <w:rFonts w:ascii="Cambria" w:eastAsia="Times New Roman" w:hAnsi="Cambria"/>
          <w:b/>
          <w:sz w:val="20"/>
          <w:szCs w:val="20"/>
          <w:u w:color="000000"/>
          <w:lang w:val="es-ES_tradnl" w:eastAsia="es-ES"/>
        </w:rPr>
        <w:t>derechos a las garantías judiciales y protección judicial</w:t>
      </w:r>
      <w:r w:rsidRPr="008A084A">
        <w:rPr>
          <w:rFonts w:ascii="Cambria" w:eastAsia="Times New Roman" w:hAnsi="Cambria"/>
          <w:sz w:val="20"/>
          <w:szCs w:val="20"/>
          <w:u w:color="000000"/>
          <w:lang w:val="es-ES_tradnl" w:eastAsia="es-ES"/>
        </w:rPr>
        <w:t xml:space="preserve">, </w:t>
      </w:r>
      <w:r w:rsidR="00AF2AD4" w:rsidRPr="008A084A">
        <w:rPr>
          <w:rFonts w:ascii="Cambria" w:eastAsia="Times New Roman" w:hAnsi="Cambria"/>
          <w:sz w:val="20"/>
          <w:szCs w:val="20"/>
          <w:u w:color="000000"/>
          <w:lang w:val="es-ES_tradnl" w:eastAsia="es-ES"/>
        </w:rPr>
        <w:t xml:space="preserve">los peticionarios explicaron que a pesar de que </w:t>
      </w:r>
      <w:r w:rsidR="004C6FF2" w:rsidRPr="008A084A">
        <w:rPr>
          <w:rFonts w:ascii="Cambria" w:eastAsia="Times New Roman" w:hAnsi="Cambria"/>
          <w:sz w:val="20"/>
          <w:szCs w:val="20"/>
          <w:u w:color="000000"/>
          <w:lang w:val="es-ES_tradnl" w:eastAsia="es-ES"/>
        </w:rPr>
        <w:t xml:space="preserve">conforme a la versión del </w:t>
      </w:r>
      <w:r w:rsidR="00AF2AD4" w:rsidRPr="008A084A">
        <w:rPr>
          <w:rFonts w:ascii="Cambria" w:eastAsia="Times New Roman" w:hAnsi="Cambria"/>
          <w:sz w:val="20"/>
          <w:szCs w:val="20"/>
          <w:u w:color="000000"/>
          <w:lang w:val="es-ES_tradnl" w:eastAsia="es-ES"/>
        </w:rPr>
        <w:t>Estado el señor Guachalá se escapó del hospital el 17 de enero de 2004, recién dos días después informaron de lo sucedido a la policía. L</w:t>
      </w:r>
      <w:r w:rsidRPr="008A084A">
        <w:rPr>
          <w:rFonts w:ascii="Cambria" w:eastAsia="Times New Roman" w:hAnsi="Cambria"/>
          <w:sz w:val="20"/>
          <w:szCs w:val="20"/>
          <w:u w:color="000000"/>
          <w:lang w:val="es-ES_tradnl" w:eastAsia="es-ES"/>
        </w:rPr>
        <w:t>os peticionarios manifestaron</w:t>
      </w:r>
      <w:r w:rsidR="00E95184" w:rsidRPr="008A084A">
        <w:rPr>
          <w:rFonts w:ascii="Cambria" w:eastAsia="Times New Roman" w:hAnsi="Cambria"/>
          <w:sz w:val="20"/>
          <w:szCs w:val="20"/>
          <w:u w:color="000000"/>
          <w:lang w:val="es-ES_tradnl" w:eastAsia="es-ES"/>
        </w:rPr>
        <w:t xml:space="preserve"> que ninguno de los recursos presentados </w:t>
      </w:r>
      <w:r w:rsidR="00AF2AD4" w:rsidRPr="008A084A">
        <w:rPr>
          <w:rFonts w:ascii="Cambria" w:eastAsia="Times New Roman" w:hAnsi="Cambria"/>
          <w:sz w:val="20"/>
          <w:szCs w:val="20"/>
          <w:u w:color="000000"/>
          <w:lang w:val="es-ES_tradnl" w:eastAsia="es-ES"/>
        </w:rPr>
        <w:t xml:space="preserve">(una denuncia penal, una denuncia ante la Defensoría del Pueblo y una acción de hábeas corpus) </w:t>
      </w:r>
      <w:r w:rsidR="00E95184" w:rsidRPr="008A084A">
        <w:rPr>
          <w:rFonts w:ascii="Cambria" w:eastAsia="Times New Roman" w:hAnsi="Cambria"/>
          <w:sz w:val="20"/>
          <w:szCs w:val="20"/>
          <w:u w:color="000000"/>
          <w:lang w:val="es-ES_tradnl" w:eastAsia="es-ES"/>
        </w:rPr>
        <w:t>esclareció lo sucedido con el señor Guachalá ni determinó su paradero. Señalaron que las diversas autoridades no adoptaron mayores diligencias para localizar al señor Gu</w:t>
      </w:r>
      <w:r w:rsidR="00411CA3" w:rsidRPr="008A084A">
        <w:rPr>
          <w:rFonts w:ascii="Cambria" w:eastAsia="Times New Roman" w:hAnsi="Cambria"/>
          <w:sz w:val="20"/>
          <w:szCs w:val="20"/>
          <w:u w:color="000000"/>
          <w:lang w:val="es-ES_tradnl" w:eastAsia="es-ES"/>
        </w:rPr>
        <w:t>a</w:t>
      </w:r>
      <w:r w:rsidR="00E95184" w:rsidRPr="008A084A">
        <w:rPr>
          <w:rFonts w:ascii="Cambria" w:eastAsia="Times New Roman" w:hAnsi="Cambria"/>
          <w:sz w:val="20"/>
          <w:szCs w:val="20"/>
          <w:u w:color="000000"/>
          <w:lang w:val="es-ES_tradnl" w:eastAsia="es-ES"/>
        </w:rPr>
        <w:t>chalá, por lo que los recursos no resultaron adecuados ni efectivos.</w:t>
      </w:r>
      <w:r w:rsidR="00D7301F" w:rsidRPr="008A084A">
        <w:rPr>
          <w:rFonts w:ascii="Cambria" w:eastAsia="Times New Roman" w:hAnsi="Cambria"/>
          <w:sz w:val="20"/>
          <w:szCs w:val="20"/>
          <w:u w:color="000000"/>
          <w:lang w:val="es-ES_tradnl" w:eastAsia="es-ES"/>
        </w:rPr>
        <w:t xml:space="preserve"> </w:t>
      </w:r>
    </w:p>
    <w:p w:rsidR="00D7301F" w:rsidRPr="008A084A" w:rsidRDefault="00D7301F" w:rsidP="00D7301F">
      <w:pPr>
        <w:pStyle w:val="ColorfulList-Accent11"/>
        <w:rPr>
          <w:rFonts w:ascii="Cambria" w:eastAsia="Times New Roman" w:hAnsi="Cambria"/>
          <w:sz w:val="20"/>
          <w:szCs w:val="20"/>
          <w:u w:color="000000"/>
          <w:lang w:val="es-ES_tradnl" w:eastAsia="es-ES"/>
        </w:rPr>
      </w:pPr>
    </w:p>
    <w:p w:rsidR="008D051B" w:rsidRPr="008A084A" w:rsidRDefault="00D7301F" w:rsidP="001C731C">
      <w:pPr>
        <w:numPr>
          <w:ilvl w:val="0"/>
          <w:numId w:val="55"/>
        </w:numPr>
        <w:jc w:val="both"/>
        <w:rPr>
          <w:rFonts w:ascii="Cambria" w:eastAsia="Times New Roman" w:hAnsi="Cambria"/>
          <w:sz w:val="20"/>
          <w:szCs w:val="20"/>
          <w:u w:color="000000"/>
          <w:lang w:val="es-ES_tradnl" w:eastAsia="es-ES"/>
        </w:rPr>
      </w:pPr>
      <w:r w:rsidRPr="008A084A">
        <w:rPr>
          <w:rFonts w:ascii="Cambria" w:eastAsia="Times New Roman" w:hAnsi="Cambria"/>
          <w:sz w:val="20"/>
          <w:szCs w:val="20"/>
          <w:u w:color="000000"/>
          <w:lang w:val="es-ES_tradnl" w:eastAsia="es-ES"/>
        </w:rPr>
        <w:t>Agregaron que a la fecha no se ha iniciado</w:t>
      </w:r>
      <w:r w:rsidR="00BC3BA1" w:rsidRPr="008A084A">
        <w:rPr>
          <w:rFonts w:ascii="Cambria" w:eastAsia="Times New Roman" w:hAnsi="Cambria"/>
          <w:sz w:val="20"/>
          <w:szCs w:val="20"/>
          <w:u w:color="000000"/>
          <w:lang w:val="es-ES_tradnl" w:eastAsia="es-ES"/>
        </w:rPr>
        <w:t xml:space="preserve"> una investigación </w:t>
      </w:r>
      <w:r w:rsidRPr="008A084A">
        <w:rPr>
          <w:rFonts w:ascii="Cambria" w:eastAsia="Times New Roman" w:hAnsi="Cambria"/>
          <w:sz w:val="20"/>
          <w:szCs w:val="20"/>
          <w:u w:color="000000"/>
          <w:lang w:val="es-ES_tradnl" w:eastAsia="es-ES"/>
        </w:rPr>
        <w:t>bajo el delito de desaparición forzada. Indicaron que ello conlleva a la falta de esclarecimiento de la verdad histórica respecto a los hechos que permitan identificar a los funcionarios responsables de su cuidado.</w:t>
      </w:r>
      <w:r w:rsidR="001C731C" w:rsidRPr="008A084A">
        <w:rPr>
          <w:rFonts w:ascii="Cambria" w:eastAsia="Times New Roman" w:hAnsi="Cambria"/>
          <w:sz w:val="20"/>
          <w:szCs w:val="20"/>
          <w:u w:color="000000"/>
          <w:lang w:val="es-ES_tradnl" w:eastAsia="es-ES"/>
        </w:rPr>
        <w:t xml:space="preserve"> Sostuvieron que actualmente el Estado investiga todos los casos de desaparición</w:t>
      </w:r>
      <w:r w:rsidR="006623F4" w:rsidRPr="008A084A">
        <w:rPr>
          <w:rFonts w:ascii="Cambria" w:eastAsia="Times New Roman" w:hAnsi="Cambria"/>
          <w:sz w:val="20"/>
          <w:szCs w:val="20"/>
          <w:u w:color="000000"/>
          <w:lang w:val="es-ES_tradnl" w:eastAsia="es-ES"/>
        </w:rPr>
        <w:t xml:space="preserve"> de personas</w:t>
      </w:r>
      <w:r w:rsidR="001C731C" w:rsidRPr="008A084A">
        <w:rPr>
          <w:rFonts w:ascii="Cambria" w:eastAsia="Times New Roman" w:hAnsi="Cambria"/>
          <w:sz w:val="20"/>
          <w:szCs w:val="20"/>
          <w:u w:color="000000"/>
          <w:lang w:val="es-ES_tradnl" w:eastAsia="es-ES"/>
        </w:rPr>
        <w:t>, incluyendo el del señor Guachalá bajo un proce</w:t>
      </w:r>
      <w:r w:rsidR="006623F4" w:rsidRPr="008A084A">
        <w:rPr>
          <w:rFonts w:ascii="Cambria" w:eastAsia="Times New Roman" w:hAnsi="Cambria"/>
          <w:sz w:val="20"/>
          <w:szCs w:val="20"/>
          <w:u w:color="000000"/>
          <w:lang w:val="es-ES_tradnl" w:eastAsia="es-ES"/>
        </w:rPr>
        <w:t>dimiento</w:t>
      </w:r>
      <w:r w:rsidR="001C731C" w:rsidRPr="008A084A">
        <w:rPr>
          <w:rFonts w:ascii="Cambria" w:eastAsia="Times New Roman" w:hAnsi="Cambria"/>
          <w:sz w:val="20"/>
          <w:szCs w:val="20"/>
          <w:u w:color="000000"/>
          <w:lang w:val="es-ES_tradnl" w:eastAsia="es-ES"/>
        </w:rPr>
        <w:t xml:space="preserve"> administrativo</w:t>
      </w:r>
      <w:r w:rsidR="006623F4" w:rsidRPr="008A084A">
        <w:rPr>
          <w:rFonts w:ascii="Cambria" w:eastAsia="Times New Roman" w:hAnsi="Cambria"/>
          <w:sz w:val="20"/>
          <w:szCs w:val="20"/>
          <w:u w:color="000000"/>
          <w:lang w:val="es-ES_tradnl" w:eastAsia="es-ES"/>
        </w:rPr>
        <w:t>. Indicaron que el procedimiento administrativo de búsqueda del paradero del señor Guachalá</w:t>
      </w:r>
      <w:r w:rsidR="001C731C" w:rsidRPr="008A084A">
        <w:rPr>
          <w:rFonts w:ascii="Cambria" w:eastAsia="Times New Roman" w:hAnsi="Cambria"/>
          <w:sz w:val="20"/>
          <w:szCs w:val="20"/>
          <w:u w:color="000000"/>
          <w:lang w:val="es-ES_tradnl" w:eastAsia="es-ES"/>
        </w:rPr>
        <w:t xml:space="preserve"> se mantiene abierto a la fecha. Sostuvieron que dicho procedimiento no puede ser considerado como un recurso idóneo en tanto en el presente caso se está frente a una situación específica de desaparición de una persona que se encontraba bajo la protección y custodia del Estado.</w:t>
      </w:r>
    </w:p>
    <w:p w:rsidR="00DA5A2B" w:rsidRDefault="00DA5A2B" w:rsidP="00DA5A2B">
      <w:pPr>
        <w:jc w:val="both"/>
        <w:rPr>
          <w:rFonts w:ascii="Cambria" w:eastAsia="Times New Roman" w:hAnsi="Cambria"/>
          <w:sz w:val="20"/>
          <w:szCs w:val="20"/>
          <w:u w:color="000000"/>
          <w:lang w:val="es-ES_tradnl" w:eastAsia="es-ES"/>
        </w:rPr>
      </w:pPr>
    </w:p>
    <w:p w:rsidR="00671C11" w:rsidRDefault="00671C11" w:rsidP="00DA5A2B">
      <w:pPr>
        <w:jc w:val="both"/>
        <w:rPr>
          <w:rFonts w:ascii="Cambria" w:eastAsia="Times New Roman" w:hAnsi="Cambria"/>
          <w:sz w:val="20"/>
          <w:szCs w:val="20"/>
          <w:u w:color="000000"/>
          <w:lang w:val="es-ES_tradnl" w:eastAsia="es-ES"/>
        </w:rPr>
      </w:pPr>
    </w:p>
    <w:p w:rsidR="00DA5A2B" w:rsidRPr="008A084A" w:rsidRDefault="00DA5A2B" w:rsidP="00007D4C">
      <w:pPr>
        <w:numPr>
          <w:ilvl w:val="0"/>
          <w:numId w:val="55"/>
        </w:numPr>
        <w:jc w:val="both"/>
        <w:rPr>
          <w:rFonts w:ascii="Cambria" w:eastAsia="Times New Roman" w:hAnsi="Cambria"/>
          <w:sz w:val="20"/>
          <w:szCs w:val="20"/>
          <w:u w:color="000000"/>
          <w:lang w:val="es-ES_tradnl" w:eastAsia="es-ES"/>
        </w:rPr>
      </w:pPr>
      <w:r w:rsidRPr="008A084A">
        <w:rPr>
          <w:rFonts w:ascii="Cambria" w:eastAsia="Times New Roman" w:hAnsi="Cambria"/>
          <w:sz w:val="20"/>
          <w:szCs w:val="20"/>
          <w:u w:color="000000"/>
          <w:lang w:val="es-ES_tradnl" w:eastAsia="es-ES"/>
        </w:rPr>
        <w:lastRenderedPageBreak/>
        <w:t xml:space="preserve">Los peticionarios también alegaron que el Estado incumplió su </w:t>
      </w:r>
      <w:r w:rsidRPr="008A084A">
        <w:rPr>
          <w:rFonts w:ascii="Cambria" w:eastAsia="Times New Roman" w:hAnsi="Cambria"/>
          <w:b/>
          <w:sz w:val="20"/>
          <w:szCs w:val="20"/>
          <w:u w:color="000000"/>
          <w:lang w:val="es-ES_tradnl" w:eastAsia="es-ES"/>
        </w:rPr>
        <w:t>deber de adoptar disposiciones de derecho interno</w:t>
      </w:r>
      <w:r w:rsidRPr="008A084A">
        <w:rPr>
          <w:rFonts w:ascii="Cambria" w:eastAsia="Times New Roman" w:hAnsi="Cambria"/>
          <w:sz w:val="20"/>
          <w:szCs w:val="20"/>
          <w:u w:color="000000"/>
          <w:lang w:val="es-ES_tradnl" w:eastAsia="es-ES"/>
        </w:rPr>
        <w:t xml:space="preserve">. </w:t>
      </w:r>
      <w:r w:rsidR="00261335" w:rsidRPr="008A084A">
        <w:rPr>
          <w:rFonts w:ascii="Cambria" w:eastAsia="Times New Roman" w:hAnsi="Cambria"/>
          <w:sz w:val="20"/>
          <w:szCs w:val="20"/>
          <w:u w:color="000000"/>
          <w:lang w:val="es-ES_tradnl" w:eastAsia="es-ES"/>
        </w:rPr>
        <w:t>Ello debido a la inexistencia de una norma que permita exigir el cumplimiento de la resolución del Tribunal Constitucional en el marco del recur</w:t>
      </w:r>
      <w:r w:rsidR="00B649B7" w:rsidRPr="008A084A">
        <w:rPr>
          <w:rFonts w:ascii="Cambria" w:eastAsia="Times New Roman" w:hAnsi="Cambria"/>
          <w:sz w:val="20"/>
          <w:szCs w:val="20"/>
          <w:u w:color="000000"/>
          <w:lang w:val="es-ES_tradnl" w:eastAsia="es-ES"/>
        </w:rPr>
        <w:t xml:space="preserve">so de hábeas corpus presentado. Señalaron que </w:t>
      </w:r>
      <w:r w:rsidR="001A746B" w:rsidRPr="008A084A">
        <w:rPr>
          <w:rFonts w:ascii="Cambria" w:eastAsia="Times New Roman" w:hAnsi="Cambria"/>
          <w:sz w:val="20"/>
          <w:szCs w:val="20"/>
          <w:u w:color="000000"/>
          <w:lang w:val="es-ES_tradnl" w:eastAsia="es-ES"/>
        </w:rPr>
        <w:t xml:space="preserve">la acción por incumplimiento de las sentencias y dictámenes constitucionales establecida en la Ley de Garantías Jurisdiccionales y Control Constitucional no es adecuada ni efectiva. Ello debido a que “iniciar una acción ante el mismo organismo que emitió la sentencia sería darle una carga desproporcionada a la víctima”. </w:t>
      </w:r>
    </w:p>
    <w:p w:rsidR="00261335" w:rsidRPr="008A084A" w:rsidRDefault="00261335" w:rsidP="00261335">
      <w:pPr>
        <w:jc w:val="both"/>
        <w:rPr>
          <w:rFonts w:ascii="Cambria" w:eastAsia="Times New Roman" w:hAnsi="Cambria"/>
          <w:sz w:val="20"/>
          <w:szCs w:val="20"/>
          <w:u w:color="000000"/>
          <w:lang w:val="es-ES_tradnl" w:eastAsia="es-ES"/>
        </w:rPr>
      </w:pPr>
    </w:p>
    <w:p w:rsidR="00261335" w:rsidRPr="008A084A" w:rsidRDefault="00261335" w:rsidP="00007D4C">
      <w:pPr>
        <w:numPr>
          <w:ilvl w:val="0"/>
          <w:numId w:val="55"/>
        </w:numPr>
        <w:jc w:val="both"/>
        <w:rPr>
          <w:rFonts w:ascii="Cambria" w:eastAsia="Times New Roman" w:hAnsi="Cambria"/>
          <w:sz w:val="20"/>
          <w:szCs w:val="20"/>
          <w:u w:color="000000"/>
          <w:lang w:val="es-ES_tradnl" w:eastAsia="es-ES"/>
        </w:rPr>
      </w:pPr>
      <w:r w:rsidRPr="008A084A">
        <w:rPr>
          <w:rFonts w:ascii="Cambria" w:eastAsia="Times New Roman" w:hAnsi="Cambria"/>
          <w:sz w:val="20"/>
          <w:szCs w:val="20"/>
          <w:u w:color="000000"/>
          <w:lang w:val="es-ES_tradnl" w:eastAsia="es-ES"/>
        </w:rPr>
        <w:t xml:space="preserve">Finalmente, los peticionarios alegaron la violación del </w:t>
      </w:r>
      <w:r w:rsidRPr="008A084A">
        <w:rPr>
          <w:rFonts w:ascii="Cambria" w:eastAsia="Times New Roman" w:hAnsi="Cambria"/>
          <w:b/>
          <w:sz w:val="20"/>
          <w:szCs w:val="20"/>
          <w:u w:color="000000"/>
          <w:lang w:val="es-ES_tradnl" w:eastAsia="es-ES"/>
        </w:rPr>
        <w:t>derecho a la integridad personal</w:t>
      </w:r>
      <w:r w:rsidRPr="008A084A">
        <w:rPr>
          <w:rFonts w:ascii="Cambria" w:eastAsia="Times New Roman" w:hAnsi="Cambria"/>
          <w:sz w:val="20"/>
          <w:szCs w:val="20"/>
          <w:u w:color="000000"/>
          <w:lang w:val="es-ES_tradnl" w:eastAsia="es-ES"/>
        </w:rPr>
        <w:t xml:space="preserve"> en perjuicio de l</w:t>
      </w:r>
      <w:r w:rsidR="002D0077" w:rsidRPr="008A084A">
        <w:rPr>
          <w:rFonts w:ascii="Cambria" w:eastAsia="Times New Roman" w:hAnsi="Cambria"/>
          <w:sz w:val="20"/>
          <w:szCs w:val="20"/>
          <w:u w:color="000000"/>
          <w:lang w:val="es-ES_tradnl" w:eastAsia="es-ES"/>
        </w:rPr>
        <w:t xml:space="preserve">os familiares del señor Guachalá: </w:t>
      </w:r>
      <w:r w:rsidR="002D0077" w:rsidRPr="008A084A">
        <w:rPr>
          <w:rFonts w:ascii="Cambria" w:hAnsi="Cambria"/>
          <w:sz w:val="20"/>
          <w:szCs w:val="20"/>
          <w:lang w:val="es-ES"/>
        </w:rPr>
        <w:t>su madre, Zoila Rosario Chimbó Jarro, sus tres hermanas, Martha, Nancy y Alexandra, y su hermano Ángel.</w:t>
      </w:r>
      <w:r w:rsidRPr="008A084A">
        <w:rPr>
          <w:rFonts w:ascii="Cambria" w:eastAsia="Times New Roman" w:hAnsi="Cambria"/>
          <w:sz w:val="20"/>
          <w:szCs w:val="20"/>
          <w:u w:color="000000"/>
          <w:lang w:val="es-ES_tradnl" w:eastAsia="es-ES"/>
        </w:rPr>
        <w:t xml:space="preserve"> </w:t>
      </w:r>
      <w:r w:rsidR="00E63317" w:rsidRPr="008A084A">
        <w:rPr>
          <w:rFonts w:ascii="Cambria" w:eastAsia="Times New Roman" w:hAnsi="Cambria"/>
          <w:sz w:val="20"/>
          <w:szCs w:val="20"/>
          <w:u w:color="000000"/>
          <w:lang w:val="es-ES_tradnl" w:eastAsia="es-ES"/>
        </w:rPr>
        <w:t>Ello como consecuencia de las afectaciones producidas por la desaparición forzada de su hijo, así como por la falta de esclarecimiento de lo sucedido.</w:t>
      </w:r>
    </w:p>
    <w:p w:rsidR="00063B94" w:rsidRPr="008A084A" w:rsidRDefault="00063B94" w:rsidP="00853731">
      <w:pPr>
        <w:pStyle w:val="LightList-Accent51"/>
        <w:ind w:left="0"/>
        <w:rPr>
          <w:color w:val="auto"/>
          <w:sz w:val="20"/>
          <w:szCs w:val="20"/>
          <w:lang w:val="es-ES_tradnl"/>
        </w:rPr>
      </w:pPr>
    </w:p>
    <w:p w:rsidR="009B1199" w:rsidRPr="008A084A" w:rsidRDefault="009B1199" w:rsidP="005A2F94">
      <w:pPr>
        <w:pStyle w:val="Heading2"/>
        <w:numPr>
          <w:ilvl w:val="0"/>
          <w:numId w:val="56"/>
        </w:numPr>
        <w:spacing w:before="0" w:after="0"/>
        <w:rPr>
          <w:rFonts w:ascii="Cambria" w:hAnsi="Cambria"/>
          <w:i w:val="0"/>
          <w:sz w:val="20"/>
          <w:szCs w:val="20"/>
          <w:lang w:val="es-ES_tradnl"/>
        </w:rPr>
      </w:pPr>
      <w:bookmarkStart w:id="19" w:name="_Toc525547500"/>
      <w:r w:rsidRPr="008A084A">
        <w:rPr>
          <w:rFonts w:ascii="Cambria" w:hAnsi="Cambria"/>
          <w:i w:val="0"/>
          <w:sz w:val="20"/>
          <w:szCs w:val="20"/>
          <w:lang w:val="es-ES_tradnl"/>
        </w:rPr>
        <w:t>Posición del Estado</w:t>
      </w:r>
      <w:bookmarkEnd w:id="19"/>
    </w:p>
    <w:p w:rsidR="009B1199" w:rsidRPr="008A084A" w:rsidRDefault="009B1199" w:rsidP="00495600">
      <w:pPr>
        <w:pStyle w:val="LightList-Accent51"/>
        <w:ind w:left="0"/>
        <w:rPr>
          <w:color w:val="auto"/>
          <w:sz w:val="20"/>
          <w:szCs w:val="20"/>
          <w:lang w:val="es-ES_tradnl"/>
        </w:rPr>
      </w:pPr>
    </w:p>
    <w:p w:rsidR="00B927A6" w:rsidRPr="008A084A" w:rsidRDefault="008D051B" w:rsidP="00003382">
      <w:pPr>
        <w:numPr>
          <w:ilvl w:val="0"/>
          <w:numId w:val="55"/>
        </w:numPr>
        <w:jc w:val="both"/>
        <w:rPr>
          <w:rFonts w:ascii="Cambria" w:hAnsi="Cambria"/>
          <w:sz w:val="20"/>
          <w:szCs w:val="20"/>
          <w:lang w:val="es-ES"/>
        </w:rPr>
      </w:pPr>
      <w:r w:rsidRPr="008A084A">
        <w:rPr>
          <w:rFonts w:ascii="Cambria" w:eastAsia="Times New Roman" w:hAnsi="Cambria"/>
          <w:sz w:val="20"/>
          <w:szCs w:val="20"/>
          <w:u w:color="000000"/>
          <w:lang w:val="es-ES_tradnl" w:eastAsia="es-ES"/>
        </w:rPr>
        <w:t>E</w:t>
      </w:r>
      <w:r w:rsidR="007569F0" w:rsidRPr="008A084A">
        <w:rPr>
          <w:rFonts w:ascii="Cambria" w:eastAsia="Times New Roman" w:hAnsi="Cambria"/>
          <w:sz w:val="20"/>
          <w:szCs w:val="20"/>
          <w:u w:color="000000"/>
          <w:lang w:val="es-ES_tradnl" w:eastAsia="es-ES"/>
        </w:rPr>
        <w:t>l</w:t>
      </w:r>
      <w:r w:rsidR="007569F0" w:rsidRPr="008A084A">
        <w:rPr>
          <w:rFonts w:ascii="Cambria" w:hAnsi="Cambria"/>
          <w:sz w:val="20"/>
          <w:szCs w:val="20"/>
          <w:lang w:val="es-ES_tradnl"/>
        </w:rPr>
        <w:t xml:space="preserve"> Estado </w:t>
      </w:r>
      <w:r w:rsidRPr="008A084A">
        <w:rPr>
          <w:rFonts w:ascii="Cambria" w:hAnsi="Cambria"/>
          <w:sz w:val="20"/>
          <w:szCs w:val="20"/>
          <w:lang w:val="es-ES_tradnl"/>
        </w:rPr>
        <w:t xml:space="preserve">alegó que no es responsable de la </w:t>
      </w:r>
      <w:r w:rsidR="00003382" w:rsidRPr="008A084A">
        <w:rPr>
          <w:rFonts w:ascii="Cambria" w:hAnsi="Cambria"/>
          <w:sz w:val="20"/>
          <w:szCs w:val="20"/>
          <w:lang w:val="es-ES_tradnl"/>
        </w:rPr>
        <w:t>desaparición del señor Guachalá</w:t>
      </w:r>
      <w:r w:rsidR="00FC598E" w:rsidRPr="008A084A">
        <w:rPr>
          <w:rFonts w:ascii="Cambria" w:hAnsi="Cambria"/>
          <w:sz w:val="20"/>
          <w:szCs w:val="20"/>
          <w:lang w:val="es-ES_tradnl"/>
        </w:rPr>
        <w:t xml:space="preserve"> del </w:t>
      </w:r>
      <w:r w:rsidR="00FC598E" w:rsidRPr="008A084A">
        <w:rPr>
          <w:rFonts w:ascii="Cambria" w:hAnsi="Cambria"/>
          <w:sz w:val="20"/>
          <w:szCs w:val="20"/>
          <w:lang w:val="es-ES"/>
        </w:rPr>
        <w:t>Hospital Psiquiátrico Julio Endara</w:t>
      </w:r>
      <w:r w:rsidR="00003382" w:rsidRPr="008A084A">
        <w:rPr>
          <w:rFonts w:ascii="Cambria" w:hAnsi="Cambria"/>
          <w:sz w:val="20"/>
          <w:szCs w:val="20"/>
          <w:lang w:val="es-ES_tradnl"/>
        </w:rPr>
        <w:t xml:space="preserve">. </w:t>
      </w:r>
      <w:r w:rsidR="00B9598D" w:rsidRPr="008A084A">
        <w:rPr>
          <w:rFonts w:ascii="Cambria" w:hAnsi="Cambria"/>
          <w:sz w:val="20"/>
          <w:szCs w:val="20"/>
          <w:lang w:val="es-ES_tradnl"/>
        </w:rPr>
        <w:t xml:space="preserve">Explicó </w:t>
      </w:r>
      <w:r w:rsidR="00003382" w:rsidRPr="008A084A">
        <w:rPr>
          <w:rFonts w:ascii="Cambria" w:hAnsi="Cambria"/>
          <w:sz w:val="20"/>
          <w:szCs w:val="20"/>
          <w:lang w:val="es-ES_tradnl"/>
        </w:rPr>
        <w:t xml:space="preserve">que cuando el señor Guachalá ingresó al </w:t>
      </w:r>
      <w:r w:rsidR="00FC598E" w:rsidRPr="008A084A">
        <w:rPr>
          <w:rFonts w:ascii="Cambria" w:hAnsi="Cambria"/>
          <w:sz w:val="20"/>
          <w:szCs w:val="20"/>
          <w:lang w:val="es-ES"/>
        </w:rPr>
        <w:t>h</w:t>
      </w:r>
      <w:r w:rsidR="00003382" w:rsidRPr="008A084A">
        <w:rPr>
          <w:rFonts w:ascii="Cambria" w:hAnsi="Cambria"/>
          <w:sz w:val="20"/>
          <w:szCs w:val="20"/>
          <w:lang w:val="es-ES"/>
        </w:rPr>
        <w:t>ospital, su madre</w:t>
      </w:r>
      <w:r w:rsidR="00B927A6" w:rsidRPr="008A084A">
        <w:rPr>
          <w:rFonts w:ascii="Cambria" w:hAnsi="Cambria"/>
          <w:sz w:val="20"/>
          <w:szCs w:val="20"/>
          <w:lang w:val="es-ES"/>
        </w:rPr>
        <w:t xml:space="preserve"> Zoila </w:t>
      </w:r>
      <w:r w:rsidR="002125A0" w:rsidRPr="008A084A">
        <w:rPr>
          <w:rFonts w:ascii="Cambria" w:hAnsi="Cambria"/>
          <w:sz w:val="20"/>
          <w:szCs w:val="20"/>
          <w:lang w:val="es-ES"/>
        </w:rPr>
        <w:t>Chimbó</w:t>
      </w:r>
      <w:r w:rsidR="00003382" w:rsidRPr="008A084A">
        <w:rPr>
          <w:rFonts w:ascii="Cambria" w:hAnsi="Cambria"/>
          <w:sz w:val="20"/>
          <w:szCs w:val="20"/>
          <w:lang w:val="es-ES"/>
        </w:rPr>
        <w:t xml:space="preserve"> firmó un documento donde se indicó que en caso de “fuga (.</w:t>
      </w:r>
      <w:r w:rsidR="00A5414A" w:rsidRPr="008A084A">
        <w:rPr>
          <w:rFonts w:ascii="Cambria" w:hAnsi="Cambria"/>
          <w:sz w:val="20"/>
          <w:szCs w:val="20"/>
          <w:lang w:val="es-ES"/>
        </w:rPr>
        <w:t>.</w:t>
      </w:r>
      <w:r w:rsidR="00003382" w:rsidRPr="008A084A">
        <w:rPr>
          <w:rFonts w:ascii="Cambria" w:hAnsi="Cambria"/>
          <w:sz w:val="20"/>
          <w:szCs w:val="20"/>
          <w:lang w:val="es-ES"/>
        </w:rPr>
        <w:t>.) no se hace responsable de las consecuencias”.</w:t>
      </w:r>
    </w:p>
    <w:p w:rsidR="00B927A6" w:rsidRPr="008A084A" w:rsidRDefault="00B927A6" w:rsidP="001B07CF">
      <w:pPr>
        <w:ind w:left="720"/>
        <w:jc w:val="both"/>
        <w:rPr>
          <w:rFonts w:ascii="Cambria" w:hAnsi="Cambria"/>
          <w:sz w:val="20"/>
          <w:szCs w:val="20"/>
          <w:lang w:val="es-ES"/>
        </w:rPr>
      </w:pPr>
    </w:p>
    <w:p w:rsidR="00B927A6" w:rsidRPr="008A084A" w:rsidRDefault="00003382" w:rsidP="00003382">
      <w:pPr>
        <w:numPr>
          <w:ilvl w:val="0"/>
          <w:numId w:val="55"/>
        </w:numPr>
        <w:jc w:val="both"/>
        <w:rPr>
          <w:rFonts w:ascii="Cambria" w:hAnsi="Cambria"/>
          <w:sz w:val="20"/>
          <w:szCs w:val="20"/>
          <w:lang w:val="es-ES"/>
        </w:rPr>
      </w:pPr>
      <w:r w:rsidRPr="008A084A">
        <w:rPr>
          <w:rFonts w:ascii="Cambria" w:hAnsi="Cambria"/>
          <w:sz w:val="20"/>
          <w:szCs w:val="20"/>
          <w:lang w:val="es-ES"/>
        </w:rPr>
        <w:t xml:space="preserve">Asimismo, el Estado </w:t>
      </w:r>
      <w:r w:rsidR="00B927A6" w:rsidRPr="008A084A">
        <w:rPr>
          <w:rFonts w:ascii="Cambria" w:hAnsi="Cambria"/>
          <w:sz w:val="20"/>
          <w:szCs w:val="20"/>
          <w:lang w:val="es-ES"/>
        </w:rPr>
        <w:t>sostuvo que las dos veces que ingresó al hospital se</w:t>
      </w:r>
      <w:r w:rsidR="004D3251" w:rsidRPr="008A084A">
        <w:rPr>
          <w:rFonts w:ascii="Cambria" w:hAnsi="Cambria"/>
          <w:sz w:val="20"/>
          <w:szCs w:val="20"/>
          <w:lang w:val="es-ES"/>
        </w:rPr>
        <w:t xml:space="preserve"> le</w:t>
      </w:r>
      <w:r w:rsidR="00B927A6" w:rsidRPr="008A084A">
        <w:rPr>
          <w:rFonts w:ascii="Cambria" w:hAnsi="Cambria"/>
          <w:sz w:val="20"/>
          <w:szCs w:val="20"/>
          <w:lang w:val="es-ES"/>
        </w:rPr>
        <w:t xml:space="preserve"> brindó al señor Guachalá todos los servicios de salud correspondientes. </w:t>
      </w:r>
      <w:r w:rsidR="00BD7B2D" w:rsidRPr="008A084A">
        <w:rPr>
          <w:rFonts w:ascii="Cambria" w:hAnsi="Cambria"/>
          <w:sz w:val="20"/>
          <w:szCs w:val="20"/>
          <w:lang w:val="es-ES"/>
        </w:rPr>
        <w:t xml:space="preserve">Sostuvo que la hospitalización del señor Guachalá </w:t>
      </w:r>
      <w:r w:rsidR="006864AD" w:rsidRPr="008A084A">
        <w:rPr>
          <w:rFonts w:ascii="Cambria" w:hAnsi="Cambria"/>
          <w:sz w:val="20"/>
          <w:szCs w:val="20"/>
          <w:lang w:val="es-ES"/>
        </w:rPr>
        <w:t>cumplió con los estándares establecidos en los “Principios y buenas prácticas de las personas privadas de libertad en las Américas” adoptado</w:t>
      </w:r>
      <w:r w:rsidR="00D72DE5" w:rsidRPr="008A084A">
        <w:rPr>
          <w:rFonts w:ascii="Cambria" w:hAnsi="Cambria"/>
          <w:sz w:val="20"/>
          <w:szCs w:val="20"/>
          <w:lang w:val="es-ES"/>
        </w:rPr>
        <w:t>s</w:t>
      </w:r>
      <w:r w:rsidR="006864AD" w:rsidRPr="008A084A">
        <w:rPr>
          <w:rFonts w:ascii="Cambria" w:hAnsi="Cambria"/>
          <w:sz w:val="20"/>
          <w:szCs w:val="20"/>
          <w:lang w:val="es-ES"/>
        </w:rPr>
        <w:t xml:space="preserve"> por la CIDH. Ello debido a que el internamiento del señor Guachalá se dio luego de un minucioso análisis de su estado de salud</w:t>
      </w:r>
      <w:r w:rsidR="00C72412" w:rsidRPr="008A084A">
        <w:rPr>
          <w:rFonts w:ascii="Cambria" w:hAnsi="Cambria"/>
          <w:sz w:val="20"/>
          <w:szCs w:val="20"/>
          <w:lang w:val="es-ES"/>
        </w:rPr>
        <w:t>, así como de los riesgos que tal estado generaba para él mismo y para terceras personas</w:t>
      </w:r>
      <w:r w:rsidR="006864AD" w:rsidRPr="008A084A">
        <w:rPr>
          <w:rFonts w:ascii="Cambria" w:hAnsi="Cambria"/>
          <w:sz w:val="20"/>
          <w:szCs w:val="20"/>
          <w:lang w:val="es-ES"/>
        </w:rPr>
        <w:t xml:space="preserve">. </w:t>
      </w:r>
      <w:r w:rsidR="00FC598E" w:rsidRPr="008A084A">
        <w:rPr>
          <w:rFonts w:ascii="Cambria" w:hAnsi="Cambria"/>
          <w:sz w:val="20"/>
          <w:szCs w:val="20"/>
          <w:lang w:val="es-ES"/>
        </w:rPr>
        <w:t xml:space="preserve">Sostuvo que en su segundo ingreso, el señor Guachalá estuvo sedado “para poder controlar su estado de salud, motivo por el cual su madre (…) firmó la autorización médica como su representante legal”. </w:t>
      </w:r>
      <w:r w:rsidR="00BD7B2D" w:rsidRPr="008A084A">
        <w:rPr>
          <w:rFonts w:ascii="Cambria" w:hAnsi="Cambria"/>
          <w:sz w:val="20"/>
          <w:szCs w:val="20"/>
          <w:lang w:val="es-ES"/>
        </w:rPr>
        <w:t>Agregó</w:t>
      </w:r>
      <w:r w:rsidR="00B927A6" w:rsidRPr="008A084A">
        <w:rPr>
          <w:rFonts w:ascii="Cambria" w:hAnsi="Cambria"/>
          <w:sz w:val="20"/>
          <w:szCs w:val="20"/>
          <w:lang w:val="es-ES"/>
        </w:rPr>
        <w:t xml:space="preserve"> que se informó periódicamente a la señora </w:t>
      </w:r>
      <w:r w:rsidR="002125A0" w:rsidRPr="008A084A">
        <w:rPr>
          <w:rFonts w:ascii="Cambria" w:hAnsi="Cambria"/>
          <w:sz w:val="20"/>
          <w:szCs w:val="20"/>
          <w:lang w:val="es-ES"/>
        </w:rPr>
        <w:t>Chimbó</w:t>
      </w:r>
      <w:r w:rsidR="00B927A6" w:rsidRPr="008A084A">
        <w:rPr>
          <w:rFonts w:ascii="Cambria" w:hAnsi="Cambria"/>
          <w:sz w:val="20"/>
          <w:szCs w:val="20"/>
          <w:lang w:val="es-ES"/>
        </w:rPr>
        <w:t xml:space="preserve"> sobre el estado de su hijo. </w:t>
      </w:r>
    </w:p>
    <w:p w:rsidR="00B927A6" w:rsidRPr="008A084A" w:rsidRDefault="00B927A6" w:rsidP="00B927A6">
      <w:pPr>
        <w:pStyle w:val="ColorfulList-Accent11"/>
        <w:rPr>
          <w:rFonts w:ascii="Cambria" w:hAnsi="Cambria"/>
          <w:sz w:val="20"/>
          <w:szCs w:val="20"/>
          <w:lang w:val="es-ES"/>
        </w:rPr>
      </w:pPr>
    </w:p>
    <w:p w:rsidR="00926A10" w:rsidRPr="008A084A" w:rsidRDefault="00B927A6" w:rsidP="005C76C4">
      <w:pPr>
        <w:numPr>
          <w:ilvl w:val="0"/>
          <w:numId w:val="55"/>
        </w:numPr>
        <w:jc w:val="both"/>
        <w:rPr>
          <w:rFonts w:ascii="Cambria" w:hAnsi="Cambria"/>
          <w:sz w:val="20"/>
          <w:szCs w:val="20"/>
          <w:lang w:val="es-ES"/>
        </w:rPr>
      </w:pPr>
      <w:r w:rsidRPr="008A084A">
        <w:rPr>
          <w:rFonts w:ascii="Cambria" w:hAnsi="Cambria"/>
          <w:sz w:val="20"/>
          <w:szCs w:val="20"/>
          <w:lang w:val="es-ES"/>
        </w:rPr>
        <w:t xml:space="preserve">El Estado </w:t>
      </w:r>
      <w:r w:rsidR="009A23E6" w:rsidRPr="008A084A">
        <w:rPr>
          <w:rFonts w:ascii="Cambria" w:hAnsi="Cambria"/>
          <w:sz w:val="20"/>
          <w:szCs w:val="20"/>
          <w:lang w:val="es-ES"/>
        </w:rPr>
        <w:t xml:space="preserve">indicó que </w:t>
      </w:r>
      <w:r w:rsidRPr="008A084A">
        <w:rPr>
          <w:rFonts w:ascii="Cambria" w:hAnsi="Cambria"/>
          <w:sz w:val="20"/>
          <w:szCs w:val="20"/>
          <w:lang w:val="es-ES"/>
        </w:rPr>
        <w:t>el 17 de enero de 2004 el señor Guachalá “</w:t>
      </w:r>
      <w:r w:rsidR="005032AA" w:rsidRPr="008A084A">
        <w:rPr>
          <w:rFonts w:ascii="Cambria" w:hAnsi="Cambria"/>
          <w:sz w:val="20"/>
          <w:szCs w:val="20"/>
          <w:lang w:val="es-ES"/>
        </w:rPr>
        <w:t>se escapó del centro psiquiátrico mientras el auxiliar de enfermería atendía a otro paciente</w:t>
      </w:r>
      <w:r w:rsidRPr="008A084A">
        <w:rPr>
          <w:rFonts w:ascii="Cambria" w:hAnsi="Cambria"/>
          <w:sz w:val="20"/>
          <w:szCs w:val="20"/>
          <w:lang w:val="es-ES"/>
        </w:rPr>
        <w:t>”. Al respecto, sostuvo que</w:t>
      </w:r>
      <w:r w:rsidR="00AB7645" w:rsidRPr="008A084A">
        <w:rPr>
          <w:rFonts w:ascii="Cambria" w:hAnsi="Cambria"/>
          <w:sz w:val="20"/>
          <w:szCs w:val="20"/>
          <w:lang w:val="es-ES"/>
        </w:rPr>
        <w:t>, a pesar de contar con guardias de seguridad,</w:t>
      </w:r>
      <w:r w:rsidRPr="008A084A">
        <w:rPr>
          <w:rFonts w:ascii="Cambria" w:hAnsi="Cambria"/>
          <w:sz w:val="20"/>
          <w:szCs w:val="20"/>
          <w:lang w:val="es-ES"/>
        </w:rPr>
        <w:t xml:space="preserve"> dicho centro “es diseñado de manera tal que los internos no sientan encierro por lo que poseía espacios abiertos”. </w:t>
      </w:r>
      <w:r w:rsidR="00926A10" w:rsidRPr="008A084A">
        <w:rPr>
          <w:rFonts w:ascii="Cambria" w:hAnsi="Cambria"/>
          <w:sz w:val="20"/>
          <w:szCs w:val="20"/>
          <w:lang w:val="es-ES"/>
        </w:rPr>
        <w:t xml:space="preserve">El Estado indicó que la “fuga de </w:t>
      </w:r>
      <w:r w:rsidR="00B13304" w:rsidRPr="008A084A">
        <w:rPr>
          <w:rFonts w:ascii="Cambria" w:hAnsi="Cambria"/>
          <w:sz w:val="20"/>
          <w:szCs w:val="20"/>
          <w:lang w:val="es-ES"/>
        </w:rPr>
        <w:t>pacientes en centros psiquiátricos constituyen un reto mayor de salud pública en varios países del mundo</w:t>
      </w:r>
      <w:r w:rsidR="00926A10" w:rsidRPr="008A084A">
        <w:rPr>
          <w:rFonts w:ascii="Cambria" w:hAnsi="Cambria"/>
          <w:sz w:val="20"/>
          <w:szCs w:val="20"/>
          <w:lang w:val="es-ES"/>
        </w:rPr>
        <w:t>”</w:t>
      </w:r>
      <w:r w:rsidR="00B13304" w:rsidRPr="008A084A">
        <w:rPr>
          <w:rFonts w:ascii="Cambria" w:hAnsi="Cambria"/>
          <w:sz w:val="20"/>
          <w:szCs w:val="20"/>
          <w:lang w:val="es-ES"/>
        </w:rPr>
        <w:t>. Sostuvo que en consecuencia, “personas con factores psiquiátricos, internadas en instituciones especializadas son propensas a fugarse (…) por lo que resulta imposible evitar por completo el riesgo de fuga, debido a las condiciones de este tipo de pacientes”.</w:t>
      </w:r>
    </w:p>
    <w:p w:rsidR="00926A10" w:rsidRPr="008A084A" w:rsidRDefault="00926A10" w:rsidP="00926A10">
      <w:pPr>
        <w:pStyle w:val="ColorfulList-Accent11"/>
        <w:rPr>
          <w:rFonts w:ascii="Cambria" w:hAnsi="Cambria"/>
          <w:sz w:val="20"/>
          <w:szCs w:val="20"/>
          <w:lang w:val="es-ES"/>
        </w:rPr>
      </w:pPr>
    </w:p>
    <w:p w:rsidR="00341512" w:rsidRPr="008A084A" w:rsidRDefault="00B927A6" w:rsidP="005C76C4">
      <w:pPr>
        <w:numPr>
          <w:ilvl w:val="0"/>
          <w:numId w:val="55"/>
        </w:numPr>
        <w:jc w:val="both"/>
        <w:rPr>
          <w:rFonts w:ascii="Cambria" w:hAnsi="Cambria"/>
          <w:sz w:val="20"/>
          <w:szCs w:val="20"/>
          <w:lang w:val="es-ES"/>
        </w:rPr>
      </w:pPr>
      <w:r w:rsidRPr="008A084A">
        <w:rPr>
          <w:rFonts w:ascii="Cambria" w:hAnsi="Cambria"/>
          <w:sz w:val="20"/>
          <w:szCs w:val="20"/>
          <w:lang w:val="es-ES"/>
        </w:rPr>
        <w:t xml:space="preserve">Sostuvo que sin perjuicio de ello, el personal del hospital adoptó diversas medidas de búsqueda a efectos de localizar al señor Guachalá. Indicó que a pesar de dichas acciones, no </w:t>
      </w:r>
      <w:r w:rsidR="00F42A5E" w:rsidRPr="008A084A">
        <w:rPr>
          <w:rFonts w:ascii="Cambria" w:hAnsi="Cambria"/>
          <w:sz w:val="20"/>
          <w:szCs w:val="20"/>
          <w:lang w:val="es-ES"/>
        </w:rPr>
        <w:t xml:space="preserve">fue posible </w:t>
      </w:r>
      <w:r w:rsidRPr="008A084A">
        <w:rPr>
          <w:rFonts w:ascii="Cambria" w:hAnsi="Cambria"/>
          <w:sz w:val="20"/>
          <w:szCs w:val="20"/>
          <w:lang w:val="es-ES"/>
        </w:rPr>
        <w:t xml:space="preserve"> encontrar</w:t>
      </w:r>
      <w:r w:rsidR="001953D1" w:rsidRPr="008A084A">
        <w:rPr>
          <w:rFonts w:ascii="Cambria" w:hAnsi="Cambria"/>
          <w:sz w:val="20"/>
          <w:szCs w:val="20"/>
          <w:lang w:val="es-ES"/>
        </w:rPr>
        <w:t>lo</w:t>
      </w:r>
      <w:r w:rsidRPr="008A084A">
        <w:rPr>
          <w:rFonts w:ascii="Cambria" w:hAnsi="Cambria"/>
          <w:sz w:val="20"/>
          <w:szCs w:val="20"/>
          <w:lang w:val="es-ES"/>
        </w:rPr>
        <w:t xml:space="preserve">. </w:t>
      </w:r>
    </w:p>
    <w:p w:rsidR="00341512" w:rsidRPr="008A084A" w:rsidRDefault="00341512" w:rsidP="00341512">
      <w:pPr>
        <w:pStyle w:val="ColorfulList-Accent11"/>
        <w:rPr>
          <w:rFonts w:ascii="Cambria" w:hAnsi="Cambria"/>
          <w:sz w:val="20"/>
          <w:szCs w:val="20"/>
          <w:lang w:val="es-ES"/>
        </w:rPr>
      </w:pPr>
    </w:p>
    <w:p w:rsidR="005C76C4" w:rsidRPr="008A084A" w:rsidRDefault="005C76C4" w:rsidP="005C76C4">
      <w:pPr>
        <w:numPr>
          <w:ilvl w:val="0"/>
          <w:numId w:val="55"/>
        </w:numPr>
        <w:jc w:val="both"/>
        <w:rPr>
          <w:rFonts w:ascii="Cambria" w:hAnsi="Cambria"/>
          <w:sz w:val="20"/>
          <w:szCs w:val="20"/>
          <w:lang w:val="es-ES"/>
        </w:rPr>
      </w:pPr>
      <w:r w:rsidRPr="008A084A">
        <w:rPr>
          <w:rFonts w:ascii="Cambria" w:hAnsi="Cambria"/>
          <w:sz w:val="20"/>
          <w:szCs w:val="20"/>
          <w:lang w:val="es-ES"/>
        </w:rPr>
        <w:t xml:space="preserve">El Estado también señaló que luego de recibida la denuncia por parte de la señora </w:t>
      </w:r>
      <w:r w:rsidR="002125A0" w:rsidRPr="008A084A">
        <w:rPr>
          <w:rFonts w:ascii="Cambria" w:hAnsi="Cambria"/>
          <w:sz w:val="20"/>
          <w:szCs w:val="20"/>
          <w:lang w:val="es-ES"/>
        </w:rPr>
        <w:t>Chimbó</w:t>
      </w:r>
      <w:r w:rsidRPr="008A084A">
        <w:rPr>
          <w:rFonts w:ascii="Cambria" w:hAnsi="Cambria"/>
          <w:sz w:val="20"/>
          <w:szCs w:val="20"/>
          <w:lang w:val="es-ES"/>
        </w:rPr>
        <w:t xml:space="preserve">, la Fiscalía General realizó diversas diligencias a efectos de localizar al señor Guachalá, tales como la toma de declaraciones, el reconocimiento del lugar de los hechos, solicitud de movimientos migratorios, entre otros. </w:t>
      </w:r>
      <w:r w:rsidR="00341512" w:rsidRPr="008A084A">
        <w:rPr>
          <w:rFonts w:ascii="Cambria" w:hAnsi="Cambria"/>
          <w:sz w:val="20"/>
          <w:szCs w:val="20"/>
          <w:lang w:val="es-ES"/>
        </w:rPr>
        <w:t xml:space="preserve">Respecto del hábeas corpus presentado, el Estado indicó que se cumplió con la resolución </w:t>
      </w:r>
      <w:r w:rsidR="00A72CF8" w:rsidRPr="008A084A">
        <w:rPr>
          <w:rFonts w:ascii="Cambria" w:hAnsi="Cambria"/>
          <w:sz w:val="20"/>
          <w:szCs w:val="20"/>
          <w:lang w:val="es-ES"/>
        </w:rPr>
        <w:t>de la Corte</w:t>
      </w:r>
      <w:r w:rsidR="00341512" w:rsidRPr="008A084A">
        <w:rPr>
          <w:rFonts w:ascii="Cambria" w:hAnsi="Cambria"/>
          <w:sz w:val="20"/>
          <w:szCs w:val="20"/>
          <w:lang w:val="es-ES"/>
        </w:rPr>
        <w:t xml:space="preserve"> Constitucional en tanto se decidió continuar con las investigaciones.</w:t>
      </w:r>
      <w:r w:rsidR="00A72CF8" w:rsidRPr="008A084A">
        <w:rPr>
          <w:rFonts w:ascii="Cambria" w:hAnsi="Cambria"/>
          <w:sz w:val="20"/>
          <w:szCs w:val="20"/>
          <w:lang w:val="es-ES"/>
        </w:rPr>
        <w:t xml:space="preserve"> El Estado también indicó que desde el 2012</w:t>
      </w:r>
      <w:r w:rsidR="00044A35" w:rsidRPr="008A084A">
        <w:rPr>
          <w:rFonts w:ascii="Cambria" w:hAnsi="Cambria"/>
          <w:sz w:val="20"/>
          <w:szCs w:val="20"/>
          <w:lang w:val="es-ES"/>
        </w:rPr>
        <w:t xml:space="preserve"> </w:t>
      </w:r>
      <w:r w:rsidR="00A72CF8" w:rsidRPr="008A084A">
        <w:rPr>
          <w:rFonts w:ascii="Cambria" w:hAnsi="Cambria"/>
          <w:sz w:val="20"/>
          <w:szCs w:val="20"/>
          <w:lang w:val="es-ES"/>
        </w:rPr>
        <w:t xml:space="preserve">cuenta con un “Protocolo de actuación para la búsqueda, investigación y localización de personas desaparecidas, </w:t>
      </w:r>
      <w:proofErr w:type="spellStart"/>
      <w:r w:rsidR="00A72CF8" w:rsidRPr="008A084A">
        <w:rPr>
          <w:rFonts w:ascii="Cambria" w:hAnsi="Cambria"/>
          <w:sz w:val="20"/>
          <w:szCs w:val="20"/>
          <w:lang w:val="es-ES"/>
        </w:rPr>
        <w:t>perdidas</w:t>
      </w:r>
      <w:proofErr w:type="spellEnd"/>
      <w:r w:rsidR="00A72CF8" w:rsidRPr="008A084A">
        <w:rPr>
          <w:rFonts w:ascii="Cambria" w:hAnsi="Cambria"/>
          <w:sz w:val="20"/>
          <w:szCs w:val="20"/>
          <w:lang w:val="es-ES"/>
        </w:rPr>
        <w:t xml:space="preserve"> o extraviadas”</w:t>
      </w:r>
      <w:r w:rsidR="00E15AFE" w:rsidRPr="008A084A">
        <w:rPr>
          <w:rFonts w:ascii="Cambria" w:hAnsi="Cambria"/>
          <w:sz w:val="20"/>
          <w:szCs w:val="20"/>
          <w:lang w:val="es-ES"/>
        </w:rPr>
        <w:t xml:space="preserve"> y que en el 2015 el Ministerio de Salud Pública expidió el “Reglamento </w:t>
      </w:r>
      <w:r w:rsidR="00A5414A" w:rsidRPr="008A084A">
        <w:rPr>
          <w:rFonts w:ascii="Cambria" w:hAnsi="Cambria"/>
          <w:sz w:val="20"/>
          <w:szCs w:val="20"/>
          <w:lang w:val="es-ES"/>
        </w:rPr>
        <w:t>para brindar atención integral en s</w:t>
      </w:r>
      <w:r w:rsidR="00E15AFE" w:rsidRPr="008A084A">
        <w:rPr>
          <w:rFonts w:ascii="Cambria" w:hAnsi="Cambria"/>
          <w:sz w:val="20"/>
          <w:szCs w:val="20"/>
          <w:lang w:val="es-ES"/>
        </w:rPr>
        <w:t>alud a víctimas de desaparición, sus familiares y personas en condición de no referir su identidad”.</w:t>
      </w:r>
    </w:p>
    <w:p w:rsidR="005C76C4" w:rsidRPr="008A084A" w:rsidRDefault="005C76C4" w:rsidP="005C76C4">
      <w:pPr>
        <w:pStyle w:val="ColorfulList-Accent11"/>
        <w:rPr>
          <w:rFonts w:ascii="Cambria" w:hAnsi="Cambria"/>
          <w:sz w:val="20"/>
          <w:szCs w:val="20"/>
          <w:lang w:val="es-ES"/>
        </w:rPr>
      </w:pPr>
    </w:p>
    <w:p w:rsidR="005C76C4" w:rsidRPr="008A084A" w:rsidRDefault="005C76C4" w:rsidP="005C76C4">
      <w:pPr>
        <w:numPr>
          <w:ilvl w:val="0"/>
          <w:numId w:val="55"/>
        </w:numPr>
        <w:jc w:val="both"/>
        <w:rPr>
          <w:rFonts w:ascii="Cambria" w:hAnsi="Cambria"/>
          <w:sz w:val="20"/>
          <w:szCs w:val="20"/>
          <w:lang w:val="es-ES"/>
        </w:rPr>
      </w:pPr>
      <w:r w:rsidRPr="008A084A">
        <w:rPr>
          <w:rFonts w:ascii="Cambria" w:hAnsi="Cambria"/>
          <w:sz w:val="20"/>
          <w:szCs w:val="20"/>
          <w:lang w:val="es-ES"/>
        </w:rPr>
        <w:t xml:space="preserve">El Estado sostuvo que el deber de investigar es una obligación de medios y no de resultado. </w:t>
      </w:r>
      <w:r w:rsidR="00555CA5" w:rsidRPr="008A084A">
        <w:rPr>
          <w:rFonts w:ascii="Cambria" w:hAnsi="Cambria"/>
          <w:sz w:val="20"/>
          <w:szCs w:val="20"/>
          <w:lang w:val="es-ES"/>
        </w:rPr>
        <w:t xml:space="preserve">Indicó </w:t>
      </w:r>
      <w:r w:rsidRPr="008A084A">
        <w:rPr>
          <w:rFonts w:ascii="Cambria" w:hAnsi="Cambria"/>
          <w:sz w:val="20"/>
          <w:szCs w:val="20"/>
          <w:lang w:val="es-ES"/>
        </w:rPr>
        <w:t xml:space="preserve">que, en consecuencia, no se le puede atribuir responsabilidad internacional en tanto adoptó todas las medidas a su alcance para ubicar al señor Guachalá. </w:t>
      </w:r>
    </w:p>
    <w:p w:rsidR="005C76C4" w:rsidRPr="008A084A" w:rsidRDefault="005C76C4" w:rsidP="005C76C4">
      <w:pPr>
        <w:numPr>
          <w:ilvl w:val="0"/>
          <w:numId w:val="55"/>
        </w:numPr>
        <w:jc w:val="both"/>
        <w:rPr>
          <w:rFonts w:ascii="Cambria" w:hAnsi="Cambria"/>
          <w:sz w:val="20"/>
          <w:szCs w:val="20"/>
          <w:lang w:val="es-ES"/>
        </w:rPr>
      </w:pPr>
      <w:r w:rsidRPr="008A084A">
        <w:rPr>
          <w:rFonts w:ascii="Cambria" w:hAnsi="Cambria"/>
          <w:sz w:val="20"/>
          <w:szCs w:val="20"/>
          <w:lang w:val="es-ES"/>
        </w:rPr>
        <w:lastRenderedPageBreak/>
        <w:t>Adicionalmente, el Estado alegó que lo sucedido con el señor Guachalá no puede caracterizarse como una desaparición forzada</w:t>
      </w:r>
      <w:r w:rsidR="00822990" w:rsidRPr="008A084A">
        <w:rPr>
          <w:rFonts w:ascii="Cambria" w:hAnsi="Cambria"/>
          <w:sz w:val="20"/>
          <w:szCs w:val="20"/>
          <w:lang w:val="es-ES"/>
        </w:rPr>
        <w:t xml:space="preserve"> puesto que:</w:t>
      </w:r>
      <w:r w:rsidR="0072744E" w:rsidRPr="008A084A">
        <w:rPr>
          <w:rFonts w:ascii="Cambria" w:hAnsi="Cambria"/>
          <w:sz w:val="20"/>
          <w:szCs w:val="20"/>
          <w:lang w:val="es-ES"/>
        </w:rPr>
        <w:t xml:space="preserve"> i) no existió detención en su contra por parte del Estado o persona bajo apoyo estatal; ii) si bien el señor Guachalá estaba internado en el hospital, </w:t>
      </w:r>
      <w:r w:rsidR="0058519E" w:rsidRPr="008A084A">
        <w:rPr>
          <w:rFonts w:ascii="Cambria" w:hAnsi="Cambria"/>
          <w:sz w:val="20"/>
          <w:szCs w:val="20"/>
          <w:lang w:val="es-ES"/>
        </w:rPr>
        <w:t>fue una restricción legal de su libertad debido a las condiciones físicas y mentales en las que se encontraba cuando fue institucionalizado, conforme al artículo 82 del entonces vigente Código de la Salud</w:t>
      </w:r>
      <w:r w:rsidR="0072744E" w:rsidRPr="008A084A">
        <w:rPr>
          <w:rFonts w:ascii="Cambria" w:hAnsi="Cambria"/>
          <w:sz w:val="20"/>
          <w:szCs w:val="20"/>
          <w:lang w:val="es-ES"/>
        </w:rPr>
        <w:t xml:space="preserve">; iii) no existió negativa de dar información sobre la situación del señor Guachalá luego de escaparse del hospital; y iv) la señora </w:t>
      </w:r>
      <w:r w:rsidR="002125A0" w:rsidRPr="008A084A">
        <w:rPr>
          <w:rFonts w:ascii="Cambria" w:hAnsi="Cambria"/>
          <w:sz w:val="20"/>
          <w:szCs w:val="20"/>
          <w:lang w:val="es-ES"/>
        </w:rPr>
        <w:t>Chimbó</w:t>
      </w:r>
      <w:r w:rsidR="0072744E" w:rsidRPr="008A084A">
        <w:rPr>
          <w:rFonts w:ascii="Cambria" w:hAnsi="Cambria"/>
          <w:sz w:val="20"/>
          <w:szCs w:val="20"/>
          <w:lang w:val="es-ES"/>
        </w:rPr>
        <w:t xml:space="preserve"> tuvo acceso para presentar un recurso de hábeas corpus.  </w:t>
      </w:r>
    </w:p>
    <w:p w:rsidR="007372D2" w:rsidRPr="008A084A" w:rsidRDefault="007372D2" w:rsidP="000F494B">
      <w:pPr>
        <w:tabs>
          <w:tab w:val="center" w:pos="4680"/>
          <w:tab w:val="left" w:pos="6511"/>
        </w:tabs>
        <w:rPr>
          <w:rFonts w:ascii="Cambria" w:hAnsi="Cambria" w:cs="Calibri"/>
          <w:sz w:val="20"/>
          <w:szCs w:val="20"/>
          <w:lang w:val="es-ES_tradnl"/>
        </w:rPr>
      </w:pPr>
    </w:p>
    <w:p w:rsidR="0089339B" w:rsidRPr="008A084A" w:rsidRDefault="002840D4" w:rsidP="002840D4">
      <w:pPr>
        <w:pStyle w:val="Heading1"/>
        <w:tabs>
          <w:tab w:val="left" w:pos="720"/>
          <w:tab w:val="left" w:pos="1440"/>
        </w:tabs>
        <w:spacing w:before="0"/>
        <w:ind w:left="0" w:firstLine="720"/>
        <w:jc w:val="both"/>
        <w:rPr>
          <w:color w:val="auto"/>
          <w:sz w:val="20"/>
          <w:szCs w:val="20"/>
          <w:lang w:val="es-ES_tradnl"/>
        </w:rPr>
      </w:pPr>
      <w:bookmarkStart w:id="20" w:name="_Toc525547501"/>
      <w:r w:rsidRPr="008A084A">
        <w:rPr>
          <w:color w:val="auto"/>
          <w:sz w:val="20"/>
          <w:szCs w:val="20"/>
          <w:lang w:val="es-ES_tradnl"/>
        </w:rPr>
        <w:t>HECHOS PROBADOS</w:t>
      </w:r>
      <w:bookmarkEnd w:id="20"/>
    </w:p>
    <w:p w:rsidR="008935F3" w:rsidRPr="008A084A" w:rsidRDefault="008935F3"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3E096E" w:rsidRPr="008A084A" w:rsidRDefault="003E096E" w:rsidP="00B329C1">
      <w:pPr>
        <w:pStyle w:val="Heading2"/>
        <w:numPr>
          <w:ilvl w:val="0"/>
          <w:numId w:val="59"/>
        </w:numPr>
        <w:spacing w:before="0" w:after="0"/>
        <w:ind w:left="1440" w:hanging="720"/>
        <w:jc w:val="both"/>
        <w:rPr>
          <w:rFonts w:ascii="Cambria" w:hAnsi="Cambria"/>
          <w:i w:val="0"/>
          <w:sz w:val="20"/>
          <w:szCs w:val="20"/>
          <w:lang w:val="es-ES"/>
        </w:rPr>
      </w:pPr>
      <w:bookmarkStart w:id="21" w:name="_Toc525547502"/>
      <w:r w:rsidRPr="008A084A">
        <w:rPr>
          <w:rFonts w:ascii="Cambria" w:hAnsi="Cambria"/>
          <w:i w:val="0"/>
          <w:sz w:val="20"/>
          <w:szCs w:val="20"/>
          <w:lang w:val="es-ES"/>
        </w:rPr>
        <w:t>Sobre la situación de Luis Eduardo Guachalá</w:t>
      </w:r>
      <w:r w:rsidR="006F0E5B" w:rsidRPr="008A084A">
        <w:rPr>
          <w:rFonts w:ascii="Cambria" w:hAnsi="Cambria"/>
          <w:i w:val="0"/>
          <w:sz w:val="20"/>
          <w:szCs w:val="20"/>
          <w:lang w:val="es-ES"/>
        </w:rPr>
        <w:t xml:space="preserve"> Chimbó</w:t>
      </w:r>
      <w:r w:rsidRPr="008A084A">
        <w:rPr>
          <w:rFonts w:ascii="Cambria" w:hAnsi="Cambria"/>
          <w:i w:val="0"/>
          <w:sz w:val="20"/>
          <w:szCs w:val="20"/>
          <w:lang w:val="es-ES"/>
        </w:rPr>
        <w:t xml:space="preserve"> antes de su ingreso al Hospital Psiquiátrico Julio Endara</w:t>
      </w:r>
      <w:bookmarkEnd w:id="21"/>
    </w:p>
    <w:p w:rsidR="003E096E" w:rsidRPr="008A084A" w:rsidRDefault="003E096E"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9A697D" w:rsidRPr="008A084A" w:rsidRDefault="009A697D" w:rsidP="003E096E">
      <w:pPr>
        <w:numPr>
          <w:ilvl w:val="0"/>
          <w:numId w:val="55"/>
        </w:numPr>
        <w:jc w:val="both"/>
        <w:rPr>
          <w:rFonts w:ascii="Cambria" w:hAnsi="Cambria"/>
          <w:sz w:val="20"/>
          <w:szCs w:val="20"/>
          <w:lang w:val="es-ES"/>
        </w:rPr>
      </w:pPr>
      <w:r w:rsidRPr="008A084A">
        <w:rPr>
          <w:rFonts w:ascii="Cambria" w:hAnsi="Cambria"/>
          <w:sz w:val="20"/>
          <w:szCs w:val="20"/>
          <w:lang w:val="es-ES"/>
        </w:rPr>
        <w:t xml:space="preserve">Luis Eduardo Guachalá </w:t>
      </w:r>
      <w:r w:rsidR="002125A0" w:rsidRPr="008A084A">
        <w:rPr>
          <w:rFonts w:ascii="Cambria" w:hAnsi="Cambria"/>
          <w:sz w:val="20"/>
          <w:szCs w:val="20"/>
          <w:lang w:val="es-ES"/>
        </w:rPr>
        <w:t>Chimbó</w:t>
      </w:r>
      <w:r w:rsidRPr="008A084A">
        <w:rPr>
          <w:rFonts w:ascii="Cambria" w:hAnsi="Cambria"/>
          <w:sz w:val="20"/>
          <w:szCs w:val="20"/>
          <w:lang w:val="es-ES"/>
        </w:rPr>
        <w:t xml:space="preserve"> </w:t>
      </w:r>
      <w:r w:rsidR="007B7478" w:rsidRPr="008A084A">
        <w:rPr>
          <w:rFonts w:ascii="Cambria" w:hAnsi="Cambria"/>
          <w:sz w:val="20"/>
          <w:szCs w:val="20"/>
          <w:lang w:val="es-ES"/>
        </w:rPr>
        <w:t>nació el 27 de febrero de 1980</w:t>
      </w:r>
      <w:r w:rsidR="007B7478" w:rsidRPr="008A084A">
        <w:rPr>
          <w:rStyle w:val="FootnoteReference"/>
          <w:rFonts w:ascii="Cambria" w:hAnsi="Cambria"/>
          <w:sz w:val="20"/>
          <w:szCs w:val="20"/>
          <w:lang w:val="es-ES"/>
        </w:rPr>
        <w:footnoteReference w:id="4"/>
      </w:r>
      <w:r w:rsidR="007B7478" w:rsidRPr="008A084A">
        <w:rPr>
          <w:rFonts w:ascii="Cambria" w:hAnsi="Cambria"/>
          <w:sz w:val="20"/>
          <w:szCs w:val="20"/>
          <w:lang w:val="es-ES"/>
        </w:rPr>
        <w:t>. T</w:t>
      </w:r>
      <w:r w:rsidRPr="008A084A">
        <w:rPr>
          <w:rFonts w:ascii="Cambria" w:hAnsi="Cambria"/>
          <w:sz w:val="20"/>
          <w:szCs w:val="20"/>
          <w:lang w:val="es-ES"/>
        </w:rPr>
        <w:t>enía 2</w:t>
      </w:r>
      <w:r w:rsidR="007B7478" w:rsidRPr="008A084A">
        <w:rPr>
          <w:rFonts w:ascii="Cambria" w:hAnsi="Cambria"/>
          <w:sz w:val="20"/>
          <w:szCs w:val="20"/>
          <w:lang w:val="es-ES"/>
        </w:rPr>
        <w:t>3</w:t>
      </w:r>
      <w:r w:rsidRPr="008A084A">
        <w:rPr>
          <w:rFonts w:ascii="Cambria" w:hAnsi="Cambria"/>
          <w:sz w:val="20"/>
          <w:szCs w:val="20"/>
          <w:lang w:val="es-ES"/>
        </w:rPr>
        <w:t xml:space="preserve"> años al momento de ocurridos los hechos. </w:t>
      </w:r>
      <w:r w:rsidR="003E096E" w:rsidRPr="008A084A">
        <w:rPr>
          <w:rFonts w:ascii="Cambria" w:hAnsi="Cambria"/>
          <w:sz w:val="20"/>
          <w:szCs w:val="20"/>
          <w:lang w:val="es-ES"/>
        </w:rPr>
        <w:t xml:space="preserve">Asimismo, </w:t>
      </w:r>
      <w:r w:rsidR="000371C7" w:rsidRPr="008A084A">
        <w:rPr>
          <w:rFonts w:ascii="Cambria" w:hAnsi="Cambria"/>
          <w:sz w:val="20"/>
          <w:szCs w:val="20"/>
          <w:lang w:val="es-ES"/>
        </w:rPr>
        <w:t>su familia está compuesta por su</w:t>
      </w:r>
      <w:r w:rsidRPr="008A084A">
        <w:rPr>
          <w:rFonts w:ascii="Cambria" w:hAnsi="Cambria"/>
          <w:sz w:val="20"/>
          <w:szCs w:val="20"/>
          <w:lang w:val="es-ES"/>
        </w:rPr>
        <w:t xml:space="preserve"> madre, Zoila Rosario </w:t>
      </w:r>
      <w:r w:rsidR="002125A0" w:rsidRPr="008A084A">
        <w:rPr>
          <w:rFonts w:ascii="Cambria" w:hAnsi="Cambria"/>
          <w:sz w:val="20"/>
          <w:szCs w:val="20"/>
          <w:lang w:val="es-ES"/>
        </w:rPr>
        <w:t>Chimbó</w:t>
      </w:r>
      <w:r w:rsidRPr="008A084A">
        <w:rPr>
          <w:rFonts w:ascii="Cambria" w:hAnsi="Cambria"/>
          <w:sz w:val="20"/>
          <w:szCs w:val="20"/>
          <w:lang w:val="es-ES"/>
        </w:rPr>
        <w:t xml:space="preserve"> Jarro</w:t>
      </w:r>
      <w:r w:rsidR="00B95DDC" w:rsidRPr="008A084A">
        <w:rPr>
          <w:rFonts w:ascii="Cambria" w:hAnsi="Cambria"/>
          <w:sz w:val="20"/>
          <w:szCs w:val="20"/>
          <w:lang w:val="es-ES"/>
        </w:rPr>
        <w:t>, sus tres herman</w:t>
      </w:r>
      <w:r w:rsidR="00E15AFE" w:rsidRPr="008A084A">
        <w:rPr>
          <w:rFonts w:ascii="Cambria" w:hAnsi="Cambria"/>
          <w:sz w:val="20"/>
          <w:szCs w:val="20"/>
          <w:lang w:val="es-ES"/>
        </w:rPr>
        <w:t>as, Martha, Nancy y Alexandra</w:t>
      </w:r>
      <w:r w:rsidR="00133619" w:rsidRPr="008A084A">
        <w:rPr>
          <w:rFonts w:ascii="Cambria" w:hAnsi="Cambria"/>
          <w:sz w:val="20"/>
          <w:szCs w:val="20"/>
          <w:lang w:val="es-ES"/>
        </w:rPr>
        <w:t>, y su hermano Ángel</w:t>
      </w:r>
      <w:r w:rsidR="00590C8C" w:rsidRPr="008A084A">
        <w:rPr>
          <w:rStyle w:val="FootnoteReference"/>
          <w:rFonts w:ascii="Cambria" w:hAnsi="Cambria"/>
          <w:sz w:val="20"/>
          <w:szCs w:val="20"/>
        </w:rPr>
        <w:footnoteReference w:id="5"/>
      </w:r>
      <w:r w:rsidRPr="008A084A">
        <w:rPr>
          <w:rFonts w:ascii="Cambria" w:hAnsi="Cambria"/>
          <w:sz w:val="20"/>
          <w:szCs w:val="20"/>
          <w:lang w:val="es-ES"/>
        </w:rPr>
        <w:t xml:space="preserve">. </w:t>
      </w:r>
      <w:r w:rsidR="00915822" w:rsidRPr="008A084A">
        <w:rPr>
          <w:rFonts w:ascii="Cambria" w:hAnsi="Cambria"/>
          <w:sz w:val="20"/>
          <w:szCs w:val="20"/>
          <w:lang w:val="es-ES"/>
        </w:rPr>
        <w:t>Conforme a un informe médico de 21 de enero de 2004, el señor Guachalá fue diagnosticado con “trastorno mental y del comportamiento por disfunción cerebral, epilepsia”</w:t>
      </w:r>
      <w:r w:rsidR="00915822" w:rsidRPr="008A084A">
        <w:rPr>
          <w:rStyle w:val="FootnoteReference"/>
          <w:rFonts w:ascii="Cambria" w:hAnsi="Cambria"/>
          <w:sz w:val="20"/>
          <w:szCs w:val="20"/>
        </w:rPr>
        <w:footnoteReference w:id="6"/>
      </w:r>
      <w:r w:rsidR="00915822" w:rsidRPr="008A084A">
        <w:rPr>
          <w:rFonts w:ascii="Cambria" w:hAnsi="Cambria"/>
          <w:sz w:val="20"/>
          <w:szCs w:val="20"/>
          <w:lang w:val="es-ES"/>
        </w:rPr>
        <w:t xml:space="preserve">. </w:t>
      </w:r>
      <w:r w:rsidR="002B48C0" w:rsidRPr="008A084A">
        <w:rPr>
          <w:rFonts w:ascii="Cambria" w:hAnsi="Cambria"/>
          <w:sz w:val="20"/>
          <w:szCs w:val="20"/>
          <w:lang w:val="es-ES"/>
        </w:rPr>
        <w:t>De acuerdo a la Dirección Nacional de Discapacidades el señor Guachalá no estaba registrado como “persona con discapacidad” en su cédula de ciudadanía</w:t>
      </w:r>
      <w:r w:rsidR="002B48C0" w:rsidRPr="008A084A">
        <w:rPr>
          <w:rStyle w:val="FootnoteReference"/>
          <w:rFonts w:ascii="Cambria" w:hAnsi="Cambria"/>
          <w:sz w:val="20"/>
          <w:szCs w:val="20"/>
          <w:lang w:val="es-ES"/>
        </w:rPr>
        <w:footnoteReference w:id="7"/>
      </w:r>
      <w:r w:rsidR="002B48C0" w:rsidRPr="008A084A">
        <w:rPr>
          <w:rFonts w:ascii="Cambria" w:hAnsi="Cambria"/>
          <w:sz w:val="20"/>
          <w:szCs w:val="20"/>
          <w:lang w:val="es-ES"/>
        </w:rPr>
        <w:t>.</w:t>
      </w:r>
    </w:p>
    <w:p w:rsidR="009A697D" w:rsidRPr="008A084A" w:rsidRDefault="009A697D"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0C140C" w:rsidRPr="008A084A" w:rsidRDefault="003D14B0" w:rsidP="003E096E">
      <w:pPr>
        <w:numPr>
          <w:ilvl w:val="0"/>
          <w:numId w:val="55"/>
        </w:numPr>
        <w:jc w:val="both"/>
        <w:rPr>
          <w:rFonts w:ascii="Cambria" w:hAnsi="Cambria"/>
          <w:sz w:val="20"/>
          <w:szCs w:val="20"/>
          <w:lang w:val="es-ES"/>
        </w:rPr>
      </w:pPr>
      <w:r w:rsidRPr="008A084A">
        <w:rPr>
          <w:rFonts w:ascii="Cambria" w:hAnsi="Cambria"/>
          <w:sz w:val="20"/>
          <w:szCs w:val="20"/>
          <w:lang w:val="es-ES"/>
        </w:rPr>
        <w:t>La información disponible indica que la familia se encontraba en situación de pobreza</w:t>
      </w:r>
      <w:r w:rsidR="00D478E6" w:rsidRPr="008A084A">
        <w:rPr>
          <w:rFonts w:ascii="Cambria" w:hAnsi="Cambria"/>
          <w:sz w:val="20"/>
          <w:szCs w:val="20"/>
          <w:lang w:val="es-ES"/>
        </w:rPr>
        <w:t>, l</w:t>
      </w:r>
      <w:r w:rsidR="00B95DDC" w:rsidRPr="008A084A">
        <w:rPr>
          <w:rFonts w:ascii="Cambria" w:hAnsi="Cambria"/>
          <w:sz w:val="20"/>
          <w:szCs w:val="20"/>
          <w:lang w:val="es-ES"/>
        </w:rPr>
        <w:t xml:space="preserve">a señora </w:t>
      </w:r>
      <w:r w:rsidR="002125A0" w:rsidRPr="008A084A">
        <w:rPr>
          <w:rFonts w:ascii="Cambria" w:hAnsi="Cambria"/>
          <w:sz w:val="20"/>
          <w:szCs w:val="20"/>
          <w:lang w:val="es-ES"/>
        </w:rPr>
        <w:t>Chimbó</w:t>
      </w:r>
      <w:r w:rsidR="00B95DDC" w:rsidRPr="008A084A">
        <w:rPr>
          <w:rFonts w:ascii="Cambria" w:hAnsi="Cambria"/>
          <w:sz w:val="20"/>
          <w:szCs w:val="20"/>
          <w:lang w:val="es-ES"/>
        </w:rPr>
        <w:t xml:space="preserve"> </w:t>
      </w:r>
      <w:r w:rsidR="009B2758" w:rsidRPr="008A084A">
        <w:rPr>
          <w:rFonts w:ascii="Cambria" w:hAnsi="Cambria"/>
          <w:sz w:val="20"/>
          <w:szCs w:val="20"/>
          <w:lang w:val="es-ES"/>
        </w:rPr>
        <w:t>manifestó</w:t>
      </w:r>
      <w:r w:rsidR="00B95DDC" w:rsidRPr="008A084A">
        <w:rPr>
          <w:rFonts w:ascii="Cambria" w:hAnsi="Cambria"/>
          <w:sz w:val="20"/>
          <w:szCs w:val="20"/>
          <w:lang w:val="es-ES"/>
        </w:rPr>
        <w:t xml:space="preserve"> que el </w:t>
      </w:r>
      <w:r w:rsidR="000C140C" w:rsidRPr="008A084A">
        <w:rPr>
          <w:rFonts w:ascii="Cambria" w:hAnsi="Cambria"/>
          <w:sz w:val="20"/>
          <w:szCs w:val="20"/>
          <w:lang w:val="es-ES"/>
        </w:rPr>
        <w:t xml:space="preserve">padre del señor Guachalá abandonó a su familia </w:t>
      </w:r>
      <w:r w:rsidR="00B95DDC" w:rsidRPr="008A084A">
        <w:rPr>
          <w:rFonts w:ascii="Cambria" w:hAnsi="Cambria"/>
          <w:sz w:val="20"/>
          <w:szCs w:val="20"/>
          <w:lang w:val="es-ES"/>
        </w:rPr>
        <w:t>cuando sus hijos eran muy pequeños</w:t>
      </w:r>
      <w:r w:rsidR="000C140C" w:rsidRPr="008A084A">
        <w:rPr>
          <w:rStyle w:val="FootnoteReference"/>
          <w:rFonts w:ascii="Cambria" w:hAnsi="Cambria"/>
          <w:sz w:val="20"/>
          <w:szCs w:val="20"/>
        </w:rPr>
        <w:footnoteReference w:id="8"/>
      </w:r>
      <w:r w:rsidR="000C140C" w:rsidRPr="008A084A">
        <w:rPr>
          <w:rFonts w:ascii="Cambria" w:hAnsi="Cambria"/>
          <w:sz w:val="20"/>
          <w:szCs w:val="20"/>
          <w:lang w:val="es-ES"/>
        </w:rPr>
        <w:t>. Señaló que ella se dedicaba al “oficio de lavandería en casas particulares”</w:t>
      </w:r>
      <w:r w:rsidR="005E3193" w:rsidRPr="008A084A">
        <w:rPr>
          <w:rFonts w:ascii="Cambria" w:hAnsi="Cambria"/>
          <w:sz w:val="20"/>
          <w:szCs w:val="20"/>
          <w:lang w:val="es-ES"/>
        </w:rPr>
        <w:t xml:space="preserve"> durante el día y a la venta ambulante de rosas en la calle durante la noche</w:t>
      </w:r>
      <w:r w:rsidR="000C140C" w:rsidRPr="008A084A">
        <w:rPr>
          <w:rStyle w:val="FootnoteReference"/>
          <w:rFonts w:ascii="Cambria" w:hAnsi="Cambria"/>
          <w:sz w:val="20"/>
          <w:szCs w:val="20"/>
        </w:rPr>
        <w:footnoteReference w:id="9"/>
      </w:r>
      <w:r w:rsidR="000C140C" w:rsidRPr="008A084A">
        <w:rPr>
          <w:rFonts w:ascii="Cambria" w:hAnsi="Cambria"/>
          <w:sz w:val="20"/>
          <w:szCs w:val="20"/>
          <w:lang w:val="es-ES"/>
        </w:rPr>
        <w:t>.</w:t>
      </w:r>
    </w:p>
    <w:p w:rsidR="000C140C" w:rsidRPr="008A084A" w:rsidRDefault="000C140C"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C461FA" w:rsidRPr="008A084A" w:rsidRDefault="00240112" w:rsidP="003E096E">
      <w:pPr>
        <w:numPr>
          <w:ilvl w:val="0"/>
          <w:numId w:val="55"/>
        </w:numPr>
        <w:jc w:val="both"/>
        <w:rPr>
          <w:rFonts w:ascii="Cambria" w:hAnsi="Cambria"/>
          <w:sz w:val="20"/>
          <w:szCs w:val="20"/>
          <w:lang w:val="es-ES"/>
        </w:rPr>
      </w:pPr>
      <w:r w:rsidRPr="008A084A">
        <w:rPr>
          <w:rFonts w:ascii="Cambria" w:hAnsi="Cambria"/>
          <w:sz w:val="20"/>
          <w:szCs w:val="20"/>
          <w:lang w:val="es-ES"/>
        </w:rPr>
        <w:t xml:space="preserve">El </w:t>
      </w:r>
      <w:r w:rsidRPr="008A084A">
        <w:rPr>
          <w:rFonts w:ascii="Cambria" w:hAnsi="Cambria"/>
          <w:sz w:val="20"/>
          <w:szCs w:val="20"/>
          <w:lang w:val="es-ES_tradnl"/>
        </w:rPr>
        <w:t>señor</w:t>
      </w:r>
      <w:r w:rsidRPr="008A084A">
        <w:rPr>
          <w:rFonts w:ascii="Cambria" w:hAnsi="Cambria"/>
          <w:sz w:val="20"/>
          <w:szCs w:val="20"/>
          <w:lang w:val="es-ES"/>
        </w:rPr>
        <w:t xml:space="preserve"> Guachalá completó la educación primaria</w:t>
      </w:r>
      <w:r w:rsidR="00590C8C" w:rsidRPr="008A084A">
        <w:rPr>
          <w:rStyle w:val="FootnoteReference"/>
          <w:rFonts w:ascii="Cambria" w:hAnsi="Cambria"/>
          <w:sz w:val="20"/>
          <w:szCs w:val="20"/>
        </w:rPr>
        <w:footnoteReference w:id="10"/>
      </w:r>
      <w:r w:rsidRPr="008A084A">
        <w:rPr>
          <w:rFonts w:ascii="Cambria" w:hAnsi="Cambria"/>
          <w:sz w:val="20"/>
          <w:szCs w:val="20"/>
          <w:lang w:val="es-ES"/>
        </w:rPr>
        <w:t>.</w:t>
      </w:r>
      <w:r w:rsidR="00A5414A" w:rsidRPr="008A084A">
        <w:rPr>
          <w:rFonts w:ascii="Cambria" w:hAnsi="Cambria"/>
          <w:sz w:val="20"/>
          <w:szCs w:val="20"/>
          <w:lang w:val="es-ES"/>
        </w:rPr>
        <w:t xml:space="preserve"> Su madre señaló que no pu</w:t>
      </w:r>
      <w:r w:rsidR="00FB61F6" w:rsidRPr="008A084A">
        <w:rPr>
          <w:rFonts w:ascii="Cambria" w:hAnsi="Cambria"/>
          <w:sz w:val="20"/>
          <w:szCs w:val="20"/>
          <w:lang w:val="es-ES"/>
        </w:rPr>
        <w:t>do completar sus estudios secundarios puesto que “presentó una enfermedad de epilepsia” que no le permitía concentrarse para estudiar</w:t>
      </w:r>
      <w:r w:rsidR="00590C8C" w:rsidRPr="008A084A">
        <w:rPr>
          <w:rStyle w:val="FootnoteReference"/>
          <w:rFonts w:ascii="Cambria" w:hAnsi="Cambria"/>
          <w:sz w:val="20"/>
          <w:szCs w:val="20"/>
        </w:rPr>
        <w:footnoteReference w:id="11"/>
      </w:r>
      <w:r w:rsidR="00FB61F6" w:rsidRPr="008A084A">
        <w:rPr>
          <w:rFonts w:ascii="Cambria" w:hAnsi="Cambria"/>
          <w:sz w:val="20"/>
          <w:szCs w:val="20"/>
          <w:lang w:val="es-ES"/>
        </w:rPr>
        <w:t xml:space="preserve">. La señora </w:t>
      </w:r>
      <w:r w:rsidR="002125A0" w:rsidRPr="008A084A">
        <w:rPr>
          <w:rFonts w:ascii="Cambria" w:hAnsi="Cambria"/>
          <w:sz w:val="20"/>
          <w:szCs w:val="20"/>
          <w:lang w:val="es-ES"/>
        </w:rPr>
        <w:t>Chimbó</w:t>
      </w:r>
      <w:r w:rsidR="00FB61F6" w:rsidRPr="008A084A">
        <w:rPr>
          <w:rFonts w:ascii="Cambria" w:hAnsi="Cambria"/>
          <w:sz w:val="20"/>
          <w:szCs w:val="20"/>
          <w:lang w:val="es-ES"/>
        </w:rPr>
        <w:t xml:space="preserve"> también sostuvo que no contaba con los recursos financieros para comprarle los libros de estudio y los útiles escolares</w:t>
      </w:r>
      <w:r w:rsidR="00590C8C" w:rsidRPr="008A084A">
        <w:rPr>
          <w:rStyle w:val="FootnoteReference"/>
          <w:rFonts w:ascii="Cambria" w:hAnsi="Cambria"/>
          <w:sz w:val="20"/>
          <w:szCs w:val="20"/>
        </w:rPr>
        <w:footnoteReference w:id="12"/>
      </w:r>
      <w:r w:rsidR="00FB61F6" w:rsidRPr="008A084A">
        <w:rPr>
          <w:rFonts w:ascii="Cambria" w:hAnsi="Cambria"/>
          <w:sz w:val="20"/>
          <w:szCs w:val="20"/>
          <w:lang w:val="es-ES"/>
        </w:rPr>
        <w:t>.</w:t>
      </w:r>
      <w:r w:rsidR="002D08E4" w:rsidRPr="008A084A">
        <w:rPr>
          <w:rFonts w:ascii="Cambria" w:hAnsi="Cambria"/>
          <w:sz w:val="20"/>
          <w:szCs w:val="20"/>
          <w:lang w:val="es-ES"/>
        </w:rPr>
        <w:t xml:space="preserve"> </w:t>
      </w:r>
    </w:p>
    <w:p w:rsidR="002D08E4" w:rsidRPr="008A084A" w:rsidRDefault="002D08E4"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2D08E4" w:rsidRPr="008A084A" w:rsidRDefault="002D08E4" w:rsidP="003E096E">
      <w:pPr>
        <w:numPr>
          <w:ilvl w:val="0"/>
          <w:numId w:val="55"/>
        </w:numPr>
        <w:jc w:val="both"/>
        <w:rPr>
          <w:rFonts w:ascii="Cambria" w:hAnsi="Cambria"/>
          <w:sz w:val="20"/>
          <w:szCs w:val="20"/>
          <w:lang w:val="es-ES"/>
        </w:rPr>
      </w:pPr>
      <w:r w:rsidRPr="008A084A">
        <w:rPr>
          <w:rFonts w:ascii="Cambria" w:hAnsi="Cambria"/>
          <w:sz w:val="20"/>
          <w:szCs w:val="20"/>
          <w:lang w:val="es-ES"/>
        </w:rPr>
        <w:t xml:space="preserve">La señora </w:t>
      </w:r>
      <w:r w:rsidR="002125A0" w:rsidRPr="008A084A">
        <w:rPr>
          <w:rFonts w:ascii="Cambria" w:hAnsi="Cambria"/>
          <w:sz w:val="20"/>
          <w:szCs w:val="20"/>
          <w:lang w:val="es-ES"/>
        </w:rPr>
        <w:t>Chimbó</w:t>
      </w:r>
      <w:r w:rsidRPr="008A084A">
        <w:rPr>
          <w:rFonts w:ascii="Cambria" w:hAnsi="Cambria"/>
          <w:sz w:val="20"/>
          <w:szCs w:val="20"/>
          <w:lang w:val="es-ES"/>
        </w:rPr>
        <w:t xml:space="preserve"> </w:t>
      </w:r>
      <w:r w:rsidR="00B95DDC" w:rsidRPr="008A084A">
        <w:rPr>
          <w:rFonts w:ascii="Cambria" w:hAnsi="Cambria"/>
          <w:sz w:val="20"/>
          <w:szCs w:val="20"/>
          <w:lang w:val="es-ES"/>
        </w:rPr>
        <w:t>explicó</w:t>
      </w:r>
      <w:r w:rsidRPr="008A084A">
        <w:rPr>
          <w:rFonts w:ascii="Cambria" w:hAnsi="Cambria"/>
          <w:sz w:val="20"/>
          <w:szCs w:val="20"/>
          <w:lang w:val="es-ES"/>
        </w:rPr>
        <w:t xml:space="preserve"> que desde los trece años</w:t>
      </w:r>
      <w:r w:rsidR="00D478E6" w:rsidRPr="008A084A">
        <w:rPr>
          <w:rFonts w:ascii="Cambria" w:hAnsi="Cambria"/>
          <w:sz w:val="20"/>
          <w:szCs w:val="20"/>
          <w:lang w:val="es-ES"/>
        </w:rPr>
        <w:t xml:space="preserve"> su hijo </w:t>
      </w:r>
      <w:r w:rsidRPr="008A084A">
        <w:rPr>
          <w:rFonts w:ascii="Cambria" w:hAnsi="Cambria"/>
          <w:sz w:val="20"/>
          <w:szCs w:val="20"/>
          <w:lang w:val="es-ES"/>
        </w:rPr>
        <w:t>empezó a sufrir de ataques de epilepsia</w:t>
      </w:r>
      <w:r w:rsidR="00590C8C" w:rsidRPr="008A084A">
        <w:rPr>
          <w:rStyle w:val="FootnoteReference"/>
          <w:rFonts w:ascii="Cambria" w:hAnsi="Cambria"/>
          <w:sz w:val="20"/>
          <w:szCs w:val="20"/>
        </w:rPr>
        <w:footnoteReference w:id="13"/>
      </w:r>
      <w:r w:rsidR="002D2459" w:rsidRPr="008A084A">
        <w:rPr>
          <w:rFonts w:ascii="Cambria" w:hAnsi="Cambria"/>
          <w:sz w:val="20"/>
          <w:szCs w:val="20"/>
          <w:lang w:val="es-ES"/>
        </w:rPr>
        <w:t>.</w:t>
      </w:r>
      <w:r w:rsidR="00590C8C" w:rsidRPr="008A084A">
        <w:rPr>
          <w:rFonts w:ascii="Cambria" w:hAnsi="Cambria"/>
          <w:sz w:val="20"/>
          <w:szCs w:val="20"/>
          <w:lang w:val="es-ES"/>
        </w:rPr>
        <w:t xml:space="preserve"> Indicó que lo llevaba a diversos hospit</w:t>
      </w:r>
      <w:r w:rsidR="00702255" w:rsidRPr="008A084A">
        <w:rPr>
          <w:rFonts w:ascii="Cambria" w:hAnsi="Cambria"/>
          <w:sz w:val="20"/>
          <w:szCs w:val="20"/>
          <w:lang w:val="es-ES"/>
        </w:rPr>
        <w:t>ales, donde le daban medicamento</w:t>
      </w:r>
      <w:r w:rsidR="00590C8C" w:rsidRPr="008A084A">
        <w:rPr>
          <w:rFonts w:ascii="Cambria" w:hAnsi="Cambria"/>
          <w:sz w:val="20"/>
          <w:szCs w:val="20"/>
          <w:lang w:val="es-ES"/>
        </w:rPr>
        <w:t xml:space="preserve">s para evitar </w:t>
      </w:r>
      <w:r w:rsidR="00D17B73" w:rsidRPr="008A084A">
        <w:rPr>
          <w:rFonts w:ascii="Cambria" w:hAnsi="Cambria"/>
          <w:sz w:val="20"/>
          <w:szCs w:val="20"/>
          <w:lang w:val="es-ES"/>
        </w:rPr>
        <w:t>dichos</w:t>
      </w:r>
      <w:r w:rsidR="00590C8C" w:rsidRPr="008A084A">
        <w:rPr>
          <w:rFonts w:ascii="Cambria" w:hAnsi="Cambria"/>
          <w:sz w:val="20"/>
          <w:szCs w:val="20"/>
          <w:lang w:val="es-ES"/>
        </w:rPr>
        <w:t xml:space="preserve"> ataques</w:t>
      </w:r>
      <w:r w:rsidR="00590C8C" w:rsidRPr="008A084A">
        <w:rPr>
          <w:rStyle w:val="FootnoteReference"/>
          <w:rFonts w:ascii="Cambria" w:hAnsi="Cambria"/>
          <w:sz w:val="20"/>
          <w:szCs w:val="20"/>
        </w:rPr>
        <w:footnoteReference w:id="14"/>
      </w:r>
      <w:r w:rsidR="00590C8C" w:rsidRPr="008A084A">
        <w:rPr>
          <w:rFonts w:ascii="Cambria" w:hAnsi="Cambria"/>
          <w:sz w:val="20"/>
          <w:szCs w:val="20"/>
          <w:lang w:val="es-ES"/>
        </w:rPr>
        <w:t>.</w:t>
      </w:r>
      <w:r w:rsidR="00702255" w:rsidRPr="008A084A">
        <w:rPr>
          <w:rFonts w:ascii="Cambria" w:hAnsi="Cambria"/>
          <w:sz w:val="20"/>
          <w:szCs w:val="20"/>
          <w:lang w:val="es-ES"/>
        </w:rPr>
        <w:t xml:space="preserve"> La señora </w:t>
      </w:r>
      <w:r w:rsidR="002125A0" w:rsidRPr="008A084A">
        <w:rPr>
          <w:rFonts w:ascii="Cambria" w:hAnsi="Cambria"/>
          <w:sz w:val="20"/>
          <w:szCs w:val="20"/>
          <w:lang w:val="es-ES"/>
        </w:rPr>
        <w:t>Chimbó</w:t>
      </w:r>
      <w:r w:rsidR="00702255" w:rsidRPr="008A084A">
        <w:rPr>
          <w:rFonts w:ascii="Cambria" w:hAnsi="Cambria"/>
          <w:sz w:val="20"/>
          <w:szCs w:val="20"/>
          <w:lang w:val="es-ES"/>
        </w:rPr>
        <w:t xml:space="preserve"> sostuvo que cada cierto tiempo su hijo volvía a sufrir ataques de epilepsia por lo que le tenían que cambiar de medicamentos</w:t>
      </w:r>
      <w:r w:rsidR="00702255" w:rsidRPr="008A084A">
        <w:rPr>
          <w:rStyle w:val="FootnoteReference"/>
          <w:rFonts w:ascii="Cambria" w:hAnsi="Cambria"/>
          <w:sz w:val="20"/>
          <w:szCs w:val="20"/>
        </w:rPr>
        <w:footnoteReference w:id="15"/>
      </w:r>
      <w:r w:rsidR="00702255" w:rsidRPr="008A084A">
        <w:rPr>
          <w:rFonts w:ascii="Cambria" w:hAnsi="Cambria"/>
          <w:sz w:val="20"/>
          <w:szCs w:val="20"/>
          <w:lang w:val="es-ES"/>
        </w:rPr>
        <w:t>.</w:t>
      </w:r>
      <w:r w:rsidR="000C140C" w:rsidRPr="008A084A">
        <w:rPr>
          <w:rFonts w:ascii="Cambria" w:hAnsi="Cambria"/>
          <w:sz w:val="20"/>
          <w:szCs w:val="20"/>
          <w:lang w:val="es-ES"/>
        </w:rPr>
        <w:t xml:space="preserve"> Sostuvo que las pastillas que le recetaban a su hijo </w:t>
      </w:r>
      <w:r w:rsidR="00A5414A" w:rsidRPr="008A084A">
        <w:rPr>
          <w:rFonts w:ascii="Cambria" w:hAnsi="Cambria"/>
          <w:sz w:val="20"/>
          <w:szCs w:val="20"/>
          <w:lang w:val="es-ES"/>
        </w:rPr>
        <w:t>costaban mucho</w:t>
      </w:r>
      <w:r w:rsidR="000C140C" w:rsidRPr="008A084A">
        <w:rPr>
          <w:rFonts w:ascii="Cambria" w:hAnsi="Cambria"/>
          <w:sz w:val="20"/>
          <w:szCs w:val="20"/>
          <w:lang w:val="es-ES"/>
        </w:rPr>
        <w:t xml:space="preserve"> por lo que a veces no podía comprarlas</w:t>
      </w:r>
      <w:r w:rsidR="000C140C" w:rsidRPr="008A084A">
        <w:rPr>
          <w:rStyle w:val="FootnoteReference"/>
          <w:rFonts w:ascii="Cambria" w:hAnsi="Cambria"/>
          <w:sz w:val="20"/>
          <w:szCs w:val="20"/>
        </w:rPr>
        <w:footnoteReference w:id="16"/>
      </w:r>
      <w:r w:rsidR="000C140C" w:rsidRPr="008A084A">
        <w:rPr>
          <w:rFonts w:ascii="Cambria" w:hAnsi="Cambria"/>
          <w:sz w:val="20"/>
          <w:szCs w:val="20"/>
          <w:lang w:val="es-ES"/>
        </w:rPr>
        <w:t>.</w:t>
      </w:r>
      <w:r w:rsidR="003C2FB8" w:rsidRPr="008A084A">
        <w:rPr>
          <w:rFonts w:ascii="Cambria" w:hAnsi="Cambria"/>
          <w:sz w:val="20"/>
          <w:szCs w:val="20"/>
          <w:lang w:val="es-ES"/>
        </w:rPr>
        <w:t xml:space="preserve"> Indicó que debido a ello le daba remedios caseros basados en hierbas medicinales</w:t>
      </w:r>
      <w:r w:rsidR="003C2FB8" w:rsidRPr="008A084A">
        <w:rPr>
          <w:rStyle w:val="FootnoteReference"/>
          <w:rFonts w:ascii="Cambria" w:hAnsi="Cambria"/>
          <w:sz w:val="20"/>
          <w:szCs w:val="20"/>
        </w:rPr>
        <w:footnoteReference w:id="17"/>
      </w:r>
      <w:r w:rsidR="003C2FB8" w:rsidRPr="008A084A">
        <w:rPr>
          <w:rFonts w:ascii="Cambria" w:hAnsi="Cambria"/>
          <w:sz w:val="20"/>
          <w:szCs w:val="20"/>
          <w:lang w:val="es-ES"/>
        </w:rPr>
        <w:t>. Sostuvo que la falta de un tratamiento médico continuo y adecuado generó que los ataques que sufría se mantuvieran</w:t>
      </w:r>
      <w:r w:rsidR="003C2FB8" w:rsidRPr="008A084A">
        <w:rPr>
          <w:rStyle w:val="FootnoteReference"/>
          <w:rFonts w:ascii="Cambria" w:hAnsi="Cambria"/>
          <w:sz w:val="20"/>
          <w:szCs w:val="20"/>
        </w:rPr>
        <w:footnoteReference w:id="18"/>
      </w:r>
      <w:r w:rsidR="003C2FB8" w:rsidRPr="008A084A">
        <w:rPr>
          <w:rFonts w:ascii="Cambria" w:hAnsi="Cambria"/>
          <w:sz w:val="20"/>
          <w:szCs w:val="20"/>
          <w:lang w:val="es-ES"/>
        </w:rPr>
        <w:t>.</w:t>
      </w:r>
    </w:p>
    <w:p w:rsidR="00C461FA" w:rsidRDefault="00C461FA"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671C11" w:rsidRDefault="00671C11"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C461FA" w:rsidRPr="008A084A" w:rsidRDefault="005A6288" w:rsidP="003E096E">
      <w:pPr>
        <w:numPr>
          <w:ilvl w:val="0"/>
          <w:numId w:val="55"/>
        </w:numPr>
        <w:jc w:val="both"/>
        <w:rPr>
          <w:rFonts w:ascii="Cambria" w:hAnsi="Cambria"/>
          <w:sz w:val="20"/>
          <w:szCs w:val="20"/>
          <w:lang w:val="es-ES"/>
        </w:rPr>
      </w:pPr>
      <w:r w:rsidRPr="008A084A">
        <w:rPr>
          <w:rFonts w:ascii="Cambria" w:hAnsi="Cambria"/>
          <w:sz w:val="20"/>
          <w:szCs w:val="20"/>
          <w:lang w:val="es-ES"/>
        </w:rPr>
        <w:lastRenderedPageBreak/>
        <w:t xml:space="preserve">Indicó </w:t>
      </w:r>
      <w:r w:rsidR="00C461FA" w:rsidRPr="008A084A">
        <w:rPr>
          <w:rFonts w:ascii="Cambria" w:hAnsi="Cambria"/>
          <w:sz w:val="20"/>
          <w:szCs w:val="20"/>
          <w:lang w:val="es-ES"/>
        </w:rPr>
        <w:t>que debido a su situación de pobreza, su hijo Luis Guachalá empezó a trabajar como albañil</w:t>
      </w:r>
      <w:r w:rsidR="00C461FA" w:rsidRPr="008A084A">
        <w:rPr>
          <w:rStyle w:val="FootnoteReference"/>
          <w:rFonts w:ascii="Cambria" w:hAnsi="Cambria"/>
          <w:sz w:val="20"/>
          <w:szCs w:val="20"/>
        </w:rPr>
        <w:footnoteReference w:id="19"/>
      </w:r>
      <w:r w:rsidR="00C461FA" w:rsidRPr="008A084A">
        <w:rPr>
          <w:rFonts w:ascii="Cambria" w:hAnsi="Cambria"/>
          <w:sz w:val="20"/>
          <w:szCs w:val="20"/>
          <w:lang w:val="es-ES"/>
        </w:rPr>
        <w:t xml:space="preserve">. Señaló que ganaba muy poco, “sólo para su subsistencia diaria y a veces le alcanzaba para </w:t>
      </w:r>
      <w:proofErr w:type="gramStart"/>
      <w:r w:rsidR="00C461FA" w:rsidRPr="008A084A">
        <w:rPr>
          <w:rFonts w:ascii="Cambria" w:hAnsi="Cambria"/>
          <w:sz w:val="20"/>
          <w:szCs w:val="20"/>
          <w:lang w:val="es-ES"/>
        </w:rPr>
        <w:t>ayudar(</w:t>
      </w:r>
      <w:proofErr w:type="gramEnd"/>
      <w:r w:rsidR="00C461FA" w:rsidRPr="008A084A">
        <w:rPr>
          <w:rFonts w:ascii="Cambria" w:hAnsi="Cambria"/>
          <w:sz w:val="20"/>
          <w:szCs w:val="20"/>
          <w:lang w:val="es-ES"/>
        </w:rPr>
        <w:t>la) algo en la casa”</w:t>
      </w:r>
      <w:r w:rsidR="00C461FA" w:rsidRPr="008A084A">
        <w:rPr>
          <w:rStyle w:val="FootnoteReference"/>
          <w:rFonts w:ascii="Cambria" w:hAnsi="Cambria"/>
          <w:sz w:val="20"/>
          <w:szCs w:val="20"/>
        </w:rPr>
        <w:footnoteReference w:id="20"/>
      </w:r>
      <w:r w:rsidR="00C461FA" w:rsidRPr="008A084A">
        <w:rPr>
          <w:rFonts w:ascii="Cambria" w:hAnsi="Cambria"/>
          <w:sz w:val="20"/>
          <w:szCs w:val="20"/>
          <w:lang w:val="es-ES"/>
        </w:rPr>
        <w:t>. La señora Chimbó manifestó que en ocasiones la llamaban para decirle que su hijo había sufrido un</w:t>
      </w:r>
      <w:r w:rsidR="00767CDB" w:rsidRPr="008A084A">
        <w:rPr>
          <w:rFonts w:ascii="Cambria" w:hAnsi="Cambria"/>
          <w:sz w:val="20"/>
          <w:szCs w:val="20"/>
          <w:lang w:val="es-ES"/>
        </w:rPr>
        <w:t xml:space="preserve">a crisis </w:t>
      </w:r>
      <w:r w:rsidR="00C461FA" w:rsidRPr="008A084A">
        <w:rPr>
          <w:rFonts w:ascii="Cambria" w:hAnsi="Cambria"/>
          <w:sz w:val="20"/>
          <w:szCs w:val="20"/>
          <w:lang w:val="es-ES"/>
        </w:rPr>
        <w:t xml:space="preserve">mientras trabajaba, por lo que tenía que ir a donde él se encontraba, </w:t>
      </w:r>
      <w:r w:rsidR="0073036B">
        <w:rPr>
          <w:rFonts w:ascii="Cambria" w:hAnsi="Cambria"/>
          <w:sz w:val="20"/>
          <w:szCs w:val="20"/>
          <w:lang w:val="es-ES"/>
        </w:rPr>
        <w:t xml:space="preserve">y tenía que </w:t>
      </w:r>
      <w:r w:rsidR="00C461FA" w:rsidRPr="008A084A">
        <w:rPr>
          <w:rFonts w:ascii="Cambria" w:hAnsi="Cambria"/>
          <w:sz w:val="20"/>
          <w:szCs w:val="20"/>
          <w:lang w:val="es-ES"/>
        </w:rPr>
        <w:t>“</w:t>
      </w:r>
      <w:proofErr w:type="gramStart"/>
      <w:r w:rsidR="00C461FA" w:rsidRPr="008A084A">
        <w:rPr>
          <w:rFonts w:ascii="Cambria" w:hAnsi="Cambria"/>
          <w:sz w:val="20"/>
          <w:szCs w:val="20"/>
          <w:lang w:val="es-ES"/>
        </w:rPr>
        <w:t>acomoda(</w:t>
      </w:r>
      <w:proofErr w:type="spellStart"/>
      <w:proofErr w:type="gramEnd"/>
      <w:r w:rsidR="00C461FA" w:rsidRPr="008A084A">
        <w:rPr>
          <w:rFonts w:ascii="Cambria" w:hAnsi="Cambria"/>
          <w:sz w:val="20"/>
          <w:szCs w:val="20"/>
          <w:lang w:val="es-ES"/>
        </w:rPr>
        <w:t>rlo</w:t>
      </w:r>
      <w:proofErr w:type="spellEnd"/>
      <w:r w:rsidR="00C461FA" w:rsidRPr="008A084A">
        <w:rPr>
          <w:rFonts w:ascii="Cambria" w:hAnsi="Cambria"/>
          <w:sz w:val="20"/>
          <w:szCs w:val="20"/>
          <w:lang w:val="es-ES"/>
        </w:rPr>
        <w:t>) con almohaditas (...) en el suelo, para que se duerma y le pase todo eso hasta que despierte”</w:t>
      </w:r>
      <w:r w:rsidR="00C461FA" w:rsidRPr="008A084A">
        <w:rPr>
          <w:rStyle w:val="FootnoteReference"/>
          <w:rFonts w:ascii="Cambria" w:hAnsi="Cambria"/>
          <w:sz w:val="20"/>
          <w:szCs w:val="20"/>
        </w:rPr>
        <w:footnoteReference w:id="21"/>
      </w:r>
      <w:r w:rsidR="00C461FA" w:rsidRPr="008A084A">
        <w:rPr>
          <w:rFonts w:ascii="Cambria" w:hAnsi="Cambria"/>
          <w:sz w:val="20"/>
          <w:szCs w:val="20"/>
          <w:lang w:val="es-ES"/>
        </w:rPr>
        <w:t>.</w:t>
      </w:r>
      <w:r w:rsidR="003C2FB8" w:rsidRPr="008A084A">
        <w:rPr>
          <w:rFonts w:ascii="Cambria" w:hAnsi="Cambria"/>
          <w:sz w:val="20"/>
          <w:szCs w:val="20"/>
          <w:lang w:val="es-ES"/>
        </w:rPr>
        <w:t xml:space="preserve"> La señora Guachalá señaló que “cuando él estaba solito, se caía donde quiera, a veces en los carros de transporte público”</w:t>
      </w:r>
      <w:r w:rsidR="003C2FB8" w:rsidRPr="008A084A">
        <w:rPr>
          <w:rStyle w:val="FootnoteReference"/>
          <w:rFonts w:ascii="Cambria" w:hAnsi="Cambria"/>
          <w:sz w:val="20"/>
          <w:szCs w:val="20"/>
        </w:rPr>
        <w:footnoteReference w:id="22"/>
      </w:r>
      <w:r w:rsidR="003C2FB8" w:rsidRPr="008A084A">
        <w:rPr>
          <w:rFonts w:ascii="Cambria" w:hAnsi="Cambria"/>
          <w:sz w:val="20"/>
          <w:szCs w:val="20"/>
          <w:lang w:val="es-ES"/>
        </w:rPr>
        <w:t>.</w:t>
      </w:r>
    </w:p>
    <w:p w:rsidR="003C2FB8" w:rsidRPr="008A084A" w:rsidRDefault="003C2FB8" w:rsidP="00C461F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3C2FB8" w:rsidRPr="008A084A" w:rsidRDefault="008963E4" w:rsidP="00B329C1">
      <w:pPr>
        <w:pStyle w:val="Heading2"/>
        <w:numPr>
          <w:ilvl w:val="0"/>
          <w:numId w:val="59"/>
        </w:numPr>
        <w:spacing w:before="0" w:after="0"/>
        <w:ind w:left="1440" w:hanging="720"/>
        <w:jc w:val="both"/>
        <w:rPr>
          <w:rFonts w:ascii="Cambria" w:hAnsi="Cambria"/>
          <w:i w:val="0"/>
          <w:sz w:val="20"/>
          <w:szCs w:val="20"/>
          <w:lang w:val="es-ES"/>
        </w:rPr>
      </w:pPr>
      <w:bookmarkStart w:id="22" w:name="_Toc525547503"/>
      <w:r w:rsidRPr="008A084A">
        <w:rPr>
          <w:rFonts w:ascii="Cambria" w:hAnsi="Cambria"/>
          <w:i w:val="0"/>
          <w:sz w:val="20"/>
          <w:szCs w:val="20"/>
          <w:lang w:val="es-ES"/>
        </w:rPr>
        <w:t xml:space="preserve">Sobre </w:t>
      </w:r>
      <w:r w:rsidR="004D32FF" w:rsidRPr="008A084A">
        <w:rPr>
          <w:rFonts w:ascii="Cambria" w:hAnsi="Cambria"/>
          <w:i w:val="0"/>
          <w:sz w:val="20"/>
          <w:szCs w:val="20"/>
          <w:lang w:val="es-ES"/>
        </w:rPr>
        <w:t>el</w:t>
      </w:r>
      <w:r w:rsidRPr="008A084A">
        <w:rPr>
          <w:rFonts w:ascii="Cambria" w:hAnsi="Cambria"/>
          <w:i w:val="0"/>
          <w:sz w:val="20"/>
          <w:szCs w:val="20"/>
          <w:lang w:val="es-ES"/>
        </w:rPr>
        <w:t xml:space="preserve"> ingreso </w:t>
      </w:r>
      <w:r w:rsidR="004D32FF" w:rsidRPr="008A084A">
        <w:rPr>
          <w:rFonts w:ascii="Cambria" w:hAnsi="Cambria"/>
          <w:i w:val="0"/>
          <w:sz w:val="20"/>
          <w:szCs w:val="20"/>
          <w:lang w:val="es-ES"/>
        </w:rPr>
        <w:t xml:space="preserve">de Luis Guachalá </w:t>
      </w:r>
      <w:r w:rsidRPr="008A084A">
        <w:rPr>
          <w:rFonts w:ascii="Cambria" w:hAnsi="Cambria"/>
          <w:i w:val="0"/>
          <w:sz w:val="20"/>
          <w:szCs w:val="20"/>
          <w:lang w:val="es-ES"/>
        </w:rPr>
        <w:t>al Hospital Psiquiátrico Julio Endara en mayo de 2003</w:t>
      </w:r>
      <w:bookmarkEnd w:id="22"/>
    </w:p>
    <w:p w:rsidR="00C461FA" w:rsidRPr="008A084A" w:rsidRDefault="00C461FA"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7C263D" w:rsidRPr="008A084A" w:rsidRDefault="008963E4" w:rsidP="007C263D">
      <w:pPr>
        <w:numPr>
          <w:ilvl w:val="0"/>
          <w:numId w:val="55"/>
        </w:numPr>
        <w:jc w:val="both"/>
        <w:rPr>
          <w:rFonts w:ascii="Cambria" w:hAnsi="Cambria"/>
          <w:sz w:val="20"/>
          <w:szCs w:val="20"/>
          <w:lang w:val="es-ES"/>
        </w:rPr>
      </w:pPr>
      <w:r w:rsidRPr="008A084A">
        <w:rPr>
          <w:rFonts w:ascii="Cambria" w:hAnsi="Cambria"/>
          <w:sz w:val="20"/>
          <w:szCs w:val="20"/>
          <w:lang w:val="es-ES"/>
        </w:rPr>
        <w:t>La señora Chimbó declaró que en mayo de 2003 llevó a su hijo al Hospital Psiquiátrico Julio Endara</w:t>
      </w:r>
      <w:r w:rsidRPr="008A084A">
        <w:rPr>
          <w:rStyle w:val="FootnoteReference"/>
          <w:rFonts w:ascii="Cambria" w:hAnsi="Cambria"/>
          <w:sz w:val="20"/>
          <w:szCs w:val="20"/>
        </w:rPr>
        <w:footnoteReference w:id="23"/>
      </w:r>
      <w:r w:rsidRPr="008A084A">
        <w:rPr>
          <w:rFonts w:ascii="Cambria" w:hAnsi="Cambria"/>
          <w:sz w:val="20"/>
          <w:szCs w:val="20"/>
          <w:lang w:val="es-ES"/>
        </w:rPr>
        <w:t xml:space="preserve">. </w:t>
      </w:r>
      <w:r w:rsidR="00B63D9A" w:rsidRPr="008A084A">
        <w:rPr>
          <w:rFonts w:ascii="Cambria" w:hAnsi="Cambria"/>
          <w:sz w:val="20"/>
          <w:szCs w:val="20"/>
          <w:lang w:val="es-ES"/>
        </w:rPr>
        <w:t>D</w:t>
      </w:r>
      <w:r w:rsidR="00B95DDC" w:rsidRPr="008A084A">
        <w:rPr>
          <w:rFonts w:ascii="Cambria" w:hAnsi="Cambria"/>
          <w:sz w:val="20"/>
          <w:szCs w:val="20"/>
          <w:lang w:val="es-ES"/>
        </w:rPr>
        <w:t>icho hospital es una dependencia del Ministerio de Salud Pública del Ecuador</w:t>
      </w:r>
      <w:r w:rsidR="00B95DDC" w:rsidRPr="008A084A">
        <w:rPr>
          <w:rStyle w:val="FootnoteReference"/>
          <w:rFonts w:ascii="Cambria" w:hAnsi="Cambria"/>
          <w:sz w:val="20"/>
          <w:szCs w:val="20"/>
        </w:rPr>
        <w:footnoteReference w:id="24"/>
      </w:r>
      <w:r w:rsidR="00B95DDC" w:rsidRPr="008A084A">
        <w:rPr>
          <w:rFonts w:ascii="Cambria" w:hAnsi="Cambria"/>
          <w:sz w:val="20"/>
          <w:szCs w:val="20"/>
          <w:lang w:val="es-ES"/>
        </w:rPr>
        <w:t>.</w:t>
      </w:r>
      <w:r w:rsidR="007C263D" w:rsidRPr="008A084A">
        <w:rPr>
          <w:rFonts w:ascii="Cambria" w:hAnsi="Cambria"/>
          <w:sz w:val="20"/>
          <w:szCs w:val="20"/>
          <w:lang w:val="es-ES"/>
        </w:rPr>
        <w:t xml:space="preserve"> El Estado detalló que dicho hospital constituye una institución pública de Tercer Nivel de Atención Especializada en Salud Mental</w:t>
      </w:r>
      <w:r w:rsidR="007C263D" w:rsidRPr="008A084A">
        <w:rPr>
          <w:rStyle w:val="FootnoteReference"/>
          <w:rFonts w:ascii="Cambria" w:hAnsi="Cambria"/>
          <w:sz w:val="20"/>
          <w:szCs w:val="20"/>
        </w:rPr>
        <w:footnoteReference w:id="25"/>
      </w:r>
      <w:r w:rsidR="007C263D" w:rsidRPr="008A084A">
        <w:rPr>
          <w:rFonts w:ascii="Cambria" w:hAnsi="Cambria"/>
          <w:sz w:val="20"/>
          <w:szCs w:val="20"/>
          <w:lang w:val="es-ES"/>
        </w:rPr>
        <w:t>.</w:t>
      </w:r>
      <w:r w:rsidR="009455B1" w:rsidRPr="008A084A">
        <w:rPr>
          <w:rFonts w:ascii="Cambria" w:hAnsi="Cambria"/>
          <w:sz w:val="20"/>
          <w:szCs w:val="20"/>
          <w:lang w:val="es-ES"/>
        </w:rPr>
        <w:t xml:space="preserve"> </w:t>
      </w:r>
      <w:r w:rsidR="00CB2425" w:rsidRPr="008A084A">
        <w:rPr>
          <w:rFonts w:ascii="Cambria" w:hAnsi="Cambria"/>
          <w:sz w:val="20"/>
          <w:szCs w:val="20"/>
          <w:lang w:val="es-ES"/>
        </w:rPr>
        <w:t>De acuerdo a un oficio de dicho hospital, tiene un área de 303,897 metros cuadrados  “con extensos jardines y áreas verdes”</w:t>
      </w:r>
      <w:r w:rsidR="00CB2425" w:rsidRPr="008A084A">
        <w:rPr>
          <w:rStyle w:val="FootnoteReference"/>
          <w:rFonts w:ascii="Cambria" w:hAnsi="Cambria"/>
          <w:sz w:val="20"/>
          <w:szCs w:val="20"/>
          <w:lang w:val="es-ES"/>
        </w:rPr>
        <w:footnoteReference w:id="26"/>
      </w:r>
      <w:r w:rsidR="00CB2425" w:rsidRPr="008A084A">
        <w:rPr>
          <w:rFonts w:ascii="Cambria" w:hAnsi="Cambria"/>
          <w:sz w:val="20"/>
          <w:szCs w:val="20"/>
          <w:lang w:val="es-ES"/>
        </w:rPr>
        <w:t xml:space="preserve">. </w:t>
      </w:r>
      <w:r w:rsidR="00D83944" w:rsidRPr="008A084A">
        <w:rPr>
          <w:rFonts w:ascii="Cambria" w:hAnsi="Cambria"/>
          <w:sz w:val="20"/>
          <w:szCs w:val="20"/>
          <w:lang w:val="es-ES"/>
        </w:rPr>
        <w:t>Asimismo, se indica que el hospital tiene como objetivo “dar una mejor asistencia a los pacientes que padecen enfermedades mentales”</w:t>
      </w:r>
      <w:r w:rsidR="00D83944" w:rsidRPr="008A084A">
        <w:rPr>
          <w:rStyle w:val="FootnoteReference"/>
          <w:rFonts w:ascii="Cambria" w:hAnsi="Cambria"/>
          <w:sz w:val="20"/>
          <w:szCs w:val="20"/>
          <w:lang w:val="es-ES"/>
        </w:rPr>
        <w:footnoteReference w:id="27"/>
      </w:r>
      <w:r w:rsidR="00D83944" w:rsidRPr="008A084A">
        <w:rPr>
          <w:rFonts w:ascii="Cambria" w:hAnsi="Cambria"/>
          <w:sz w:val="20"/>
          <w:szCs w:val="20"/>
          <w:lang w:val="es-ES"/>
        </w:rPr>
        <w:t>.</w:t>
      </w:r>
    </w:p>
    <w:p w:rsidR="00B95DDC" w:rsidRPr="008A084A" w:rsidRDefault="00B95DDC" w:rsidP="007C263D">
      <w:pPr>
        <w:jc w:val="both"/>
        <w:rPr>
          <w:rFonts w:ascii="Cambria" w:hAnsi="Cambria"/>
          <w:sz w:val="20"/>
          <w:szCs w:val="20"/>
          <w:lang w:val="es-ES"/>
        </w:rPr>
      </w:pPr>
    </w:p>
    <w:p w:rsidR="00441CFA" w:rsidRPr="008A084A" w:rsidRDefault="00486BA1" w:rsidP="005769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r w:rsidRPr="008A084A">
        <w:rPr>
          <w:rFonts w:ascii="Cambria" w:hAnsi="Cambria"/>
          <w:color w:val="auto"/>
          <w:sz w:val="20"/>
          <w:szCs w:val="20"/>
          <w:lang w:val="es-ES"/>
        </w:rPr>
        <w:t>Los detalles que se describen a continuación sobre este primer ingreso al hospital y lo sucedido posteriormente, resultan de la declaración jurada de la</w:t>
      </w:r>
      <w:r w:rsidR="00441CFA" w:rsidRPr="008A084A">
        <w:rPr>
          <w:rFonts w:ascii="Cambria" w:hAnsi="Cambria"/>
          <w:color w:val="auto"/>
          <w:sz w:val="20"/>
          <w:szCs w:val="20"/>
          <w:lang w:val="es-ES"/>
        </w:rPr>
        <w:t xml:space="preserve"> madre del señor Luis Guachalá</w:t>
      </w:r>
      <w:r w:rsidRPr="008A084A">
        <w:rPr>
          <w:rStyle w:val="FootnoteReference"/>
          <w:rFonts w:ascii="Cambria" w:hAnsi="Cambria"/>
          <w:color w:val="auto"/>
          <w:sz w:val="20"/>
          <w:szCs w:val="20"/>
        </w:rPr>
        <w:footnoteReference w:id="28"/>
      </w:r>
      <w:r w:rsidRPr="008A084A">
        <w:rPr>
          <w:rFonts w:ascii="Cambria" w:hAnsi="Cambria"/>
          <w:color w:val="auto"/>
          <w:sz w:val="20"/>
          <w:szCs w:val="20"/>
          <w:lang w:val="es-ES"/>
        </w:rPr>
        <w:t xml:space="preserve">. </w:t>
      </w:r>
    </w:p>
    <w:p w:rsidR="00C56A2E" w:rsidRPr="008A084A" w:rsidRDefault="00C56A2E" w:rsidP="00576977">
      <w:pPr>
        <w:jc w:val="both"/>
        <w:rPr>
          <w:rFonts w:ascii="Cambria" w:hAnsi="Cambria"/>
          <w:sz w:val="20"/>
          <w:szCs w:val="20"/>
          <w:lang w:val="es-ES"/>
        </w:rPr>
      </w:pPr>
    </w:p>
    <w:p w:rsidR="00590E0F" w:rsidRPr="008A084A" w:rsidRDefault="00B95DDC" w:rsidP="00B95DDC">
      <w:pPr>
        <w:numPr>
          <w:ilvl w:val="0"/>
          <w:numId w:val="55"/>
        </w:numPr>
        <w:jc w:val="both"/>
        <w:rPr>
          <w:rFonts w:ascii="Cambria" w:hAnsi="Cambria"/>
          <w:sz w:val="20"/>
          <w:szCs w:val="20"/>
          <w:lang w:val="es-ES"/>
        </w:rPr>
      </w:pPr>
      <w:r w:rsidRPr="008A084A">
        <w:rPr>
          <w:rFonts w:ascii="Cambria" w:hAnsi="Cambria"/>
          <w:sz w:val="20"/>
          <w:szCs w:val="20"/>
          <w:lang w:val="es-ES"/>
        </w:rPr>
        <w:t>La señora Chimbó i</w:t>
      </w:r>
      <w:r w:rsidR="008963E4" w:rsidRPr="008A084A">
        <w:rPr>
          <w:rFonts w:ascii="Cambria" w:hAnsi="Cambria"/>
          <w:sz w:val="20"/>
          <w:szCs w:val="20"/>
          <w:lang w:val="es-ES"/>
        </w:rPr>
        <w:t xml:space="preserve">ndicó que un vecino le recomendó dicho hospital puesto que él mismo estuvo en esa institución durante un tiempo, y que ahí “podía(n) curar a (su) hijo”. </w:t>
      </w:r>
      <w:r w:rsidR="00315CC9" w:rsidRPr="008A084A">
        <w:rPr>
          <w:rFonts w:ascii="Cambria" w:hAnsi="Cambria"/>
          <w:sz w:val="20"/>
          <w:szCs w:val="20"/>
          <w:lang w:val="es-ES"/>
        </w:rPr>
        <w:t>S</w:t>
      </w:r>
      <w:r w:rsidR="008963E4" w:rsidRPr="008A084A">
        <w:rPr>
          <w:rFonts w:ascii="Cambria" w:hAnsi="Cambria"/>
          <w:sz w:val="20"/>
          <w:szCs w:val="20"/>
          <w:lang w:val="es-ES"/>
        </w:rPr>
        <w:t>ostuvo que decidió llevarlo al hospital en tanto su hijo “se puso ya malito, ya se puso agresivo”.</w:t>
      </w:r>
      <w:r w:rsidR="00DD10AB" w:rsidRPr="008A084A">
        <w:rPr>
          <w:rFonts w:ascii="Cambria" w:hAnsi="Cambria"/>
          <w:sz w:val="20"/>
          <w:szCs w:val="20"/>
          <w:lang w:val="es-ES"/>
        </w:rPr>
        <w:t xml:space="preserve"> Indicó que al llegar, Luis Guachalá fue examinado por un médico del hospital, quien le dijo que su hijo “debía quedar internado” y que comprara medicamentos para él. La señora Chimbó manifestó que firmó </w:t>
      </w:r>
      <w:r w:rsidRPr="008A084A">
        <w:rPr>
          <w:rFonts w:ascii="Cambria" w:hAnsi="Cambria"/>
          <w:sz w:val="20"/>
          <w:szCs w:val="20"/>
          <w:lang w:val="es-ES"/>
        </w:rPr>
        <w:t xml:space="preserve">algunos </w:t>
      </w:r>
      <w:r w:rsidR="00DD10AB" w:rsidRPr="008A084A">
        <w:rPr>
          <w:rFonts w:ascii="Cambria" w:hAnsi="Cambria"/>
          <w:sz w:val="20"/>
          <w:szCs w:val="20"/>
          <w:lang w:val="es-ES"/>
        </w:rPr>
        <w:t>documentos a efectos de autorizar que su hijo</w:t>
      </w:r>
      <w:r w:rsidR="00572BF9" w:rsidRPr="008A084A">
        <w:rPr>
          <w:rFonts w:ascii="Cambria" w:hAnsi="Cambria"/>
          <w:sz w:val="20"/>
          <w:szCs w:val="20"/>
          <w:lang w:val="es-ES"/>
        </w:rPr>
        <w:t xml:space="preserve"> se quede en el hospital por un mes. </w:t>
      </w:r>
    </w:p>
    <w:p w:rsidR="00590E0F" w:rsidRPr="008A084A" w:rsidRDefault="00590E0F"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8963E4" w:rsidRPr="008A084A" w:rsidRDefault="00572BF9" w:rsidP="00B95DDC">
      <w:pPr>
        <w:numPr>
          <w:ilvl w:val="0"/>
          <w:numId w:val="55"/>
        </w:numPr>
        <w:jc w:val="both"/>
        <w:rPr>
          <w:rFonts w:ascii="Cambria" w:hAnsi="Cambria"/>
          <w:sz w:val="20"/>
          <w:szCs w:val="20"/>
          <w:lang w:val="es-ES"/>
        </w:rPr>
      </w:pPr>
      <w:r w:rsidRPr="008A084A">
        <w:rPr>
          <w:rFonts w:ascii="Cambria" w:hAnsi="Cambria"/>
          <w:sz w:val="20"/>
          <w:szCs w:val="20"/>
          <w:lang w:val="es-ES"/>
        </w:rPr>
        <w:t xml:space="preserve">Sostuvo que Luis Guachalá se quedó durante todo el mes de mayo </w:t>
      </w:r>
      <w:r w:rsidR="00315CC9" w:rsidRPr="008A084A">
        <w:rPr>
          <w:rFonts w:ascii="Cambria" w:hAnsi="Cambria"/>
          <w:sz w:val="20"/>
          <w:szCs w:val="20"/>
          <w:lang w:val="es-ES"/>
        </w:rPr>
        <w:t xml:space="preserve">de 2003 </w:t>
      </w:r>
      <w:r w:rsidRPr="008A084A">
        <w:rPr>
          <w:rFonts w:ascii="Cambria" w:hAnsi="Cambria"/>
          <w:sz w:val="20"/>
          <w:szCs w:val="20"/>
          <w:lang w:val="es-ES"/>
        </w:rPr>
        <w:t>en el hospital. Indicó que lo visitaba una vez cada dos días</w:t>
      </w:r>
      <w:r w:rsidR="00590E0F" w:rsidRPr="008A084A">
        <w:rPr>
          <w:rFonts w:ascii="Cambria" w:hAnsi="Cambria"/>
          <w:sz w:val="20"/>
          <w:szCs w:val="20"/>
          <w:lang w:val="es-ES"/>
        </w:rPr>
        <w:t xml:space="preserve"> durante tres horas aproximadamente</w:t>
      </w:r>
      <w:r w:rsidR="00315CC9" w:rsidRPr="008A084A">
        <w:rPr>
          <w:rFonts w:ascii="Cambria" w:hAnsi="Cambria"/>
          <w:sz w:val="20"/>
          <w:szCs w:val="20"/>
          <w:lang w:val="es-ES"/>
        </w:rPr>
        <w:t xml:space="preserve"> y </w:t>
      </w:r>
      <w:r w:rsidR="008255D2" w:rsidRPr="008A084A">
        <w:rPr>
          <w:rFonts w:ascii="Cambria" w:hAnsi="Cambria"/>
          <w:sz w:val="20"/>
          <w:szCs w:val="20"/>
          <w:lang w:val="es-ES"/>
        </w:rPr>
        <w:t>que nunca tuvo ningún problema para ingresar y conversar con su hijo. También</w:t>
      </w:r>
      <w:r w:rsidR="003723A2" w:rsidRPr="008A084A">
        <w:rPr>
          <w:rFonts w:ascii="Cambria" w:hAnsi="Cambria"/>
          <w:sz w:val="20"/>
          <w:szCs w:val="20"/>
          <w:lang w:val="es-ES"/>
        </w:rPr>
        <w:t xml:space="preserve"> señaló </w:t>
      </w:r>
      <w:r w:rsidR="008255D2" w:rsidRPr="008A084A">
        <w:rPr>
          <w:rFonts w:ascii="Cambria" w:hAnsi="Cambria"/>
          <w:sz w:val="20"/>
          <w:szCs w:val="20"/>
          <w:lang w:val="es-ES"/>
        </w:rPr>
        <w:t>que conversaba regularmente con el personal médico del hospital, quienes le indicaban cómo se encontraba el estado de salud</w:t>
      </w:r>
      <w:r w:rsidR="009326EF" w:rsidRPr="008A084A">
        <w:rPr>
          <w:rFonts w:ascii="Cambria" w:hAnsi="Cambria"/>
          <w:sz w:val="20"/>
          <w:szCs w:val="20"/>
          <w:lang w:val="es-ES"/>
        </w:rPr>
        <w:t xml:space="preserve"> de su hijo.</w:t>
      </w:r>
    </w:p>
    <w:p w:rsidR="009326EF" w:rsidRPr="008A084A" w:rsidRDefault="009326EF"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611C09" w:rsidRPr="008A084A" w:rsidRDefault="009326EF" w:rsidP="001B07CF">
      <w:pPr>
        <w:numPr>
          <w:ilvl w:val="0"/>
          <w:numId w:val="55"/>
        </w:numPr>
        <w:jc w:val="both"/>
        <w:rPr>
          <w:rFonts w:ascii="Cambria" w:hAnsi="Cambria"/>
          <w:sz w:val="20"/>
          <w:szCs w:val="20"/>
          <w:lang w:val="es-ES"/>
        </w:rPr>
      </w:pPr>
      <w:r w:rsidRPr="008A084A">
        <w:rPr>
          <w:rFonts w:ascii="Cambria" w:hAnsi="Cambria"/>
          <w:sz w:val="20"/>
          <w:szCs w:val="20"/>
          <w:lang w:val="es-ES"/>
        </w:rPr>
        <w:t>Indicó que en la primera conversación que tuvo con su hijo, éste le preguntó por qué lo había dejado en el hospital. Ella manifestó que le dijo que era para que se cure. Sostuvo que una semana después de haber sido internado, su hijo Luis le indicó que “</w:t>
      </w:r>
      <w:proofErr w:type="spellStart"/>
      <w:proofErr w:type="gramStart"/>
      <w:r w:rsidRPr="008A084A">
        <w:rPr>
          <w:rFonts w:ascii="Cambria" w:hAnsi="Cambria"/>
          <w:sz w:val="20"/>
          <w:szCs w:val="20"/>
          <w:lang w:val="es-ES"/>
        </w:rPr>
        <w:t>qu</w:t>
      </w:r>
      <w:proofErr w:type="spellEnd"/>
      <w:r w:rsidRPr="008A084A">
        <w:rPr>
          <w:rFonts w:ascii="Cambria" w:hAnsi="Cambria"/>
          <w:sz w:val="20"/>
          <w:szCs w:val="20"/>
          <w:lang w:val="es-ES"/>
        </w:rPr>
        <w:t>(</w:t>
      </w:r>
      <w:proofErr w:type="gramEnd"/>
      <w:r w:rsidRPr="008A084A">
        <w:rPr>
          <w:rFonts w:ascii="Cambria" w:hAnsi="Cambria"/>
          <w:sz w:val="20"/>
          <w:szCs w:val="20"/>
          <w:lang w:val="es-ES"/>
        </w:rPr>
        <w:t xml:space="preserve">ería) ir a la casa”. Manifestó que le dijo que “no, que debía salir sanito de allí”. </w:t>
      </w:r>
      <w:r w:rsidR="00B95DDC" w:rsidRPr="008A084A">
        <w:rPr>
          <w:rFonts w:ascii="Cambria" w:hAnsi="Cambria"/>
          <w:sz w:val="20"/>
          <w:szCs w:val="20"/>
          <w:lang w:val="es-ES"/>
        </w:rPr>
        <w:t>Sostuvo</w:t>
      </w:r>
      <w:r w:rsidRPr="008A084A">
        <w:rPr>
          <w:rFonts w:ascii="Cambria" w:hAnsi="Cambria"/>
          <w:sz w:val="20"/>
          <w:szCs w:val="20"/>
          <w:lang w:val="es-ES"/>
        </w:rPr>
        <w:t xml:space="preserve"> que después de ello “él se quedó tranquilo”. </w:t>
      </w:r>
    </w:p>
    <w:p w:rsidR="00611C09" w:rsidRPr="008A084A" w:rsidRDefault="00611C09"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9326EF" w:rsidRPr="008A084A" w:rsidRDefault="00FE3C3E" w:rsidP="00CB5425">
      <w:pPr>
        <w:numPr>
          <w:ilvl w:val="0"/>
          <w:numId w:val="55"/>
        </w:numPr>
        <w:jc w:val="both"/>
        <w:rPr>
          <w:rFonts w:ascii="Cambria" w:hAnsi="Cambria"/>
          <w:sz w:val="20"/>
          <w:szCs w:val="20"/>
          <w:lang w:val="es-ES"/>
        </w:rPr>
      </w:pPr>
      <w:r w:rsidRPr="008A084A">
        <w:rPr>
          <w:rFonts w:ascii="Cambria" w:hAnsi="Cambria"/>
          <w:sz w:val="20"/>
          <w:szCs w:val="20"/>
          <w:lang w:val="es-ES"/>
        </w:rPr>
        <w:t>La señora Chimbó sostuvo que en una ocasión su hijo le manifestó preocupado que en el hospital le pegaban a “los enfermos que están (...) más malitos”.</w:t>
      </w:r>
      <w:r w:rsidR="00611C09" w:rsidRPr="008A084A">
        <w:rPr>
          <w:rFonts w:ascii="Cambria" w:hAnsi="Cambria"/>
          <w:sz w:val="20"/>
          <w:szCs w:val="20"/>
          <w:lang w:val="es-ES"/>
        </w:rPr>
        <w:t xml:space="preserve"> Indicó que a él no lo habían golpeado.</w:t>
      </w:r>
      <w:r w:rsidR="00CB5425" w:rsidRPr="008A084A">
        <w:rPr>
          <w:rFonts w:ascii="Cambria" w:hAnsi="Cambria"/>
          <w:sz w:val="20"/>
          <w:szCs w:val="20"/>
          <w:lang w:val="es-ES"/>
        </w:rPr>
        <w:t xml:space="preserve"> </w:t>
      </w:r>
      <w:r w:rsidR="00DC582F" w:rsidRPr="008A084A">
        <w:rPr>
          <w:rFonts w:ascii="Cambria" w:hAnsi="Cambria"/>
          <w:sz w:val="20"/>
          <w:szCs w:val="20"/>
          <w:lang w:val="es-ES"/>
        </w:rPr>
        <w:t>También señaló que su hijo le indicó que “uno de los enfermos era grosero (...), le quitaba las manzanas</w:t>
      </w:r>
      <w:r w:rsidR="007D74B2" w:rsidRPr="008A084A">
        <w:rPr>
          <w:rFonts w:ascii="Cambria" w:hAnsi="Cambria"/>
          <w:sz w:val="20"/>
          <w:szCs w:val="20"/>
          <w:lang w:val="es-ES"/>
        </w:rPr>
        <w:t>, las mandarinas que (...) le dejaba</w:t>
      </w:r>
      <w:r w:rsidR="00DC582F" w:rsidRPr="008A084A">
        <w:rPr>
          <w:rFonts w:ascii="Cambria" w:hAnsi="Cambria"/>
          <w:sz w:val="20"/>
          <w:szCs w:val="20"/>
          <w:lang w:val="es-ES"/>
        </w:rPr>
        <w:t>”</w:t>
      </w:r>
      <w:r w:rsidR="007D74B2" w:rsidRPr="008A084A">
        <w:rPr>
          <w:rFonts w:ascii="Cambria" w:hAnsi="Cambria"/>
          <w:sz w:val="20"/>
          <w:szCs w:val="20"/>
          <w:lang w:val="es-ES"/>
        </w:rPr>
        <w:t>.</w:t>
      </w:r>
    </w:p>
    <w:p w:rsidR="007D74B2" w:rsidRDefault="007D74B2"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671C11" w:rsidRDefault="00671C11"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7F1975" w:rsidRPr="008A084A" w:rsidRDefault="007D74B2" w:rsidP="00CB5425">
      <w:pPr>
        <w:numPr>
          <w:ilvl w:val="0"/>
          <w:numId w:val="55"/>
        </w:numPr>
        <w:jc w:val="both"/>
        <w:rPr>
          <w:rFonts w:ascii="Cambria" w:hAnsi="Cambria"/>
          <w:sz w:val="20"/>
          <w:szCs w:val="20"/>
          <w:lang w:val="es-ES"/>
        </w:rPr>
      </w:pPr>
      <w:r w:rsidRPr="008A084A">
        <w:rPr>
          <w:rFonts w:ascii="Cambria" w:hAnsi="Cambria"/>
          <w:sz w:val="20"/>
          <w:szCs w:val="20"/>
          <w:lang w:val="es-ES"/>
        </w:rPr>
        <w:lastRenderedPageBreak/>
        <w:t xml:space="preserve">La señora Chimbó indicó que </w:t>
      </w:r>
      <w:r w:rsidR="00FC5749" w:rsidRPr="008A084A">
        <w:rPr>
          <w:rFonts w:ascii="Cambria" w:hAnsi="Cambria"/>
          <w:sz w:val="20"/>
          <w:szCs w:val="20"/>
          <w:lang w:val="es-ES"/>
        </w:rPr>
        <w:t xml:space="preserve">a fines de mayo, la doctora del hospital, Erika </w:t>
      </w:r>
      <w:proofErr w:type="spellStart"/>
      <w:r w:rsidR="00FC5749" w:rsidRPr="008A084A">
        <w:rPr>
          <w:rFonts w:ascii="Cambria" w:hAnsi="Cambria"/>
          <w:sz w:val="20"/>
          <w:szCs w:val="20"/>
          <w:lang w:val="es-ES"/>
        </w:rPr>
        <w:t>Quimbuilco</w:t>
      </w:r>
      <w:proofErr w:type="spellEnd"/>
      <w:r w:rsidR="00FC5749" w:rsidRPr="008A084A">
        <w:rPr>
          <w:rFonts w:ascii="Cambria" w:hAnsi="Cambria"/>
          <w:sz w:val="20"/>
          <w:szCs w:val="20"/>
          <w:lang w:val="es-ES"/>
        </w:rPr>
        <w:t xml:space="preserve">, le dijo que Luis sería dado de alta. </w:t>
      </w:r>
      <w:r w:rsidR="00486BA1" w:rsidRPr="008A084A">
        <w:rPr>
          <w:rFonts w:ascii="Cambria" w:hAnsi="Cambria"/>
          <w:sz w:val="20"/>
          <w:szCs w:val="20"/>
          <w:lang w:val="es-ES"/>
        </w:rPr>
        <w:t xml:space="preserve">Señaló </w:t>
      </w:r>
      <w:r w:rsidR="00FC5749" w:rsidRPr="008A084A">
        <w:rPr>
          <w:rFonts w:ascii="Cambria" w:hAnsi="Cambria"/>
          <w:sz w:val="20"/>
          <w:szCs w:val="20"/>
          <w:lang w:val="es-ES"/>
        </w:rPr>
        <w:t>que debía llevar a su hijo en junio de ese mismo año para que le hagan un nuevo examen</w:t>
      </w:r>
      <w:r w:rsidR="00486BA1" w:rsidRPr="008A084A">
        <w:rPr>
          <w:rFonts w:ascii="Cambria" w:hAnsi="Cambria"/>
          <w:sz w:val="20"/>
          <w:szCs w:val="20"/>
          <w:lang w:val="es-ES"/>
        </w:rPr>
        <w:t xml:space="preserve"> pero que no pudo llevarlo por falta de dinero. Indicó</w:t>
      </w:r>
      <w:r w:rsidR="007F1975" w:rsidRPr="008A084A">
        <w:rPr>
          <w:rFonts w:ascii="Cambria" w:hAnsi="Cambria"/>
          <w:sz w:val="20"/>
          <w:szCs w:val="20"/>
          <w:lang w:val="es-ES"/>
        </w:rPr>
        <w:t xml:space="preserve"> que no hubo seguimiento por parte del personal médico ni de trabajo social del hospital.</w:t>
      </w:r>
    </w:p>
    <w:p w:rsidR="007F1975" w:rsidRPr="008A084A" w:rsidRDefault="007F1975"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4C60F1" w:rsidRPr="008A084A" w:rsidRDefault="007F1975" w:rsidP="00CB5425">
      <w:pPr>
        <w:numPr>
          <w:ilvl w:val="0"/>
          <w:numId w:val="55"/>
        </w:numPr>
        <w:jc w:val="both"/>
        <w:rPr>
          <w:rFonts w:ascii="Cambria" w:hAnsi="Cambria"/>
          <w:sz w:val="20"/>
          <w:szCs w:val="20"/>
          <w:lang w:val="es-ES"/>
        </w:rPr>
      </w:pPr>
      <w:r w:rsidRPr="008A084A">
        <w:rPr>
          <w:rFonts w:ascii="Cambria" w:hAnsi="Cambria"/>
          <w:sz w:val="20"/>
          <w:szCs w:val="20"/>
          <w:lang w:val="es-ES"/>
        </w:rPr>
        <w:t>La señora Chimbó manifestó que para diciembre de 2003 las crisis de su hijo regresaron y se agravaron. Sostuvo que a inicios de enero de 2004</w:t>
      </w:r>
      <w:r w:rsidR="004C60F1" w:rsidRPr="008A084A">
        <w:rPr>
          <w:rFonts w:ascii="Cambria" w:hAnsi="Cambria"/>
          <w:sz w:val="20"/>
          <w:szCs w:val="20"/>
          <w:lang w:val="es-ES"/>
        </w:rPr>
        <w:t xml:space="preserve"> sucedió lo siguiente con su hijo</w:t>
      </w:r>
      <w:r w:rsidRPr="008A084A">
        <w:rPr>
          <w:rFonts w:ascii="Cambria" w:hAnsi="Cambria"/>
          <w:sz w:val="20"/>
          <w:szCs w:val="20"/>
          <w:lang w:val="es-ES"/>
        </w:rPr>
        <w:t xml:space="preserve"> Luis</w:t>
      </w:r>
      <w:r w:rsidR="004C60F1" w:rsidRPr="008A084A">
        <w:rPr>
          <w:rFonts w:ascii="Cambria" w:hAnsi="Cambria"/>
          <w:sz w:val="20"/>
          <w:szCs w:val="20"/>
          <w:lang w:val="es-ES"/>
        </w:rPr>
        <w:t>:</w:t>
      </w:r>
    </w:p>
    <w:p w:rsidR="004C60F1" w:rsidRPr="008A084A" w:rsidRDefault="004C60F1"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7D74B2" w:rsidRPr="008A084A" w:rsidRDefault="004C60F1" w:rsidP="0077746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r w:rsidRPr="008A084A">
        <w:rPr>
          <w:rFonts w:ascii="Cambria" w:hAnsi="Cambria"/>
          <w:color w:val="auto"/>
          <w:sz w:val="20"/>
          <w:szCs w:val="20"/>
        </w:rPr>
        <w:t xml:space="preserve">(...) </w:t>
      </w:r>
      <w:r w:rsidR="007F1975" w:rsidRPr="008A084A">
        <w:rPr>
          <w:rFonts w:ascii="Cambria" w:hAnsi="Cambria"/>
          <w:color w:val="auto"/>
          <w:sz w:val="20"/>
          <w:szCs w:val="20"/>
        </w:rPr>
        <w:t>empezó a reírse solo, a mirar al techo</w:t>
      </w:r>
      <w:r w:rsidRPr="008A084A">
        <w:rPr>
          <w:rFonts w:ascii="Cambria" w:hAnsi="Cambria"/>
          <w:color w:val="auto"/>
          <w:sz w:val="20"/>
          <w:szCs w:val="20"/>
        </w:rPr>
        <w:t>, cogía las cosas y se les quedaba mirando, como ido, como ausente, no se daba cuenta de que estaba con otras personas, se hacía sus necesidades en el pantalón, no avisaba, yo debía bañarle (...). Se puso agresivo también y desde el siete de enero ya no comía nada más (...). Las crisis epilépticas le daban cada media hora desde el ocho de enero (...). El nueve de enero amaneció más mal, ya no reconocía a nadie, las crisis continuaban, estaba agresivo, en un momento que me empujó a mí, parece que se dio</w:t>
      </w:r>
      <w:r w:rsidR="0077746B" w:rsidRPr="008A084A">
        <w:rPr>
          <w:rFonts w:ascii="Cambria" w:hAnsi="Cambria"/>
          <w:color w:val="auto"/>
          <w:sz w:val="20"/>
          <w:szCs w:val="20"/>
        </w:rPr>
        <w:t xml:space="preserve"> cuent</w:t>
      </w:r>
      <w:r w:rsidR="004D32FF" w:rsidRPr="008A084A">
        <w:rPr>
          <w:rFonts w:ascii="Cambria" w:hAnsi="Cambria"/>
          <w:color w:val="auto"/>
          <w:sz w:val="20"/>
          <w:szCs w:val="20"/>
        </w:rPr>
        <w:t>a, se quedó quieto y le salieron lágrimas, no comió nada.</w:t>
      </w:r>
    </w:p>
    <w:p w:rsidR="0097393D" w:rsidRPr="008A084A" w:rsidRDefault="0097393D"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A17F16" w:rsidRPr="008A084A" w:rsidRDefault="00A17F16" w:rsidP="00B329C1">
      <w:pPr>
        <w:pStyle w:val="Heading2"/>
        <w:numPr>
          <w:ilvl w:val="0"/>
          <w:numId w:val="59"/>
        </w:numPr>
        <w:spacing w:before="0" w:after="0"/>
        <w:ind w:left="1440" w:hanging="720"/>
        <w:jc w:val="both"/>
        <w:rPr>
          <w:rFonts w:ascii="Cambria" w:hAnsi="Cambria"/>
          <w:i w:val="0"/>
          <w:sz w:val="20"/>
          <w:szCs w:val="20"/>
          <w:lang w:val="es-ES"/>
        </w:rPr>
      </w:pPr>
      <w:bookmarkStart w:id="23" w:name="_Toc525547504"/>
      <w:r w:rsidRPr="008A084A">
        <w:rPr>
          <w:rFonts w:ascii="Cambria" w:hAnsi="Cambria"/>
          <w:i w:val="0"/>
          <w:sz w:val="20"/>
          <w:szCs w:val="20"/>
          <w:lang w:val="es-ES"/>
        </w:rPr>
        <w:t>Sobre el ingreso de Luis Guachalá</w:t>
      </w:r>
      <w:r w:rsidR="004D32FF" w:rsidRPr="008A084A">
        <w:rPr>
          <w:rFonts w:ascii="Cambria" w:hAnsi="Cambria"/>
          <w:i w:val="0"/>
          <w:sz w:val="20"/>
          <w:szCs w:val="20"/>
          <w:lang w:val="es-ES"/>
        </w:rPr>
        <w:t xml:space="preserve"> al Hospital Psiquiátrico Julio Endara en enero de 2004</w:t>
      </w:r>
      <w:bookmarkEnd w:id="23"/>
    </w:p>
    <w:p w:rsidR="00C56A2E" w:rsidRPr="008A084A" w:rsidRDefault="00C56A2E"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9A697D" w:rsidRPr="008A084A" w:rsidRDefault="00FC1D50" w:rsidP="0077693C">
      <w:pPr>
        <w:numPr>
          <w:ilvl w:val="0"/>
          <w:numId w:val="55"/>
        </w:numPr>
        <w:jc w:val="both"/>
        <w:rPr>
          <w:rFonts w:ascii="Cambria" w:hAnsi="Cambria"/>
          <w:sz w:val="20"/>
          <w:szCs w:val="20"/>
          <w:lang w:val="es-ES"/>
        </w:rPr>
      </w:pPr>
      <w:r w:rsidRPr="008A084A">
        <w:rPr>
          <w:rFonts w:ascii="Cambria" w:hAnsi="Cambria"/>
          <w:sz w:val="20"/>
          <w:szCs w:val="20"/>
          <w:lang w:val="es-ES"/>
        </w:rPr>
        <w:t>El 10 de enero de 2004 la señora Chimbó</w:t>
      </w:r>
      <w:r w:rsidR="00B809F6" w:rsidRPr="008A084A">
        <w:rPr>
          <w:rFonts w:ascii="Cambria" w:hAnsi="Cambria"/>
          <w:sz w:val="20"/>
          <w:szCs w:val="20"/>
          <w:lang w:val="es-ES"/>
        </w:rPr>
        <w:t xml:space="preserve"> </w:t>
      </w:r>
      <w:r w:rsidR="008C01A8" w:rsidRPr="008A084A">
        <w:rPr>
          <w:rFonts w:ascii="Cambria" w:hAnsi="Cambria"/>
          <w:sz w:val="20"/>
          <w:szCs w:val="20"/>
          <w:lang w:val="es-ES"/>
        </w:rPr>
        <w:t xml:space="preserve">llevó </w:t>
      </w:r>
      <w:r w:rsidR="00CB5425" w:rsidRPr="008A084A">
        <w:rPr>
          <w:rFonts w:ascii="Cambria" w:hAnsi="Cambria"/>
          <w:sz w:val="20"/>
          <w:szCs w:val="20"/>
          <w:lang w:val="es-ES"/>
        </w:rPr>
        <w:t xml:space="preserve">nuevamente </w:t>
      </w:r>
      <w:r w:rsidR="008C01A8" w:rsidRPr="008A084A">
        <w:rPr>
          <w:rFonts w:ascii="Cambria" w:hAnsi="Cambria"/>
          <w:sz w:val="20"/>
          <w:szCs w:val="20"/>
          <w:lang w:val="es-ES"/>
        </w:rPr>
        <w:t>a su hijo</w:t>
      </w:r>
      <w:r w:rsidR="00B809F6" w:rsidRPr="008A084A">
        <w:rPr>
          <w:rFonts w:ascii="Cambria" w:hAnsi="Cambria"/>
          <w:sz w:val="20"/>
          <w:szCs w:val="20"/>
          <w:lang w:val="es-ES"/>
        </w:rPr>
        <w:t xml:space="preserve"> al Hospital Psiquiátrico Julio Endara</w:t>
      </w:r>
      <w:r w:rsidR="00B809F6" w:rsidRPr="008A084A">
        <w:rPr>
          <w:rStyle w:val="FootnoteReference"/>
          <w:rFonts w:ascii="Cambria" w:hAnsi="Cambria"/>
          <w:sz w:val="20"/>
          <w:szCs w:val="20"/>
        </w:rPr>
        <w:footnoteReference w:id="29"/>
      </w:r>
      <w:r w:rsidR="00B809F6" w:rsidRPr="008A084A">
        <w:rPr>
          <w:rFonts w:ascii="Cambria" w:hAnsi="Cambria"/>
          <w:sz w:val="20"/>
          <w:szCs w:val="20"/>
          <w:lang w:val="es-ES"/>
        </w:rPr>
        <w:t>.</w:t>
      </w:r>
      <w:r w:rsidR="005B246E" w:rsidRPr="008A084A">
        <w:rPr>
          <w:rFonts w:ascii="Cambria" w:hAnsi="Cambria"/>
          <w:sz w:val="20"/>
          <w:szCs w:val="20"/>
          <w:lang w:val="es-ES"/>
        </w:rPr>
        <w:t xml:space="preserve"> </w:t>
      </w:r>
      <w:r w:rsidR="008E20B3" w:rsidRPr="008A084A">
        <w:rPr>
          <w:rFonts w:ascii="Cambria" w:hAnsi="Cambria"/>
          <w:sz w:val="20"/>
          <w:szCs w:val="20"/>
          <w:lang w:val="es-ES"/>
        </w:rPr>
        <w:t>El señor Guachalá fue recibido por el médico residente de turno y personal de enfermería</w:t>
      </w:r>
      <w:r w:rsidR="008E20B3" w:rsidRPr="008A084A">
        <w:rPr>
          <w:rStyle w:val="FootnoteReference"/>
          <w:rFonts w:ascii="Cambria" w:hAnsi="Cambria"/>
          <w:sz w:val="20"/>
          <w:szCs w:val="20"/>
        </w:rPr>
        <w:footnoteReference w:id="30"/>
      </w:r>
      <w:r w:rsidR="008E20B3" w:rsidRPr="008A084A">
        <w:rPr>
          <w:rFonts w:ascii="Cambria" w:hAnsi="Cambria"/>
          <w:sz w:val="20"/>
          <w:szCs w:val="20"/>
          <w:lang w:val="es-ES"/>
        </w:rPr>
        <w:t>. De acuerdo al informe de la institución, el motivo de su ingreso se debió a los siguientes factores: “agresividad física y verbal, impulsividad, conducta discordante, insomnio, mutismo, actitudes alucinatorias, crisis convulsivas (...) generalizadas”</w:t>
      </w:r>
      <w:r w:rsidR="008E20B3" w:rsidRPr="008A084A">
        <w:rPr>
          <w:rStyle w:val="FootnoteReference"/>
          <w:rFonts w:ascii="Cambria" w:hAnsi="Cambria"/>
          <w:sz w:val="20"/>
          <w:szCs w:val="20"/>
        </w:rPr>
        <w:footnoteReference w:id="31"/>
      </w:r>
      <w:r w:rsidR="008E20B3" w:rsidRPr="008A084A">
        <w:rPr>
          <w:rFonts w:ascii="Cambria" w:hAnsi="Cambria"/>
          <w:sz w:val="20"/>
          <w:szCs w:val="20"/>
          <w:lang w:val="es-ES"/>
        </w:rPr>
        <w:t>.</w:t>
      </w:r>
      <w:r w:rsidR="00FF59B9" w:rsidRPr="008A084A">
        <w:rPr>
          <w:rFonts w:ascii="Cambria" w:hAnsi="Cambria"/>
          <w:sz w:val="20"/>
          <w:szCs w:val="20"/>
          <w:lang w:val="es-ES"/>
        </w:rPr>
        <w:t xml:space="preserve"> Se indicó que desde hac</w:t>
      </w:r>
      <w:r w:rsidR="00EE3F98" w:rsidRPr="008A084A">
        <w:rPr>
          <w:rFonts w:ascii="Cambria" w:hAnsi="Cambria"/>
          <w:sz w:val="20"/>
          <w:szCs w:val="20"/>
          <w:lang w:val="es-ES"/>
        </w:rPr>
        <w:t>ía</w:t>
      </w:r>
      <w:r w:rsidR="00FF59B9" w:rsidRPr="008A084A">
        <w:rPr>
          <w:rFonts w:ascii="Cambria" w:hAnsi="Cambria"/>
          <w:sz w:val="20"/>
          <w:szCs w:val="20"/>
          <w:lang w:val="es-ES"/>
        </w:rPr>
        <w:t xml:space="preserve"> una semana el señor Guachalá suspendió la toma de los medicamentos prescritos por lo que hubo una “reaparición del cuadro psicopatológico”</w:t>
      </w:r>
      <w:r w:rsidR="00FF59B9" w:rsidRPr="008A084A">
        <w:rPr>
          <w:rStyle w:val="FootnoteReference"/>
          <w:rFonts w:ascii="Cambria" w:hAnsi="Cambria"/>
          <w:sz w:val="20"/>
          <w:szCs w:val="20"/>
        </w:rPr>
        <w:footnoteReference w:id="32"/>
      </w:r>
      <w:r w:rsidR="00FF59B9" w:rsidRPr="008A084A">
        <w:rPr>
          <w:rFonts w:ascii="Cambria" w:hAnsi="Cambria"/>
          <w:sz w:val="20"/>
          <w:szCs w:val="20"/>
          <w:lang w:val="es-ES"/>
        </w:rPr>
        <w:t>.</w:t>
      </w:r>
    </w:p>
    <w:p w:rsidR="00720920" w:rsidRPr="008A084A" w:rsidRDefault="00720920"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E712C7" w:rsidRPr="008A084A" w:rsidRDefault="00720920" w:rsidP="00CB5425">
      <w:pPr>
        <w:numPr>
          <w:ilvl w:val="0"/>
          <w:numId w:val="55"/>
        </w:numPr>
        <w:jc w:val="both"/>
        <w:rPr>
          <w:rFonts w:ascii="Cambria" w:hAnsi="Cambria"/>
          <w:sz w:val="20"/>
          <w:szCs w:val="20"/>
          <w:lang w:val="es-ES"/>
        </w:rPr>
      </w:pPr>
      <w:r w:rsidRPr="008A084A">
        <w:rPr>
          <w:rFonts w:ascii="Cambria" w:hAnsi="Cambria"/>
          <w:sz w:val="20"/>
          <w:szCs w:val="20"/>
          <w:lang w:val="es-ES"/>
        </w:rPr>
        <w:t>La señ</w:t>
      </w:r>
      <w:r w:rsidR="00E712C7" w:rsidRPr="008A084A">
        <w:rPr>
          <w:rFonts w:ascii="Cambria" w:hAnsi="Cambria"/>
          <w:sz w:val="20"/>
          <w:szCs w:val="20"/>
          <w:lang w:val="es-ES"/>
        </w:rPr>
        <w:t>ora Chimbó indicó que firmó un documento</w:t>
      </w:r>
      <w:r w:rsidRPr="008A084A">
        <w:rPr>
          <w:rFonts w:ascii="Cambria" w:hAnsi="Cambria"/>
          <w:sz w:val="20"/>
          <w:szCs w:val="20"/>
          <w:lang w:val="es-ES"/>
        </w:rPr>
        <w:t xml:space="preserve"> a efectos de responsabilizarse en la compra de medicamentos</w:t>
      </w:r>
      <w:r w:rsidRPr="008A084A">
        <w:rPr>
          <w:rStyle w:val="FootnoteReference"/>
          <w:rFonts w:ascii="Cambria" w:hAnsi="Cambria"/>
          <w:sz w:val="20"/>
          <w:szCs w:val="20"/>
        </w:rPr>
        <w:footnoteReference w:id="33"/>
      </w:r>
      <w:r w:rsidRPr="008A084A">
        <w:rPr>
          <w:rFonts w:ascii="Cambria" w:hAnsi="Cambria"/>
          <w:sz w:val="20"/>
          <w:szCs w:val="20"/>
          <w:lang w:val="es-ES"/>
        </w:rPr>
        <w:t>.</w:t>
      </w:r>
      <w:r w:rsidR="004E18C9" w:rsidRPr="008A084A">
        <w:rPr>
          <w:rFonts w:ascii="Cambria" w:hAnsi="Cambria"/>
          <w:sz w:val="20"/>
          <w:szCs w:val="20"/>
          <w:lang w:val="es-ES"/>
        </w:rPr>
        <w:t xml:space="preserve"> </w:t>
      </w:r>
      <w:r w:rsidR="00D64776" w:rsidRPr="008A084A">
        <w:rPr>
          <w:rFonts w:ascii="Cambria" w:hAnsi="Cambria"/>
          <w:sz w:val="20"/>
          <w:szCs w:val="20"/>
          <w:lang w:val="es-ES"/>
        </w:rPr>
        <w:t>También sostuvo que pagó la suma de $10</w:t>
      </w:r>
      <w:r w:rsidR="00CB5425" w:rsidRPr="008A084A">
        <w:rPr>
          <w:rFonts w:ascii="Cambria" w:hAnsi="Cambria"/>
          <w:sz w:val="20"/>
          <w:szCs w:val="20"/>
          <w:lang w:val="es-ES"/>
        </w:rPr>
        <w:t>.00</w:t>
      </w:r>
      <w:r w:rsidR="00D64776" w:rsidRPr="008A084A">
        <w:rPr>
          <w:rStyle w:val="FootnoteReference"/>
          <w:rFonts w:ascii="Cambria" w:hAnsi="Cambria"/>
          <w:sz w:val="20"/>
          <w:szCs w:val="20"/>
        </w:rPr>
        <w:footnoteReference w:id="34"/>
      </w:r>
      <w:r w:rsidR="00D64776" w:rsidRPr="008A084A">
        <w:rPr>
          <w:rFonts w:ascii="Cambria" w:hAnsi="Cambria"/>
          <w:sz w:val="20"/>
          <w:szCs w:val="20"/>
          <w:lang w:val="es-ES"/>
        </w:rPr>
        <w:t xml:space="preserve">. </w:t>
      </w:r>
      <w:r w:rsidR="00E712C7" w:rsidRPr="008A084A">
        <w:rPr>
          <w:rFonts w:ascii="Cambria" w:hAnsi="Cambria"/>
          <w:sz w:val="20"/>
          <w:szCs w:val="20"/>
          <w:lang w:val="es-ES"/>
        </w:rPr>
        <w:t>El documento firmado por la señora Chimbó señala lo siguiente:</w:t>
      </w:r>
    </w:p>
    <w:p w:rsidR="002125A0" w:rsidRPr="008A084A" w:rsidRDefault="002125A0" w:rsidP="00FA52DE">
      <w:pPr>
        <w:pStyle w:val="ColorfulList-Accent11"/>
        <w:ind w:right="1440"/>
        <w:jc w:val="both"/>
        <w:rPr>
          <w:rFonts w:ascii="Cambria" w:hAnsi="Cambria"/>
          <w:sz w:val="20"/>
          <w:szCs w:val="20"/>
          <w:lang w:val="es-ES"/>
        </w:rPr>
      </w:pPr>
    </w:p>
    <w:p w:rsidR="00E712C7" w:rsidRPr="008A084A" w:rsidRDefault="00E712C7" w:rsidP="00576977">
      <w:pPr>
        <w:pStyle w:val="ColorfulList-Accent11"/>
        <w:ind w:right="720"/>
        <w:jc w:val="both"/>
        <w:rPr>
          <w:rFonts w:ascii="Cambria" w:hAnsi="Cambria"/>
          <w:sz w:val="20"/>
          <w:szCs w:val="20"/>
          <w:lang w:val="es-ES"/>
        </w:rPr>
      </w:pPr>
      <w:r w:rsidRPr="008A084A">
        <w:rPr>
          <w:rFonts w:ascii="Cambria" w:hAnsi="Cambria"/>
          <w:sz w:val="20"/>
          <w:szCs w:val="20"/>
          <w:lang w:val="es-ES"/>
        </w:rPr>
        <w:t xml:space="preserve">Los suscritos (…) Rosario Chimbó (…) autorizamos a los médicos del hospital realizar los tratamientos que creyeren convenientes en la persona de Luis Eduardo Guachalá </w:t>
      </w:r>
      <w:r w:rsidR="002125A0" w:rsidRPr="008A084A">
        <w:rPr>
          <w:rFonts w:ascii="Cambria" w:hAnsi="Cambria"/>
          <w:sz w:val="20"/>
          <w:szCs w:val="20"/>
          <w:lang w:val="es-ES"/>
        </w:rPr>
        <w:t>Chimbó</w:t>
      </w:r>
      <w:r w:rsidRPr="008A084A">
        <w:rPr>
          <w:rFonts w:ascii="Cambria" w:hAnsi="Cambria"/>
          <w:sz w:val="20"/>
          <w:szCs w:val="20"/>
          <w:lang w:val="es-ES"/>
        </w:rPr>
        <w:t xml:space="preserve"> de cuyos riesgos estamos enterados. </w:t>
      </w:r>
    </w:p>
    <w:p w:rsidR="00E712C7" w:rsidRPr="008A084A" w:rsidRDefault="00E712C7" w:rsidP="00576977">
      <w:pPr>
        <w:pStyle w:val="ColorfulList-Accent11"/>
        <w:ind w:right="720"/>
        <w:jc w:val="both"/>
        <w:rPr>
          <w:rFonts w:ascii="Cambria" w:hAnsi="Cambria"/>
          <w:sz w:val="20"/>
          <w:szCs w:val="20"/>
          <w:lang w:val="es-ES"/>
        </w:rPr>
      </w:pPr>
      <w:r w:rsidRPr="008A084A">
        <w:rPr>
          <w:rFonts w:ascii="Cambria" w:hAnsi="Cambria"/>
          <w:sz w:val="20"/>
          <w:szCs w:val="20"/>
          <w:lang w:val="es-ES"/>
        </w:rPr>
        <w:t xml:space="preserve">Nos comprometemos a colaborar con los medicamentos </w:t>
      </w:r>
      <w:r w:rsidR="00FA52DE" w:rsidRPr="008A084A">
        <w:rPr>
          <w:rFonts w:ascii="Cambria" w:hAnsi="Cambria"/>
          <w:sz w:val="20"/>
          <w:szCs w:val="20"/>
          <w:lang w:val="es-ES"/>
        </w:rPr>
        <w:t>que fueren necesarios, además velaremos por el paciente durante el tiempo de permanencia en esta casa de salud, visitándolo de acuerdo a la frecuencia que aconsejen los médicos tratantes y dotándole de los elementos indispensables para su vestuario y cuidado personal.</w:t>
      </w:r>
    </w:p>
    <w:p w:rsidR="00FA52DE" w:rsidRPr="008A084A" w:rsidRDefault="00FA52DE" w:rsidP="00576977">
      <w:pPr>
        <w:pStyle w:val="ColorfulList-Accent11"/>
        <w:ind w:right="720"/>
        <w:jc w:val="both"/>
        <w:rPr>
          <w:rFonts w:ascii="Cambria" w:hAnsi="Cambria"/>
          <w:sz w:val="20"/>
          <w:szCs w:val="20"/>
          <w:lang w:val="es-ES"/>
        </w:rPr>
      </w:pPr>
      <w:r w:rsidRPr="008A084A">
        <w:rPr>
          <w:rFonts w:ascii="Cambria" w:hAnsi="Cambria"/>
          <w:sz w:val="20"/>
          <w:szCs w:val="20"/>
          <w:lang w:val="es-ES"/>
        </w:rPr>
        <w:t xml:space="preserve">Conocemos que el hospital </w:t>
      </w:r>
      <w:proofErr w:type="spellStart"/>
      <w:r w:rsidRPr="008A084A">
        <w:rPr>
          <w:rFonts w:ascii="Cambria" w:hAnsi="Cambria"/>
          <w:sz w:val="20"/>
          <w:szCs w:val="20"/>
          <w:lang w:val="es-ES"/>
        </w:rPr>
        <w:t>prevee</w:t>
      </w:r>
      <w:proofErr w:type="spellEnd"/>
      <w:r w:rsidR="00AE1572" w:rsidRPr="008A084A">
        <w:rPr>
          <w:rFonts w:ascii="Cambria" w:hAnsi="Cambria"/>
          <w:sz w:val="20"/>
          <w:szCs w:val="20"/>
          <w:lang w:val="es-ES"/>
        </w:rPr>
        <w:t xml:space="preserve"> (sic)</w:t>
      </w:r>
      <w:r w:rsidRPr="008A084A">
        <w:rPr>
          <w:rFonts w:ascii="Cambria" w:hAnsi="Cambria"/>
          <w:sz w:val="20"/>
          <w:szCs w:val="20"/>
          <w:lang w:val="es-ES"/>
        </w:rPr>
        <w:t xml:space="preserve"> toda la posibilidad de fuga y accidente, pero que en caso de llegarse a suceder no se hace responsable de las consecuencias</w:t>
      </w:r>
      <w:r w:rsidRPr="008A084A">
        <w:rPr>
          <w:rStyle w:val="FootnoteReference"/>
          <w:rFonts w:ascii="Cambria" w:hAnsi="Cambria"/>
          <w:sz w:val="20"/>
          <w:szCs w:val="20"/>
          <w:lang w:val="es-ES"/>
        </w:rPr>
        <w:footnoteReference w:id="35"/>
      </w:r>
      <w:r w:rsidRPr="008A084A">
        <w:rPr>
          <w:rFonts w:ascii="Cambria" w:hAnsi="Cambria"/>
          <w:sz w:val="20"/>
          <w:szCs w:val="20"/>
          <w:lang w:val="es-ES"/>
        </w:rPr>
        <w:t xml:space="preserve">. </w:t>
      </w:r>
    </w:p>
    <w:p w:rsidR="00E712C7" w:rsidRPr="008A084A" w:rsidRDefault="00E712C7" w:rsidP="00FA52DE">
      <w:pPr>
        <w:pStyle w:val="ColorfulList-Accent11"/>
        <w:ind w:left="0"/>
        <w:rPr>
          <w:rFonts w:ascii="Cambria" w:hAnsi="Cambria"/>
          <w:sz w:val="20"/>
          <w:szCs w:val="20"/>
          <w:lang w:val="es-ES"/>
        </w:rPr>
      </w:pPr>
    </w:p>
    <w:p w:rsidR="00720920" w:rsidRPr="008A084A" w:rsidRDefault="00FA52DE" w:rsidP="00CB5425">
      <w:pPr>
        <w:numPr>
          <w:ilvl w:val="0"/>
          <w:numId w:val="55"/>
        </w:numPr>
        <w:jc w:val="both"/>
        <w:rPr>
          <w:rFonts w:ascii="Cambria" w:hAnsi="Cambria"/>
          <w:sz w:val="20"/>
          <w:szCs w:val="20"/>
          <w:lang w:val="es-ES"/>
        </w:rPr>
      </w:pPr>
      <w:r w:rsidRPr="008A084A">
        <w:rPr>
          <w:rFonts w:ascii="Cambria" w:hAnsi="Cambria"/>
          <w:sz w:val="20"/>
          <w:szCs w:val="20"/>
          <w:lang w:val="es-ES"/>
        </w:rPr>
        <w:t xml:space="preserve">La señora </w:t>
      </w:r>
      <w:r w:rsidR="002125A0" w:rsidRPr="008A084A">
        <w:rPr>
          <w:rFonts w:ascii="Cambria" w:hAnsi="Cambria"/>
          <w:sz w:val="20"/>
          <w:szCs w:val="20"/>
          <w:lang w:val="es-ES"/>
        </w:rPr>
        <w:t>Chimbó</w:t>
      </w:r>
      <w:r w:rsidRPr="008A084A">
        <w:rPr>
          <w:rFonts w:ascii="Cambria" w:hAnsi="Cambria"/>
          <w:sz w:val="20"/>
          <w:szCs w:val="20"/>
          <w:lang w:val="es-ES"/>
        </w:rPr>
        <w:t xml:space="preserve"> i</w:t>
      </w:r>
      <w:r w:rsidR="003955D7" w:rsidRPr="008A084A">
        <w:rPr>
          <w:rFonts w:ascii="Cambria" w:hAnsi="Cambria"/>
          <w:sz w:val="20"/>
          <w:szCs w:val="20"/>
          <w:lang w:val="es-ES"/>
        </w:rPr>
        <w:t>ndicó que ella acompañó a su hijo a una sala donde había seis camas</w:t>
      </w:r>
      <w:r w:rsidR="003955D7" w:rsidRPr="008A084A">
        <w:rPr>
          <w:rStyle w:val="FootnoteReference"/>
          <w:rFonts w:ascii="Cambria" w:hAnsi="Cambria"/>
          <w:sz w:val="20"/>
          <w:szCs w:val="20"/>
        </w:rPr>
        <w:footnoteReference w:id="36"/>
      </w:r>
      <w:r w:rsidR="003955D7" w:rsidRPr="008A084A">
        <w:rPr>
          <w:rFonts w:ascii="Cambria" w:hAnsi="Cambria"/>
          <w:sz w:val="20"/>
          <w:szCs w:val="20"/>
          <w:lang w:val="es-ES"/>
        </w:rPr>
        <w:t>. Manifestó que sólo una estaba ocupada por una persona “que estaba como muertito”</w:t>
      </w:r>
      <w:r w:rsidR="003955D7" w:rsidRPr="008A084A">
        <w:rPr>
          <w:rStyle w:val="FootnoteReference"/>
          <w:rFonts w:ascii="Cambria" w:hAnsi="Cambria"/>
          <w:sz w:val="20"/>
          <w:szCs w:val="20"/>
        </w:rPr>
        <w:footnoteReference w:id="37"/>
      </w:r>
      <w:r w:rsidR="003955D7" w:rsidRPr="008A084A">
        <w:rPr>
          <w:rFonts w:ascii="Cambria" w:hAnsi="Cambria"/>
          <w:sz w:val="20"/>
          <w:szCs w:val="20"/>
          <w:lang w:val="es-ES"/>
        </w:rPr>
        <w:t>.</w:t>
      </w:r>
      <w:r w:rsidR="002272F6" w:rsidRPr="008A084A">
        <w:rPr>
          <w:rFonts w:ascii="Cambria" w:hAnsi="Cambria"/>
          <w:sz w:val="20"/>
          <w:szCs w:val="20"/>
          <w:lang w:val="es-ES"/>
        </w:rPr>
        <w:t xml:space="preserve"> Sostuvo que el médico le ordenó a un enfermero que inyecte un calmante al señor Guachalá</w:t>
      </w:r>
      <w:r w:rsidR="002272F6" w:rsidRPr="008A084A">
        <w:rPr>
          <w:rStyle w:val="FootnoteReference"/>
          <w:rFonts w:ascii="Cambria" w:hAnsi="Cambria"/>
          <w:sz w:val="20"/>
          <w:szCs w:val="20"/>
        </w:rPr>
        <w:footnoteReference w:id="38"/>
      </w:r>
      <w:r w:rsidR="002272F6" w:rsidRPr="008A084A">
        <w:rPr>
          <w:rFonts w:ascii="Cambria" w:hAnsi="Cambria"/>
          <w:sz w:val="20"/>
          <w:szCs w:val="20"/>
          <w:lang w:val="es-ES"/>
        </w:rPr>
        <w:t>. Agregó que el enfermero que estaba en la sala tenía olor “como que había tomado alcohol recién”</w:t>
      </w:r>
      <w:r w:rsidR="002272F6" w:rsidRPr="008A084A">
        <w:rPr>
          <w:rStyle w:val="FootnoteReference"/>
          <w:rFonts w:ascii="Cambria" w:hAnsi="Cambria"/>
          <w:sz w:val="20"/>
          <w:szCs w:val="20"/>
        </w:rPr>
        <w:footnoteReference w:id="39"/>
      </w:r>
      <w:r w:rsidR="002272F6" w:rsidRPr="008A084A">
        <w:rPr>
          <w:rFonts w:ascii="Cambria" w:hAnsi="Cambria"/>
          <w:sz w:val="20"/>
          <w:szCs w:val="20"/>
          <w:lang w:val="es-ES"/>
        </w:rPr>
        <w:t xml:space="preserve">. Sostuvo que dicho enfermero estaba </w:t>
      </w:r>
      <w:r w:rsidR="002272F6" w:rsidRPr="008A084A">
        <w:rPr>
          <w:rFonts w:ascii="Cambria" w:hAnsi="Cambria"/>
          <w:sz w:val="20"/>
          <w:szCs w:val="20"/>
          <w:lang w:val="es-ES"/>
        </w:rPr>
        <w:lastRenderedPageBreak/>
        <w:t>temblando y “pinchó (a su hijo) m</w:t>
      </w:r>
      <w:r w:rsidR="007B0F47" w:rsidRPr="008A084A">
        <w:rPr>
          <w:rFonts w:ascii="Cambria" w:hAnsi="Cambria"/>
          <w:sz w:val="20"/>
          <w:szCs w:val="20"/>
          <w:lang w:val="es-ES"/>
        </w:rPr>
        <w:t>ás de seis veces en un brazo (...) (porque) no encontraba la vena</w:t>
      </w:r>
      <w:r w:rsidR="002272F6" w:rsidRPr="008A084A">
        <w:rPr>
          <w:rFonts w:ascii="Cambria" w:hAnsi="Cambria"/>
          <w:sz w:val="20"/>
          <w:szCs w:val="20"/>
          <w:lang w:val="es-ES"/>
        </w:rPr>
        <w:t>”</w:t>
      </w:r>
      <w:r w:rsidR="007B0F47" w:rsidRPr="008A084A">
        <w:rPr>
          <w:rStyle w:val="FootnoteReference"/>
          <w:rFonts w:ascii="Cambria" w:hAnsi="Cambria"/>
          <w:sz w:val="20"/>
          <w:szCs w:val="20"/>
        </w:rPr>
        <w:footnoteReference w:id="40"/>
      </w:r>
      <w:r w:rsidR="007B0F47" w:rsidRPr="008A084A">
        <w:rPr>
          <w:rFonts w:ascii="Cambria" w:hAnsi="Cambria"/>
          <w:sz w:val="20"/>
          <w:szCs w:val="20"/>
          <w:lang w:val="es-ES"/>
        </w:rPr>
        <w:t>.</w:t>
      </w:r>
      <w:r w:rsidR="00CE3A26" w:rsidRPr="008A084A">
        <w:rPr>
          <w:rFonts w:ascii="Cambria" w:hAnsi="Cambria"/>
          <w:sz w:val="20"/>
          <w:szCs w:val="20"/>
          <w:lang w:val="es-ES"/>
        </w:rPr>
        <w:t xml:space="preserve"> Sostuvo que una vez que lo inyectó correctamente su hijo Luis “se quedó ya como muertito, no como en la primera vez que le llevé en mayo cuando le pusieron la inyección”</w:t>
      </w:r>
      <w:r w:rsidR="00CE3A26" w:rsidRPr="008A084A">
        <w:rPr>
          <w:rStyle w:val="FootnoteReference"/>
          <w:rFonts w:ascii="Cambria" w:hAnsi="Cambria"/>
          <w:sz w:val="20"/>
          <w:szCs w:val="20"/>
        </w:rPr>
        <w:footnoteReference w:id="41"/>
      </w:r>
      <w:r w:rsidR="00CE3A26" w:rsidRPr="008A084A">
        <w:rPr>
          <w:rFonts w:ascii="Cambria" w:hAnsi="Cambria"/>
          <w:sz w:val="20"/>
          <w:szCs w:val="20"/>
          <w:lang w:val="es-ES"/>
        </w:rPr>
        <w:t>.</w:t>
      </w:r>
    </w:p>
    <w:p w:rsidR="00CE3A26" w:rsidRPr="008A084A" w:rsidRDefault="00CE3A26"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CE3A26" w:rsidRPr="008A084A" w:rsidRDefault="00CE3A26" w:rsidP="00CB5425">
      <w:pPr>
        <w:numPr>
          <w:ilvl w:val="0"/>
          <w:numId w:val="55"/>
        </w:numPr>
        <w:jc w:val="both"/>
        <w:rPr>
          <w:rFonts w:ascii="Cambria" w:hAnsi="Cambria"/>
          <w:sz w:val="20"/>
          <w:szCs w:val="20"/>
          <w:lang w:val="es-ES"/>
        </w:rPr>
      </w:pPr>
      <w:r w:rsidRPr="008A084A">
        <w:rPr>
          <w:rFonts w:ascii="Cambria" w:hAnsi="Cambria"/>
          <w:sz w:val="20"/>
          <w:szCs w:val="20"/>
          <w:lang w:val="es-ES"/>
        </w:rPr>
        <w:t>La señora Chimbó recibió una lista de</w:t>
      </w:r>
      <w:r w:rsidR="0066428B" w:rsidRPr="008A084A">
        <w:rPr>
          <w:rFonts w:ascii="Cambria" w:hAnsi="Cambria"/>
          <w:sz w:val="20"/>
          <w:szCs w:val="20"/>
          <w:lang w:val="es-ES"/>
        </w:rPr>
        <w:t xml:space="preserve"> objetos de aseo para comp</w:t>
      </w:r>
      <w:r w:rsidR="0060108F" w:rsidRPr="008A084A">
        <w:rPr>
          <w:rFonts w:ascii="Cambria" w:hAnsi="Cambria"/>
          <w:sz w:val="20"/>
          <w:szCs w:val="20"/>
          <w:lang w:val="es-ES"/>
        </w:rPr>
        <w:t>r</w:t>
      </w:r>
      <w:r w:rsidR="0066428B" w:rsidRPr="008A084A">
        <w:rPr>
          <w:rFonts w:ascii="Cambria" w:hAnsi="Cambria"/>
          <w:sz w:val="20"/>
          <w:szCs w:val="20"/>
          <w:lang w:val="es-ES"/>
        </w:rPr>
        <w:t>ar: papel higiénico, jabón, peinilla, cepillo de dientes y pasta dental</w:t>
      </w:r>
      <w:r w:rsidR="0066428B" w:rsidRPr="008A084A">
        <w:rPr>
          <w:rStyle w:val="FootnoteReference"/>
          <w:rFonts w:ascii="Cambria" w:hAnsi="Cambria"/>
          <w:sz w:val="20"/>
          <w:szCs w:val="20"/>
        </w:rPr>
        <w:footnoteReference w:id="42"/>
      </w:r>
      <w:r w:rsidR="0066428B" w:rsidRPr="008A084A">
        <w:rPr>
          <w:rFonts w:ascii="Cambria" w:hAnsi="Cambria"/>
          <w:sz w:val="20"/>
          <w:szCs w:val="20"/>
          <w:lang w:val="es-ES"/>
        </w:rPr>
        <w:t>. Indicó que</w:t>
      </w:r>
      <w:r w:rsidR="0060108F" w:rsidRPr="008A084A">
        <w:rPr>
          <w:rFonts w:ascii="Cambria" w:hAnsi="Cambria"/>
          <w:sz w:val="20"/>
          <w:szCs w:val="20"/>
          <w:lang w:val="es-ES"/>
        </w:rPr>
        <w:t xml:space="preserve"> pusieron al señor Guachalá una ropa usada, la cual según el enfermero “era donada de otras personas y (...) se les ponía a los enfermos”</w:t>
      </w:r>
      <w:r w:rsidR="0060108F" w:rsidRPr="008A084A">
        <w:rPr>
          <w:rStyle w:val="FootnoteReference"/>
          <w:rFonts w:ascii="Cambria" w:hAnsi="Cambria"/>
          <w:sz w:val="20"/>
          <w:szCs w:val="20"/>
        </w:rPr>
        <w:footnoteReference w:id="43"/>
      </w:r>
      <w:r w:rsidR="0060108F" w:rsidRPr="008A084A">
        <w:rPr>
          <w:rFonts w:ascii="Cambria" w:hAnsi="Cambria"/>
          <w:sz w:val="20"/>
          <w:szCs w:val="20"/>
          <w:lang w:val="es-ES"/>
        </w:rPr>
        <w:t>.</w:t>
      </w:r>
    </w:p>
    <w:p w:rsidR="0071023D" w:rsidRPr="008A084A" w:rsidRDefault="0071023D"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232AB2" w:rsidRPr="008A084A" w:rsidRDefault="0071023D" w:rsidP="00A5414A">
      <w:pPr>
        <w:numPr>
          <w:ilvl w:val="0"/>
          <w:numId w:val="55"/>
        </w:numPr>
        <w:jc w:val="both"/>
        <w:rPr>
          <w:rFonts w:ascii="Cambria" w:hAnsi="Cambria"/>
          <w:sz w:val="20"/>
          <w:szCs w:val="20"/>
          <w:lang w:val="es-ES"/>
        </w:rPr>
      </w:pPr>
      <w:r w:rsidRPr="008A084A">
        <w:rPr>
          <w:rFonts w:ascii="Cambria" w:hAnsi="Cambria"/>
          <w:sz w:val="20"/>
          <w:szCs w:val="20"/>
          <w:lang w:val="es-ES"/>
        </w:rPr>
        <w:t>La señora Chimbó preguntó al doctor si era posible que visitara a su hijo al día siguiente</w:t>
      </w:r>
      <w:r w:rsidRPr="008A084A">
        <w:rPr>
          <w:rStyle w:val="FootnoteReference"/>
          <w:rFonts w:ascii="Cambria" w:hAnsi="Cambria"/>
          <w:sz w:val="20"/>
          <w:szCs w:val="20"/>
        </w:rPr>
        <w:footnoteReference w:id="44"/>
      </w:r>
      <w:r w:rsidRPr="008A084A">
        <w:rPr>
          <w:rFonts w:ascii="Cambria" w:hAnsi="Cambria"/>
          <w:sz w:val="20"/>
          <w:szCs w:val="20"/>
          <w:lang w:val="es-ES"/>
        </w:rPr>
        <w:t>. Éste le indicó que mejor regresara el lunes puesto que su hijo “iba a estar do</w:t>
      </w:r>
      <w:r w:rsidR="00EC7F15" w:rsidRPr="008A084A">
        <w:rPr>
          <w:rFonts w:ascii="Cambria" w:hAnsi="Cambria"/>
          <w:sz w:val="20"/>
          <w:szCs w:val="20"/>
          <w:lang w:val="es-ES"/>
        </w:rPr>
        <w:t>r</w:t>
      </w:r>
      <w:r w:rsidRPr="008A084A">
        <w:rPr>
          <w:rFonts w:ascii="Cambria" w:hAnsi="Cambria"/>
          <w:sz w:val="20"/>
          <w:szCs w:val="20"/>
          <w:lang w:val="es-ES"/>
        </w:rPr>
        <w:t>mido el sábado y domingo”</w:t>
      </w:r>
      <w:r w:rsidR="00EC7F15" w:rsidRPr="008A084A">
        <w:rPr>
          <w:rStyle w:val="FootnoteReference"/>
          <w:rFonts w:ascii="Cambria" w:hAnsi="Cambria"/>
          <w:sz w:val="20"/>
          <w:szCs w:val="20"/>
        </w:rPr>
        <w:footnoteReference w:id="45"/>
      </w:r>
      <w:r w:rsidR="00EC7F15" w:rsidRPr="008A084A">
        <w:rPr>
          <w:rFonts w:ascii="Cambria" w:hAnsi="Cambria"/>
          <w:sz w:val="20"/>
          <w:szCs w:val="20"/>
          <w:lang w:val="es-ES"/>
        </w:rPr>
        <w:t>.</w:t>
      </w:r>
      <w:r w:rsidR="00FC44CC" w:rsidRPr="008A084A">
        <w:rPr>
          <w:rFonts w:ascii="Cambria" w:hAnsi="Cambria"/>
          <w:sz w:val="20"/>
          <w:szCs w:val="20"/>
          <w:lang w:val="es-ES"/>
        </w:rPr>
        <w:t xml:space="preserve"> </w:t>
      </w:r>
    </w:p>
    <w:p w:rsidR="00CB5425" w:rsidRPr="008A084A" w:rsidRDefault="00CB5425" w:rsidP="00CB54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A17F16" w:rsidRPr="008A084A" w:rsidRDefault="00A17F16" w:rsidP="00B329C1">
      <w:pPr>
        <w:pStyle w:val="Heading2"/>
        <w:numPr>
          <w:ilvl w:val="0"/>
          <w:numId w:val="59"/>
        </w:numPr>
        <w:spacing w:before="0" w:after="0"/>
        <w:ind w:left="1440" w:hanging="720"/>
        <w:jc w:val="both"/>
        <w:rPr>
          <w:rFonts w:ascii="Cambria" w:hAnsi="Cambria"/>
          <w:i w:val="0"/>
          <w:sz w:val="20"/>
          <w:szCs w:val="20"/>
          <w:lang w:val="es-ES"/>
        </w:rPr>
      </w:pPr>
      <w:bookmarkStart w:id="24" w:name="_Toc525547505"/>
      <w:r w:rsidRPr="008A084A">
        <w:rPr>
          <w:rFonts w:ascii="Cambria" w:hAnsi="Cambria"/>
          <w:i w:val="0"/>
          <w:sz w:val="20"/>
          <w:szCs w:val="20"/>
          <w:lang w:val="es-ES"/>
        </w:rPr>
        <w:t>Sobre lo sucedido en el hospital</w:t>
      </w:r>
      <w:r w:rsidR="00FC44CC" w:rsidRPr="008A084A">
        <w:rPr>
          <w:rFonts w:ascii="Cambria" w:hAnsi="Cambria"/>
          <w:i w:val="0"/>
          <w:sz w:val="20"/>
          <w:szCs w:val="20"/>
          <w:lang w:val="es-ES"/>
        </w:rPr>
        <w:t xml:space="preserve"> entre el 1</w:t>
      </w:r>
      <w:r w:rsidR="00CB5425" w:rsidRPr="008A084A">
        <w:rPr>
          <w:rFonts w:ascii="Cambria" w:hAnsi="Cambria"/>
          <w:i w:val="0"/>
          <w:sz w:val="20"/>
          <w:szCs w:val="20"/>
          <w:lang w:val="es-ES"/>
        </w:rPr>
        <w:t>1</w:t>
      </w:r>
      <w:r w:rsidR="00FC44CC" w:rsidRPr="008A084A">
        <w:rPr>
          <w:rFonts w:ascii="Cambria" w:hAnsi="Cambria"/>
          <w:i w:val="0"/>
          <w:sz w:val="20"/>
          <w:szCs w:val="20"/>
          <w:lang w:val="es-ES"/>
        </w:rPr>
        <w:t xml:space="preserve"> y 16 de enero</w:t>
      </w:r>
      <w:bookmarkEnd w:id="24"/>
    </w:p>
    <w:p w:rsidR="00A17F16" w:rsidRPr="008A084A" w:rsidRDefault="00A17F16"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CB5425" w:rsidRPr="008A084A" w:rsidRDefault="00CB5425" w:rsidP="00CB5425">
      <w:pPr>
        <w:numPr>
          <w:ilvl w:val="0"/>
          <w:numId w:val="55"/>
        </w:numPr>
        <w:jc w:val="both"/>
        <w:rPr>
          <w:rFonts w:ascii="Cambria" w:hAnsi="Cambria"/>
          <w:sz w:val="20"/>
          <w:szCs w:val="20"/>
          <w:lang w:val="es-ES"/>
        </w:rPr>
      </w:pPr>
      <w:r w:rsidRPr="008A084A">
        <w:rPr>
          <w:rFonts w:ascii="Cambria" w:hAnsi="Cambria"/>
          <w:sz w:val="20"/>
          <w:szCs w:val="20"/>
          <w:lang w:val="es-ES"/>
        </w:rPr>
        <w:t>La señora Chimbó manifestó que el domingo 11 de enero se comunicó telefónicamente con una enfermera del hospital quien le indicó que su hijo “seguía dormido y estaba sedado”</w:t>
      </w:r>
      <w:r w:rsidRPr="008A084A">
        <w:rPr>
          <w:rStyle w:val="FootnoteReference"/>
          <w:rFonts w:ascii="Cambria" w:hAnsi="Cambria"/>
          <w:sz w:val="20"/>
          <w:szCs w:val="20"/>
        </w:rPr>
        <w:footnoteReference w:id="46"/>
      </w:r>
      <w:r w:rsidRPr="008A084A">
        <w:rPr>
          <w:rFonts w:ascii="Cambria" w:hAnsi="Cambria"/>
          <w:sz w:val="20"/>
          <w:szCs w:val="20"/>
          <w:lang w:val="es-ES"/>
        </w:rPr>
        <w:t>.</w:t>
      </w:r>
    </w:p>
    <w:p w:rsidR="00CB5425" w:rsidRPr="008A084A" w:rsidRDefault="00CB5425" w:rsidP="00CB5425">
      <w:pPr>
        <w:ind w:left="720"/>
        <w:jc w:val="both"/>
        <w:rPr>
          <w:rFonts w:ascii="Cambria" w:hAnsi="Cambria"/>
          <w:sz w:val="20"/>
          <w:szCs w:val="20"/>
          <w:lang w:val="es-ES"/>
        </w:rPr>
      </w:pPr>
    </w:p>
    <w:p w:rsidR="00CB5425" w:rsidRPr="008A084A" w:rsidRDefault="00232AB2" w:rsidP="00CB5425">
      <w:pPr>
        <w:numPr>
          <w:ilvl w:val="0"/>
          <w:numId w:val="55"/>
        </w:numPr>
        <w:jc w:val="both"/>
        <w:rPr>
          <w:rFonts w:ascii="Cambria" w:hAnsi="Cambria"/>
          <w:sz w:val="20"/>
          <w:szCs w:val="20"/>
          <w:lang w:val="es-ES"/>
        </w:rPr>
      </w:pPr>
      <w:r w:rsidRPr="008A084A">
        <w:rPr>
          <w:rFonts w:ascii="Cambria" w:hAnsi="Cambria"/>
          <w:sz w:val="20"/>
          <w:szCs w:val="20"/>
          <w:lang w:val="es-ES"/>
        </w:rPr>
        <w:t xml:space="preserve">El lunes 12 de enero </w:t>
      </w:r>
      <w:r w:rsidR="005E4A8D" w:rsidRPr="008A084A">
        <w:rPr>
          <w:rFonts w:ascii="Cambria" w:hAnsi="Cambria"/>
          <w:sz w:val="20"/>
          <w:szCs w:val="20"/>
          <w:lang w:val="es-ES"/>
        </w:rPr>
        <w:t xml:space="preserve">de 2004 </w:t>
      </w:r>
      <w:r w:rsidRPr="008A084A">
        <w:rPr>
          <w:rFonts w:ascii="Cambria" w:hAnsi="Cambria"/>
          <w:sz w:val="20"/>
          <w:szCs w:val="20"/>
          <w:lang w:val="es-ES"/>
        </w:rPr>
        <w:t>se realizó una reunión entre el personal médico del hospital</w:t>
      </w:r>
      <w:r w:rsidRPr="008A084A">
        <w:rPr>
          <w:rStyle w:val="FootnoteReference"/>
          <w:rFonts w:ascii="Cambria" w:hAnsi="Cambria"/>
          <w:sz w:val="20"/>
          <w:szCs w:val="20"/>
        </w:rPr>
        <w:footnoteReference w:id="47"/>
      </w:r>
      <w:r w:rsidRPr="008A084A">
        <w:rPr>
          <w:rFonts w:ascii="Cambria" w:hAnsi="Cambria"/>
          <w:sz w:val="20"/>
          <w:szCs w:val="20"/>
          <w:lang w:val="es-ES"/>
        </w:rPr>
        <w:t xml:space="preserve">. La doctora Erika Quimbiulco sostuvo que en dicha reunión se le asignó la atención </w:t>
      </w:r>
      <w:r w:rsidR="00471FCE" w:rsidRPr="008A084A">
        <w:rPr>
          <w:rFonts w:ascii="Cambria" w:hAnsi="Cambria"/>
          <w:sz w:val="20"/>
          <w:szCs w:val="20"/>
          <w:lang w:val="es-ES"/>
        </w:rPr>
        <w:t>del</w:t>
      </w:r>
      <w:r w:rsidRPr="008A084A">
        <w:rPr>
          <w:rFonts w:ascii="Cambria" w:hAnsi="Cambria"/>
          <w:sz w:val="20"/>
          <w:szCs w:val="20"/>
          <w:lang w:val="es-ES"/>
        </w:rPr>
        <w:t xml:space="preserve"> señor Guachalá</w:t>
      </w:r>
      <w:r w:rsidRPr="008A084A">
        <w:rPr>
          <w:rStyle w:val="FootnoteReference"/>
          <w:rFonts w:ascii="Cambria" w:hAnsi="Cambria"/>
          <w:sz w:val="20"/>
          <w:szCs w:val="20"/>
        </w:rPr>
        <w:footnoteReference w:id="48"/>
      </w:r>
      <w:r w:rsidRPr="008A084A">
        <w:rPr>
          <w:rFonts w:ascii="Cambria" w:hAnsi="Cambria"/>
          <w:sz w:val="20"/>
          <w:szCs w:val="20"/>
          <w:lang w:val="es-ES"/>
        </w:rPr>
        <w:t xml:space="preserve">. Indicó que </w:t>
      </w:r>
      <w:r w:rsidR="0094367A" w:rsidRPr="008A084A">
        <w:rPr>
          <w:rFonts w:ascii="Cambria" w:hAnsi="Cambria"/>
          <w:sz w:val="20"/>
          <w:szCs w:val="20"/>
          <w:lang w:val="es-ES"/>
        </w:rPr>
        <w:t xml:space="preserve">cuando se dirigió a hacerle una evaluación completa, lo encontró “sedado por efectos de tratamiento instaurado por lo que únicamente </w:t>
      </w:r>
      <w:proofErr w:type="spellStart"/>
      <w:proofErr w:type="gramStart"/>
      <w:r w:rsidR="0094367A" w:rsidRPr="008A084A">
        <w:rPr>
          <w:rFonts w:ascii="Cambria" w:hAnsi="Cambria"/>
          <w:sz w:val="20"/>
          <w:szCs w:val="20"/>
          <w:lang w:val="es-ES"/>
        </w:rPr>
        <w:t>realiz</w:t>
      </w:r>
      <w:proofErr w:type="spellEnd"/>
      <w:r w:rsidR="0094367A" w:rsidRPr="008A084A">
        <w:rPr>
          <w:rFonts w:ascii="Cambria" w:hAnsi="Cambria"/>
          <w:sz w:val="20"/>
          <w:szCs w:val="20"/>
          <w:lang w:val="es-ES"/>
        </w:rPr>
        <w:t>(</w:t>
      </w:r>
      <w:proofErr w:type="gramEnd"/>
      <w:r w:rsidR="0094367A" w:rsidRPr="008A084A">
        <w:rPr>
          <w:rFonts w:ascii="Cambria" w:hAnsi="Cambria"/>
          <w:sz w:val="20"/>
          <w:szCs w:val="20"/>
          <w:lang w:val="es-ES"/>
        </w:rPr>
        <w:t>ó) el examen físico”</w:t>
      </w:r>
      <w:r w:rsidR="0094367A" w:rsidRPr="008A084A">
        <w:rPr>
          <w:rStyle w:val="FootnoteReference"/>
          <w:rFonts w:ascii="Cambria" w:hAnsi="Cambria"/>
          <w:sz w:val="20"/>
          <w:szCs w:val="20"/>
        </w:rPr>
        <w:footnoteReference w:id="49"/>
      </w:r>
      <w:r w:rsidR="0094367A" w:rsidRPr="008A084A">
        <w:rPr>
          <w:rFonts w:ascii="Cambria" w:hAnsi="Cambria"/>
          <w:sz w:val="20"/>
          <w:szCs w:val="20"/>
          <w:lang w:val="es-ES"/>
        </w:rPr>
        <w:t xml:space="preserve">. </w:t>
      </w:r>
      <w:r w:rsidR="00934443" w:rsidRPr="008A084A">
        <w:rPr>
          <w:rFonts w:ascii="Cambria" w:hAnsi="Cambria"/>
          <w:sz w:val="20"/>
          <w:szCs w:val="20"/>
          <w:lang w:val="es-ES"/>
        </w:rPr>
        <w:t>Manifestó que dicho examen físico resultó “normal”</w:t>
      </w:r>
      <w:r w:rsidR="00934443" w:rsidRPr="008A084A">
        <w:rPr>
          <w:rStyle w:val="FootnoteReference"/>
          <w:rFonts w:ascii="Cambria" w:hAnsi="Cambria"/>
          <w:sz w:val="20"/>
          <w:szCs w:val="20"/>
        </w:rPr>
        <w:footnoteReference w:id="50"/>
      </w:r>
      <w:r w:rsidR="00934443" w:rsidRPr="008A084A">
        <w:rPr>
          <w:rFonts w:ascii="Cambria" w:hAnsi="Cambria"/>
          <w:sz w:val="20"/>
          <w:szCs w:val="20"/>
          <w:lang w:val="es-ES"/>
        </w:rPr>
        <w:t>. Asimismo, indicó que le prescribió determinados medicamentos “por razones necesarias si convulsiona” y solicitó vigilancia al señor Guachalá</w:t>
      </w:r>
      <w:r w:rsidR="002D4023" w:rsidRPr="008A084A">
        <w:rPr>
          <w:rStyle w:val="FootnoteReference"/>
          <w:rFonts w:ascii="Cambria" w:hAnsi="Cambria"/>
          <w:sz w:val="20"/>
          <w:szCs w:val="20"/>
        </w:rPr>
        <w:footnoteReference w:id="51"/>
      </w:r>
      <w:r w:rsidR="00934443" w:rsidRPr="008A084A">
        <w:rPr>
          <w:rFonts w:ascii="Cambria" w:hAnsi="Cambria"/>
          <w:sz w:val="20"/>
          <w:szCs w:val="20"/>
          <w:lang w:val="es-ES"/>
        </w:rPr>
        <w:t>.</w:t>
      </w:r>
    </w:p>
    <w:p w:rsidR="00CB5425" w:rsidRPr="008A084A" w:rsidRDefault="00CB5425" w:rsidP="00CB5425">
      <w:pPr>
        <w:pStyle w:val="ColorfulList-Accent11"/>
        <w:rPr>
          <w:rFonts w:ascii="Cambria" w:hAnsi="Cambria"/>
          <w:sz w:val="20"/>
          <w:szCs w:val="20"/>
          <w:lang w:val="es-ES"/>
        </w:rPr>
      </w:pPr>
    </w:p>
    <w:p w:rsidR="00CB5425" w:rsidRPr="008A084A" w:rsidRDefault="002D4023" w:rsidP="00CB5425">
      <w:pPr>
        <w:numPr>
          <w:ilvl w:val="0"/>
          <w:numId w:val="55"/>
        </w:numPr>
        <w:jc w:val="both"/>
        <w:rPr>
          <w:rFonts w:ascii="Cambria" w:hAnsi="Cambria"/>
          <w:sz w:val="20"/>
          <w:szCs w:val="20"/>
          <w:lang w:val="es-ES"/>
        </w:rPr>
      </w:pPr>
      <w:r w:rsidRPr="008A084A">
        <w:rPr>
          <w:rFonts w:ascii="Cambria" w:hAnsi="Cambria"/>
          <w:sz w:val="20"/>
          <w:szCs w:val="20"/>
          <w:lang w:val="es-ES"/>
        </w:rPr>
        <w:t>El mismo</w:t>
      </w:r>
      <w:r w:rsidR="00232AB2" w:rsidRPr="008A084A">
        <w:rPr>
          <w:rFonts w:ascii="Cambria" w:hAnsi="Cambria"/>
          <w:sz w:val="20"/>
          <w:szCs w:val="20"/>
          <w:lang w:val="es-ES"/>
        </w:rPr>
        <w:t xml:space="preserve"> </w:t>
      </w:r>
      <w:r w:rsidRPr="008A084A">
        <w:rPr>
          <w:rFonts w:ascii="Cambria" w:hAnsi="Cambria"/>
          <w:sz w:val="20"/>
          <w:szCs w:val="20"/>
          <w:lang w:val="es-ES"/>
        </w:rPr>
        <w:t>día</w:t>
      </w:r>
      <w:r w:rsidR="00095D01" w:rsidRPr="008A084A">
        <w:rPr>
          <w:rFonts w:ascii="Cambria" w:hAnsi="Cambria"/>
          <w:sz w:val="20"/>
          <w:szCs w:val="20"/>
          <w:lang w:val="es-ES"/>
        </w:rPr>
        <w:t xml:space="preserve"> en la mañana</w:t>
      </w:r>
      <w:r w:rsidRPr="008A084A">
        <w:rPr>
          <w:rFonts w:ascii="Cambria" w:hAnsi="Cambria"/>
          <w:sz w:val="20"/>
          <w:szCs w:val="20"/>
          <w:lang w:val="es-ES"/>
        </w:rPr>
        <w:t xml:space="preserve"> la </w:t>
      </w:r>
      <w:r w:rsidR="00AC555D" w:rsidRPr="008A084A">
        <w:rPr>
          <w:rFonts w:ascii="Cambria" w:hAnsi="Cambria"/>
          <w:sz w:val="20"/>
          <w:szCs w:val="20"/>
          <w:lang w:val="es-ES"/>
        </w:rPr>
        <w:t xml:space="preserve">señora </w:t>
      </w:r>
      <w:r w:rsidR="007A721E" w:rsidRPr="008A084A">
        <w:rPr>
          <w:rFonts w:ascii="Cambria" w:hAnsi="Cambria"/>
          <w:sz w:val="20"/>
          <w:szCs w:val="20"/>
          <w:lang w:val="es-ES"/>
        </w:rPr>
        <w:t>Chimbó</w:t>
      </w:r>
      <w:r w:rsidRPr="008A084A">
        <w:rPr>
          <w:rFonts w:ascii="Cambria" w:hAnsi="Cambria"/>
          <w:sz w:val="20"/>
          <w:szCs w:val="20"/>
          <w:lang w:val="es-ES"/>
        </w:rPr>
        <w:t>, acudió al Hospital</w:t>
      </w:r>
      <w:r w:rsidRPr="008A084A">
        <w:rPr>
          <w:rStyle w:val="FootnoteReference"/>
          <w:rFonts w:ascii="Cambria" w:hAnsi="Cambria"/>
          <w:sz w:val="20"/>
          <w:szCs w:val="20"/>
        </w:rPr>
        <w:footnoteReference w:id="52"/>
      </w:r>
      <w:r w:rsidR="00F8002E" w:rsidRPr="008A084A">
        <w:rPr>
          <w:rFonts w:ascii="Cambria" w:hAnsi="Cambria"/>
          <w:sz w:val="20"/>
          <w:szCs w:val="20"/>
          <w:lang w:val="es-ES"/>
        </w:rPr>
        <w:t xml:space="preserve"> e indicó que </w:t>
      </w:r>
      <w:r w:rsidR="003C0BE8" w:rsidRPr="008A084A">
        <w:rPr>
          <w:rFonts w:ascii="Cambria" w:hAnsi="Cambria"/>
          <w:sz w:val="20"/>
          <w:szCs w:val="20"/>
          <w:lang w:val="es-ES"/>
        </w:rPr>
        <w:t xml:space="preserve">cuando ingresó se dirigió al cuarto de </w:t>
      </w:r>
      <w:r w:rsidR="00C471F8" w:rsidRPr="008A084A">
        <w:rPr>
          <w:rFonts w:ascii="Cambria" w:hAnsi="Cambria"/>
          <w:sz w:val="20"/>
          <w:szCs w:val="20"/>
          <w:lang w:val="es-ES"/>
        </w:rPr>
        <w:t xml:space="preserve">su hijo </w:t>
      </w:r>
      <w:r w:rsidR="003C0BE8" w:rsidRPr="008A084A">
        <w:rPr>
          <w:rFonts w:ascii="Cambria" w:hAnsi="Cambria"/>
          <w:sz w:val="20"/>
          <w:szCs w:val="20"/>
          <w:lang w:val="es-ES"/>
        </w:rPr>
        <w:t>pero no lo encontró ahí</w:t>
      </w:r>
      <w:r w:rsidR="003C0BE8" w:rsidRPr="008A084A">
        <w:rPr>
          <w:rStyle w:val="FootnoteReference"/>
          <w:rFonts w:ascii="Cambria" w:hAnsi="Cambria"/>
          <w:sz w:val="20"/>
          <w:szCs w:val="20"/>
        </w:rPr>
        <w:footnoteReference w:id="53"/>
      </w:r>
      <w:r w:rsidR="003C0BE8" w:rsidRPr="008A084A">
        <w:rPr>
          <w:rFonts w:ascii="Cambria" w:hAnsi="Cambria"/>
          <w:sz w:val="20"/>
          <w:szCs w:val="20"/>
          <w:lang w:val="es-ES"/>
        </w:rPr>
        <w:t xml:space="preserve">. </w:t>
      </w:r>
      <w:r w:rsidR="00031275" w:rsidRPr="008A084A">
        <w:rPr>
          <w:rFonts w:ascii="Cambria" w:hAnsi="Cambria"/>
          <w:sz w:val="20"/>
          <w:szCs w:val="20"/>
          <w:lang w:val="es-ES"/>
        </w:rPr>
        <w:t xml:space="preserve">Posteriormente, la señora </w:t>
      </w:r>
      <w:r w:rsidR="002125A0" w:rsidRPr="008A084A">
        <w:rPr>
          <w:rFonts w:ascii="Cambria" w:hAnsi="Cambria"/>
          <w:sz w:val="20"/>
          <w:szCs w:val="20"/>
          <w:lang w:val="es-ES"/>
        </w:rPr>
        <w:t>Chimbó</w:t>
      </w:r>
      <w:r w:rsidR="00031275" w:rsidRPr="008A084A">
        <w:rPr>
          <w:rFonts w:ascii="Cambria" w:hAnsi="Cambria"/>
          <w:sz w:val="20"/>
          <w:szCs w:val="20"/>
          <w:lang w:val="es-ES"/>
        </w:rPr>
        <w:t xml:space="preserve"> </w:t>
      </w:r>
      <w:r w:rsidR="003C0BE8" w:rsidRPr="008A084A">
        <w:rPr>
          <w:rFonts w:ascii="Cambria" w:hAnsi="Cambria"/>
          <w:sz w:val="20"/>
          <w:szCs w:val="20"/>
          <w:lang w:val="es-ES"/>
        </w:rPr>
        <w:t>se dirigió a preguntarle a</w:t>
      </w:r>
      <w:r w:rsidR="00955D75" w:rsidRPr="008A084A">
        <w:rPr>
          <w:rFonts w:ascii="Cambria" w:hAnsi="Cambria"/>
          <w:sz w:val="20"/>
          <w:szCs w:val="20"/>
          <w:lang w:val="es-ES"/>
        </w:rPr>
        <w:t xml:space="preserve"> la doctora Quimbiulco</w:t>
      </w:r>
      <w:r w:rsidR="003C0BE8" w:rsidRPr="008A084A">
        <w:rPr>
          <w:rFonts w:ascii="Cambria" w:hAnsi="Cambria"/>
          <w:sz w:val="20"/>
          <w:szCs w:val="20"/>
          <w:lang w:val="es-ES"/>
        </w:rPr>
        <w:t xml:space="preserve"> dónde se encontraba su hijo</w:t>
      </w:r>
      <w:r w:rsidR="003C0BE8" w:rsidRPr="008A084A">
        <w:rPr>
          <w:rStyle w:val="FootnoteReference"/>
          <w:rFonts w:ascii="Cambria" w:hAnsi="Cambria"/>
          <w:sz w:val="20"/>
          <w:szCs w:val="20"/>
        </w:rPr>
        <w:footnoteReference w:id="54"/>
      </w:r>
      <w:r w:rsidR="009B3A5B" w:rsidRPr="008A084A">
        <w:rPr>
          <w:rFonts w:ascii="Cambria" w:hAnsi="Cambria"/>
          <w:sz w:val="20"/>
          <w:szCs w:val="20"/>
          <w:lang w:val="es-ES"/>
        </w:rPr>
        <w:t xml:space="preserve"> y dicha doctora </w:t>
      </w:r>
      <w:r w:rsidR="003C0BE8" w:rsidRPr="008A084A">
        <w:rPr>
          <w:rFonts w:ascii="Cambria" w:hAnsi="Cambria"/>
          <w:sz w:val="20"/>
          <w:szCs w:val="20"/>
          <w:lang w:val="es-ES"/>
        </w:rPr>
        <w:t xml:space="preserve"> le </w:t>
      </w:r>
      <w:r w:rsidR="005D62BC" w:rsidRPr="008A084A">
        <w:rPr>
          <w:rFonts w:ascii="Cambria" w:hAnsi="Cambria"/>
          <w:sz w:val="20"/>
          <w:szCs w:val="20"/>
          <w:lang w:val="es-ES"/>
        </w:rPr>
        <w:t>informó que su hijo se encontraba sedado</w:t>
      </w:r>
      <w:r w:rsidR="005D62BC" w:rsidRPr="008A084A">
        <w:rPr>
          <w:rStyle w:val="FootnoteReference"/>
          <w:rFonts w:ascii="Cambria" w:hAnsi="Cambria"/>
          <w:sz w:val="20"/>
          <w:szCs w:val="20"/>
        </w:rPr>
        <w:footnoteReference w:id="55"/>
      </w:r>
      <w:r w:rsidR="005D62BC" w:rsidRPr="008A084A">
        <w:rPr>
          <w:rFonts w:ascii="Cambria" w:hAnsi="Cambria"/>
          <w:sz w:val="20"/>
          <w:szCs w:val="20"/>
          <w:lang w:val="es-ES"/>
        </w:rPr>
        <w:t xml:space="preserve">. </w:t>
      </w:r>
      <w:r w:rsidR="00680EA8" w:rsidRPr="008A084A">
        <w:rPr>
          <w:rFonts w:ascii="Cambria" w:hAnsi="Cambria"/>
          <w:sz w:val="20"/>
          <w:szCs w:val="20"/>
          <w:lang w:val="es-ES"/>
        </w:rPr>
        <w:t>La doctora Quimbiulco sostuvo que</w:t>
      </w:r>
      <w:r w:rsidR="009B3A5B" w:rsidRPr="008A084A">
        <w:rPr>
          <w:rFonts w:ascii="Cambria" w:hAnsi="Cambria"/>
          <w:sz w:val="20"/>
          <w:szCs w:val="20"/>
          <w:lang w:val="es-ES"/>
        </w:rPr>
        <w:t xml:space="preserve"> le</w:t>
      </w:r>
      <w:r w:rsidR="00680EA8" w:rsidRPr="008A084A">
        <w:rPr>
          <w:rFonts w:ascii="Cambria" w:hAnsi="Cambria"/>
          <w:sz w:val="20"/>
          <w:szCs w:val="20"/>
          <w:lang w:val="es-ES"/>
        </w:rPr>
        <w:t xml:space="preserve"> entregó a la señora </w:t>
      </w:r>
      <w:r w:rsidR="002125A0" w:rsidRPr="008A084A">
        <w:rPr>
          <w:rFonts w:ascii="Cambria" w:hAnsi="Cambria"/>
          <w:sz w:val="20"/>
          <w:szCs w:val="20"/>
          <w:lang w:val="es-ES"/>
        </w:rPr>
        <w:t>Chimbó</w:t>
      </w:r>
      <w:r w:rsidR="00680EA8" w:rsidRPr="008A084A">
        <w:rPr>
          <w:rFonts w:ascii="Cambria" w:hAnsi="Cambria"/>
          <w:sz w:val="20"/>
          <w:szCs w:val="20"/>
          <w:lang w:val="es-ES"/>
        </w:rPr>
        <w:t xml:space="preserve"> la lista de medicamentos que prescribió a su hijo</w:t>
      </w:r>
      <w:r w:rsidR="00680EA8" w:rsidRPr="008A084A">
        <w:rPr>
          <w:rStyle w:val="FootnoteReference"/>
          <w:rFonts w:ascii="Cambria" w:hAnsi="Cambria"/>
          <w:sz w:val="20"/>
          <w:szCs w:val="20"/>
        </w:rPr>
        <w:footnoteReference w:id="56"/>
      </w:r>
      <w:r w:rsidR="00680EA8" w:rsidRPr="008A084A">
        <w:rPr>
          <w:rFonts w:ascii="Cambria" w:hAnsi="Cambria"/>
          <w:sz w:val="20"/>
          <w:szCs w:val="20"/>
          <w:lang w:val="es-ES"/>
        </w:rPr>
        <w:t>.</w:t>
      </w:r>
    </w:p>
    <w:p w:rsidR="00CB5425" w:rsidRPr="008A084A" w:rsidRDefault="00CB5425" w:rsidP="00CB5425">
      <w:pPr>
        <w:pStyle w:val="ColorfulList-Accent11"/>
        <w:rPr>
          <w:rFonts w:ascii="Cambria" w:hAnsi="Cambria"/>
          <w:sz w:val="20"/>
          <w:szCs w:val="20"/>
          <w:lang w:val="es-ES"/>
        </w:rPr>
      </w:pPr>
    </w:p>
    <w:p w:rsidR="00CB5425" w:rsidRPr="008A084A" w:rsidRDefault="00095D01" w:rsidP="00CB5425">
      <w:pPr>
        <w:numPr>
          <w:ilvl w:val="0"/>
          <w:numId w:val="55"/>
        </w:numPr>
        <w:jc w:val="both"/>
        <w:rPr>
          <w:rFonts w:ascii="Cambria" w:hAnsi="Cambria"/>
          <w:sz w:val="20"/>
          <w:szCs w:val="20"/>
          <w:lang w:val="es-ES"/>
        </w:rPr>
      </w:pPr>
      <w:r w:rsidRPr="008A084A">
        <w:rPr>
          <w:rFonts w:ascii="Cambria" w:hAnsi="Cambria"/>
          <w:sz w:val="20"/>
          <w:szCs w:val="20"/>
          <w:lang w:val="es-ES"/>
        </w:rPr>
        <w:t xml:space="preserve">La doctora Quimbiulco sostuvo que en la tarde del mismo día, mientras estaba atendiendo a otras personas internadas en el hospital, se encontró nuevamente con la señora </w:t>
      </w:r>
      <w:r w:rsidR="002125A0" w:rsidRPr="008A084A">
        <w:rPr>
          <w:rFonts w:ascii="Cambria" w:hAnsi="Cambria"/>
          <w:sz w:val="20"/>
          <w:szCs w:val="20"/>
          <w:lang w:val="es-ES"/>
        </w:rPr>
        <w:t>Chimbó</w:t>
      </w:r>
      <w:r w:rsidRPr="008A084A">
        <w:rPr>
          <w:rStyle w:val="FootnoteReference"/>
          <w:rFonts w:ascii="Cambria" w:hAnsi="Cambria"/>
          <w:sz w:val="20"/>
          <w:szCs w:val="20"/>
        </w:rPr>
        <w:footnoteReference w:id="57"/>
      </w:r>
      <w:r w:rsidRPr="008A084A">
        <w:rPr>
          <w:rFonts w:ascii="Cambria" w:hAnsi="Cambria"/>
          <w:sz w:val="20"/>
          <w:szCs w:val="20"/>
          <w:lang w:val="es-ES"/>
        </w:rPr>
        <w:t xml:space="preserve">. Manifestó que la señora </w:t>
      </w:r>
      <w:r w:rsidR="002125A0" w:rsidRPr="008A084A">
        <w:rPr>
          <w:rFonts w:ascii="Cambria" w:hAnsi="Cambria"/>
          <w:sz w:val="20"/>
          <w:szCs w:val="20"/>
          <w:lang w:val="es-ES"/>
        </w:rPr>
        <w:t>Chimbó</w:t>
      </w:r>
      <w:r w:rsidRPr="008A084A">
        <w:rPr>
          <w:rFonts w:ascii="Cambria" w:hAnsi="Cambria"/>
          <w:sz w:val="20"/>
          <w:szCs w:val="20"/>
          <w:lang w:val="es-ES"/>
        </w:rPr>
        <w:t xml:space="preserve"> le </w:t>
      </w:r>
      <w:r w:rsidR="007A721E" w:rsidRPr="008A084A">
        <w:rPr>
          <w:rFonts w:ascii="Cambria" w:hAnsi="Cambria"/>
          <w:sz w:val="20"/>
          <w:szCs w:val="20"/>
          <w:lang w:val="es-ES"/>
        </w:rPr>
        <w:t>volvió a preguntar</w:t>
      </w:r>
      <w:r w:rsidRPr="008A084A">
        <w:rPr>
          <w:rFonts w:ascii="Cambria" w:hAnsi="Cambria"/>
          <w:sz w:val="20"/>
          <w:szCs w:val="20"/>
          <w:lang w:val="es-ES"/>
        </w:rPr>
        <w:t xml:space="preserve"> dónde se encontraba su hijo</w:t>
      </w:r>
      <w:r w:rsidR="00C61E87" w:rsidRPr="008A084A">
        <w:rPr>
          <w:rFonts w:ascii="Cambria" w:hAnsi="Cambria"/>
          <w:sz w:val="20"/>
          <w:szCs w:val="20"/>
          <w:lang w:val="es-ES"/>
        </w:rPr>
        <w:t xml:space="preserve">, a lo que le respondió que </w:t>
      </w:r>
      <w:r w:rsidR="00991679" w:rsidRPr="008A084A">
        <w:rPr>
          <w:rFonts w:ascii="Cambria" w:hAnsi="Cambria"/>
          <w:sz w:val="20"/>
          <w:szCs w:val="20"/>
          <w:lang w:val="es-ES"/>
        </w:rPr>
        <w:t>“podría encontrarse en la peluquería o en terapia ocupacional con el resto de pacientes”</w:t>
      </w:r>
      <w:r w:rsidR="00991679" w:rsidRPr="008A084A">
        <w:rPr>
          <w:rStyle w:val="FootnoteReference"/>
          <w:rFonts w:ascii="Cambria" w:hAnsi="Cambria"/>
          <w:sz w:val="20"/>
          <w:szCs w:val="20"/>
        </w:rPr>
        <w:footnoteReference w:id="58"/>
      </w:r>
      <w:r w:rsidR="00991679" w:rsidRPr="008A084A">
        <w:rPr>
          <w:rFonts w:ascii="Cambria" w:hAnsi="Cambria"/>
          <w:sz w:val="20"/>
          <w:szCs w:val="20"/>
          <w:lang w:val="es-ES"/>
        </w:rPr>
        <w:t>. Agregó que “</w:t>
      </w:r>
      <w:r w:rsidR="005E4A8D" w:rsidRPr="008A084A">
        <w:rPr>
          <w:rFonts w:ascii="Cambria" w:hAnsi="Cambria"/>
          <w:sz w:val="20"/>
          <w:szCs w:val="20"/>
          <w:lang w:val="es-ES"/>
        </w:rPr>
        <w:t xml:space="preserve">en realidad (...) no sabía en ese momento exactamente dónde se encontraba ya que (...) no </w:t>
      </w:r>
      <w:proofErr w:type="gramStart"/>
      <w:r w:rsidR="005E4A8D" w:rsidRPr="008A084A">
        <w:rPr>
          <w:rFonts w:ascii="Cambria" w:hAnsi="Cambria"/>
          <w:sz w:val="20"/>
          <w:szCs w:val="20"/>
          <w:lang w:val="es-ES"/>
        </w:rPr>
        <w:t>t(</w:t>
      </w:r>
      <w:proofErr w:type="spellStart"/>
      <w:proofErr w:type="gramEnd"/>
      <w:r w:rsidR="005E4A8D" w:rsidRPr="008A084A">
        <w:rPr>
          <w:rFonts w:ascii="Cambria" w:hAnsi="Cambria"/>
          <w:sz w:val="20"/>
          <w:szCs w:val="20"/>
          <w:lang w:val="es-ES"/>
        </w:rPr>
        <w:t>iene</w:t>
      </w:r>
      <w:proofErr w:type="spellEnd"/>
      <w:r w:rsidR="005E4A8D" w:rsidRPr="008A084A">
        <w:rPr>
          <w:rFonts w:ascii="Cambria" w:hAnsi="Cambria"/>
          <w:sz w:val="20"/>
          <w:szCs w:val="20"/>
          <w:lang w:val="es-ES"/>
        </w:rPr>
        <w:t>) la responsabilidad directa de cuidar a los pacientes, función que corresponde al personal auxiliar de enfermería</w:t>
      </w:r>
      <w:r w:rsidR="00991679" w:rsidRPr="008A084A">
        <w:rPr>
          <w:rFonts w:ascii="Cambria" w:hAnsi="Cambria"/>
          <w:sz w:val="20"/>
          <w:szCs w:val="20"/>
          <w:lang w:val="es-ES"/>
        </w:rPr>
        <w:t>”</w:t>
      </w:r>
      <w:r w:rsidR="005E4A8D" w:rsidRPr="008A084A">
        <w:rPr>
          <w:rStyle w:val="FootnoteReference"/>
          <w:rFonts w:ascii="Cambria" w:hAnsi="Cambria"/>
          <w:sz w:val="20"/>
          <w:szCs w:val="20"/>
        </w:rPr>
        <w:footnoteReference w:id="59"/>
      </w:r>
      <w:r w:rsidR="005E4A8D" w:rsidRPr="008A084A">
        <w:rPr>
          <w:rFonts w:ascii="Cambria" w:hAnsi="Cambria"/>
          <w:sz w:val="20"/>
          <w:szCs w:val="20"/>
          <w:lang w:val="es-ES"/>
        </w:rPr>
        <w:t>.</w:t>
      </w:r>
    </w:p>
    <w:p w:rsidR="00CB5425" w:rsidRPr="008A084A" w:rsidRDefault="007A721E" w:rsidP="00CB5425">
      <w:pPr>
        <w:numPr>
          <w:ilvl w:val="0"/>
          <w:numId w:val="55"/>
        </w:numPr>
        <w:jc w:val="both"/>
        <w:rPr>
          <w:rFonts w:ascii="Cambria" w:hAnsi="Cambria"/>
          <w:sz w:val="20"/>
          <w:szCs w:val="20"/>
          <w:lang w:val="es-ES"/>
        </w:rPr>
      </w:pPr>
      <w:r w:rsidRPr="008A084A">
        <w:rPr>
          <w:rFonts w:ascii="Cambria" w:hAnsi="Cambria"/>
          <w:sz w:val="20"/>
          <w:szCs w:val="20"/>
          <w:lang w:val="es-ES"/>
        </w:rPr>
        <w:lastRenderedPageBreak/>
        <w:t>La señora Chimbó</w:t>
      </w:r>
      <w:r w:rsidR="003E2A93" w:rsidRPr="008A084A">
        <w:rPr>
          <w:rFonts w:ascii="Cambria" w:hAnsi="Cambria"/>
          <w:sz w:val="20"/>
          <w:szCs w:val="20"/>
          <w:lang w:val="es-ES"/>
        </w:rPr>
        <w:t xml:space="preserve"> indicó que fue a la peluquería del hospital pero que no encontró a su hijo en dicho lugar</w:t>
      </w:r>
      <w:r w:rsidR="003E2A93" w:rsidRPr="008A084A">
        <w:rPr>
          <w:rStyle w:val="FootnoteReference"/>
          <w:rFonts w:ascii="Cambria" w:hAnsi="Cambria"/>
          <w:sz w:val="20"/>
          <w:szCs w:val="20"/>
        </w:rPr>
        <w:footnoteReference w:id="60"/>
      </w:r>
      <w:r w:rsidR="003E2A93" w:rsidRPr="008A084A">
        <w:rPr>
          <w:rFonts w:ascii="Cambria" w:hAnsi="Cambria"/>
          <w:sz w:val="20"/>
          <w:szCs w:val="20"/>
          <w:lang w:val="es-ES"/>
        </w:rPr>
        <w:t>.</w:t>
      </w:r>
      <w:r w:rsidR="009C31E6" w:rsidRPr="008A084A">
        <w:rPr>
          <w:rFonts w:ascii="Cambria" w:hAnsi="Cambria"/>
          <w:sz w:val="20"/>
          <w:szCs w:val="20"/>
          <w:lang w:val="es-ES"/>
        </w:rPr>
        <w:t xml:space="preserve"> Manifestó que la doctora Quimbiulco le indicó que “buscara entre los pacientes, que por ahí ha de estar con los enfermos, que podía estar en rehabilitación, que es el lugar donde los enfermos desgranan maíz”</w:t>
      </w:r>
      <w:r w:rsidR="009C31E6" w:rsidRPr="008A084A">
        <w:rPr>
          <w:rStyle w:val="FootnoteReference"/>
          <w:rFonts w:ascii="Cambria" w:hAnsi="Cambria"/>
          <w:sz w:val="20"/>
          <w:szCs w:val="20"/>
        </w:rPr>
        <w:footnoteReference w:id="61"/>
      </w:r>
      <w:r w:rsidR="009C31E6" w:rsidRPr="008A084A">
        <w:rPr>
          <w:rFonts w:ascii="Cambria" w:hAnsi="Cambria"/>
          <w:sz w:val="20"/>
          <w:szCs w:val="20"/>
          <w:lang w:val="es-ES"/>
        </w:rPr>
        <w:t>. La señora Chimbó sostuvo que increpó a la doctora Quimbiulco por no saber dónde se encontraba su hijo, quien además est</w:t>
      </w:r>
      <w:r w:rsidR="00087E19" w:rsidRPr="008A084A">
        <w:rPr>
          <w:rFonts w:ascii="Cambria" w:hAnsi="Cambria"/>
          <w:sz w:val="20"/>
          <w:szCs w:val="20"/>
          <w:lang w:val="es-ES"/>
        </w:rPr>
        <w:t xml:space="preserve">aría </w:t>
      </w:r>
      <w:r w:rsidR="009C31E6" w:rsidRPr="008A084A">
        <w:rPr>
          <w:rFonts w:ascii="Cambria" w:hAnsi="Cambria"/>
          <w:sz w:val="20"/>
          <w:szCs w:val="20"/>
          <w:lang w:val="es-ES"/>
        </w:rPr>
        <w:t>sedado</w:t>
      </w:r>
      <w:r w:rsidR="009C31E6" w:rsidRPr="008A084A">
        <w:rPr>
          <w:rStyle w:val="FootnoteReference"/>
          <w:rFonts w:ascii="Cambria" w:hAnsi="Cambria"/>
          <w:sz w:val="20"/>
          <w:szCs w:val="20"/>
        </w:rPr>
        <w:footnoteReference w:id="62"/>
      </w:r>
      <w:r w:rsidR="009C31E6" w:rsidRPr="008A084A">
        <w:rPr>
          <w:rFonts w:ascii="Cambria" w:hAnsi="Cambria"/>
          <w:sz w:val="20"/>
          <w:szCs w:val="20"/>
          <w:lang w:val="es-ES"/>
        </w:rPr>
        <w:t xml:space="preserve">. </w:t>
      </w:r>
      <w:proofErr w:type="spellStart"/>
      <w:r w:rsidR="009C31E6" w:rsidRPr="008A084A">
        <w:rPr>
          <w:rFonts w:ascii="Cambria" w:hAnsi="Cambria"/>
          <w:sz w:val="20"/>
          <w:szCs w:val="20"/>
        </w:rPr>
        <w:t>Señaló</w:t>
      </w:r>
      <w:proofErr w:type="spellEnd"/>
      <w:r w:rsidR="009C31E6" w:rsidRPr="008A084A">
        <w:rPr>
          <w:rFonts w:ascii="Cambria" w:hAnsi="Cambria"/>
          <w:sz w:val="20"/>
          <w:szCs w:val="20"/>
        </w:rPr>
        <w:t xml:space="preserve"> que la </w:t>
      </w:r>
      <w:proofErr w:type="spellStart"/>
      <w:r w:rsidR="009C31E6" w:rsidRPr="008A084A">
        <w:rPr>
          <w:rFonts w:ascii="Cambria" w:hAnsi="Cambria"/>
          <w:sz w:val="20"/>
          <w:szCs w:val="20"/>
        </w:rPr>
        <w:t>doctora</w:t>
      </w:r>
      <w:proofErr w:type="spellEnd"/>
      <w:r w:rsidR="009C31E6" w:rsidRPr="008A084A">
        <w:rPr>
          <w:rFonts w:ascii="Cambria" w:hAnsi="Cambria"/>
          <w:sz w:val="20"/>
          <w:szCs w:val="20"/>
        </w:rPr>
        <w:t xml:space="preserve"> Quimbiulco no le </w:t>
      </w:r>
      <w:proofErr w:type="spellStart"/>
      <w:r w:rsidR="009C31E6" w:rsidRPr="008A084A">
        <w:rPr>
          <w:rFonts w:ascii="Cambria" w:hAnsi="Cambria"/>
          <w:sz w:val="20"/>
          <w:szCs w:val="20"/>
        </w:rPr>
        <w:t>respondió</w:t>
      </w:r>
      <w:proofErr w:type="spellEnd"/>
      <w:r w:rsidR="009C31E6" w:rsidRPr="008A084A">
        <w:rPr>
          <w:rStyle w:val="FootnoteReference"/>
          <w:rFonts w:ascii="Cambria" w:hAnsi="Cambria"/>
          <w:sz w:val="20"/>
          <w:szCs w:val="20"/>
        </w:rPr>
        <w:footnoteReference w:id="63"/>
      </w:r>
      <w:r w:rsidR="009C31E6" w:rsidRPr="008A084A">
        <w:rPr>
          <w:rFonts w:ascii="Cambria" w:hAnsi="Cambria"/>
          <w:sz w:val="20"/>
          <w:szCs w:val="20"/>
        </w:rPr>
        <w:t>.</w:t>
      </w:r>
    </w:p>
    <w:p w:rsidR="00CB5425" w:rsidRPr="008A084A" w:rsidRDefault="00CB5425" w:rsidP="001B07CF">
      <w:pPr>
        <w:pStyle w:val="ColorfulList-Accent11"/>
        <w:rPr>
          <w:rFonts w:ascii="Cambria" w:hAnsi="Cambria"/>
          <w:sz w:val="20"/>
          <w:szCs w:val="20"/>
        </w:rPr>
      </w:pPr>
    </w:p>
    <w:p w:rsidR="00CB5425" w:rsidRPr="008A084A" w:rsidRDefault="00FD4BBA" w:rsidP="00CB5425">
      <w:pPr>
        <w:numPr>
          <w:ilvl w:val="0"/>
          <w:numId w:val="55"/>
        </w:numPr>
        <w:jc w:val="both"/>
        <w:rPr>
          <w:rFonts w:ascii="Cambria" w:hAnsi="Cambria"/>
          <w:sz w:val="20"/>
          <w:szCs w:val="20"/>
          <w:lang w:val="es-ES"/>
        </w:rPr>
      </w:pPr>
      <w:r w:rsidRPr="008A084A">
        <w:rPr>
          <w:rFonts w:ascii="Cambria" w:hAnsi="Cambria"/>
          <w:sz w:val="20"/>
          <w:szCs w:val="20"/>
          <w:lang w:val="es-ES"/>
        </w:rPr>
        <w:t xml:space="preserve">La señora Chimbó manifestó que salió del hospital a comprar los medicamentos que le indicaron </w:t>
      </w:r>
      <w:r w:rsidR="00CB5425" w:rsidRPr="008A084A">
        <w:rPr>
          <w:rFonts w:ascii="Cambria" w:hAnsi="Cambria"/>
          <w:sz w:val="20"/>
          <w:szCs w:val="20"/>
          <w:lang w:val="es-ES"/>
        </w:rPr>
        <w:t>y que, al regresar, preguntó a</w:t>
      </w:r>
      <w:r w:rsidRPr="008A084A">
        <w:rPr>
          <w:rFonts w:ascii="Cambria" w:hAnsi="Cambria"/>
          <w:sz w:val="20"/>
          <w:szCs w:val="20"/>
          <w:lang w:val="es-ES"/>
        </w:rPr>
        <w:t>l personal del centro dónde se encontraba su hijo</w:t>
      </w:r>
      <w:r w:rsidRPr="008A084A">
        <w:rPr>
          <w:rStyle w:val="FootnoteReference"/>
          <w:rFonts w:ascii="Cambria" w:hAnsi="Cambria"/>
          <w:sz w:val="20"/>
          <w:szCs w:val="20"/>
        </w:rPr>
        <w:footnoteReference w:id="64"/>
      </w:r>
      <w:r w:rsidRPr="008A084A">
        <w:rPr>
          <w:rFonts w:ascii="Cambria" w:hAnsi="Cambria"/>
          <w:sz w:val="20"/>
          <w:szCs w:val="20"/>
          <w:lang w:val="es-ES"/>
        </w:rPr>
        <w:t xml:space="preserve">. Indicó que </w:t>
      </w:r>
      <w:r w:rsidR="00680EA8" w:rsidRPr="008A084A">
        <w:rPr>
          <w:rFonts w:ascii="Cambria" w:hAnsi="Cambria"/>
          <w:sz w:val="20"/>
          <w:szCs w:val="20"/>
          <w:lang w:val="es-ES"/>
        </w:rPr>
        <w:t>nadie le pudo indicar dónde se encontraba</w:t>
      </w:r>
      <w:r w:rsidR="00680EA8" w:rsidRPr="008A084A">
        <w:rPr>
          <w:rStyle w:val="FootnoteReference"/>
          <w:rFonts w:ascii="Cambria" w:hAnsi="Cambria"/>
          <w:sz w:val="20"/>
          <w:szCs w:val="20"/>
        </w:rPr>
        <w:footnoteReference w:id="65"/>
      </w:r>
      <w:r w:rsidR="00680EA8" w:rsidRPr="008A084A">
        <w:rPr>
          <w:rFonts w:ascii="Cambria" w:hAnsi="Cambria"/>
          <w:sz w:val="20"/>
          <w:szCs w:val="20"/>
          <w:lang w:val="es-ES"/>
        </w:rPr>
        <w:t>. Manifestó que entregó los medicamentos a la doctora Quimbiulco y le indicó que seguía sin encontrar a su hijo, a lo cual ella respondió que “por ahí ha de estar”</w:t>
      </w:r>
      <w:r w:rsidR="00680EA8" w:rsidRPr="008A084A">
        <w:rPr>
          <w:rStyle w:val="FootnoteReference"/>
          <w:rFonts w:ascii="Cambria" w:hAnsi="Cambria"/>
          <w:sz w:val="20"/>
          <w:szCs w:val="20"/>
        </w:rPr>
        <w:footnoteReference w:id="66"/>
      </w:r>
      <w:r w:rsidR="00680EA8" w:rsidRPr="008A084A">
        <w:rPr>
          <w:rFonts w:ascii="Cambria" w:hAnsi="Cambria"/>
          <w:sz w:val="20"/>
          <w:szCs w:val="20"/>
          <w:lang w:val="es-ES"/>
        </w:rPr>
        <w:t>.</w:t>
      </w:r>
    </w:p>
    <w:p w:rsidR="00CB5425" w:rsidRPr="008A084A" w:rsidRDefault="00CB5425" w:rsidP="00CB5425">
      <w:pPr>
        <w:pStyle w:val="ColorfulList-Accent11"/>
        <w:rPr>
          <w:rFonts w:ascii="Cambria" w:hAnsi="Cambria"/>
          <w:sz w:val="20"/>
          <w:szCs w:val="20"/>
          <w:lang w:val="es-ES"/>
        </w:rPr>
      </w:pPr>
    </w:p>
    <w:p w:rsidR="00680EA8" w:rsidRPr="008A084A" w:rsidRDefault="00680EA8" w:rsidP="00CB5425">
      <w:pPr>
        <w:numPr>
          <w:ilvl w:val="0"/>
          <w:numId w:val="55"/>
        </w:numPr>
        <w:jc w:val="both"/>
        <w:rPr>
          <w:rFonts w:ascii="Cambria" w:hAnsi="Cambria"/>
          <w:sz w:val="20"/>
          <w:szCs w:val="20"/>
          <w:lang w:val="es-ES"/>
        </w:rPr>
      </w:pPr>
      <w:r w:rsidRPr="008A084A">
        <w:rPr>
          <w:rFonts w:ascii="Cambria" w:hAnsi="Cambria"/>
          <w:sz w:val="20"/>
          <w:szCs w:val="20"/>
          <w:lang w:val="es-ES"/>
        </w:rPr>
        <w:t xml:space="preserve">La doctora Quimbiulco indicó que </w:t>
      </w:r>
      <w:r w:rsidR="00A3084C" w:rsidRPr="008A084A">
        <w:rPr>
          <w:rFonts w:ascii="Cambria" w:hAnsi="Cambria"/>
          <w:sz w:val="20"/>
          <w:szCs w:val="20"/>
          <w:lang w:val="es-ES"/>
        </w:rPr>
        <w:t xml:space="preserve">seguidamente </w:t>
      </w:r>
      <w:r w:rsidRPr="008A084A">
        <w:rPr>
          <w:rFonts w:ascii="Cambria" w:hAnsi="Cambria"/>
          <w:sz w:val="20"/>
          <w:szCs w:val="20"/>
          <w:lang w:val="es-ES"/>
        </w:rPr>
        <w:t xml:space="preserve">le dijo a la señora Chimbó que </w:t>
      </w:r>
      <w:r w:rsidR="0049205B" w:rsidRPr="008A084A">
        <w:rPr>
          <w:rFonts w:ascii="Cambria" w:hAnsi="Cambria"/>
          <w:sz w:val="20"/>
          <w:szCs w:val="20"/>
          <w:lang w:val="es-ES"/>
        </w:rPr>
        <w:t>era</w:t>
      </w:r>
      <w:r w:rsidRPr="008A084A">
        <w:rPr>
          <w:rFonts w:ascii="Cambria" w:hAnsi="Cambria"/>
          <w:sz w:val="20"/>
          <w:szCs w:val="20"/>
          <w:lang w:val="es-ES"/>
        </w:rPr>
        <w:t xml:space="preserve"> “conveniente terapéuticamente” que no vea a su hijo</w:t>
      </w:r>
      <w:r w:rsidRPr="008A084A">
        <w:rPr>
          <w:rStyle w:val="FootnoteReference"/>
          <w:rFonts w:ascii="Cambria" w:hAnsi="Cambria"/>
          <w:sz w:val="20"/>
          <w:szCs w:val="20"/>
        </w:rPr>
        <w:footnoteReference w:id="67"/>
      </w:r>
      <w:r w:rsidRPr="008A084A">
        <w:rPr>
          <w:rFonts w:ascii="Cambria" w:hAnsi="Cambria"/>
          <w:sz w:val="20"/>
          <w:szCs w:val="20"/>
          <w:lang w:val="es-ES"/>
        </w:rPr>
        <w:t>. Ello debido a que “los pacientes al recibir a sus familiares en muchas de las ocasiones se agitan y quieren irse con ellos”</w:t>
      </w:r>
      <w:r w:rsidRPr="008A084A">
        <w:rPr>
          <w:rStyle w:val="FootnoteReference"/>
          <w:rFonts w:ascii="Cambria" w:hAnsi="Cambria"/>
          <w:sz w:val="20"/>
          <w:szCs w:val="20"/>
        </w:rPr>
        <w:footnoteReference w:id="68"/>
      </w:r>
      <w:r w:rsidRPr="008A084A">
        <w:rPr>
          <w:rFonts w:ascii="Cambria" w:hAnsi="Cambria"/>
          <w:sz w:val="20"/>
          <w:szCs w:val="20"/>
          <w:lang w:val="es-ES"/>
        </w:rPr>
        <w:t xml:space="preserve">. También manifestó que acordó con la señora </w:t>
      </w:r>
      <w:r w:rsidR="002125A0" w:rsidRPr="008A084A">
        <w:rPr>
          <w:rFonts w:ascii="Cambria" w:hAnsi="Cambria"/>
          <w:sz w:val="20"/>
          <w:szCs w:val="20"/>
          <w:lang w:val="es-ES"/>
        </w:rPr>
        <w:t>Chimbó</w:t>
      </w:r>
      <w:r w:rsidRPr="008A084A">
        <w:rPr>
          <w:rFonts w:ascii="Cambria" w:hAnsi="Cambria"/>
          <w:sz w:val="20"/>
          <w:szCs w:val="20"/>
          <w:lang w:val="es-ES"/>
        </w:rPr>
        <w:t xml:space="preserve"> llamarla diariamente para informarle sobre el estado de salud de Luis Guachalá y acordar un día en el que pueda visitarlo</w:t>
      </w:r>
      <w:r w:rsidRPr="008A084A">
        <w:rPr>
          <w:rStyle w:val="FootnoteReference"/>
          <w:rFonts w:ascii="Cambria" w:hAnsi="Cambria"/>
          <w:sz w:val="20"/>
          <w:szCs w:val="20"/>
        </w:rPr>
        <w:footnoteReference w:id="69"/>
      </w:r>
      <w:r w:rsidRPr="008A084A">
        <w:rPr>
          <w:rFonts w:ascii="Cambria" w:hAnsi="Cambria"/>
          <w:sz w:val="20"/>
          <w:szCs w:val="20"/>
          <w:lang w:val="es-ES"/>
        </w:rPr>
        <w:t>.</w:t>
      </w:r>
    </w:p>
    <w:p w:rsidR="005E4A8D" w:rsidRPr="008A084A" w:rsidRDefault="005E4A8D"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49205B" w:rsidRPr="008A084A" w:rsidRDefault="009D5590" w:rsidP="00CB5425">
      <w:pPr>
        <w:numPr>
          <w:ilvl w:val="0"/>
          <w:numId w:val="55"/>
        </w:numPr>
        <w:jc w:val="both"/>
        <w:rPr>
          <w:rFonts w:ascii="Cambria" w:hAnsi="Cambria"/>
          <w:sz w:val="20"/>
          <w:szCs w:val="20"/>
          <w:lang w:val="es-ES"/>
        </w:rPr>
      </w:pPr>
      <w:r w:rsidRPr="008A084A">
        <w:rPr>
          <w:rFonts w:ascii="Cambria" w:hAnsi="Cambria"/>
          <w:sz w:val="20"/>
          <w:szCs w:val="20"/>
          <w:lang w:val="es-ES"/>
        </w:rPr>
        <w:t xml:space="preserve">Conforme al informe médico del hospital, </w:t>
      </w:r>
      <w:r w:rsidR="005E4A8D" w:rsidRPr="008A084A">
        <w:rPr>
          <w:rFonts w:ascii="Cambria" w:hAnsi="Cambria"/>
          <w:sz w:val="20"/>
          <w:szCs w:val="20"/>
          <w:lang w:val="es-ES"/>
        </w:rPr>
        <w:t xml:space="preserve">la doctora Quimbiulco sostuvo </w:t>
      </w:r>
      <w:r w:rsidRPr="008A084A">
        <w:rPr>
          <w:rFonts w:ascii="Cambria" w:hAnsi="Cambria"/>
          <w:sz w:val="20"/>
          <w:szCs w:val="20"/>
          <w:lang w:val="es-ES"/>
        </w:rPr>
        <w:t xml:space="preserve">que el martes 13 de enero de 2004 le </w:t>
      </w:r>
      <w:r w:rsidR="005E4A8D" w:rsidRPr="008A084A">
        <w:rPr>
          <w:rFonts w:ascii="Cambria" w:hAnsi="Cambria"/>
          <w:sz w:val="20"/>
          <w:szCs w:val="20"/>
          <w:lang w:val="es-ES"/>
        </w:rPr>
        <w:t>realizó un nuevo examen al señor Guachalá</w:t>
      </w:r>
      <w:r w:rsidR="005E4A8D" w:rsidRPr="008A084A">
        <w:rPr>
          <w:rStyle w:val="FootnoteReference"/>
          <w:rFonts w:ascii="Cambria" w:hAnsi="Cambria"/>
          <w:sz w:val="20"/>
          <w:szCs w:val="20"/>
        </w:rPr>
        <w:footnoteReference w:id="70"/>
      </w:r>
      <w:r w:rsidR="005E4A8D" w:rsidRPr="008A084A">
        <w:rPr>
          <w:rFonts w:ascii="Cambria" w:hAnsi="Cambria"/>
          <w:sz w:val="20"/>
          <w:szCs w:val="20"/>
          <w:lang w:val="es-ES"/>
        </w:rPr>
        <w:t xml:space="preserve">. Manifestó que se encontraba “poco comunicativo, </w:t>
      </w:r>
      <w:proofErr w:type="spellStart"/>
      <w:r w:rsidR="005E4A8D" w:rsidRPr="008A084A">
        <w:rPr>
          <w:rFonts w:ascii="Cambria" w:hAnsi="Cambria"/>
          <w:sz w:val="20"/>
          <w:szCs w:val="20"/>
          <w:lang w:val="es-ES"/>
        </w:rPr>
        <w:t>hipoprosexico</w:t>
      </w:r>
      <w:proofErr w:type="spellEnd"/>
      <w:r w:rsidR="005E4A8D" w:rsidRPr="008A084A">
        <w:rPr>
          <w:rFonts w:ascii="Cambria" w:hAnsi="Cambria"/>
          <w:sz w:val="20"/>
          <w:szCs w:val="20"/>
          <w:lang w:val="es-ES"/>
        </w:rPr>
        <w:t xml:space="preserve">, pensamiento </w:t>
      </w:r>
      <w:proofErr w:type="spellStart"/>
      <w:r w:rsidR="005E4A8D" w:rsidRPr="008A084A">
        <w:rPr>
          <w:rFonts w:ascii="Cambria" w:hAnsi="Cambria"/>
          <w:sz w:val="20"/>
          <w:szCs w:val="20"/>
          <w:lang w:val="es-ES"/>
        </w:rPr>
        <w:t>bradipsiquico</w:t>
      </w:r>
      <w:proofErr w:type="spellEnd"/>
      <w:r w:rsidR="005E4A8D" w:rsidRPr="008A084A">
        <w:rPr>
          <w:rFonts w:ascii="Cambria" w:hAnsi="Cambria"/>
          <w:sz w:val="20"/>
          <w:szCs w:val="20"/>
          <w:lang w:val="es-ES"/>
        </w:rPr>
        <w:t>, contenido pobre, (...) memoria, cálculo, juicio y raciocinio deteriorados”</w:t>
      </w:r>
      <w:r w:rsidR="005E4A8D" w:rsidRPr="008A084A">
        <w:rPr>
          <w:rStyle w:val="FootnoteReference"/>
          <w:rFonts w:ascii="Cambria" w:hAnsi="Cambria"/>
          <w:sz w:val="20"/>
          <w:szCs w:val="20"/>
        </w:rPr>
        <w:footnoteReference w:id="71"/>
      </w:r>
      <w:r w:rsidR="005E4A8D" w:rsidRPr="008A084A">
        <w:rPr>
          <w:rFonts w:ascii="Cambria" w:hAnsi="Cambria"/>
          <w:sz w:val="20"/>
          <w:szCs w:val="20"/>
          <w:lang w:val="es-ES"/>
        </w:rPr>
        <w:t>. Agregó que el señor Guachalá no hab</w:t>
      </w:r>
      <w:r w:rsidR="00884CCC" w:rsidRPr="008A084A">
        <w:rPr>
          <w:rFonts w:ascii="Cambria" w:hAnsi="Cambria"/>
          <w:sz w:val="20"/>
          <w:szCs w:val="20"/>
          <w:lang w:val="es-ES"/>
        </w:rPr>
        <w:t>ía sufrido crisis con</w:t>
      </w:r>
      <w:r w:rsidR="00E037EC" w:rsidRPr="008A084A">
        <w:rPr>
          <w:rFonts w:ascii="Cambria" w:hAnsi="Cambria"/>
          <w:sz w:val="20"/>
          <w:szCs w:val="20"/>
          <w:lang w:val="es-ES"/>
        </w:rPr>
        <w:t>vulsivas, y que se alimentaba y dormía en forma adecuada</w:t>
      </w:r>
      <w:r w:rsidR="00E037EC" w:rsidRPr="008A084A">
        <w:rPr>
          <w:rStyle w:val="FootnoteReference"/>
          <w:rFonts w:ascii="Cambria" w:hAnsi="Cambria"/>
          <w:sz w:val="20"/>
          <w:szCs w:val="20"/>
        </w:rPr>
        <w:footnoteReference w:id="72"/>
      </w:r>
      <w:r w:rsidR="00E037EC" w:rsidRPr="008A084A">
        <w:rPr>
          <w:rFonts w:ascii="Cambria" w:hAnsi="Cambria"/>
          <w:sz w:val="20"/>
          <w:szCs w:val="20"/>
          <w:lang w:val="es-ES"/>
        </w:rPr>
        <w:t>.</w:t>
      </w:r>
      <w:r w:rsidR="00D1361F" w:rsidRPr="008A084A">
        <w:rPr>
          <w:rFonts w:ascii="Cambria" w:hAnsi="Cambria"/>
          <w:sz w:val="20"/>
          <w:szCs w:val="20"/>
          <w:lang w:val="es-ES"/>
        </w:rPr>
        <w:t xml:space="preserve"> Indicó que debido a su mejoría, decidió cambiar los medicament</w:t>
      </w:r>
      <w:r w:rsidR="002730AE" w:rsidRPr="008A084A">
        <w:rPr>
          <w:rFonts w:ascii="Cambria" w:hAnsi="Cambria"/>
          <w:sz w:val="20"/>
          <w:szCs w:val="20"/>
          <w:lang w:val="es-ES"/>
        </w:rPr>
        <w:t>os</w:t>
      </w:r>
      <w:r w:rsidR="00D1361F" w:rsidRPr="008A084A">
        <w:rPr>
          <w:rFonts w:ascii="Cambria" w:hAnsi="Cambria"/>
          <w:sz w:val="20"/>
          <w:szCs w:val="20"/>
          <w:lang w:val="es-ES"/>
        </w:rPr>
        <w:t xml:space="preserve"> prescritos</w:t>
      </w:r>
      <w:r w:rsidR="00D1361F" w:rsidRPr="008A084A">
        <w:rPr>
          <w:rStyle w:val="FootnoteReference"/>
          <w:rFonts w:ascii="Cambria" w:hAnsi="Cambria"/>
          <w:sz w:val="20"/>
          <w:szCs w:val="20"/>
        </w:rPr>
        <w:footnoteReference w:id="73"/>
      </w:r>
      <w:r w:rsidR="00D1361F" w:rsidRPr="008A084A">
        <w:rPr>
          <w:rFonts w:ascii="Cambria" w:hAnsi="Cambria"/>
          <w:sz w:val="20"/>
          <w:szCs w:val="20"/>
          <w:lang w:val="es-ES"/>
        </w:rPr>
        <w:t>.</w:t>
      </w:r>
      <w:r w:rsidR="0049205B" w:rsidRPr="008A084A">
        <w:rPr>
          <w:rFonts w:ascii="Cambria" w:hAnsi="Cambria"/>
          <w:sz w:val="20"/>
          <w:szCs w:val="20"/>
          <w:lang w:val="es-ES"/>
        </w:rPr>
        <w:t xml:space="preserve"> La señora Chimbó indicó que ese día llamó a la doctora Quimbiulco, quien le manifestó que su hijo “estaba bien”</w:t>
      </w:r>
      <w:r w:rsidR="0049205B" w:rsidRPr="008A084A">
        <w:rPr>
          <w:rStyle w:val="FootnoteReference"/>
          <w:rFonts w:ascii="Cambria" w:hAnsi="Cambria"/>
          <w:sz w:val="20"/>
          <w:szCs w:val="20"/>
        </w:rPr>
        <w:footnoteReference w:id="74"/>
      </w:r>
      <w:r w:rsidR="0049205B" w:rsidRPr="008A084A">
        <w:rPr>
          <w:rFonts w:ascii="Cambria" w:hAnsi="Cambria"/>
          <w:sz w:val="20"/>
          <w:szCs w:val="20"/>
          <w:lang w:val="es-ES"/>
        </w:rPr>
        <w:t>.</w:t>
      </w:r>
    </w:p>
    <w:p w:rsidR="00E51468" w:rsidRPr="008A084A" w:rsidRDefault="00E51468"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CB5425" w:rsidRPr="008A084A" w:rsidRDefault="00454534" w:rsidP="00CB5425">
      <w:pPr>
        <w:numPr>
          <w:ilvl w:val="0"/>
          <w:numId w:val="55"/>
        </w:numPr>
        <w:jc w:val="both"/>
        <w:rPr>
          <w:rFonts w:ascii="Cambria" w:hAnsi="Cambria"/>
          <w:sz w:val="20"/>
          <w:szCs w:val="20"/>
          <w:lang w:val="es-ES"/>
        </w:rPr>
      </w:pPr>
      <w:r w:rsidRPr="008A084A">
        <w:rPr>
          <w:rFonts w:ascii="Cambria" w:hAnsi="Cambria"/>
          <w:sz w:val="20"/>
          <w:szCs w:val="20"/>
          <w:lang w:val="es-ES"/>
        </w:rPr>
        <w:t>L</w:t>
      </w:r>
      <w:r w:rsidR="00E51468" w:rsidRPr="008A084A">
        <w:rPr>
          <w:rFonts w:ascii="Cambria" w:hAnsi="Cambria"/>
          <w:sz w:val="20"/>
          <w:szCs w:val="20"/>
          <w:lang w:val="es-ES"/>
        </w:rPr>
        <w:t>a doctora Quimbiulco sostuvo que</w:t>
      </w:r>
      <w:r w:rsidRPr="008A084A">
        <w:rPr>
          <w:rFonts w:ascii="Cambria" w:hAnsi="Cambria"/>
          <w:sz w:val="20"/>
          <w:szCs w:val="20"/>
          <w:lang w:val="es-ES"/>
        </w:rPr>
        <w:t xml:space="preserve"> el jueves 15 de enero de 2004</w:t>
      </w:r>
      <w:r w:rsidR="00E51468" w:rsidRPr="008A084A">
        <w:rPr>
          <w:rFonts w:ascii="Cambria" w:hAnsi="Cambria"/>
          <w:sz w:val="20"/>
          <w:szCs w:val="20"/>
          <w:lang w:val="es-ES"/>
        </w:rPr>
        <w:t xml:space="preserve"> cuando llegó al hospital, le informaron que el señor Guachalá sufrió una caída en el baño el día anterior</w:t>
      </w:r>
      <w:r w:rsidR="00E51468" w:rsidRPr="008A084A">
        <w:rPr>
          <w:rStyle w:val="FootnoteReference"/>
          <w:rFonts w:ascii="Cambria" w:hAnsi="Cambria"/>
          <w:sz w:val="20"/>
          <w:szCs w:val="20"/>
        </w:rPr>
        <w:footnoteReference w:id="75"/>
      </w:r>
      <w:r w:rsidR="00E51468" w:rsidRPr="008A084A">
        <w:rPr>
          <w:rFonts w:ascii="Cambria" w:hAnsi="Cambria"/>
          <w:sz w:val="20"/>
          <w:szCs w:val="20"/>
          <w:lang w:val="es-ES"/>
        </w:rPr>
        <w:t xml:space="preserve">. Indicó que </w:t>
      </w:r>
      <w:r w:rsidR="00565AE6" w:rsidRPr="008A084A">
        <w:rPr>
          <w:rFonts w:ascii="Cambria" w:hAnsi="Cambria"/>
          <w:sz w:val="20"/>
          <w:szCs w:val="20"/>
          <w:lang w:val="es-ES"/>
        </w:rPr>
        <w:t>procedió a suturarle la herida producida en la región ciliar izquierda</w:t>
      </w:r>
      <w:r w:rsidR="00565AE6" w:rsidRPr="008A084A">
        <w:rPr>
          <w:rStyle w:val="FootnoteReference"/>
          <w:rFonts w:ascii="Cambria" w:hAnsi="Cambria"/>
          <w:sz w:val="20"/>
          <w:szCs w:val="20"/>
        </w:rPr>
        <w:footnoteReference w:id="76"/>
      </w:r>
      <w:r w:rsidR="00565AE6" w:rsidRPr="008A084A">
        <w:rPr>
          <w:rFonts w:ascii="Cambria" w:hAnsi="Cambria"/>
          <w:sz w:val="20"/>
          <w:szCs w:val="20"/>
          <w:lang w:val="es-ES"/>
        </w:rPr>
        <w:t>.</w:t>
      </w:r>
      <w:r w:rsidR="00884CCC" w:rsidRPr="008A084A">
        <w:rPr>
          <w:rFonts w:ascii="Cambria" w:hAnsi="Cambria"/>
          <w:sz w:val="20"/>
          <w:szCs w:val="20"/>
          <w:lang w:val="es-ES"/>
        </w:rPr>
        <w:t xml:space="preserve"> La doctora Quimbiulco manifestó que conversó telefónicamente con la señora </w:t>
      </w:r>
      <w:r w:rsidR="002125A0" w:rsidRPr="008A084A">
        <w:rPr>
          <w:rFonts w:ascii="Cambria" w:hAnsi="Cambria"/>
          <w:sz w:val="20"/>
          <w:szCs w:val="20"/>
          <w:lang w:val="es-ES"/>
        </w:rPr>
        <w:t>Chimbó</w:t>
      </w:r>
      <w:r w:rsidR="00884CCC" w:rsidRPr="008A084A">
        <w:rPr>
          <w:rFonts w:ascii="Cambria" w:hAnsi="Cambria"/>
          <w:sz w:val="20"/>
          <w:szCs w:val="20"/>
          <w:lang w:val="es-ES"/>
        </w:rPr>
        <w:t xml:space="preserve"> y le indicó que ese mismo día podía visitar a su hijo en tanto “se encontraba mejor”</w:t>
      </w:r>
      <w:r w:rsidR="00884CCC" w:rsidRPr="008A084A">
        <w:rPr>
          <w:rStyle w:val="FootnoteReference"/>
          <w:rFonts w:ascii="Cambria" w:hAnsi="Cambria"/>
          <w:sz w:val="20"/>
          <w:szCs w:val="20"/>
        </w:rPr>
        <w:footnoteReference w:id="77"/>
      </w:r>
      <w:r w:rsidR="00884CCC" w:rsidRPr="008A084A">
        <w:rPr>
          <w:rFonts w:ascii="Cambria" w:hAnsi="Cambria"/>
          <w:sz w:val="20"/>
          <w:szCs w:val="20"/>
          <w:lang w:val="es-ES"/>
        </w:rPr>
        <w:t xml:space="preserve">. Sostuvo que la señora </w:t>
      </w:r>
      <w:r w:rsidR="002125A0" w:rsidRPr="008A084A">
        <w:rPr>
          <w:rFonts w:ascii="Cambria" w:hAnsi="Cambria"/>
          <w:sz w:val="20"/>
          <w:szCs w:val="20"/>
          <w:lang w:val="es-ES"/>
        </w:rPr>
        <w:t>Chimbó</w:t>
      </w:r>
      <w:r w:rsidR="00884CCC" w:rsidRPr="008A084A">
        <w:rPr>
          <w:rFonts w:ascii="Cambria" w:hAnsi="Cambria"/>
          <w:sz w:val="20"/>
          <w:szCs w:val="20"/>
          <w:lang w:val="es-ES"/>
        </w:rPr>
        <w:t xml:space="preserve"> le dijo que “no iba a venir entre semana por su trabajo y que lo visitaría el fin de semana”</w:t>
      </w:r>
      <w:r w:rsidR="00884CCC" w:rsidRPr="008A084A">
        <w:rPr>
          <w:rStyle w:val="FootnoteReference"/>
          <w:rFonts w:ascii="Cambria" w:hAnsi="Cambria"/>
          <w:sz w:val="20"/>
          <w:szCs w:val="20"/>
        </w:rPr>
        <w:footnoteReference w:id="78"/>
      </w:r>
      <w:r w:rsidR="00884CCC" w:rsidRPr="008A084A">
        <w:rPr>
          <w:rFonts w:ascii="Cambria" w:hAnsi="Cambria"/>
          <w:sz w:val="20"/>
          <w:szCs w:val="20"/>
          <w:lang w:val="es-ES"/>
        </w:rPr>
        <w:t>.</w:t>
      </w:r>
      <w:r w:rsidR="00A724B3" w:rsidRPr="008A084A">
        <w:rPr>
          <w:rFonts w:ascii="Cambria" w:hAnsi="Cambria"/>
          <w:sz w:val="20"/>
          <w:szCs w:val="20"/>
          <w:lang w:val="es-ES"/>
        </w:rPr>
        <w:t xml:space="preserve"> </w:t>
      </w:r>
    </w:p>
    <w:p w:rsidR="00CB5425" w:rsidRPr="008A084A" w:rsidRDefault="00CB5425" w:rsidP="00CB5425">
      <w:pPr>
        <w:pStyle w:val="ColorfulList-Accent11"/>
        <w:rPr>
          <w:rFonts w:ascii="Cambria" w:hAnsi="Cambria"/>
          <w:sz w:val="20"/>
          <w:szCs w:val="20"/>
          <w:lang w:val="es-ES"/>
        </w:rPr>
      </w:pPr>
    </w:p>
    <w:p w:rsidR="00D1361F" w:rsidRPr="008A084A" w:rsidRDefault="00454534" w:rsidP="00CB5425">
      <w:pPr>
        <w:numPr>
          <w:ilvl w:val="0"/>
          <w:numId w:val="55"/>
        </w:numPr>
        <w:jc w:val="both"/>
        <w:rPr>
          <w:rFonts w:ascii="Cambria" w:hAnsi="Cambria"/>
          <w:sz w:val="20"/>
          <w:szCs w:val="20"/>
          <w:lang w:val="es-ES"/>
        </w:rPr>
      </w:pPr>
      <w:r w:rsidRPr="008A084A">
        <w:rPr>
          <w:rFonts w:ascii="Cambria" w:hAnsi="Cambria"/>
          <w:sz w:val="20"/>
          <w:szCs w:val="20"/>
          <w:lang w:val="es-ES"/>
        </w:rPr>
        <w:t>Según el informe médico del Hospital, e</w:t>
      </w:r>
      <w:r w:rsidR="00565AE6" w:rsidRPr="008A084A">
        <w:rPr>
          <w:rFonts w:ascii="Cambria" w:hAnsi="Cambria"/>
          <w:sz w:val="20"/>
          <w:szCs w:val="20"/>
          <w:lang w:val="es-ES"/>
        </w:rPr>
        <w:t>l viernes 16 de enero de 2004 la doctora Quimbiulco realizó un nuev</w:t>
      </w:r>
      <w:r w:rsidRPr="008A084A">
        <w:rPr>
          <w:rFonts w:ascii="Cambria" w:hAnsi="Cambria"/>
          <w:sz w:val="20"/>
          <w:szCs w:val="20"/>
          <w:lang w:val="es-ES"/>
        </w:rPr>
        <w:t>o</w:t>
      </w:r>
      <w:r w:rsidR="00565AE6" w:rsidRPr="008A084A">
        <w:rPr>
          <w:rFonts w:ascii="Cambria" w:hAnsi="Cambria"/>
          <w:sz w:val="20"/>
          <w:szCs w:val="20"/>
          <w:lang w:val="es-ES"/>
        </w:rPr>
        <w:t xml:space="preserve"> examen al señor Guachalá</w:t>
      </w:r>
      <w:r w:rsidR="00565AE6" w:rsidRPr="008A084A">
        <w:rPr>
          <w:rStyle w:val="FootnoteReference"/>
          <w:rFonts w:ascii="Cambria" w:hAnsi="Cambria"/>
          <w:sz w:val="20"/>
          <w:szCs w:val="20"/>
        </w:rPr>
        <w:footnoteReference w:id="79"/>
      </w:r>
      <w:r w:rsidR="00565AE6" w:rsidRPr="008A084A">
        <w:rPr>
          <w:rFonts w:ascii="Cambria" w:hAnsi="Cambria"/>
          <w:sz w:val="20"/>
          <w:szCs w:val="20"/>
          <w:lang w:val="es-ES"/>
        </w:rPr>
        <w:t xml:space="preserve">. </w:t>
      </w:r>
      <w:r w:rsidR="00884CCC" w:rsidRPr="008A084A">
        <w:rPr>
          <w:rFonts w:ascii="Cambria" w:hAnsi="Cambria"/>
          <w:sz w:val="20"/>
          <w:szCs w:val="20"/>
          <w:lang w:val="es-ES"/>
        </w:rPr>
        <w:t>Sostuvo que el señor Guachalá no ha</w:t>
      </w:r>
      <w:r w:rsidR="007F0FB0" w:rsidRPr="008A084A">
        <w:rPr>
          <w:rFonts w:ascii="Cambria" w:hAnsi="Cambria"/>
          <w:sz w:val="20"/>
          <w:szCs w:val="20"/>
          <w:lang w:val="es-ES"/>
        </w:rPr>
        <w:t>bía</w:t>
      </w:r>
      <w:r w:rsidR="00884CCC" w:rsidRPr="008A084A">
        <w:rPr>
          <w:rFonts w:ascii="Cambria" w:hAnsi="Cambria"/>
          <w:sz w:val="20"/>
          <w:szCs w:val="20"/>
          <w:lang w:val="es-ES"/>
        </w:rPr>
        <w:t xml:space="preserve"> presentado crisis convulsivas y que se alimentaba y dormía en forma adecuada</w:t>
      </w:r>
      <w:r w:rsidR="00884CCC" w:rsidRPr="008A084A">
        <w:rPr>
          <w:rStyle w:val="FootnoteReference"/>
          <w:rFonts w:ascii="Cambria" w:hAnsi="Cambria"/>
          <w:sz w:val="20"/>
          <w:szCs w:val="20"/>
        </w:rPr>
        <w:footnoteReference w:id="80"/>
      </w:r>
      <w:r w:rsidR="00884CCC" w:rsidRPr="008A084A">
        <w:rPr>
          <w:rFonts w:ascii="Cambria" w:hAnsi="Cambria"/>
          <w:sz w:val="20"/>
          <w:szCs w:val="20"/>
          <w:lang w:val="es-ES"/>
        </w:rPr>
        <w:t>.</w:t>
      </w:r>
      <w:r w:rsidR="00805A81" w:rsidRPr="008A084A">
        <w:rPr>
          <w:rFonts w:ascii="Cambria" w:hAnsi="Cambria"/>
          <w:sz w:val="20"/>
          <w:szCs w:val="20"/>
          <w:lang w:val="es-ES"/>
        </w:rPr>
        <w:t xml:space="preserve"> </w:t>
      </w:r>
      <w:r w:rsidR="00664FF8" w:rsidRPr="008A084A">
        <w:rPr>
          <w:rFonts w:ascii="Cambria" w:hAnsi="Cambria"/>
          <w:sz w:val="20"/>
          <w:szCs w:val="20"/>
          <w:lang w:val="es-ES"/>
        </w:rPr>
        <w:t>La señora Chimbó</w:t>
      </w:r>
      <w:r w:rsidR="006B4281" w:rsidRPr="008A084A">
        <w:rPr>
          <w:rFonts w:ascii="Cambria" w:hAnsi="Cambria"/>
          <w:sz w:val="20"/>
          <w:szCs w:val="20"/>
          <w:lang w:val="es-ES"/>
        </w:rPr>
        <w:t xml:space="preserve"> indicó que se comunicó telefónicamente con la doctora Quimbiulco, quien le manifestó que su hijo “estaba reclamando por (ella), que </w:t>
      </w:r>
      <w:r w:rsidR="006B4281" w:rsidRPr="008A084A">
        <w:rPr>
          <w:rFonts w:ascii="Cambria" w:hAnsi="Cambria"/>
          <w:sz w:val="20"/>
          <w:szCs w:val="20"/>
          <w:lang w:val="es-ES"/>
        </w:rPr>
        <w:lastRenderedPageBreak/>
        <w:t xml:space="preserve">quería </w:t>
      </w:r>
      <w:proofErr w:type="gramStart"/>
      <w:r w:rsidR="006B4281" w:rsidRPr="008A084A">
        <w:rPr>
          <w:rFonts w:ascii="Cambria" w:hAnsi="Cambria"/>
          <w:sz w:val="20"/>
          <w:szCs w:val="20"/>
          <w:lang w:val="es-ES"/>
        </w:rPr>
        <w:t>ver(</w:t>
      </w:r>
      <w:proofErr w:type="gramEnd"/>
      <w:r w:rsidR="006B4281" w:rsidRPr="008A084A">
        <w:rPr>
          <w:rFonts w:ascii="Cambria" w:hAnsi="Cambria"/>
          <w:sz w:val="20"/>
          <w:szCs w:val="20"/>
          <w:lang w:val="es-ES"/>
        </w:rPr>
        <w:t>la)”</w:t>
      </w:r>
      <w:r w:rsidR="006B4281" w:rsidRPr="008A084A">
        <w:rPr>
          <w:rStyle w:val="FootnoteReference"/>
          <w:rFonts w:ascii="Cambria" w:hAnsi="Cambria"/>
          <w:sz w:val="20"/>
          <w:szCs w:val="20"/>
        </w:rPr>
        <w:footnoteReference w:id="81"/>
      </w:r>
      <w:r w:rsidR="006B4281" w:rsidRPr="008A084A">
        <w:rPr>
          <w:rFonts w:ascii="Cambria" w:hAnsi="Cambria"/>
          <w:sz w:val="20"/>
          <w:szCs w:val="20"/>
          <w:lang w:val="es-ES"/>
        </w:rPr>
        <w:t xml:space="preserve">. </w:t>
      </w:r>
      <w:r w:rsidR="00A724B3" w:rsidRPr="008A084A">
        <w:rPr>
          <w:rFonts w:ascii="Cambria" w:hAnsi="Cambria"/>
          <w:sz w:val="20"/>
          <w:szCs w:val="20"/>
          <w:lang w:val="es-ES"/>
        </w:rPr>
        <w:t>La doctora Quimbiulco i</w:t>
      </w:r>
      <w:r w:rsidR="00805A81" w:rsidRPr="008A084A">
        <w:rPr>
          <w:rFonts w:ascii="Cambria" w:hAnsi="Cambria"/>
          <w:sz w:val="20"/>
          <w:szCs w:val="20"/>
          <w:lang w:val="es-ES"/>
        </w:rPr>
        <w:t>ndicó que al retirarse del hospital</w:t>
      </w:r>
      <w:r w:rsidR="007F0FB0" w:rsidRPr="008A084A">
        <w:rPr>
          <w:rFonts w:ascii="Cambria" w:hAnsi="Cambria"/>
          <w:sz w:val="20"/>
          <w:szCs w:val="20"/>
          <w:lang w:val="es-ES"/>
        </w:rPr>
        <w:t xml:space="preserve"> ese día</w:t>
      </w:r>
      <w:r w:rsidR="005B04F3" w:rsidRPr="008A084A">
        <w:rPr>
          <w:rFonts w:ascii="Cambria" w:hAnsi="Cambria"/>
          <w:sz w:val="20"/>
          <w:szCs w:val="20"/>
          <w:lang w:val="es-ES"/>
        </w:rPr>
        <w:t>,</w:t>
      </w:r>
      <w:r w:rsidR="00805A81" w:rsidRPr="008A084A">
        <w:rPr>
          <w:rFonts w:ascii="Cambria" w:hAnsi="Cambria"/>
          <w:sz w:val="20"/>
          <w:szCs w:val="20"/>
          <w:lang w:val="es-ES"/>
        </w:rPr>
        <w:t xml:space="preserve"> el señor Guachalá se encontraba “estable”</w:t>
      </w:r>
      <w:r w:rsidR="00805A81" w:rsidRPr="008A084A">
        <w:rPr>
          <w:rStyle w:val="FootnoteReference"/>
          <w:rFonts w:ascii="Cambria" w:hAnsi="Cambria"/>
          <w:sz w:val="20"/>
          <w:szCs w:val="20"/>
        </w:rPr>
        <w:footnoteReference w:id="82"/>
      </w:r>
      <w:r w:rsidR="00805A81" w:rsidRPr="008A084A">
        <w:rPr>
          <w:rFonts w:ascii="Cambria" w:hAnsi="Cambria"/>
          <w:sz w:val="20"/>
          <w:szCs w:val="20"/>
          <w:lang w:val="es-ES"/>
        </w:rPr>
        <w:t>.</w:t>
      </w:r>
      <w:r w:rsidR="006B4281" w:rsidRPr="008A084A">
        <w:rPr>
          <w:rFonts w:ascii="Cambria" w:hAnsi="Cambria"/>
          <w:sz w:val="20"/>
          <w:szCs w:val="20"/>
          <w:lang w:val="es-ES"/>
        </w:rPr>
        <w:t xml:space="preserve"> </w:t>
      </w:r>
    </w:p>
    <w:p w:rsidR="00805A81" w:rsidRPr="008A084A" w:rsidRDefault="00805A81"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341914" w:rsidRPr="008A084A" w:rsidRDefault="00341914" w:rsidP="00B329C1">
      <w:pPr>
        <w:pStyle w:val="Heading2"/>
        <w:numPr>
          <w:ilvl w:val="0"/>
          <w:numId w:val="59"/>
        </w:numPr>
        <w:spacing w:before="0" w:after="0"/>
        <w:ind w:left="1440" w:hanging="720"/>
        <w:jc w:val="both"/>
        <w:rPr>
          <w:rFonts w:ascii="Cambria" w:hAnsi="Cambria"/>
          <w:i w:val="0"/>
          <w:sz w:val="20"/>
          <w:szCs w:val="20"/>
          <w:lang w:val="es-ES"/>
        </w:rPr>
      </w:pPr>
      <w:bookmarkStart w:id="25" w:name="_Toc525547506"/>
      <w:r w:rsidRPr="008A084A">
        <w:rPr>
          <w:rFonts w:ascii="Cambria" w:hAnsi="Cambria"/>
          <w:i w:val="0"/>
          <w:sz w:val="20"/>
          <w:szCs w:val="20"/>
          <w:lang w:val="es-ES"/>
        </w:rPr>
        <w:t>Sobre lo sucedido el 17 de enero de 2004</w:t>
      </w:r>
      <w:bookmarkEnd w:id="25"/>
    </w:p>
    <w:p w:rsidR="00341914" w:rsidRPr="008A084A" w:rsidRDefault="00341914"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341914" w:rsidRPr="008A084A" w:rsidRDefault="0041189F" w:rsidP="00CB5425">
      <w:pPr>
        <w:numPr>
          <w:ilvl w:val="0"/>
          <w:numId w:val="55"/>
        </w:numPr>
        <w:jc w:val="both"/>
        <w:rPr>
          <w:rFonts w:ascii="Cambria" w:hAnsi="Cambria"/>
          <w:sz w:val="20"/>
          <w:szCs w:val="20"/>
          <w:lang w:val="es-ES"/>
        </w:rPr>
      </w:pPr>
      <w:r w:rsidRPr="008A084A">
        <w:rPr>
          <w:rFonts w:ascii="Cambria" w:hAnsi="Cambria"/>
          <w:sz w:val="20"/>
          <w:szCs w:val="20"/>
          <w:lang w:val="es-ES"/>
        </w:rPr>
        <w:t>La Comisión observa que la ficha médica del señor Guachalá en el Hospital Psiquiá</w:t>
      </w:r>
      <w:r w:rsidR="00472F62" w:rsidRPr="008A084A">
        <w:rPr>
          <w:rFonts w:ascii="Cambria" w:hAnsi="Cambria"/>
          <w:sz w:val="20"/>
          <w:szCs w:val="20"/>
          <w:lang w:val="es-ES"/>
        </w:rPr>
        <w:t>trico Julio Endara contiene sus “notas de evolución” y “prescripciones médicas” desde el 10 de enero de 2004</w:t>
      </w:r>
      <w:r w:rsidR="00CB5425" w:rsidRPr="008A084A">
        <w:rPr>
          <w:rFonts w:ascii="Cambria" w:hAnsi="Cambria"/>
          <w:sz w:val="20"/>
          <w:szCs w:val="20"/>
          <w:lang w:val="es-ES"/>
        </w:rPr>
        <w:t>, fecha de su ingreso al centro médico,</w:t>
      </w:r>
      <w:r w:rsidR="00472F62" w:rsidRPr="008A084A">
        <w:rPr>
          <w:rFonts w:ascii="Cambria" w:hAnsi="Cambria"/>
          <w:sz w:val="20"/>
          <w:szCs w:val="20"/>
          <w:lang w:val="es-ES"/>
        </w:rPr>
        <w:t xml:space="preserve"> hasta el 16 del mismo mes</w:t>
      </w:r>
      <w:r w:rsidR="00472F62" w:rsidRPr="008A084A">
        <w:rPr>
          <w:rStyle w:val="FootnoteReference"/>
          <w:rFonts w:ascii="Cambria" w:hAnsi="Cambria"/>
          <w:sz w:val="20"/>
          <w:szCs w:val="20"/>
        </w:rPr>
        <w:footnoteReference w:id="83"/>
      </w:r>
      <w:r w:rsidR="00472F62" w:rsidRPr="008A084A">
        <w:rPr>
          <w:rFonts w:ascii="Cambria" w:hAnsi="Cambria"/>
          <w:sz w:val="20"/>
          <w:szCs w:val="20"/>
          <w:lang w:val="es-ES"/>
        </w:rPr>
        <w:t xml:space="preserve">. En dicha ficha no hay anotaciones en </w:t>
      </w:r>
      <w:r w:rsidR="001C1DBD" w:rsidRPr="008A084A">
        <w:rPr>
          <w:rFonts w:ascii="Cambria" w:hAnsi="Cambria"/>
          <w:sz w:val="20"/>
          <w:szCs w:val="20"/>
          <w:lang w:val="es-ES"/>
        </w:rPr>
        <w:t>el día</w:t>
      </w:r>
      <w:r w:rsidR="00472F62" w:rsidRPr="008A084A">
        <w:rPr>
          <w:rFonts w:ascii="Cambria" w:hAnsi="Cambria"/>
          <w:sz w:val="20"/>
          <w:szCs w:val="20"/>
          <w:lang w:val="es-ES"/>
        </w:rPr>
        <w:t xml:space="preserve"> 17 de enero de 2004</w:t>
      </w:r>
      <w:r w:rsidR="00695D81" w:rsidRPr="008A084A">
        <w:rPr>
          <w:rStyle w:val="FootnoteReference"/>
          <w:rFonts w:ascii="Cambria" w:hAnsi="Cambria"/>
          <w:sz w:val="20"/>
          <w:szCs w:val="20"/>
        </w:rPr>
        <w:footnoteReference w:id="84"/>
      </w:r>
      <w:r w:rsidR="00472F62" w:rsidRPr="008A084A">
        <w:rPr>
          <w:rFonts w:ascii="Cambria" w:hAnsi="Cambria"/>
          <w:sz w:val="20"/>
          <w:szCs w:val="20"/>
          <w:lang w:val="es-ES"/>
        </w:rPr>
        <w:t>.</w:t>
      </w:r>
      <w:r w:rsidR="00344A14" w:rsidRPr="008A084A">
        <w:rPr>
          <w:rFonts w:ascii="Cambria" w:hAnsi="Cambria"/>
          <w:sz w:val="20"/>
          <w:szCs w:val="20"/>
          <w:lang w:val="es-ES"/>
        </w:rPr>
        <w:t xml:space="preserve"> </w:t>
      </w:r>
      <w:r w:rsidR="00063A43" w:rsidRPr="008A084A">
        <w:rPr>
          <w:rFonts w:ascii="Cambria" w:hAnsi="Cambria"/>
          <w:sz w:val="20"/>
          <w:szCs w:val="20"/>
          <w:lang w:val="es-ES"/>
        </w:rPr>
        <w:t xml:space="preserve">En el </w:t>
      </w:r>
      <w:r w:rsidR="00344A14" w:rsidRPr="008A084A">
        <w:rPr>
          <w:rFonts w:ascii="Cambria" w:hAnsi="Cambria"/>
          <w:sz w:val="20"/>
          <w:szCs w:val="20"/>
          <w:lang w:val="es-ES"/>
        </w:rPr>
        <w:t xml:space="preserve">informe de cambio de turno del hospital de </w:t>
      </w:r>
      <w:r w:rsidR="001C1DBD" w:rsidRPr="008A084A">
        <w:rPr>
          <w:rFonts w:ascii="Cambria" w:hAnsi="Cambria"/>
          <w:sz w:val="20"/>
          <w:szCs w:val="20"/>
          <w:lang w:val="es-ES"/>
        </w:rPr>
        <w:t>dicha fecha</w:t>
      </w:r>
      <w:r w:rsidR="00344A14" w:rsidRPr="008A084A">
        <w:rPr>
          <w:rFonts w:ascii="Cambria" w:hAnsi="Cambria"/>
          <w:sz w:val="20"/>
          <w:szCs w:val="20"/>
          <w:lang w:val="es-ES"/>
        </w:rPr>
        <w:t xml:space="preserve">, </w:t>
      </w:r>
      <w:r w:rsidR="0061014C" w:rsidRPr="008A084A">
        <w:rPr>
          <w:rFonts w:ascii="Cambria" w:hAnsi="Cambria"/>
          <w:sz w:val="20"/>
          <w:szCs w:val="20"/>
          <w:lang w:val="es-ES"/>
        </w:rPr>
        <w:t>se indica el nombre del personal que estuvo en dicha institución durante la mañana y la noche</w:t>
      </w:r>
      <w:r w:rsidR="00344A14" w:rsidRPr="008A084A">
        <w:rPr>
          <w:rStyle w:val="FootnoteReference"/>
          <w:rFonts w:ascii="Cambria" w:hAnsi="Cambria"/>
          <w:sz w:val="20"/>
          <w:szCs w:val="20"/>
        </w:rPr>
        <w:footnoteReference w:id="85"/>
      </w:r>
      <w:r w:rsidR="00344A14" w:rsidRPr="008A084A">
        <w:rPr>
          <w:rFonts w:ascii="Cambria" w:hAnsi="Cambria"/>
          <w:sz w:val="20"/>
          <w:szCs w:val="20"/>
          <w:lang w:val="es-ES"/>
        </w:rPr>
        <w:t>.</w:t>
      </w:r>
      <w:r w:rsidR="0061014C" w:rsidRPr="008A084A">
        <w:rPr>
          <w:rFonts w:ascii="Cambria" w:hAnsi="Cambria"/>
          <w:sz w:val="20"/>
          <w:szCs w:val="20"/>
          <w:lang w:val="es-ES"/>
        </w:rPr>
        <w:t xml:space="preserve"> En dicho informe consta una anotación en donde se indica que “el paciente Luis Guachalá abandona el hospital, se le busca, no se le encuentra”</w:t>
      </w:r>
      <w:r w:rsidR="0061014C" w:rsidRPr="008A084A">
        <w:rPr>
          <w:rStyle w:val="FootnoteReference"/>
          <w:rFonts w:ascii="Cambria" w:hAnsi="Cambria"/>
          <w:sz w:val="20"/>
          <w:szCs w:val="20"/>
        </w:rPr>
        <w:footnoteReference w:id="86"/>
      </w:r>
      <w:r w:rsidR="0061014C" w:rsidRPr="008A084A">
        <w:rPr>
          <w:rFonts w:ascii="Cambria" w:hAnsi="Cambria"/>
          <w:sz w:val="20"/>
          <w:szCs w:val="20"/>
          <w:lang w:val="es-ES"/>
        </w:rPr>
        <w:t>.</w:t>
      </w:r>
    </w:p>
    <w:p w:rsidR="00D71E6C" w:rsidRPr="008A084A" w:rsidRDefault="00D71E6C"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D71E6C" w:rsidRPr="008A084A" w:rsidRDefault="00D71E6C" w:rsidP="001C1DBD">
      <w:pPr>
        <w:numPr>
          <w:ilvl w:val="0"/>
          <w:numId w:val="55"/>
        </w:numPr>
        <w:jc w:val="both"/>
        <w:rPr>
          <w:rFonts w:ascii="Cambria" w:hAnsi="Cambria"/>
          <w:sz w:val="20"/>
          <w:szCs w:val="20"/>
          <w:lang w:val="es-ES"/>
        </w:rPr>
      </w:pPr>
      <w:r w:rsidRPr="008A084A">
        <w:rPr>
          <w:rFonts w:ascii="Cambria" w:hAnsi="Cambria"/>
          <w:sz w:val="20"/>
          <w:szCs w:val="20"/>
          <w:lang w:val="es-ES"/>
        </w:rPr>
        <w:t xml:space="preserve">El enfermero Luis Borja envió una comunicación al director del hospital, Rommel </w:t>
      </w:r>
      <w:proofErr w:type="spellStart"/>
      <w:r w:rsidRPr="008A084A">
        <w:rPr>
          <w:rFonts w:ascii="Cambria" w:hAnsi="Cambria"/>
          <w:sz w:val="20"/>
          <w:szCs w:val="20"/>
          <w:lang w:val="es-ES"/>
        </w:rPr>
        <w:t>Artieda</w:t>
      </w:r>
      <w:proofErr w:type="spellEnd"/>
      <w:r w:rsidRPr="008A084A">
        <w:rPr>
          <w:rFonts w:ascii="Cambria" w:hAnsi="Cambria"/>
          <w:sz w:val="20"/>
          <w:szCs w:val="20"/>
          <w:lang w:val="es-ES"/>
        </w:rPr>
        <w:t>, indicando que en la tarde del 17 de enero</w:t>
      </w:r>
      <w:r w:rsidR="002D0AFB" w:rsidRPr="008A084A">
        <w:rPr>
          <w:rFonts w:ascii="Cambria" w:hAnsi="Cambria"/>
          <w:sz w:val="20"/>
          <w:szCs w:val="20"/>
          <w:lang w:val="es-ES"/>
        </w:rPr>
        <w:t xml:space="preserve"> el señor Guachalá estaba en el patio de la institución “junto a todos los otros pacientes, la mayoría de ellos de cuidado”</w:t>
      </w:r>
      <w:r w:rsidR="002D0AFB" w:rsidRPr="008A084A">
        <w:rPr>
          <w:rStyle w:val="FootnoteReference"/>
          <w:rFonts w:ascii="Cambria" w:hAnsi="Cambria"/>
          <w:sz w:val="20"/>
          <w:szCs w:val="20"/>
        </w:rPr>
        <w:footnoteReference w:id="87"/>
      </w:r>
      <w:r w:rsidR="002D0AFB" w:rsidRPr="008A084A">
        <w:rPr>
          <w:rFonts w:ascii="Cambria" w:hAnsi="Cambria"/>
          <w:sz w:val="20"/>
          <w:szCs w:val="20"/>
          <w:lang w:val="es-ES"/>
        </w:rPr>
        <w:t>.</w:t>
      </w:r>
      <w:r w:rsidR="00B40E2F" w:rsidRPr="008A084A">
        <w:rPr>
          <w:rFonts w:ascii="Cambria" w:hAnsi="Cambria"/>
          <w:sz w:val="20"/>
          <w:szCs w:val="20"/>
          <w:lang w:val="es-ES"/>
        </w:rPr>
        <w:t xml:space="preserve"> Sostuvo que posteriormente llevó al señor Guachalá a la sala de televisión en donde se quedó sentado</w:t>
      </w:r>
      <w:r w:rsidR="00B40E2F" w:rsidRPr="008A084A">
        <w:rPr>
          <w:rStyle w:val="FootnoteReference"/>
          <w:rFonts w:ascii="Cambria" w:hAnsi="Cambria"/>
          <w:sz w:val="20"/>
          <w:szCs w:val="20"/>
        </w:rPr>
        <w:footnoteReference w:id="88"/>
      </w:r>
      <w:r w:rsidR="00B40E2F" w:rsidRPr="008A084A">
        <w:rPr>
          <w:rFonts w:ascii="Cambria" w:hAnsi="Cambria"/>
          <w:sz w:val="20"/>
          <w:szCs w:val="20"/>
          <w:lang w:val="es-ES"/>
        </w:rPr>
        <w:t>. Indicó que fue a ver a “otro paciente (...) que amenazaba por irse del hospital ya que se encontraba muy inquieto”</w:t>
      </w:r>
      <w:r w:rsidR="00B40E2F" w:rsidRPr="008A084A">
        <w:rPr>
          <w:rStyle w:val="FootnoteReference"/>
          <w:rFonts w:ascii="Cambria" w:hAnsi="Cambria"/>
          <w:sz w:val="20"/>
          <w:szCs w:val="20"/>
        </w:rPr>
        <w:footnoteReference w:id="89"/>
      </w:r>
      <w:r w:rsidR="00B40E2F" w:rsidRPr="008A084A">
        <w:rPr>
          <w:rFonts w:ascii="Cambria" w:hAnsi="Cambria"/>
          <w:sz w:val="20"/>
          <w:szCs w:val="20"/>
          <w:lang w:val="es-ES"/>
        </w:rPr>
        <w:t xml:space="preserve">. </w:t>
      </w:r>
      <w:r w:rsidR="00063A43" w:rsidRPr="008A084A">
        <w:rPr>
          <w:rFonts w:ascii="Cambria" w:hAnsi="Cambria"/>
          <w:sz w:val="20"/>
          <w:szCs w:val="20"/>
          <w:lang w:val="es-ES"/>
        </w:rPr>
        <w:t>E</w:t>
      </w:r>
      <w:r w:rsidR="00CF654A" w:rsidRPr="008A084A">
        <w:rPr>
          <w:rFonts w:ascii="Cambria" w:hAnsi="Cambria"/>
          <w:sz w:val="20"/>
          <w:szCs w:val="20"/>
          <w:lang w:val="es-ES"/>
        </w:rPr>
        <w:t>l Estado señaló que ello ocurrió alrededor de las 3:30</w:t>
      </w:r>
      <w:r w:rsidR="00063A43" w:rsidRPr="008A084A">
        <w:rPr>
          <w:rFonts w:ascii="Cambria" w:hAnsi="Cambria"/>
          <w:sz w:val="20"/>
          <w:szCs w:val="20"/>
          <w:lang w:val="es-ES"/>
        </w:rPr>
        <w:t xml:space="preserve"> </w:t>
      </w:r>
      <w:r w:rsidR="00CF654A" w:rsidRPr="008A084A">
        <w:rPr>
          <w:rFonts w:ascii="Cambria" w:hAnsi="Cambria"/>
          <w:sz w:val="20"/>
          <w:szCs w:val="20"/>
          <w:lang w:val="es-ES"/>
        </w:rPr>
        <w:t>pm</w:t>
      </w:r>
      <w:r w:rsidR="00CF654A" w:rsidRPr="008A084A">
        <w:rPr>
          <w:rStyle w:val="FootnoteReference"/>
          <w:rFonts w:ascii="Cambria" w:hAnsi="Cambria"/>
          <w:sz w:val="20"/>
          <w:szCs w:val="20"/>
        </w:rPr>
        <w:footnoteReference w:id="90"/>
      </w:r>
      <w:r w:rsidR="00CF654A" w:rsidRPr="008A084A">
        <w:rPr>
          <w:rFonts w:ascii="Cambria" w:hAnsi="Cambria"/>
          <w:sz w:val="20"/>
          <w:szCs w:val="20"/>
          <w:lang w:val="es-ES"/>
        </w:rPr>
        <w:t>.</w:t>
      </w:r>
    </w:p>
    <w:p w:rsidR="00B40E2F" w:rsidRPr="008A084A" w:rsidRDefault="00B40E2F"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B40E2F" w:rsidRPr="008A084A" w:rsidRDefault="00B40E2F" w:rsidP="001C1DBD">
      <w:pPr>
        <w:numPr>
          <w:ilvl w:val="0"/>
          <w:numId w:val="55"/>
        </w:numPr>
        <w:jc w:val="both"/>
        <w:rPr>
          <w:rFonts w:ascii="Cambria" w:hAnsi="Cambria"/>
          <w:sz w:val="20"/>
          <w:szCs w:val="20"/>
          <w:lang w:val="es-ES"/>
        </w:rPr>
      </w:pPr>
      <w:r w:rsidRPr="008A084A">
        <w:rPr>
          <w:rFonts w:ascii="Cambria" w:hAnsi="Cambria"/>
          <w:sz w:val="20"/>
          <w:szCs w:val="20"/>
          <w:lang w:val="es-ES"/>
        </w:rPr>
        <w:t>El enfermero Borja manifestó que tardó entre quince a veinte minutos</w:t>
      </w:r>
      <w:r w:rsidR="00D53243" w:rsidRPr="008A084A">
        <w:rPr>
          <w:rFonts w:ascii="Cambria" w:hAnsi="Cambria"/>
          <w:sz w:val="20"/>
          <w:szCs w:val="20"/>
          <w:lang w:val="es-ES"/>
        </w:rPr>
        <w:t xml:space="preserve"> en regresar a la sala de televisión y ya no encontró al señor Guachalá</w:t>
      </w:r>
      <w:r w:rsidR="00D53243" w:rsidRPr="008A084A">
        <w:rPr>
          <w:rStyle w:val="FootnoteReference"/>
          <w:rFonts w:ascii="Cambria" w:hAnsi="Cambria"/>
          <w:sz w:val="20"/>
          <w:szCs w:val="20"/>
        </w:rPr>
        <w:footnoteReference w:id="91"/>
      </w:r>
      <w:r w:rsidR="00D53243" w:rsidRPr="008A084A">
        <w:rPr>
          <w:rFonts w:ascii="Cambria" w:hAnsi="Cambria"/>
          <w:sz w:val="20"/>
          <w:szCs w:val="20"/>
          <w:lang w:val="es-ES"/>
        </w:rPr>
        <w:t>. Sostuvo que inmediatamente empezó a buscarlo en las diversas salas y habitaciones del hospital pero no lo pudo encontrar</w:t>
      </w:r>
      <w:r w:rsidR="00D53243" w:rsidRPr="008A084A">
        <w:rPr>
          <w:rStyle w:val="FootnoteReference"/>
          <w:rFonts w:ascii="Cambria" w:hAnsi="Cambria"/>
          <w:sz w:val="20"/>
          <w:szCs w:val="20"/>
        </w:rPr>
        <w:footnoteReference w:id="92"/>
      </w:r>
      <w:r w:rsidR="00D53243" w:rsidRPr="008A084A">
        <w:rPr>
          <w:rFonts w:ascii="Cambria" w:hAnsi="Cambria"/>
          <w:sz w:val="20"/>
          <w:szCs w:val="20"/>
          <w:lang w:val="es-ES"/>
        </w:rPr>
        <w:t>. Indicó que al momento de ocurrido el hecho el médico de turno no se encontraba en el hospital</w:t>
      </w:r>
      <w:r w:rsidR="00D53243" w:rsidRPr="008A084A">
        <w:rPr>
          <w:rStyle w:val="FootnoteReference"/>
          <w:rFonts w:ascii="Cambria" w:hAnsi="Cambria"/>
          <w:sz w:val="20"/>
          <w:szCs w:val="20"/>
        </w:rPr>
        <w:footnoteReference w:id="93"/>
      </w:r>
      <w:r w:rsidR="00D53243" w:rsidRPr="008A084A">
        <w:rPr>
          <w:rFonts w:ascii="Cambria" w:hAnsi="Cambria"/>
          <w:sz w:val="20"/>
          <w:szCs w:val="20"/>
          <w:lang w:val="es-ES"/>
        </w:rPr>
        <w:t xml:space="preserve">. </w:t>
      </w:r>
    </w:p>
    <w:p w:rsidR="00341914" w:rsidRPr="008A084A" w:rsidRDefault="00341914"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341914" w:rsidRPr="008A084A" w:rsidRDefault="00341914" w:rsidP="00B329C1">
      <w:pPr>
        <w:pStyle w:val="Heading2"/>
        <w:numPr>
          <w:ilvl w:val="0"/>
          <w:numId w:val="59"/>
        </w:numPr>
        <w:spacing w:before="0" w:after="0"/>
        <w:ind w:left="1440" w:hanging="720"/>
        <w:jc w:val="both"/>
        <w:rPr>
          <w:rFonts w:ascii="Cambria" w:hAnsi="Cambria"/>
          <w:i w:val="0"/>
          <w:sz w:val="20"/>
          <w:szCs w:val="20"/>
          <w:lang w:val="es-ES"/>
        </w:rPr>
      </w:pPr>
      <w:bookmarkStart w:id="26" w:name="_Toc525547507"/>
      <w:r w:rsidRPr="008A084A">
        <w:rPr>
          <w:rFonts w:ascii="Cambria" w:hAnsi="Cambria"/>
          <w:i w:val="0"/>
          <w:sz w:val="20"/>
          <w:szCs w:val="20"/>
          <w:lang w:val="es-ES"/>
        </w:rPr>
        <w:t>Sobre lo sucedido a partir del 1</w:t>
      </w:r>
      <w:r w:rsidR="001C1DBD" w:rsidRPr="008A084A">
        <w:rPr>
          <w:rFonts w:ascii="Cambria" w:hAnsi="Cambria"/>
          <w:i w:val="0"/>
          <w:sz w:val="20"/>
          <w:szCs w:val="20"/>
          <w:lang w:val="es-ES"/>
        </w:rPr>
        <w:t>8</w:t>
      </w:r>
      <w:r w:rsidRPr="008A084A">
        <w:rPr>
          <w:rFonts w:ascii="Cambria" w:hAnsi="Cambria"/>
          <w:i w:val="0"/>
          <w:sz w:val="20"/>
          <w:szCs w:val="20"/>
          <w:lang w:val="es-ES"/>
        </w:rPr>
        <w:t xml:space="preserve"> de enero de 2004</w:t>
      </w:r>
      <w:bookmarkEnd w:id="26"/>
    </w:p>
    <w:p w:rsidR="00341914" w:rsidRPr="008A084A" w:rsidRDefault="00341914"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1C1DBD" w:rsidRPr="008A084A" w:rsidRDefault="001C1DBD" w:rsidP="001C1DBD">
      <w:pPr>
        <w:numPr>
          <w:ilvl w:val="0"/>
          <w:numId w:val="55"/>
        </w:numPr>
        <w:jc w:val="both"/>
        <w:rPr>
          <w:rFonts w:ascii="Cambria" w:hAnsi="Cambria"/>
          <w:sz w:val="20"/>
          <w:szCs w:val="20"/>
          <w:lang w:val="es-ES"/>
        </w:rPr>
      </w:pPr>
      <w:r w:rsidRPr="008A084A">
        <w:rPr>
          <w:rFonts w:ascii="Cambria" w:hAnsi="Cambria"/>
          <w:sz w:val="20"/>
          <w:szCs w:val="20"/>
          <w:lang w:val="es-ES"/>
        </w:rPr>
        <w:t>La señora Chimbó manifestó que el domingo 18 de enero de 2004 acudió al hospital para ver a su hijo</w:t>
      </w:r>
      <w:r w:rsidR="000F48D5" w:rsidRPr="008A084A">
        <w:rPr>
          <w:rFonts w:ascii="Cambria" w:hAnsi="Cambria"/>
          <w:sz w:val="20"/>
          <w:szCs w:val="20"/>
          <w:lang w:val="es-ES"/>
        </w:rPr>
        <w:t xml:space="preserve"> y que </w:t>
      </w:r>
      <w:r w:rsidRPr="008A084A">
        <w:rPr>
          <w:rFonts w:ascii="Cambria" w:hAnsi="Cambria"/>
          <w:sz w:val="20"/>
          <w:szCs w:val="20"/>
          <w:lang w:val="es-ES"/>
        </w:rPr>
        <w:t xml:space="preserve"> habló con el enfermero que</w:t>
      </w:r>
      <w:r w:rsidR="00717195" w:rsidRPr="008A084A">
        <w:rPr>
          <w:rFonts w:ascii="Cambria" w:hAnsi="Cambria"/>
          <w:sz w:val="20"/>
          <w:szCs w:val="20"/>
          <w:lang w:val="es-ES"/>
        </w:rPr>
        <w:t xml:space="preserve"> le había puesto </w:t>
      </w:r>
      <w:r w:rsidRPr="008A084A">
        <w:rPr>
          <w:rFonts w:ascii="Cambria" w:hAnsi="Cambria"/>
          <w:sz w:val="20"/>
          <w:szCs w:val="20"/>
          <w:lang w:val="es-ES"/>
        </w:rPr>
        <w:t xml:space="preserve">la inyección a su hijo </w:t>
      </w:r>
      <w:r w:rsidR="000F48D5" w:rsidRPr="008A084A">
        <w:rPr>
          <w:rFonts w:ascii="Cambria" w:hAnsi="Cambria"/>
          <w:sz w:val="20"/>
          <w:szCs w:val="20"/>
          <w:lang w:val="es-ES"/>
        </w:rPr>
        <w:t>al momento del ingreso</w:t>
      </w:r>
      <w:r w:rsidRPr="008A084A">
        <w:rPr>
          <w:rFonts w:ascii="Cambria" w:hAnsi="Cambria"/>
          <w:sz w:val="20"/>
          <w:szCs w:val="20"/>
          <w:lang w:val="es-ES"/>
        </w:rPr>
        <w:t xml:space="preserve"> </w:t>
      </w:r>
      <w:r w:rsidR="000F48D5" w:rsidRPr="008A084A">
        <w:rPr>
          <w:rFonts w:ascii="Cambria" w:hAnsi="Cambria"/>
          <w:sz w:val="20"/>
          <w:szCs w:val="20"/>
          <w:lang w:val="es-ES"/>
        </w:rPr>
        <w:t xml:space="preserve">quien le dijo </w:t>
      </w:r>
      <w:r w:rsidRPr="008A084A">
        <w:rPr>
          <w:rFonts w:ascii="Cambria" w:hAnsi="Cambria"/>
          <w:sz w:val="20"/>
          <w:szCs w:val="20"/>
          <w:lang w:val="es-ES"/>
        </w:rPr>
        <w:t>que “se había escapado del hospital el sábado diecisiete de febrero”</w:t>
      </w:r>
      <w:r w:rsidRPr="008A084A">
        <w:rPr>
          <w:rStyle w:val="FootnoteReference"/>
          <w:rFonts w:ascii="Cambria" w:hAnsi="Cambria"/>
          <w:sz w:val="20"/>
          <w:szCs w:val="20"/>
        </w:rPr>
        <w:footnoteReference w:id="94"/>
      </w:r>
      <w:r w:rsidRPr="008A084A">
        <w:rPr>
          <w:rFonts w:ascii="Cambria" w:hAnsi="Cambria"/>
          <w:sz w:val="20"/>
          <w:szCs w:val="20"/>
          <w:lang w:val="es-ES"/>
        </w:rPr>
        <w:t>. Sostuvo que el enfermero le preguntó si su hijo había llegado a su casa</w:t>
      </w:r>
      <w:r w:rsidR="000F48D5" w:rsidRPr="008A084A">
        <w:rPr>
          <w:rFonts w:ascii="Cambria" w:hAnsi="Cambria"/>
          <w:sz w:val="20"/>
          <w:szCs w:val="20"/>
          <w:lang w:val="es-ES"/>
        </w:rPr>
        <w:t xml:space="preserve">, a lo que le respondió </w:t>
      </w:r>
      <w:r w:rsidRPr="008A084A">
        <w:rPr>
          <w:rFonts w:ascii="Cambria" w:hAnsi="Cambria"/>
          <w:sz w:val="20"/>
          <w:szCs w:val="20"/>
          <w:lang w:val="es-ES"/>
        </w:rPr>
        <w:t xml:space="preserve"> que no había visto a su hijo Luis desde que lo dejó en el hospital</w:t>
      </w:r>
      <w:r w:rsidRPr="008A084A">
        <w:rPr>
          <w:rStyle w:val="FootnoteReference"/>
          <w:rFonts w:ascii="Cambria" w:hAnsi="Cambria"/>
          <w:sz w:val="20"/>
          <w:szCs w:val="20"/>
        </w:rPr>
        <w:footnoteReference w:id="95"/>
      </w:r>
      <w:r w:rsidRPr="008A084A">
        <w:rPr>
          <w:rFonts w:ascii="Cambria" w:hAnsi="Cambria"/>
          <w:sz w:val="20"/>
          <w:szCs w:val="20"/>
          <w:lang w:val="es-ES"/>
        </w:rPr>
        <w:t>. Indicó que el enfermero le dijo que “eso era (su) problema, (...) que habían buscado por todo el sector y que no le habían encontrado”</w:t>
      </w:r>
      <w:r w:rsidRPr="008A084A">
        <w:rPr>
          <w:rStyle w:val="FootnoteReference"/>
          <w:rFonts w:ascii="Cambria" w:hAnsi="Cambria"/>
          <w:sz w:val="20"/>
          <w:szCs w:val="20"/>
        </w:rPr>
        <w:footnoteReference w:id="96"/>
      </w:r>
      <w:r w:rsidRPr="008A084A">
        <w:rPr>
          <w:rFonts w:ascii="Cambria" w:hAnsi="Cambria"/>
          <w:sz w:val="20"/>
          <w:szCs w:val="20"/>
          <w:lang w:val="es-ES"/>
        </w:rPr>
        <w:t>.</w:t>
      </w:r>
    </w:p>
    <w:p w:rsidR="001C1DBD" w:rsidRPr="008A084A" w:rsidRDefault="001C1DBD" w:rsidP="001C1DB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1C1DBD" w:rsidRPr="008A084A" w:rsidRDefault="001C1DBD" w:rsidP="001C1DBD">
      <w:pPr>
        <w:numPr>
          <w:ilvl w:val="0"/>
          <w:numId w:val="55"/>
        </w:numPr>
        <w:jc w:val="both"/>
        <w:rPr>
          <w:rFonts w:ascii="Cambria" w:hAnsi="Cambria"/>
          <w:sz w:val="20"/>
          <w:szCs w:val="20"/>
          <w:lang w:val="es-ES"/>
        </w:rPr>
      </w:pPr>
      <w:r w:rsidRPr="008A084A">
        <w:rPr>
          <w:rFonts w:ascii="Cambria" w:hAnsi="Cambria"/>
          <w:sz w:val="20"/>
          <w:szCs w:val="20"/>
          <w:lang w:val="es-ES"/>
        </w:rPr>
        <w:t xml:space="preserve">La señora Chimbó señaló que el enfermero no la quería dejar entrar a la habitación </w:t>
      </w:r>
      <w:r w:rsidR="00FB542E" w:rsidRPr="008A084A">
        <w:rPr>
          <w:rFonts w:ascii="Cambria" w:hAnsi="Cambria"/>
          <w:sz w:val="20"/>
          <w:szCs w:val="20"/>
          <w:lang w:val="es-ES"/>
        </w:rPr>
        <w:t xml:space="preserve">a la cual </w:t>
      </w:r>
      <w:r w:rsidRPr="008A084A">
        <w:rPr>
          <w:rFonts w:ascii="Cambria" w:hAnsi="Cambria"/>
          <w:sz w:val="20"/>
          <w:szCs w:val="20"/>
          <w:lang w:val="es-ES"/>
        </w:rPr>
        <w:t>había sido asignado su hijo</w:t>
      </w:r>
      <w:r w:rsidR="00E1013D" w:rsidRPr="008A084A">
        <w:rPr>
          <w:rFonts w:ascii="Cambria" w:hAnsi="Cambria"/>
          <w:sz w:val="20"/>
          <w:szCs w:val="20"/>
          <w:lang w:val="es-ES"/>
        </w:rPr>
        <w:t xml:space="preserve">, pero que </w:t>
      </w:r>
      <w:r w:rsidR="00076B7D" w:rsidRPr="008A084A">
        <w:rPr>
          <w:rFonts w:ascii="Cambria" w:hAnsi="Cambria"/>
          <w:sz w:val="20"/>
          <w:szCs w:val="20"/>
          <w:lang w:val="es-ES"/>
        </w:rPr>
        <w:t>una e</w:t>
      </w:r>
      <w:r w:rsidRPr="008A084A">
        <w:rPr>
          <w:rFonts w:ascii="Cambria" w:hAnsi="Cambria"/>
          <w:sz w:val="20"/>
          <w:szCs w:val="20"/>
          <w:lang w:val="es-ES"/>
        </w:rPr>
        <w:t>nfermera abrió la puerta de dicha habitación, por lo que ella pudo ingresar</w:t>
      </w:r>
      <w:r w:rsidRPr="008A084A">
        <w:rPr>
          <w:rStyle w:val="FootnoteReference"/>
          <w:rFonts w:ascii="Cambria" w:hAnsi="Cambria"/>
          <w:sz w:val="20"/>
          <w:szCs w:val="20"/>
        </w:rPr>
        <w:footnoteReference w:id="97"/>
      </w:r>
      <w:r w:rsidRPr="008A084A">
        <w:rPr>
          <w:rFonts w:ascii="Cambria" w:hAnsi="Cambria"/>
          <w:sz w:val="20"/>
          <w:szCs w:val="20"/>
          <w:lang w:val="es-ES"/>
        </w:rPr>
        <w:t>. Agregó que “ya estaba otro paciente” en la cama que le fue asignada a Luis</w:t>
      </w:r>
      <w:r w:rsidR="00D8754B" w:rsidRPr="008A084A">
        <w:rPr>
          <w:rFonts w:ascii="Cambria" w:hAnsi="Cambria"/>
          <w:sz w:val="20"/>
          <w:szCs w:val="20"/>
          <w:lang w:val="es-ES"/>
        </w:rPr>
        <w:t xml:space="preserve">, </w:t>
      </w:r>
      <w:r w:rsidRPr="008A084A">
        <w:rPr>
          <w:rFonts w:ascii="Cambria" w:hAnsi="Cambria"/>
          <w:sz w:val="20"/>
          <w:szCs w:val="20"/>
          <w:lang w:val="es-ES"/>
        </w:rPr>
        <w:t>que no encontró a la doctora Quimbiulco y que conversó con una enfermera de turno, quien le recomendó que busque a su hijo “en casa de otros familiares”</w:t>
      </w:r>
      <w:r w:rsidR="00444E09" w:rsidRPr="008A084A">
        <w:rPr>
          <w:rFonts w:ascii="Cambria" w:hAnsi="Cambria"/>
          <w:sz w:val="20"/>
          <w:szCs w:val="20"/>
          <w:lang w:val="es-ES"/>
        </w:rPr>
        <w:t xml:space="preserve">, por lo que </w:t>
      </w:r>
      <w:r w:rsidRPr="008A084A">
        <w:rPr>
          <w:rFonts w:ascii="Cambria" w:hAnsi="Cambria"/>
          <w:sz w:val="20"/>
          <w:szCs w:val="20"/>
          <w:lang w:val="es-ES"/>
        </w:rPr>
        <w:t>salió llorando del hospital</w:t>
      </w:r>
      <w:r w:rsidRPr="008A084A">
        <w:rPr>
          <w:rStyle w:val="FootnoteReference"/>
          <w:rFonts w:ascii="Cambria" w:hAnsi="Cambria"/>
          <w:sz w:val="20"/>
          <w:szCs w:val="20"/>
        </w:rPr>
        <w:footnoteReference w:id="98"/>
      </w:r>
      <w:r w:rsidRPr="008A084A">
        <w:rPr>
          <w:rFonts w:ascii="Cambria" w:hAnsi="Cambria"/>
          <w:sz w:val="20"/>
          <w:szCs w:val="20"/>
          <w:lang w:val="es-ES"/>
        </w:rPr>
        <w:t>.</w:t>
      </w:r>
    </w:p>
    <w:p w:rsidR="00805A81" w:rsidRPr="008A084A" w:rsidRDefault="00925535" w:rsidP="001C1DBD">
      <w:pPr>
        <w:numPr>
          <w:ilvl w:val="0"/>
          <w:numId w:val="55"/>
        </w:numPr>
        <w:jc w:val="both"/>
        <w:rPr>
          <w:rFonts w:ascii="Cambria" w:hAnsi="Cambria"/>
          <w:sz w:val="20"/>
          <w:szCs w:val="20"/>
          <w:lang w:val="es-ES"/>
        </w:rPr>
      </w:pPr>
      <w:r w:rsidRPr="008A084A">
        <w:rPr>
          <w:rFonts w:ascii="Cambria" w:hAnsi="Cambria"/>
          <w:sz w:val="20"/>
          <w:szCs w:val="20"/>
          <w:lang w:val="es-ES"/>
        </w:rPr>
        <w:lastRenderedPageBreak/>
        <w:t>La doctora Quimbiulco manifestó que el lunes 19 de enero de 2004, al llegar al hospital, le informaron que el señor Guachalá “había abandonado la institución el fin de semana”</w:t>
      </w:r>
      <w:r w:rsidRPr="008A084A">
        <w:rPr>
          <w:rStyle w:val="FootnoteReference"/>
          <w:rFonts w:ascii="Cambria" w:hAnsi="Cambria"/>
          <w:sz w:val="20"/>
          <w:szCs w:val="20"/>
        </w:rPr>
        <w:footnoteReference w:id="99"/>
      </w:r>
      <w:r w:rsidR="000C476F" w:rsidRPr="008A084A">
        <w:rPr>
          <w:rFonts w:ascii="Cambria" w:hAnsi="Cambria"/>
          <w:sz w:val="20"/>
          <w:szCs w:val="20"/>
          <w:lang w:val="es-ES"/>
        </w:rPr>
        <w:t xml:space="preserve">, por lo que </w:t>
      </w:r>
      <w:r w:rsidRPr="008A084A">
        <w:rPr>
          <w:rFonts w:ascii="Cambria" w:hAnsi="Cambria"/>
          <w:sz w:val="20"/>
          <w:szCs w:val="20"/>
          <w:lang w:val="es-ES"/>
        </w:rPr>
        <w:t>ordenó a la trabajadora social Jenny Beltrán “</w:t>
      </w:r>
      <w:proofErr w:type="spellStart"/>
      <w:r w:rsidRPr="008A084A">
        <w:rPr>
          <w:rFonts w:ascii="Cambria" w:hAnsi="Cambria"/>
          <w:sz w:val="20"/>
          <w:szCs w:val="20"/>
          <w:lang w:val="es-ES"/>
        </w:rPr>
        <w:t>reali</w:t>
      </w:r>
      <w:proofErr w:type="spellEnd"/>
      <w:r w:rsidRPr="008A084A">
        <w:rPr>
          <w:rFonts w:ascii="Cambria" w:hAnsi="Cambria"/>
          <w:sz w:val="20"/>
          <w:szCs w:val="20"/>
          <w:lang w:val="es-ES"/>
        </w:rPr>
        <w:t>(zar) los trámites respectivos para localizar al paciente”</w:t>
      </w:r>
      <w:r w:rsidRPr="008A084A">
        <w:rPr>
          <w:rStyle w:val="FootnoteReference"/>
          <w:rFonts w:ascii="Cambria" w:hAnsi="Cambria"/>
          <w:sz w:val="20"/>
          <w:szCs w:val="20"/>
        </w:rPr>
        <w:footnoteReference w:id="100"/>
      </w:r>
      <w:r w:rsidRPr="008A084A">
        <w:rPr>
          <w:rFonts w:ascii="Cambria" w:hAnsi="Cambria"/>
          <w:sz w:val="20"/>
          <w:szCs w:val="20"/>
          <w:lang w:val="es-ES"/>
        </w:rPr>
        <w:t>.</w:t>
      </w:r>
    </w:p>
    <w:p w:rsidR="0059251A" w:rsidRPr="008A084A" w:rsidRDefault="0059251A"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59251A" w:rsidRPr="008A084A" w:rsidRDefault="006E7E15" w:rsidP="001C1DBD">
      <w:pPr>
        <w:numPr>
          <w:ilvl w:val="0"/>
          <w:numId w:val="55"/>
        </w:numPr>
        <w:jc w:val="both"/>
        <w:rPr>
          <w:rFonts w:ascii="Cambria" w:hAnsi="Cambria"/>
          <w:sz w:val="20"/>
          <w:szCs w:val="20"/>
          <w:lang w:val="es-ES"/>
        </w:rPr>
      </w:pPr>
      <w:r w:rsidRPr="008A084A">
        <w:rPr>
          <w:rFonts w:ascii="Cambria" w:hAnsi="Cambria"/>
          <w:sz w:val="20"/>
          <w:szCs w:val="20"/>
          <w:lang w:val="es-ES"/>
        </w:rPr>
        <w:t xml:space="preserve">El mismo día la señora </w:t>
      </w:r>
      <w:r w:rsidR="002125A0" w:rsidRPr="008A084A">
        <w:rPr>
          <w:rFonts w:ascii="Cambria" w:hAnsi="Cambria"/>
          <w:sz w:val="20"/>
          <w:szCs w:val="20"/>
          <w:lang w:val="es-ES"/>
        </w:rPr>
        <w:t>Chimbó</w:t>
      </w:r>
      <w:r w:rsidRPr="008A084A">
        <w:rPr>
          <w:rFonts w:ascii="Cambria" w:hAnsi="Cambria"/>
          <w:sz w:val="20"/>
          <w:szCs w:val="20"/>
          <w:lang w:val="es-ES"/>
        </w:rPr>
        <w:t xml:space="preserve"> acudió al hospital y se entrevistó con el director de la institución. </w:t>
      </w:r>
      <w:r w:rsidR="004D3FA4" w:rsidRPr="008A084A">
        <w:rPr>
          <w:rFonts w:ascii="Cambria" w:hAnsi="Cambria"/>
          <w:sz w:val="20"/>
          <w:szCs w:val="20"/>
          <w:lang w:val="es-ES"/>
        </w:rPr>
        <w:t xml:space="preserve">El director le informó a la señora </w:t>
      </w:r>
      <w:r w:rsidR="002125A0" w:rsidRPr="008A084A">
        <w:rPr>
          <w:rFonts w:ascii="Cambria" w:hAnsi="Cambria"/>
          <w:sz w:val="20"/>
          <w:szCs w:val="20"/>
          <w:lang w:val="es-ES"/>
        </w:rPr>
        <w:t>Chimbó</w:t>
      </w:r>
      <w:r w:rsidR="004D3FA4" w:rsidRPr="008A084A">
        <w:rPr>
          <w:rFonts w:ascii="Cambria" w:hAnsi="Cambria"/>
          <w:sz w:val="20"/>
          <w:szCs w:val="20"/>
          <w:lang w:val="es-ES"/>
        </w:rPr>
        <w:t xml:space="preserve"> lo siguiente:</w:t>
      </w:r>
    </w:p>
    <w:p w:rsidR="004D3FA4" w:rsidRPr="008A084A" w:rsidRDefault="004D3FA4"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4D3FA4" w:rsidRPr="008A084A" w:rsidRDefault="004D3FA4" w:rsidP="004D3F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r w:rsidRPr="008A084A">
        <w:rPr>
          <w:rFonts w:ascii="Cambria" w:hAnsi="Cambria"/>
          <w:color w:val="auto"/>
          <w:sz w:val="20"/>
          <w:szCs w:val="20"/>
        </w:rPr>
        <w:t>(...) los pacientes se ponen inquietos cuando los familiares no van a visitarlos, y que lamentablemente el hospital no tiene paredes altas por lo que es muy fácil para ellos salirse; el personal los cuida</w:t>
      </w:r>
      <w:r w:rsidR="008B550B" w:rsidRPr="008A084A">
        <w:rPr>
          <w:rFonts w:ascii="Cambria" w:hAnsi="Cambria"/>
          <w:color w:val="auto"/>
          <w:sz w:val="20"/>
          <w:szCs w:val="20"/>
        </w:rPr>
        <w:t xml:space="preserve"> pero no son suficientes para estar tras los pacientes que quieren fugarse y </w:t>
      </w:r>
      <w:proofErr w:type="spellStart"/>
      <w:r w:rsidR="008B550B" w:rsidRPr="008A084A">
        <w:rPr>
          <w:rFonts w:ascii="Cambria" w:hAnsi="Cambria"/>
          <w:color w:val="auto"/>
          <w:sz w:val="20"/>
          <w:szCs w:val="20"/>
        </w:rPr>
        <w:t>aún</w:t>
      </w:r>
      <w:proofErr w:type="spellEnd"/>
      <w:r w:rsidR="008B550B" w:rsidRPr="008A084A">
        <w:rPr>
          <w:rFonts w:ascii="Cambria" w:hAnsi="Cambria"/>
          <w:color w:val="auto"/>
          <w:sz w:val="20"/>
          <w:szCs w:val="20"/>
        </w:rPr>
        <w:t xml:space="preserve"> así por lo general están tras ellos</w:t>
      </w:r>
      <w:r w:rsidR="008B550B" w:rsidRPr="008A084A">
        <w:rPr>
          <w:rStyle w:val="FootnoteReference"/>
          <w:rFonts w:ascii="Cambria" w:hAnsi="Cambria"/>
          <w:color w:val="auto"/>
          <w:sz w:val="20"/>
          <w:szCs w:val="20"/>
        </w:rPr>
        <w:footnoteReference w:id="101"/>
      </w:r>
      <w:r w:rsidR="008B550B" w:rsidRPr="008A084A">
        <w:rPr>
          <w:rFonts w:ascii="Cambria" w:hAnsi="Cambria"/>
          <w:color w:val="auto"/>
          <w:sz w:val="20"/>
          <w:szCs w:val="20"/>
        </w:rPr>
        <w:t xml:space="preserve">. </w:t>
      </w:r>
    </w:p>
    <w:p w:rsidR="008B550B" w:rsidRPr="008A084A" w:rsidRDefault="008B550B" w:rsidP="008B550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color w:val="auto"/>
          <w:sz w:val="20"/>
          <w:szCs w:val="20"/>
        </w:rPr>
      </w:pPr>
    </w:p>
    <w:p w:rsidR="00EB5245" w:rsidRPr="008A084A" w:rsidRDefault="00EB5245" w:rsidP="00B15356">
      <w:pPr>
        <w:numPr>
          <w:ilvl w:val="0"/>
          <w:numId w:val="55"/>
        </w:numPr>
        <w:jc w:val="both"/>
        <w:rPr>
          <w:rFonts w:ascii="Cambria" w:hAnsi="Cambria"/>
          <w:sz w:val="20"/>
          <w:szCs w:val="20"/>
          <w:lang w:val="es-ES"/>
        </w:rPr>
      </w:pPr>
      <w:r w:rsidRPr="008A084A">
        <w:rPr>
          <w:rFonts w:ascii="Cambria" w:hAnsi="Cambria"/>
          <w:sz w:val="20"/>
          <w:szCs w:val="20"/>
          <w:lang w:val="es-ES"/>
        </w:rPr>
        <w:t>De</w:t>
      </w:r>
      <w:r w:rsidR="003A3C1C" w:rsidRPr="008A084A">
        <w:rPr>
          <w:rFonts w:ascii="Cambria" w:hAnsi="Cambria"/>
          <w:sz w:val="20"/>
          <w:szCs w:val="20"/>
          <w:lang w:val="es-ES"/>
        </w:rPr>
        <w:t xml:space="preserve"> acuerdo al informe del hospital, ese día se realizaron</w:t>
      </w:r>
      <w:r w:rsidRPr="008A084A">
        <w:rPr>
          <w:rFonts w:ascii="Cambria" w:hAnsi="Cambria"/>
          <w:sz w:val="20"/>
          <w:szCs w:val="20"/>
          <w:lang w:val="es-ES"/>
        </w:rPr>
        <w:t xml:space="preserve"> llamadas telefónicas al Albergue Sa</w:t>
      </w:r>
      <w:r w:rsidR="00C33557" w:rsidRPr="008A084A">
        <w:rPr>
          <w:rFonts w:ascii="Cambria" w:hAnsi="Cambria"/>
          <w:sz w:val="20"/>
          <w:szCs w:val="20"/>
          <w:lang w:val="es-ES"/>
        </w:rPr>
        <w:t xml:space="preserve">n Juan de Dios, al </w:t>
      </w:r>
      <w:r w:rsidRPr="008A084A">
        <w:rPr>
          <w:rFonts w:ascii="Cambria" w:hAnsi="Cambria"/>
          <w:sz w:val="20"/>
          <w:szCs w:val="20"/>
          <w:lang w:val="es-ES"/>
        </w:rPr>
        <w:t>Hospital San Lázaro</w:t>
      </w:r>
      <w:r w:rsidR="00C33557" w:rsidRPr="008A084A">
        <w:rPr>
          <w:rFonts w:ascii="Cambria" w:hAnsi="Cambria"/>
          <w:sz w:val="20"/>
          <w:szCs w:val="20"/>
          <w:lang w:val="es-ES"/>
        </w:rPr>
        <w:t xml:space="preserve"> y a la morgue</w:t>
      </w:r>
      <w:r w:rsidRPr="008A084A">
        <w:rPr>
          <w:rFonts w:ascii="Cambria" w:hAnsi="Cambria"/>
          <w:sz w:val="20"/>
          <w:szCs w:val="20"/>
          <w:lang w:val="es-ES"/>
        </w:rPr>
        <w:t xml:space="preserve">, en donde se les informó que </w:t>
      </w:r>
      <w:r w:rsidR="00C33557" w:rsidRPr="008A084A">
        <w:rPr>
          <w:rFonts w:ascii="Cambria" w:hAnsi="Cambria"/>
          <w:sz w:val="20"/>
          <w:szCs w:val="20"/>
          <w:lang w:val="es-ES"/>
        </w:rPr>
        <w:t>ninguna persona con las características del señor Guachalá se encontraba ahí</w:t>
      </w:r>
      <w:r w:rsidR="00C33557" w:rsidRPr="008A084A">
        <w:rPr>
          <w:rStyle w:val="FootnoteReference"/>
          <w:rFonts w:ascii="Cambria" w:hAnsi="Cambria"/>
          <w:sz w:val="20"/>
          <w:szCs w:val="20"/>
        </w:rPr>
        <w:footnoteReference w:id="102"/>
      </w:r>
      <w:r w:rsidR="00C33557" w:rsidRPr="008A084A">
        <w:rPr>
          <w:rFonts w:ascii="Cambria" w:hAnsi="Cambria"/>
          <w:sz w:val="20"/>
          <w:szCs w:val="20"/>
          <w:lang w:val="es-ES"/>
        </w:rPr>
        <w:t>.</w:t>
      </w:r>
      <w:r w:rsidR="00BF284C" w:rsidRPr="008A084A">
        <w:rPr>
          <w:rFonts w:ascii="Cambria" w:hAnsi="Cambria"/>
          <w:sz w:val="20"/>
          <w:szCs w:val="20"/>
          <w:lang w:val="es-ES"/>
        </w:rPr>
        <w:t xml:space="preserve"> Asimismo, </w:t>
      </w:r>
      <w:r w:rsidR="005B6631" w:rsidRPr="008A084A">
        <w:rPr>
          <w:rFonts w:ascii="Cambria" w:hAnsi="Cambria"/>
          <w:sz w:val="20"/>
          <w:szCs w:val="20"/>
          <w:lang w:val="es-ES"/>
        </w:rPr>
        <w:t>la trabajadora social Jenny Beltrán se comunicó con la Policía Nacional a efectos de informar la desaparición del señor Guachalá</w:t>
      </w:r>
      <w:r w:rsidR="005B6631" w:rsidRPr="008A084A">
        <w:rPr>
          <w:rStyle w:val="FootnoteReference"/>
          <w:rFonts w:ascii="Cambria" w:hAnsi="Cambria"/>
          <w:sz w:val="20"/>
          <w:szCs w:val="20"/>
        </w:rPr>
        <w:footnoteReference w:id="103"/>
      </w:r>
      <w:r w:rsidR="005B6631" w:rsidRPr="008A084A">
        <w:rPr>
          <w:rFonts w:ascii="Cambria" w:hAnsi="Cambria"/>
          <w:sz w:val="20"/>
          <w:szCs w:val="20"/>
          <w:lang w:val="es-ES"/>
        </w:rPr>
        <w:t xml:space="preserve">. </w:t>
      </w:r>
      <w:r w:rsidR="003A3C1C" w:rsidRPr="008A084A">
        <w:rPr>
          <w:rFonts w:ascii="Cambria" w:hAnsi="Cambria"/>
          <w:sz w:val="20"/>
          <w:szCs w:val="20"/>
          <w:lang w:val="es-ES"/>
        </w:rPr>
        <w:t>Conforme al informe del hospital e</w:t>
      </w:r>
      <w:r w:rsidR="00BF284C" w:rsidRPr="008A084A">
        <w:rPr>
          <w:rFonts w:ascii="Cambria" w:hAnsi="Cambria"/>
          <w:sz w:val="20"/>
          <w:szCs w:val="20"/>
          <w:lang w:val="es-ES"/>
        </w:rPr>
        <w:t xml:space="preserve">l mismo día acudió el sargento Max </w:t>
      </w:r>
      <w:proofErr w:type="spellStart"/>
      <w:r w:rsidR="00BF284C" w:rsidRPr="008A084A">
        <w:rPr>
          <w:rFonts w:ascii="Cambria" w:hAnsi="Cambria"/>
          <w:sz w:val="20"/>
          <w:szCs w:val="20"/>
          <w:lang w:val="es-ES"/>
        </w:rPr>
        <w:t>Alua</w:t>
      </w:r>
      <w:proofErr w:type="spellEnd"/>
      <w:r w:rsidR="00BF284C" w:rsidRPr="008A084A">
        <w:rPr>
          <w:rFonts w:ascii="Cambria" w:hAnsi="Cambria"/>
          <w:sz w:val="20"/>
          <w:szCs w:val="20"/>
          <w:lang w:val="es-ES"/>
        </w:rPr>
        <w:t xml:space="preserve"> “para obtener los datos de rutina”</w:t>
      </w:r>
      <w:r w:rsidR="00BF284C" w:rsidRPr="008A084A">
        <w:rPr>
          <w:rStyle w:val="FootnoteReference"/>
          <w:rFonts w:ascii="Cambria" w:hAnsi="Cambria"/>
          <w:sz w:val="20"/>
          <w:szCs w:val="20"/>
        </w:rPr>
        <w:footnoteReference w:id="104"/>
      </w:r>
      <w:r w:rsidR="00BF284C" w:rsidRPr="008A084A">
        <w:rPr>
          <w:rFonts w:ascii="Cambria" w:hAnsi="Cambria"/>
          <w:sz w:val="20"/>
          <w:szCs w:val="20"/>
          <w:lang w:val="es-ES"/>
        </w:rPr>
        <w:t>.</w:t>
      </w:r>
      <w:r w:rsidR="003A3C1C" w:rsidRPr="008A084A">
        <w:rPr>
          <w:rFonts w:ascii="Cambria" w:hAnsi="Cambria"/>
          <w:sz w:val="20"/>
          <w:szCs w:val="20"/>
          <w:lang w:val="es-ES"/>
        </w:rPr>
        <w:t xml:space="preserve"> Por su parte, la señora Chimbó manifestó que</w:t>
      </w:r>
      <w:r w:rsidR="00262013" w:rsidRPr="008A084A">
        <w:rPr>
          <w:rFonts w:ascii="Cambria" w:hAnsi="Cambria"/>
          <w:sz w:val="20"/>
          <w:szCs w:val="20"/>
          <w:lang w:val="es-ES"/>
        </w:rPr>
        <w:t xml:space="preserve"> estuvo con su hija buscando a Luis en los alrededores del hospital.</w:t>
      </w:r>
      <w:r w:rsidR="003A3C1C" w:rsidRPr="008A084A">
        <w:rPr>
          <w:rFonts w:ascii="Cambria" w:hAnsi="Cambria"/>
          <w:sz w:val="20"/>
          <w:szCs w:val="20"/>
          <w:lang w:val="es-ES"/>
        </w:rPr>
        <w:t xml:space="preserve"> </w:t>
      </w:r>
      <w:r w:rsidR="00262013" w:rsidRPr="008A084A">
        <w:rPr>
          <w:rFonts w:ascii="Cambria" w:hAnsi="Cambria"/>
          <w:sz w:val="20"/>
          <w:szCs w:val="20"/>
          <w:lang w:val="es-ES"/>
        </w:rPr>
        <w:t xml:space="preserve">Agregó que </w:t>
      </w:r>
      <w:r w:rsidR="003A3C1C" w:rsidRPr="008A084A">
        <w:rPr>
          <w:rFonts w:ascii="Cambria" w:hAnsi="Cambria"/>
          <w:sz w:val="20"/>
          <w:szCs w:val="20"/>
          <w:lang w:val="es-ES"/>
        </w:rPr>
        <w:t>“del hospital nos dijeron que habían avisado a la policí</w:t>
      </w:r>
      <w:r w:rsidR="00262013" w:rsidRPr="008A084A">
        <w:rPr>
          <w:rFonts w:ascii="Cambria" w:hAnsi="Cambria"/>
          <w:sz w:val="20"/>
          <w:szCs w:val="20"/>
          <w:lang w:val="es-ES"/>
        </w:rPr>
        <w:t>a, bomberos, cruz</w:t>
      </w:r>
      <w:r w:rsidR="003A3C1C" w:rsidRPr="008A084A">
        <w:rPr>
          <w:rFonts w:ascii="Cambria" w:hAnsi="Cambria"/>
          <w:sz w:val="20"/>
          <w:szCs w:val="20"/>
          <w:lang w:val="es-ES"/>
        </w:rPr>
        <w:t xml:space="preserve"> roja, pero nadie llegó”</w:t>
      </w:r>
      <w:r w:rsidR="003A3C1C" w:rsidRPr="008A084A">
        <w:rPr>
          <w:rStyle w:val="FootnoteReference"/>
          <w:rFonts w:ascii="Cambria" w:hAnsi="Cambria"/>
          <w:sz w:val="20"/>
          <w:szCs w:val="20"/>
        </w:rPr>
        <w:footnoteReference w:id="105"/>
      </w:r>
      <w:r w:rsidR="003A3C1C" w:rsidRPr="008A084A">
        <w:rPr>
          <w:rFonts w:ascii="Cambria" w:hAnsi="Cambria"/>
          <w:sz w:val="20"/>
          <w:szCs w:val="20"/>
          <w:lang w:val="es-ES"/>
        </w:rPr>
        <w:t>.</w:t>
      </w:r>
    </w:p>
    <w:p w:rsidR="00BF284C" w:rsidRPr="008A084A" w:rsidRDefault="00BF284C" w:rsidP="001665A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BF284C" w:rsidRPr="008A084A" w:rsidRDefault="00C61314" w:rsidP="00B15356">
      <w:pPr>
        <w:numPr>
          <w:ilvl w:val="0"/>
          <w:numId w:val="55"/>
        </w:numPr>
        <w:jc w:val="both"/>
        <w:rPr>
          <w:rFonts w:ascii="Cambria" w:hAnsi="Cambria"/>
          <w:sz w:val="20"/>
          <w:szCs w:val="20"/>
          <w:lang w:val="es-ES"/>
        </w:rPr>
      </w:pPr>
      <w:r w:rsidRPr="008A084A">
        <w:rPr>
          <w:rFonts w:ascii="Cambria" w:hAnsi="Cambria"/>
          <w:sz w:val="20"/>
          <w:szCs w:val="20"/>
          <w:lang w:val="es-ES"/>
        </w:rPr>
        <w:t>El 20 de enero el hospital llamó a la señora Chi</w:t>
      </w:r>
      <w:r w:rsidR="00262013" w:rsidRPr="008A084A">
        <w:rPr>
          <w:rFonts w:ascii="Cambria" w:hAnsi="Cambria"/>
          <w:sz w:val="20"/>
          <w:szCs w:val="20"/>
          <w:lang w:val="es-ES"/>
        </w:rPr>
        <w:t>mbó</w:t>
      </w:r>
      <w:r w:rsidRPr="008A084A">
        <w:rPr>
          <w:rFonts w:ascii="Cambria" w:hAnsi="Cambria"/>
          <w:sz w:val="20"/>
          <w:szCs w:val="20"/>
          <w:lang w:val="es-ES"/>
        </w:rPr>
        <w:t xml:space="preserve"> para saber si tenía alguna información de su hijo</w:t>
      </w:r>
      <w:r w:rsidRPr="008A084A">
        <w:rPr>
          <w:rStyle w:val="FootnoteReference"/>
          <w:rFonts w:ascii="Cambria" w:hAnsi="Cambria"/>
          <w:sz w:val="20"/>
          <w:szCs w:val="20"/>
        </w:rPr>
        <w:footnoteReference w:id="106"/>
      </w:r>
      <w:r w:rsidRPr="008A084A">
        <w:rPr>
          <w:rFonts w:ascii="Cambria" w:hAnsi="Cambria"/>
          <w:sz w:val="20"/>
          <w:szCs w:val="20"/>
          <w:lang w:val="es-ES"/>
        </w:rPr>
        <w:t>. Conforme al registro del hospital, nadie contestó dicha llamada</w:t>
      </w:r>
      <w:r w:rsidRPr="008A084A">
        <w:rPr>
          <w:rStyle w:val="FootnoteReference"/>
          <w:rFonts w:ascii="Cambria" w:hAnsi="Cambria"/>
          <w:sz w:val="20"/>
          <w:szCs w:val="20"/>
        </w:rPr>
        <w:footnoteReference w:id="107"/>
      </w:r>
      <w:r w:rsidRPr="008A084A">
        <w:rPr>
          <w:rFonts w:ascii="Cambria" w:hAnsi="Cambria"/>
          <w:sz w:val="20"/>
          <w:szCs w:val="20"/>
          <w:lang w:val="es-ES"/>
        </w:rPr>
        <w:t>.</w:t>
      </w:r>
      <w:r w:rsidR="00262013" w:rsidRPr="008A084A">
        <w:rPr>
          <w:rFonts w:ascii="Cambria" w:hAnsi="Cambria"/>
          <w:sz w:val="20"/>
          <w:szCs w:val="20"/>
          <w:lang w:val="es-ES"/>
        </w:rPr>
        <w:t xml:space="preserve"> </w:t>
      </w:r>
      <w:r w:rsidR="00F12E51" w:rsidRPr="008A084A">
        <w:rPr>
          <w:rFonts w:ascii="Cambria" w:hAnsi="Cambria"/>
          <w:sz w:val="20"/>
          <w:szCs w:val="20"/>
          <w:lang w:val="es-ES"/>
        </w:rPr>
        <w:t>Por su parte, l</w:t>
      </w:r>
      <w:r w:rsidR="00262013" w:rsidRPr="008A084A">
        <w:rPr>
          <w:rFonts w:ascii="Cambria" w:hAnsi="Cambria"/>
          <w:sz w:val="20"/>
          <w:szCs w:val="20"/>
          <w:lang w:val="es-ES"/>
        </w:rPr>
        <w:t xml:space="preserve">a señora Chimbó manifestó que ese día se dirigió al retén policial ubicado en </w:t>
      </w:r>
      <w:proofErr w:type="spellStart"/>
      <w:r w:rsidR="00262013" w:rsidRPr="008A084A">
        <w:rPr>
          <w:rFonts w:ascii="Cambria" w:hAnsi="Cambria"/>
          <w:sz w:val="20"/>
          <w:szCs w:val="20"/>
          <w:lang w:val="es-ES"/>
        </w:rPr>
        <w:t>Guangopolo</w:t>
      </w:r>
      <w:proofErr w:type="spellEnd"/>
      <w:r w:rsidR="00D53C69" w:rsidRPr="008A084A">
        <w:rPr>
          <w:rFonts w:ascii="Cambria" w:hAnsi="Cambria"/>
          <w:sz w:val="20"/>
          <w:szCs w:val="20"/>
          <w:lang w:val="es-ES"/>
        </w:rPr>
        <w:t xml:space="preserve"> donde</w:t>
      </w:r>
      <w:r w:rsidR="00262013" w:rsidRPr="008A084A">
        <w:rPr>
          <w:rFonts w:ascii="Cambria" w:hAnsi="Cambria"/>
          <w:sz w:val="20"/>
          <w:szCs w:val="20"/>
          <w:lang w:val="es-ES"/>
        </w:rPr>
        <w:t xml:space="preserve"> </w:t>
      </w:r>
      <w:r w:rsidR="00C9434F" w:rsidRPr="008A084A">
        <w:rPr>
          <w:rFonts w:ascii="Cambria" w:hAnsi="Cambria"/>
          <w:sz w:val="20"/>
          <w:szCs w:val="20"/>
          <w:lang w:val="es-ES"/>
        </w:rPr>
        <w:t>el jefe del retén le indicó que “no era la primera vez que se perdía un paciente del hospital”</w:t>
      </w:r>
      <w:r w:rsidR="00F77CFD" w:rsidRPr="008A084A">
        <w:rPr>
          <w:rFonts w:ascii="Cambria" w:hAnsi="Cambria"/>
          <w:sz w:val="20"/>
          <w:szCs w:val="20"/>
          <w:lang w:val="es-ES"/>
        </w:rPr>
        <w:t xml:space="preserve">, por lo que </w:t>
      </w:r>
      <w:r w:rsidR="00C9434F" w:rsidRPr="008A084A">
        <w:rPr>
          <w:rFonts w:ascii="Cambria" w:hAnsi="Cambria"/>
          <w:sz w:val="20"/>
          <w:szCs w:val="20"/>
          <w:lang w:val="es-ES"/>
        </w:rPr>
        <w:t xml:space="preserve"> el jefe del retén le recomendó que interpusiera una denuncia en la Policía Judicial</w:t>
      </w:r>
      <w:r w:rsidR="00C9434F" w:rsidRPr="008A084A">
        <w:rPr>
          <w:rStyle w:val="FootnoteReference"/>
          <w:rFonts w:ascii="Cambria" w:hAnsi="Cambria"/>
          <w:sz w:val="20"/>
          <w:szCs w:val="20"/>
        </w:rPr>
        <w:footnoteReference w:id="108"/>
      </w:r>
      <w:r w:rsidR="00C9434F" w:rsidRPr="008A084A">
        <w:rPr>
          <w:rFonts w:ascii="Cambria" w:hAnsi="Cambria"/>
          <w:sz w:val="20"/>
          <w:szCs w:val="20"/>
          <w:lang w:val="es-ES"/>
        </w:rPr>
        <w:t>.</w:t>
      </w:r>
      <w:r w:rsidR="00CE378C" w:rsidRPr="008A084A">
        <w:rPr>
          <w:rFonts w:ascii="Cambria" w:hAnsi="Cambria"/>
          <w:sz w:val="20"/>
          <w:szCs w:val="20"/>
          <w:lang w:val="es-ES"/>
        </w:rPr>
        <w:t xml:space="preserve"> </w:t>
      </w:r>
    </w:p>
    <w:p w:rsidR="00F672E6" w:rsidRPr="008A084A" w:rsidRDefault="00F672E6" w:rsidP="001665A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F672E6" w:rsidRPr="008A084A" w:rsidRDefault="00F672E6" w:rsidP="00B15356">
      <w:pPr>
        <w:numPr>
          <w:ilvl w:val="0"/>
          <w:numId w:val="55"/>
        </w:numPr>
        <w:jc w:val="both"/>
        <w:rPr>
          <w:rFonts w:ascii="Cambria" w:hAnsi="Cambria"/>
          <w:sz w:val="20"/>
          <w:szCs w:val="20"/>
          <w:lang w:val="es-ES"/>
        </w:rPr>
      </w:pPr>
      <w:r w:rsidRPr="008A084A">
        <w:rPr>
          <w:rFonts w:ascii="Cambria" w:hAnsi="Cambria"/>
          <w:sz w:val="20"/>
          <w:szCs w:val="20"/>
          <w:lang w:val="es-ES"/>
        </w:rPr>
        <w:t>La señora Chimbó manifestó que una de las personas internadas en el hospital le dijo que Luis estaba muerto</w:t>
      </w:r>
      <w:r w:rsidRPr="008A084A">
        <w:rPr>
          <w:rStyle w:val="FootnoteReference"/>
          <w:rFonts w:ascii="Cambria" w:hAnsi="Cambria"/>
          <w:sz w:val="20"/>
          <w:szCs w:val="20"/>
        </w:rPr>
        <w:footnoteReference w:id="109"/>
      </w:r>
      <w:r w:rsidRPr="008A084A">
        <w:rPr>
          <w:rFonts w:ascii="Cambria" w:hAnsi="Cambria"/>
          <w:sz w:val="20"/>
          <w:szCs w:val="20"/>
          <w:lang w:val="es-ES"/>
        </w:rPr>
        <w:t>. Indicó que ella le dijo que a</w:t>
      </w:r>
      <w:r w:rsidR="00E16697" w:rsidRPr="008A084A">
        <w:rPr>
          <w:rFonts w:ascii="Cambria" w:hAnsi="Cambria"/>
          <w:sz w:val="20"/>
          <w:szCs w:val="20"/>
          <w:lang w:val="es-ES"/>
        </w:rPr>
        <w:t xml:space="preserve"> su hijo </w:t>
      </w:r>
      <w:r w:rsidRPr="008A084A">
        <w:rPr>
          <w:rFonts w:ascii="Cambria" w:hAnsi="Cambria"/>
          <w:sz w:val="20"/>
          <w:szCs w:val="20"/>
          <w:lang w:val="es-ES"/>
        </w:rPr>
        <w:t>“le había dado un paro d</w:t>
      </w:r>
      <w:r w:rsidR="00502E96" w:rsidRPr="008A084A">
        <w:rPr>
          <w:rFonts w:ascii="Cambria" w:hAnsi="Cambria"/>
          <w:sz w:val="20"/>
          <w:szCs w:val="20"/>
          <w:lang w:val="es-ES"/>
        </w:rPr>
        <w:t>urante la mis</w:t>
      </w:r>
      <w:r w:rsidRPr="008A084A">
        <w:rPr>
          <w:rFonts w:ascii="Cambria" w:hAnsi="Cambria"/>
          <w:sz w:val="20"/>
          <w:szCs w:val="20"/>
          <w:lang w:val="es-ES"/>
        </w:rPr>
        <w:t>a” y que incluso él le pidió que solicite ayuda a la policía</w:t>
      </w:r>
      <w:r w:rsidRPr="008A084A">
        <w:rPr>
          <w:rStyle w:val="FootnoteReference"/>
          <w:rFonts w:ascii="Cambria" w:hAnsi="Cambria"/>
          <w:sz w:val="20"/>
          <w:szCs w:val="20"/>
        </w:rPr>
        <w:footnoteReference w:id="110"/>
      </w:r>
      <w:r w:rsidRPr="008A084A">
        <w:rPr>
          <w:rFonts w:ascii="Cambria" w:hAnsi="Cambria"/>
          <w:sz w:val="20"/>
          <w:szCs w:val="20"/>
          <w:lang w:val="es-ES"/>
        </w:rPr>
        <w:t>.</w:t>
      </w:r>
    </w:p>
    <w:p w:rsidR="001C619D" w:rsidRPr="008A084A" w:rsidRDefault="001C619D" w:rsidP="001665A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2C2953" w:rsidRPr="008A084A" w:rsidRDefault="001C619D" w:rsidP="00B15356">
      <w:pPr>
        <w:numPr>
          <w:ilvl w:val="0"/>
          <w:numId w:val="55"/>
        </w:numPr>
        <w:jc w:val="both"/>
        <w:rPr>
          <w:rFonts w:ascii="Cambria" w:hAnsi="Cambria"/>
          <w:sz w:val="20"/>
          <w:szCs w:val="20"/>
          <w:lang w:val="es-ES"/>
        </w:rPr>
      </w:pPr>
      <w:r w:rsidRPr="008A084A">
        <w:rPr>
          <w:rFonts w:ascii="Cambria" w:hAnsi="Cambria"/>
          <w:sz w:val="20"/>
          <w:szCs w:val="20"/>
          <w:lang w:val="es-ES"/>
        </w:rPr>
        <w:t>El 21 de enero de 200</w:t>
      </w:r>
      <w:r w:rsidR="00D53C69" w:rsidRPr="008A084A">
        <w:rPr>
          <w:rFonts w:ascii="Cambria" w:hAnsi="Cambria"/>
          <w:sz w:val="20"/>
          <w:szCs w:val="20"/>
          <w:lang w:val="es-ES"/>
        </w:rPr>
        <w:t>4</w:t>
      </w:r>
      <w:r w:rsidRPr="008A084A">
        <w:rPr>
          <w:rFonts w:ascii="Cambria" w:hAnsi="Cambria"/>
          <w:sz w:val="20"/>
          <w:szCs w:val="20"/>
          <w:lang w:val="es-ES"/>
        </w:rPr>
        <w:t xml:space="preserve"> el hospital expidió una hoja de egreso de Luis Guachalá</w:t>
      </w:r>
      <w:r w:rsidRPr="008A084A">
        <w:rPr>
          <w:rStyle w:val="FootnoteReference"/>
          <w:rFonts w:ascii="Cambria" w:hAnsi="Cambria"/>
          <w:sz w:val="20"/>
          <w:szCs w:val="20"/>
        </w:rPr>
        <w:footnoteReference w:id="111"/>
      </w:r>
      <w:r w:rsidRPr="008A084A">
        <w:rPr>
          <w:rFonts w:ascii="Cambria" w:hAnsi="Cambria"/>
          <w:sz w:val="20"/>
          <w:szCs w:val="20"/>
          <w:lang w:val="es-ES"/>
        </w:rPr>
        <w:t xml:space="preserve">. Se indicó que </w:t>
      </w:r>
      <w:r w:rsidR="002C2953" w:rsidRPr="008A084A">
        <w:rPr>
          <w:rFonts w:ascii="Cambria" w:hAnsi="Cambria"/>
          <w:sz w:val="20"/>
          <w:szCs w:val="20"/>
          <w:lang w:val="es-ES"/>
        </w:rPr>
        <w:t>“el paciente abandonó el hospital (...); se ha tratado de ubicarlo (...) pero no se ha logrado hacerlo por lo cual se procede a dar el alta por abandono del hospital”</w:t>
      </w:r>
      <w:r w:rsidR="002C2953" w:rsidRPr="008A084A">
        <w:rPr>
          <w:rStyle w:val="FootnoteReference"/>
          <w:rFonts w:ascii="Cambria" w:hAnsi="Cambria"/>
          <w:sz w:val="20"/>
          <w:szCs w:val="20"/>
        </w:rPr>
        <w:footnoteReference w:id="112"/>
      </w:r>
      <w:r w:rsidR="002C2953" w:rsidRPr="008A084A">
        <w:rPr>
          <w:rFonts w:ascii="Cambria" w:hAnsi="Cambria"/>
          <w:sz w:val="20"/>
          <w:szCs w:val="20"/>
          <w:lang w:val="es-ES"/>
        </w:rPr>
        <w:t>.</w:t>
      </w:r>
    </w:p>
    <w:p w:rsidR="00021E67" w:rsidRPr="008A084A" w:rsidRDefault="00021E67" w:rsidP="001665A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095822" w:rsidRPr="008A084A" w:rsidRDefault="00021E67" w:rsidP="00095822">
      <w:pPr>
        <w:numPr>
          <w:ilvl w:val="0"/>
          <w:numId w:val="55"/>
        </w:numPr>
        <w:jc w:val="both"/>
        <w:rPr>
          <w:rFonts w:ascii="Cambria" w:hAnsi="Cambria"/>
          <w:sz w:val="20"/>
          <w:szCs w:val="20"/>
          <w:lang w:val="es-ES"/>
        </w:rPr>
      </w:pPr>
      <w:r w:rsidRPr="008A084A">
        <w:rPr>
          <w:rFonts w:ascii="Cambria" w:hAnsi="Cambria"/>
          <w:sz w:val="20"/>
          <w:szCs w:val="20"/>
          <w:lang w:val="es-ES"/>
        </w:rPr>
        <w:t>El 26 de enero una trabajadora social del hospital acudió a la morgue en tanto recibió una llamada de dicho lugar donde se le informó que se tenían dos cadáveres no identificados</w:t>
      </w:r>
      <w:r w:rsidR="00CC2FA5" w:rsidRPr="008A084A">
        <w:rPr>
          <w:rFonts w:ascii="Cambria" w:hAnsi="Cambria"/>
          <w:sz w:val="20"/>
          <w:szCs w:val="20"/>
          <w:lang w:val="es-ES"/>
        </w:rPr>
        <w:t xml:space="preserve">, pero ninguno </w:t>
      </w:r>
      <w:r w:rsidRPr="008A084A">
        <w:rPr>
          <w:rFonts w:ascii="Cambria" w:hAnsi="Cambria"/>
          <w:sz w:val="20"/>
          <w:szCs w:val="20"/>
          <w:lang w:val="es-ES"/>
        </w:rPr>
        <w:t>correspondía al señor Guachalá</w:t>
      </w:r>
      <w:r w:rsidRPr="008A084A">
        <w:rPr>
          <w:rStyle w:val="FootnoteReference"/>
          <w:rFonts w:ascii="Cambria" w:hAnsi="Cambria"/>
          <w:sz w:val="20"/>
          <w:szCs w:val="20"/>
        </w:rPr>
        <w:footnoteReference w:id="113"/>
      </w:r>
      <w:r w:rsidRPr="008A084A">
        <w:rPr>
          <w:rFonts w:ascii="Cambria" w:hAnsi="Cambria"/>
          <w:sz w:val="20"/>
          <w:szCs w:val="20"/>
          <w:lang w:val="es-ES"/>
        </w:rPr>
        <w:t>.</w:t>
      </w:r>
    </w:p>
    <w:p w:rsidR="00095822" w:rsidRPr="008A084A" w:rsidRDefault="003D3C8E" w:rsidP="00095822">
      <w:pPr>
        <w:numPr>
          <w:ilvl w:val="0"/>
          <w:numId w:val="55"/>
        </w:numPr>
        <w:jc w:val="both"/>
        <w:rPr>
          <w:rFonts w:ascii="Cambria" w:hAnsi="Cambria"/>
          <w:sz w:val="20"/>
          <w:szCs w:val="20"/>
          <w:lang w:val="es-ES"/>
        </w:rPr>
      </w:pPr>
      <w:r w:rsidRPr="008A084A">
        <w:rPr>
          <w:rFonts w:ascii="Cambria" w:hAnsi="Cambria"/>
          <w:sz w:val="20"/>
          <w:szCs w:val="20"/>
          <w:lang w:val="es-ES"/>
        </w:rPr>
        <w:t>Al día siguiente se realizó una reunión en el hospital y se acordó crear un grupo de búsqueda del señor Guachalá</w:t>
      </w:r>
      <w:r w:rsidRPr="008A084A">
        <w:rPr>
          <w:rStyle w:val="FootnoteReference"/>
          <w:rFonts w:ascii="Cambria" w:hAnsi="Cambria"/>
          <w:sz w:val="20"/>
          <w:szCs w:val="20"/>
        </w:rPr>
        <w:footnoteReference w:id="114"/>
      </w:r>
      <w:r w:rsidRPr="008A084A">
        <w:rPr>
          <w:rFonts w:ascii="Cambria" w:hAnsi="Cambria"/>
          <w:sz w:val="20"/>
          <w:szCs w:val="20"/>
          <w:lang w:val="es-ES"/>
        </w:rPr>
        <w:t>. También se acordó imprimir volantes y pegarlos en sectores aledaños a la institución</w:t>
      </w:r>
      <w:r w:rsidRPr="008A084A">
        <w:rPr>
          <w:rStyle w:val="FootnoteReference"/>
          <w:rFonts w:ascii="Cambria" w:hAnsi="Cambria"/>
          <w:sz w:val="20"/>
          <w:szCs w:val="20"/>
        </w:rPr>
        <w:footnoteReference w:id="115"/>
      </w:r>
      <w:r w:rsidRPr="008A084A">
        <w:rPr>
          <w:rFonts w:ascii="Cambria" w:hAnsi="Cambria"/>
          <w:sz w:val="20"/>
          <w:szCs w:val="20"/>
          <w:lang w:val="es-ES"/>
        </w:rPr>
        <w:t>.</w:t>
      </w:r>
      <w:r w:rsidR="00790E41" w:rsidRPr="008A084A">
        <w:rPr>
          <w:rFonts w:ascii="Cambria" w:hAnsi="Cambria"/>
          <w:sz w:val="20"/>
          <w:szCs w:val="20"/>
          <w:lang w:val="es-ES"/>
        </w:rPr>
        <w:t xml:space="preserve"> </w:t>
      </w:r>
      <w:r w:rsidR="00085A2B" w:rsidRPr="008A084A">
        <w:rPr>
          <w:rFonts w:ascii="Cambria" w:hAnsi="Cambria"/>
          <w:sz w:val="20"/>
          <w:szCs w:val="20"/>
          <w:lang w:val="es-ES"/>
        </w:rPr>
        <w:t xml:space="preserve">La CIDH no cuenta con información sobre la </w:t>
      </w:r>
      <w:r w:rsidR="000F1BBE" w:rsidRPr="008A084A">
        <w:rPr>
          <w:rFonts w:ascii="Cambria" w:hAnsi="Cambria"/>
          <w:sz w:val="20"/>
          <w:szCs w:val="20"/>
          <w:lang w:val="es-ES"/>
        </w:rPr>
        <w:t xml:space="preserve">efectiva </w:t>
      </w:r>
      <w:r w:rsidR="00085A2B" w:rsidRPr="008A084A">
        <w:rPr>
          <w:rFonts w:ascii="Cambria" w:hAnsi="Cambria"/>
          <w:sz w:val="20"/>
          <w:szCs w:val="20"/>
          <w:lang w:val="es-ES"/>
        </w:rPr>
        <w:t xml:space="preserve">realización de dichas acciones. </w:t>
      </w:r>
      <w:r w:rsidR="00790E41" w:rsidRPr="008A084A">
        <w:rPr>
          <w:rFonts w:ascii="Cambria" w:hAnsi="Cambria"/>
          <w:sz w:val="20"/>
          <w:szCs w:val="20"/>
          <w:lang w:val="es-ES"/>
        </w:rPr>
        <w:lastRenderedPageBreak/>
        <w:t>Adicionalmente, se</w:t>
      </w:r>
      <w:r w:rsidR="00085A2B" w:rsidRPr="008A084A">
        <w:rPr>
          <w:rFonts w:ascii="Cambria" w:hAnsi="Cambria"/>
          <w:sz w:val="20"/>
          <w:szCs w:val="20"/>
          <w:lang w:val="es-ES"/>
        </w:rPr>
        <w:t xml:space="preserve"> indicó que el hospital</w:t>
      </w:r>
      <w:r w:rsidR="00790E41" w:rsidRPr="008A084A">
        <w:rPr>
          <w:rFonts w:ascii="Cambria" w:hAnsi="Cambria"/>
          <w:sz w:val="20"/>
          <w:szCs w:val="20"/>
          <w:lang w:val="es-ES"/>
        </w:rPr>
        <w:t xml:space="preserve"> llamó a un canal de televisión para que sa</w:t>
      </w:r>
      <w:r w:rsidR="000F1BBE" w:rsidRPr="008A084A">
        <w:rPr>
          <w:rFonts w:ascii="Cambria" w:hAnsi="Cambria"/>
          <w:sz w:val="20"/>
          <w:szCs w:val="20"/>
          <w:lang w:val="es-ES"/>
        </w:rPr>
        <w:t>caran</w:t>
      </w:r>
      <w:r w:rsidR="00790E41" w:rsidRPr="008A084A">
        <w:rPr>
          <w:rFonts w:ascii="Cambria" w:hAnsi="Cambria"/>
          <w:sz w:val="20"/>
          <w:szCs w:val="20"/>
          <w:lang w:val="es-ES"/>
        </w:rPr>
        <w:t xml:space="preserve"> al aire un anuncio dando a conocer la desaparición del señor</w:t>
      </w:r>
      <w:r w:rsidR="006A4A10" w:rsidRPr="008A084A">
        <w:rPr>
          <w:rFonts w:ascii="Cambria" w:hAnsi="Cambria"/>
          <w:sz w:val="20"/>
          <w:szCs w:val="20"/>
          <w:lang w:val="es-ES"/>
        </w:rPr>
        <w:t xml:space="preserve"> Guachalá</w:t>
      </w:r>
      <w:r w:rsidR="006A4A10" w:rsidRPr="008A084A">
        <w:rPr>
          <w:rStyle w:val="FootnoteReference"/>
          <w:rFonts w:ascii="Cambria" w:hAnsi="Cambria"/>
          <w:sz w:val="20"/>
          <w:szCs w:val="20"/>
        </w:rPr>
        <w:footnoteReference w:id="116"/>
      </w:r>
      <w:r w:rsidR="006A4A10" w:rsidRPr="008A084A">
        <w:rPr>
          <w:rFonts w:ascii="Cambria" w:hAnsi="Cambria"/>
          <w:sz w:val="20"/>
          <w:szCs w:val="20"/>
          <w:lang w:val="es-ES"/>
        </w:rPr>
        <w:t>.</w:t>
      </w:r>
      <w:r w:rsidR="000E7C05" w:rsidRPr="008A084A">
        <w:rPr>
          <w:rFonts w:ascii="Cambria" w:hAnsi="Cambria"/>
          <w:sz w:val="20"/>
          <w:szCs w:val="20"/>
          <w:lang w:val="es-ES"/>
        </w:rPr>
        <w:t xml:space="preserve"> De acuerdo al hospital el personal del canal de televisión les informó que la señora </w:t>
      </w:r>
      <w:r w:rsidR="002125A0" w:rsidRPr="008A084A">
        <w:rPr>
          <w:rFonts w:ascii="Cambria" w:hAnsi="Cambria"/>
          <w:sz w:val="20"/>
          <w:szCs w:val="20"/>
          <w:lang w:val="es-ES"/>
        </w:rPr>
        <w:t>Chimbó</w:t>
      </w:r>
      <w:r w:rsidR="000E7C05" w:rsidRPr="008A084A">
        <w:rPr>
          <w:rFonts w:ascii="Cambria" w:hAnsi="Cambria"/>
          <w:sz w:val="20"/>
          <w:szCs w:val="20"/>
          <w:lang w:val="es-ES"/>
        </w:rPr>
        <w:t xml:space="preserve"> ya había realizado dicha solicitud</w:t>
      </w:r>
      <w:r w:rsidR="000E7C05" w:rsidRPr="008A084A">
        <w:rPr>
          <w:rStyle w:val="FootnoteReference"/>
          <w:rFonts w:ascii="Cambria" w:hAnsi="Cambria"/>
          <w:sz w:val="20"/>
          <w:szCs w:val="20"/>
        </w:rPr>
        <w:footnoteReference w:id="117"/>
      </w:r>
      <w:r w:rsidR="000E7C05" w:rsidRPr="008A084A">
        <w:rPr>
          <w:rFonts w:ascii="Cambria" w:hAnsi="Cambria"/>
          <w:sz w:val="20"/>
          <w:szCs w:val="20"/>
          <w:lang w:val="es-ES"/>
        </w:rPr>
        <w:t>.</w:t>
      </w:r>
    </w:p>
    <w:p w:rsidR="00095822" w:rsidRPr="008A084A" w:rsidRDefault="00095822" w:rsidP="00095822">
      <w:pPr>
        <w:pStyle w:val="ColorfulList-Accent11"/>
        <w:rPr>
          <w:rFonts w:ascii="Cambria" w:hAnsi="Cambria"/>
          <w:sz w:val="20"/>
          <w:szCs w:val="20"/>
          <w:lang w:val="es-ES"/>
        </w:rPr>
      </w:pPr>
    </w:p>
    <w:p w:rsidR="00095822" w:rsidRPr="008A084A" w:rsidRDefault="009B6C20" w:rsidP="00095822">
      <w:pPr>
        <w:numPr>
          <w:ilvl w:val="0"/>
          <w:numId w:val="55"/>
        </w:numPr>
        <w:jc w:val="both"/>
        <w:rPr>
          <w:rFonts w:ascii="Cambria" w:hAnsi="Cambria"/>
          <w:sz w:val="20"/>
          <w:szCs w:val="20"/>
          <w:lang w:val="es-ES"/>
        </w:rPr>
      </w:pPr>
      <w:r w:rsidRPr="008A084A">
        <w:rPr>
          <w:rFonts w:ascii="Cambria" w:hAnsi="Cambria"/>
          <w:sz w:val="20"/>
          <w:szCs w:val="20"/>
          <w:lang w:val="es-ES"/>
        </w:rPr>
        <w:t>El 5 de febrero 2004 una trabajadora social del hospital se contactó telefónicamente con la hermana del señor Guachalá</w:t>
      </w:r>
      <w:r w:rsidR="000F1BBE" w:rsidRPr="008A084A">
        <w:rPr>
          <w:rFonts w:ascii="Cambria" w:hAnsi="Cambria"/>
          <w:sz w:val="20"/>
          <w:szCs w:val="20"/>
          <w:lang w:val="es-ES"/>
        </w:rPr>
        <w:t xml:space="preserve"> quien </w:t>
      </w:r>
      <w:r w:rsidR="00F24C42" w:rsidRPr="008A084A">
        <w:rPr>
          <w:rFonts w:ascii="Cambria" w:hAnsi="Cambria"/>
          <w:sz w:val="20"/>
          <w:szCs w:val="20"/>
          <w:lang w:val="es-ES"/>
        </w:rPr>
        <w:t>le indicó</w:t>
      </w:r>
      <w:r w:rsidR="004B1589" w:rsidRPr="008A084A">
        <w:rPr>
          <w:rFonts w:ascii="Cambria" w:hAnsi="Cambria"/>
          <w:sz w:val="20"/>
          <w:szCs w:val="20"/>
          <w:lang w:val="es-ES"/>
        </w:rPr>
        <w:t xml:space="preserve"> que en la noche irían con la policía a un lugar donde se encuentran indigentes</w:t>
      </w:r>
      <w:r w:rsidR="00095822" w:rsidRPr="008A084A">
        <w:rPr>
          <w:rFonts w:ascii="Cambria" w:hAnsi="Cambria"/>
          <w:sz w:val="20"/>
          <w:szCs w:val="20"/>
          <w:lang w:val="es-ES"/>
        </w:rPr>
        <w:t xml:space="preserve"> a efectos de intentar localizarlo</w:t>
      </w:r>
      <w:r w:rsidR="004B1589" w:rsidRPr="008A084A">
        <w:rPr>
          <w:rStyle w:val="FootnoteReference"/>
          <w:rFonts w:ascii="Cambria" w:hAnsi="Cambria"/>
          <w:sz w:val="20"/>
          <w:szCs w:val="20"/>
        </w:rPr>
        <w:footnoteReference w:id="118"/>
      </w:r>
      <w:r w:rsidR="004B1589" w:rsidRPr="008A084A">
        <w:rPr>
          <w:rFonts w:ascii="Cambria" w:hAnsi="Cambria"/>
          <w:sz w:val="20"/>
          <w:szCs w:val="20"/>
          <w:lang w:val="es-ES"/>
        </w:rPr>
        <w:t>.</w:t>
      </w:r>
    </w:p>
    <w:p w:rsidR="00095822" w:rsidRPr="008A084A" w:rsidRDefault="00095822" w:rsidP="00095822">
      <w:pPr>
        <w:pStyle w:val="ColorfulList-Accent11"/>
        <w:rPr>
          <w:rFonts w:ascii="Cambria" w:hAnsi="Cambria"/>
          <w:sz w:val="20"/>
          <w:szCs w:val="20"/>
          <w:lang w:val="es-ES"/>
        </w:rPr>
      </w:pPr>
    </w:p>
    <w:p w:rsidR="00095822" w:rsidRPr="008A084A" w:rsidRDefault="004B1589" w:rsidP="00095822">
      <w:pPr>
        <w:numPr>
          <w:ilvl w:val="0"/>
          <w:numId w:val="55"/>
        </w:numPr>
        <w:jc w:val="both"/>
        <w:rPr>
          <w:rFonts w:ascii="Cambria" w:hAnsi="Cambria"/>
          <w:sz w:val="20"/>
          <w:szCs w:val="20"/>
          <w:lang w:val="es-ES"/>
        </w:rPr>
      </w:pPr>
      <w:r w:rsidRPr="008A084A">
        <w:rPr>
          <w:rFonts w:ascii="Cambria" w:hAnsi="Cambria"/>
          <w:sz w:val="20"/>
          <w:szCs w:val="20"/>
          <w:lang w:val="es-ES"/>
        </w:rPr>
        <w:t xml:space="preserve">El 10 de febrero de 2004 la señora </w:t>
      </w:r>
      <w:r w:rsidR="002125A0" w:rsidRPr="008A084A">
        <w:rPr>
          <w:rFonts w:ascii="Cambria" w:hAnsi="Cambria"/>
          <w:sz w:val="20"/>
          <w:szCs w:val="20"/>
          <w:lang w:val="es-ES"/>
        </w:rPr>
        <w:t>Chimbó</w:t>
      </w:r>
      <w:r w:rsidRPr="008A084A">
        <w:rPr>
          <w:rFonts w:ascii="Cambria" w:hAnsi="Cambria"/>
          <w:sz w:val="20"/>
          <w:szCs w:val="20"/>
          <w:lang w:val="es-ES"/>
        </w:rPr>
        <w:t xml:space="preserve"> acudió al hospital para preguntar qué medidas se habían adoptado en la búsqueda de su hijo</w:t>
      </w:r>
      <w:r w:rsidRPr="008A084A">
        <w:rPr>
          <w:rStyle w:val="FootnoteReference"/>
          <w:rFonts w:ascii="Cambria" w:hAnsi="Cambria"/>
          <w:sz w:val="20"/>
          <w:szCs w:val="20"/>
        </w:rPr>
        <w:footnoteReference w:id="119"/>
      </w:r>
      <w:r w:rsidRPr="008A084A">
        <w:rPr>
          <w:rFonts w:ascii="Cambria" w:hAnsi="Cambria"/>
          <w:sz w:val="20"/>
          <w:szCs w:val="20"/>
          <w:lang w:val="es-ES"/>
        </w:rPr>
        <w:t xml:space="preserve">. </w:t>
      </w:r>
      <w:r w:rsidR="00CE39DA" w:rsidRPr="008A084A">
        <w:rPr>
          <w:rFonts w:ascii="Cambria" w:hAnsi="Cambria"/>
          <w:sz w:val="20"/>
          <w:szCs w:val="20"/>
          <w:lang w:val="es-ES"/>
        </w:rPr>
        <w:t>Uno de los médicos del hospital se comunicó telefónicamente con el Cuartel de la River</w:t>
      </w:r>
      <w:r w:rsidR="00157A5A" w:rsidRPr="008A084A">
        <w:rPr>
          <w:rFonts w:ascii="Cambria" w:hAnsi="Cambria"/>
          <w:sz w:val="20"/>
          <w:szCs w:val="20"/>
          <w:lang w:val="es-ES"/>
        </w:rPr>
        <w:t>a, quienes se ofrecieron a brindar una patrulla</w:t>
      </w:r>
      <w:r w:rsidR="00DF7139" w:rsidRPr="008A084A">
        <w:rPr>
          <w:rFonts w:ascii="Cambria" w:hAnsi="Cambria"/>
          <w:sz w:val="20"/>
          <w:szCs w:val="20"/>
          <w:lang w:val="es-ES"/>
        </w:rPr>
        <w:t xml:space="preserve"> para buscar al señor Guachalá</w:t>
      </w:r>
      <w:r w:rsidR="00DF7139" w:rsidRPr="008A084A">
        <w:rPr>
          <w:rStyle w:val="FootnoteReference"/>
          <w:rFonts w:ascii="Cambria" w:hAnsi="Cambria"/>
          <w:sz w:val="20"/>
          <w:szCs w:val="20"/>
        </w:rPr>
        <w:footnoteReference w:id="120"/>
      </w:r>
      <w:r w:rsidR="00DF7139" w:rsidRPr="008A084A">
        <w:rPr>
          <w:rFonts w:ascii="Cambria" w:hAnsi="Cambria"/>
          <w:sz w:val="20"/>
          <w:szCs w:val="20"/>
          <w:lang w:val="es-ES"/>
        </w:rPr>
        <w:t>. Un grupo de oficiales llegaron en horas de la tarde al hospital y, tras conversar con la señor</w:t>
      </w:r>
      <w:r w:rsidR="00373870" w:rsidRPr="008A084A">
        <w:rPr>
          <w:rFonts w:ascii="Cambria" w:hAnsi="Cambria"/>
          <w:sz w:val="20"/>
          <w:szCs w:val="20"/>
          <w:lang w:val="es-ES"/>
        </w:rPr>
        <w:t>a</w:t>
      </w:r>
      <w:r w:rsidR="00DF7139" w:rsidRPr="008A084A">
        <w:rPr>
          <w:rFonts w:ascii="Cambria" w:hAnsi="Cambria"/>
          <w:sz w:val="20"/>
          <w:szCs w:val="20"/>
          <w:lang w:val="es-ES"/>
        </w:rPr>
        <w:t xml:space="preserve"> </w:t>
      </w:r>
      <w:r w:rsidR="002125A0" w:rsidRPr="008A084A">
        <w:rPr>
          <w:rFonts w:ascii="Cambria" w:hAnsi="Cambria"/>
          <w:sz w:val="20"/>
          <w:szCs w:val="20"/>
          <w:lang w:val="es-ES"/>
        </w:rPr>
        <w:t>Chimbó</w:t>
      </w:r>
      <w:r w:rsidR="00DF7139" w:rsidRPr="008A084A">
        <w:rPr>
          <w:rFonts w:ascii="Cambria" w:hAnsi="Cambria"/>
          <w:sz w:val="20"/>
          <w:szCs w:val="20"/>
          <w:lang w:val="es-ES"/>
        </w:rPr>
        <w:t xml:space="preserve"> y recibir una fotografía de su hijo, salieron a  buscarlo</w:t>
      </w:r>
      <w:r w:rsidR="00DF7139" w:rsidRPr="008A084A">
        <w:rPr>
          <w:rStyle w:val="FootnoteReference"/>
          <w:rFonts w:ascii="Cambria" w:hAnsi="Cambria"/>
          <w:sz w:val="20"/>
          <w:szCs w:val="20"/>
        </w:rPr>
        <w:footnoteReference w:id="121"/>
      </w:r>
      <w:r w:rsidR="00DF7139" w:rsidRPr="008A084A">
        <w:rPr>
          <w:rFonts w:ascii="Cambria" w:hAnsi="Cambria"/>
          <w:sz w:val="20"/>
          <w:szCs w:val="20"/>
          <w:lang w:val="es-ES"/>
        </w:rPr>
        <w:t>.</w:t>
      </w:r>
      <w:r w:rsidR="00BC2F2B" w:rsidRPr="008A084A">
        <w:rPr>
          <w:rFonts w:ascii="Cambria" w:hAnsi="Cambria"/>
          <w:sz w:val="20"/>
          <w:szCs w:val="20"/>
          <w:lang w:val="es-ES"/>
        </w:rPr>
        <w:t xml:space="preserve"> </w:t>
      </w:r>
    </w:p>
    <w:p w:rsidR="00095822" w:rsidRPr="008A084A" w:rsidRDefault="00095822" w:rsidP="00095822">
      <w:pPr>
        <w:pStyle w:val="ColorfulList-Accent11"/>
        <w:rPr>
          <w:rFonts w:ascii="Cambria" w:hAnsi="Cambria"/>
          <w:sz w:val="20"/>
          <w:szCs w:val="20"/>
          <w:lang w:val="es-ES"/>
        </w:rPr>
      </w:pPr>
    </w:p>
    <w:p w:rsidR="00095822" w:rsidRPr="008A084A" w:rsidRDefault="00BC2F2B" w:rsidP="00095822">
      <w:pPr>
        <w:numPr>
          <w:ilvl w:val="0"/>
          <w:numId w:val="55"/>
        </w:numPr>
        <w:jc w:val="both"/>
        <w:rPr>
          <w:rFonts w:ascii="Cambria" w:hAnsi="Cambria"/>
          <w:sz w:val="20"/>
          <w:szCs w:val="20"/>
          <w:lang w:val="es-ES"/>
        </w:rPr>
      </w:pPr>
      <w:r w:rsidRPr="008A084A">
        <w:rPr>
          <w:rFonts w:ascii="Cambria" w:hAnsi="Cambria"/>
          <w:sz w:val="20"/>
          <w:szCs w:val="20"/>
          <w:lang w:val="es-ES"/>
        </w:rPr>
        <w:t xml:space="preserve">Al día siguiente la señora </w:t>
      </w:r>
      <w:r w:rsidR="002125A0" w:rsidRPr="008A084A">
        <w:rPr>
          <w:rFonts w:ascii="Cambria" w:hAnsi="Cambria"/>
          <w:sz w:val="20"/>
          <w:szCs w:val="20"/>
          <w:lang w:val="es-ES"/>
        </w:rPr>
        <w:t>Chimbó</w:t>
      </w:r>
      <w:r w:rsidRPr="008A084A">
        <w:rPr>
          <w:rFonts w:ascii="Cambria" w:hAnsi="Cambria"/>
          <w:sz w:val="20"/>
          <w:szCs w:val="20"/>
          <w:lang w:val="es-ES"/>
        </w:rPr>
        <w:t xml:space="preserve"> y una trabajadora social del hospital acudieron al cuartel a efectos de saber si se tenía información sobre el paradero del señor Guachalá</w:t>
      </w:r>
      <w:r w:rsidRPr="008A084A">
        <w:rPr>
          <w:rStyle w:val="FootnoteReference"/>
          <w:rFonts w:ascii="Cambria" w:hAnsi="Cambria"/>
          <w:sz w:val="20"/>
          <w:szCs w:val="20"/>
        </w:rPr>
        <w:footnoteReference w:id="122"/>
      </w:r>
      <w:r w:rsidRPr="008A084A">
        <w:rPr>
          <w:rFonts w:ascii="Cambria" w:hAnsi="Cambria"/>
          <w:sz w:val="20"/>
          <w:szCs w:val="20"/>
          <w:lang w:val="es-ES"/>
        </w:rPr>
        <w:t>. Un sargento les informó que no lo había localizado y que “</w:t>
      </w:r>
      <w:r w:rsidR="003D5ABF" w:rsidRPr="008A084A">
        <w:rPr>
          <w:rFonts w:ascii="Cambria" w:hAnsi="Cambria"/>
          <w:sz w:val="20"/>
          <w:szCs w:val="20"/>
          <w:lang w:val="es-ES"/>
        </w:rPr>
        <w:t>más bien se le debe presionar a la</w:t>
      </w:r>
      <w:r w:rsidRPr="008A084A">
        <w:rPr>
          <w:rFonts w:ascii="Cambria" w:hAnsi="Cambria"/>
          <w:sz w:val="20"/>
          <w:szCs w:val="20"/>
          <w:lang w:val="es-ES"/>
        </w:rPr>
        <w:t xml:space="preserve"> PJ (Po</w:t>
      </w:r>
      <w:r w:rsidR="003D5ABF" w:rsidRPr="008A084A">
        <w:rPr>
          <w:rFonts w:ascii="Cambria" w:hAnsi="Cambria"/>
          <w:sz w:val="20"/>
          <w:szCs w:val="20"/>
          <w:lang w:val="es-ES"/>
        </w:rPr>
        <w:t>licía</w:t>
      </w:r>
      <w:r w:rsidRPr="008A084A">
        <w:rPr>
          <w:rFonts w:ascii="Cambria" w:hAnsi="Cambria"/>
          <w:sz w:val="20"/>
          <w:szCs w:val="20"/>
          <w:lang w:val="es-ES"/>
        </w:rPr>
        <w:t xml:space="preserve"> Judicial) para que acudan y realicen las investigaciones previas en el hospital”</w:t>
      </w:r>
      <w:r w:rsidRPr="008A084A">
        <w:rPr>
          <w:rStyle w:val="FootnoteReference"/>
          <w:rFonts w:ascii="Cambria" w:hAnsi="Cambria"/>
          <w:sz w:val="20"/>
          <w:szCs w:val="20"/>
        </w:rPr>
        <w:footnoteReference w:id="123"/>
      </w:r>
      <w:r w:rsidRPr="008A084A">
        <w:rPr>
          <w:rFonts w:ascii="Cambria" w:hAnsi="Cambria"/>
          <w:sz w:val="20"/>
          <w:szCs w:val="20"/>
          <w:lang w:val="es-ES"/>
        </w:rPr>
        <w:t>.</w:t>
      </w:r>
    </w:p>
    <w:p w:rsidR="00095822" w:rsidRPr="008A084A" w:rsidRDefault="00095822" w:rsidP="00095822">
      <w:pPr>
        <w:pStyle w:val="ColorfulList-Accent11"/>
        <w:rPr>
          <w:rFonts w:ascii="Cambria" w:hAnsi="Cambria"/>
          <w:sz w:val="20"/>
          <w:szCs w:val="20"/>
          <w:lang w:val="es-ES"/>
        </w:rPr>
      </w:pPr>
    </w:p>
    <w:p w:rsidR="003D5ABF" w:rsidRPr="008A084A" w:rsidRDefault="003D5ABF" w:rsidP="00095822">
      <w:pPr>
        <w:numPr>
          <w:ilvl w:val="0"/>
          <w:numId w:val="55"/>
        </w:numPr>
        <w:jc w:val="both"/>
        <w:rPr>
          <w:rFonts w:ascii="Cambria" w:hAnsi="Cambria"/>
          <w:sz w:val="20"/>
          <w:szCs w:val="20"/>
          <w:lang w:val="es-ES"/>
        </w:rPr>
      </w:pPr>
      <w:r w:rsidRPr="008A084A">
        <w:rPr>
          <w:rFonts w:ascii="Cambria" w:hAnsi="Cambria"/>
          <w:sz w:val="20"/>
          <w:szCs w:val="20"/>
          <w:lang w:val="es-ES"/>
        </w:rPr>
        <w:t>El 12 de febrero de 2004</w:t>
      </w:r>
      <w:r w:rsidR="00237CE6" w:rsidRPr="008A084A">
        <w:rPr>
          <w:rFonts w:ascii="Cambria" w:hAnsi="Cambria"/>
          <w:sz w:val="20"/>
          <w:szCs w:val="20"/>
          <w:lang w:val="es-ES"/>
        </w:rPr>
        <w:t xml:space="preserve"> una trabajadora social del hospital acudió a la Policía Judicial</w:t>
      </w:r>
      <w:r w:rsidR="00237CE6" w:rsidRPr="008A084A">
        <w:rPr>
          <w:rStyle w:val="FootnoteReference"/>
          <w:rFonts w:ascii="Cambria" w:hAnsi="Cambria"/>
          <w:sz w:val="20"/>
          <w:szCs w:val="20"/>
        </w:rPr>
        <w:footnoteReference w:id="124"/>
      </w:r>
      <w:r w:rsidR="00237CE6" w:rsidRPr="008A084A">
        <w:rPr>
          <w:rFonts w:ascii="Cambria" w:hAnsi="Cambria"/>
          <w:sz w:val="20"/>
          <w:szCs w:val="20"/>
          <w:lang w:val="es-ES"/>
        </w:rPr>
        <w:t>. Indicó que conversó con el sargento a cargo del caso, quien le manifestó lo siguiente:</w:t>
      </w:r>
    </w:p>
    <w:p w:rsidR="00237CE6" w:rsidRPr="008A084A" w:rsidRDefault="00237CE6" w:rsidP="001665A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790E41" w:rsidRPr="008A084A" w:rsidRDefault="00237CE6" w:rsidP="00D14F4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firstLine="0"/>
        <w:jc w:val="both"/>
        <w:rPr>
          <w:rFonts w:ascii="Cambria" w:hAnsi="Cambria"/>
          <w:color w:val="auto"/>
          <w:sz w:val="20"/>
          <w:szCs w:val="20"/>
        </w:rPr>
      </w:pPr>
      <w:r w:rsidRPr="008A084A">
        <w:rPr>
          <w:rFonts w:ascii="Cambria" w:hAnsi="Cambria"/>
          <w:color w:val="auto"/>
          <w:sz w:val="20"/>
          <w:szCs w:val="20"/>
        </w:rPr>
        <w:t>(...) la denuncia emitida por la madre</w:t>
      </w:r>
      <w:r w:rsidR="0013664D" w:rsidRPr="008A084A">
        <w:rPr>
          <w:rFonts w:ascii="Cambria" w:hAnsi="Cambria"/>
          <w:color w:val="auto"/>
          <w:sz w:val="20"/>
          <w:szCs w:val="20"/>
        </w:rPr>
        <w:t xml:space="preserve"> del paciente se basa en tal vez</w:t>
      </w:r>
      <w:r w:rsidR="00537156" w:rsidRPr="008A084A">
        <w:rPr>
          <w:rFonts w:ascii="Cambria" w:hAnsi="Cambria"/>
          <w:color w:val="auto"/>
          <w:sz w:val="20"/>
          <w:szCs w:val="20"/>
        </w:rPr>
        <w:t xml:space="preserve"> (sic)</w:t>
      </w:r>
      <w:r w:rsidR="0013664D" w:rsidRPr="008A084A">
        <w:rPr>
          <w:rFonts w:ascii="Cambria" w:hAnsi="Cambria"/>
          <w:color w:val="auto"/>
          <w:sz w:val="20"/>
          <w:szCs w:val="20"/>
        </w:rPr>
        <w:t xml:space="preserve"> algo pasó en el hospital y no (l</w:t>
      </w:r>
      <w:proofErr w:type="gramStart"/>
      <w:r w:rsidR="0013664D" w:rsidRPr="008A084A">
        <w:rPr>
          <w:rFonts w:ascii="Cambria" w:hAnsi="Cambria"/>
          <w:color w:val="auto"/>
          <w:sz w:val="20"/>
          <w:szCs w:val="20"/>
        </w:rPr>
        <w:t>)e</w:t>
      </w:r>
      <w:proofErr w:type="gramEnd"/>
      <w:r w:rsidR="0013664D" w:rsidRPr="008A084A">
        <w:rPr>
          <w:rFonts w:ascii="Cambria" w:hAnsi="Cambria"/>
          <w:color w:val="auto"/>
          <w:sz w:val="20"/>
          <w:szCs w:val="20"/>
        </w:rPr>
        <w:t xml:space="preserve"> quieren avisar y que por lo tanto el hospital hace caso omiso en encontrar a su hijo</w:t>
      </w:r>
      <w:r w:rsidR="00A42B29" w:rsidRPr="008A084A">
        <w:rPr>
          <w:rStyle w:val="FootnoteReference"/>
          <w:rFonts w:ascii="Cambria" w:hAnsi="Cambria"/>
          <w:color w:val="auto"/>
          <w:sz w:val="20"/>
          <w:szCs w:val="20"/>
        </w:rPr>
        <w:footnoteReference w:id="125"/>
      </w:r>
      <w:r w:rsidR="0013664D" w:rsidRPr="008A084A">
        <w:rPr>
          <w:rFonts w:ascii="Cambria" w:hAnsi="Cambria"/>
          <w:color w:val="auto"/>
          <w:sz w:val="20"/>
          <w:szCs w:val="20"/>
        </w:rPr>
        <w:t>.</w:t>
      </w:r>
    </w:p>
    <w:p w:rsidR="0022054D" w:rsidRPr="008A084A" w:rsidRDefault="0022054D"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EB3B1E" w:rsidRPr="008A084A" w:rsidRDefault="00EB3B1E" w:rsidP="00440C66">
      <w:pPr>
        <w:numPr>
          <w:ilvl w:val="0"/>
          <w:numId w:val="55"/>
        </w:numPr>
        <w:jc w:val="both"/>
        <w:rPr>
          <w:rFonts w:ascii="Cambria" w:hAnsi="Cambria"/>
          <w:sz w:val="20"/>
          <w:szCs w:val="20"/>
          <w:lang w:val="es-ES"/>
        </w:rPr>
      </w:pPr>
      <w:r w:rsidRPr="008A084A">
        <w:rPr>
          <w:rFonts w:ascii="Cambria" w:hAnsi="Cambria"/>
          <w:sz w:val="20"/>
          <w:szCs w:val="20"/>
          <w:lang w:val="es-ES"/>
        </w:rPr>
        <w:t>De acuerdo a un oficio del Cuerpo de Bomberos del Distrito Metropolitano de Quito</w:t>
      </w:r>
      <w:r w:rsidR="000B32AA" w:rsidRPr="008A084A">
        <w:rPr>
          <w:rFonts w:ascii="Cambria" w:hAnsi="Cambria"/>
          <w:sz w:val="20"/>
          <w:szCs w:val="20"/>
          <w:lang w:val="es-ES"/>
        </w:rPr>
        <w:t>, entre el 12 y 15 de febrero de 2004 se realizó una búsqueda del señor Guachalá, sin</w:t>
      </w:r>
      <w:r w:rsidR="00537156" w:rsidRPr="008A084A">
        <w:rPr>
          <w:rFonts w:ascii="Cambria" w:hAnsi="Cambria"/>
          <w:sz w:val="20"/>
          <w:szCs w:val="20"/>
          <w:lang w:val="es-ES"/>
        </w:rPr>
        <w:t xml:space="preserve"> resultados</w:t>
      </w:r>
      <w:r w:rsidR="000B32AA" w:rsidRPr="008A084A">
        <w:rPr>
          <w:rFonts w:ascii="Cambria" w:hAnsi="Cambria"/>
          <w:sz w:val="20"/>
          <w:szCs w:val="20"/>
          <w:lang w:val="es-ES"/>
        </w:rPr>
        <w:t>. Se indicó que dicho rastreo fue realizado a petición de una trabajadora social del hospital</w:t>
      </w:r>
      <w:r w:rsidR="004D2D6F" w:rsidRPr="008A084A">
        <w:rPr>
          <w:rStyle w:val="FootnoteReference"/>
          <w:rFonts w:ascii="Cambria" w:hAnsi="Cambria"/>
          <w:sz w:val="20"/>
          <w:szCs w:val="20"/>
          <w:lang w:val="es-ES"/>
        </w:rPr>
        <w:footnoteReference w:id="126"/>
      </w:r>
      <w:r w:rsidR="000B32AA" w:rsidRPr="008A084A">
        <w:rPr>
          <w:rFonts w:ascii="Cambria" w:hAnsi="Cambria"/>
          <w:sz w:val="20"/>
          <w:szCs w:val="20"/>
          <w:lang w:val="es-ES"/>
        </w:rPr>
        <w:t>.</w:t>
      </w:r>
    </w:p>
    <w:p w:rsidR="00EB3B1E" w:rsidRPr="008A084A" w:rsidRDefault="00EB3B1E" w:rsidP="00EB3B1E">
      <w:pPr>
        <w:ind w:left="720"/>
        <w:jc w:val="both"/>
        <w:rPr>
          <w:rFonts w:ascii="Cambria" w:hAnsi="Cambria"/>
          <w:sz w:val="20"/>
          <w:szCs w:val="20"/>
          <w:lang w:val="es-ES"/>
        </w:rPr>
      </w:pPr>
    </w:p>
    <w:p w:rsidR="00B519E2" w:rsidRPr="008A084A" w:rsidRDefault="00981D4D" w:rsidP="00440C66">
      <w:pPr>
        <w:numPr>
          <w:ilvl w:val="0"/>
          <w:numId w:val="55"/>
        </w:numPr>
        <w:jc w:val="both"/>
        <w:rPr>
          <w:rFonts w:ascii="Cambria" w:hAnsi="Cambria"/>
          <w:sz w:val="20"/>
          <w:szCs w:val="20"/>
          <w:lang w:val="es-ES"/>
        </w:rPr>
      </w:pPr>
      <w:r w:rsidRPr="008A084A">
        <w:rPr>
          <w:rFonts w:ascii="Cambria" w:hAnsi="Cambria"/>
          <w:sz w:val="20"/>
          <w:szCs w:val="20"/>
          <w:lang w:val="es-ES"/>
        </w:rPr>
        <w:t xml:space="preserve">El 10 de junio de 2004 </w:t>
      </w:r>
      <w:r w:rsidRPr="008A084A">
        <w:rPr>
          <w:rFonts w:ascii="Cambria" w:eastAsia="Times New Roman" w:hAnsi="Cambria" w:cs="Arial"/>
          <w:sz w:val="20"/>
          <w:szCs w:val="20"/>
          <w:shd w:val="clear" w:color="auto" w:fill="FFFFFF"/>
          <w:lang w:val="es-ES"/>
        </w:rPr>
        <w:t xml:space="preserve">la Dirección Nacional de Defensa de los Derechos de la Tercera Edad y Discapacitados (DINATED) </w:t>
      </w:r>
      <w:r w:rsidR="0092378F" w:rsidRPr="008A084A">
        <w:rPr>
          <w:rFonts w:ascii="Cambria" w:hAnsi="Cambria"/>
          <w:sz w:val="20"/>
          <w:szCs w:val="20"/>
          <w:lang w:val="es-ES"/>
        </w:rPr>
        <w:t>envió una comunicación al Hospital Psiquiátrico Julio Endara</w:t>
      </w:r>
      <w:r w:rsidR="0092378F" w:rsidRPr="008A084A">
        <w:rPr>
          <w:rStyle w:val="FootnoteReference"/>
          <w:rFonts w:ascii="Cambria" w:hAnsi="Cambria"/>
          <w:sz w:val="20"/>
          <w:szCs w:val="20"/>
        </w:rPr>
        <w:footnoteReference w:id="127"/>
      </w:r>
      <w:r w:rsidR="0092378F" w:rsidRPr="008A084A">
        <w:rPr>
          <w:rFonts w:ascii="Cambria" w:hAnsi="Cambria"/>
          <w:sz w:val="20"/>
          <w:szCs w:val="20"/>
          <w:lang w:val="es-ES"/>
        </w:rPr>
        <w:t xml:space="preserve">. El </w:t>
      </w:r>
      <w:r w:rsidR="00B519E2" w:rsidRPr="008A084A">
        <w:rPr>
          <w:rFonts w:ascii="Cambria" w:hAnsi="Cambria"/>
          <w:sz w:val="20"/>
          <w:szCs w:val="20"/>
          <w:lang w:val="es-ES"/>
        </w:rPr>
        <w:t xml:space="preserve">DINATED mostró su preocupación sobre la falta de información acerca de la desaparición </w:t>
      </w:r>
      <w:r w:rsidR="00765C1F" w:rsidRPr="008A084A">
        <w:rPr>
          <w:rFonts w:ascii="Cambria" w:hAnsi="Cambria"/>
          <w:sz w:val="20"/>
          <w:szCs w:val="20"/>
          <w:lang w:val="es-ES"/>
        </w:rPr>
        <w:t xml:space="preserve">ocurrida </w:t>
      </w:r>
      <w:r w:rsidR="00B519E2" w:rsidRPr="008A084A">
        <w:rPr>
          <w:rFonts w:ascii="Cambria" w:hAnsi="Cambria"/>
          <w:sz w:val="20"/>
          <w:szCs w:val="20"/>
          <w:lang w:val="es-ES"/>
        </w:rPr>
        <w:t>entre el 17 y 18 de enero de 2004</w:t>
      </w:r>
      <w:r w:rsidR="00B519E2" w:rsidRPr="008A084A">
        <w:rPr>
          <w:rStyle w:val="FootnoteReference"/>
          <w:rFonts w:ascii="Cambria" w:hAnsi="Cambria"/>
          <w:sz w:val="20"/>
          <w:szCs w:val="20"/>
        </w:rPr>
        <w:footnoteReference w:id="128"/>
      </w:r>
      <w:r w:rsidR="00B519E2" w:rsidRPr="008A084A">
        <w:rPr>
          <w:rFonts w:ascii="Cambria" w:hAnsi="Cambria"/>
          <w:sz w:val="20"/>
          <w:szCs w:val="20"/>
          <w:lang w:val="es-ES"/>
        </w:rPr>
        <w:t xml:space="preserve">. </w:t>
      </w:r>
    </w:p>
    <w:p w:rsidR="00671C11" w:rsidRDefault="00671C11" w:rsidP="00B519E2">
      <w:pPr>
        <w:jc w:val="both"/>
        <w:rPr>
          <w:rFonts w:ascii="Cambria" w:hAnsi="Cambria"/>
          <w:sz w:val="20"/>
          <w:szCs w:val="20"/>
          <w:lang w:val="es-ES"/>
        </w:rPr>
      </w:pPr>
    </w:p>
    <w:p w:rsidR="00B519E2" w:rsidRPr="008A084A" w:rsidRDefault="00B519E2" w:rsidP="00440C66">
      <w:pPr>
        <w:numPr>
          <w:ilvl w:val="0"/>
          <w:numId w:val="55"/>
        </w:numPr>
        <w:jc w:val="both"/>
        <w:rPr>
          <w:rFonts w:ascii="Cambria" w:hAnsi="Cambria"/>
          <w:sz w:val="20"/>
          <w:szCs w:val="20"/>
          <w:lang w:val="es-ES"/>
        </w:rPr>
      </w:pPr>
      <w:r w:rsidRPr="008A084A">
        <w:rPr>
          <w:rFonts w:ascii="Cambria" w:hAnsi="Cambria"/>
          <w:sz w:val="20"/>
          <w:szCs w:val="20"/>
          <w:lang w:val="es-ES"/>
        </w:rPr>
        <w:t>El 30 de junio de 2004 Jenny Beltrán, trabajadora social del Hospital Psiquiátrico Julio Endara, respondió a la comunicación del DINATED</w:t>
      </w:r>
      <w:r w:rsidRPr="008A084A">
        <w:rPr>
          <w:rStyle w:val="FootnoteReference"/>
          <w:rFonts w:ascii="Cambria" w:hAnsi="Cambria"/>
          <w:sz w:val="20"/>
          <w:szCs w:val="20"/>
        </w:rPr>
        <w:footnoteReference w:id="129"/>
      </w:r>
      <w:r w:rsidRPr="008A084A">
        <w:rPr>
          <w:rFonts w:ascii="Cambria" w:hAnsi="Cambria"/>
          <w:sz w:val="20"/>
          <w:szCs w:val="20"/>
          <w:lang w:val="es-ES"/>
        </w:rPr>
        <w:t>.</w:t>
      </w:r>
      <w:r w:rsidR="000D41F2" w:rsidRPr="008A084A">
        <w:rPr>
          <w:rFonts w:ascii="Cambria" w:hAnsi="Cambria"/>
          <w:sz w:val="20"/>
          <w:szCs w:val="20"/>
          <w:lang w:val="es-ES"/>
        </w:rPr>
        <w:t xml:space="preserve"> </w:t>
      </w:r>
      <w:r w:rsidR="005F7295" w:rsidRPr="008A084A">
        <w:rPr>
          <w:rFonts w:ascii="Cambria" w:hAnsi="Cambria"/>
          <w:sz w:val="20"/>
          <w:szCs w:val="20"/>
          <w:lang w:val="es-ES"/>
        </w:rPr>
        <w:t xml:space="preserve"> La señora Beltrán sostuvo que el 17 y 18 de enero de 2004 corresponde a un fin de semana “por lo que no </w:t>
      </w:r>
      <w:proofErr w:type="spellStart"/>
      <w:r w:rsidR="005F7295" w:rsidRPr="008A084A">
        <w:rPr>
          <w:rFonts w:ascii="Cambria" w:hAnsi="Cambria"/>
          <w:sz w:val="20"/>
          <w:szCs w:val="20"/>
          <w:lang w:val="es-ES"/>
        </w:rPr>
        <w:t>sup</w:t>
      </w:r>
      <w:proofErr w:type="spellEnd"/>
      <w:r w:rsidR="005F7295" w:rsidRPr="008A084A">
        <w:rPr>
          <w:rFonts w:ascii="Cambria" w:hAnsi="Cambria"/>
          <w:sz w:val="20"/>
          <w:szCs w:val="20"/>
          <w:lang w:val="es-ES"/>
        </w:rPr>
        <w:t>(o) del particular sino hasta el día lunes 19 de enero en la reunión de trabajo que se realiza todas las mañanas de los días laborables”</w:t>
      </w:r>
      <w:r w:rsidR="005F7295" w:rsidRPr="008A084A">
        <w:rPr>
          <w:rStyle w:val="FootnoteReference"/>
          <w:rFonts w:ascii="Cambria" w:hAnsi="Cambria"/>
          <w:sz w:val="20"/>
          <w:szCs w:val="20"/>
        </w:rPr>
        <w:footnoteReference w:id="130"/>
      </w:r>
      <w:r w:rsidR="005F7295" w:rsidRPr="008A084A">
        <w:rPr>
          <w:rFonts w:ascii="Cambria" w:hAnsi="Cambria"/>
          <w:sz w:val="20"/>
          <w:szCs w:val="20"/>
          <w:lang w:val="es-ES"/>
        </w:rPr>
        <w:t xml:space="preserve">. Añadió que una vez que se </w:t>
      </w:r>
      <w:r w:rsidR="005F7295" w:rsidRPr="008A084A">
        <w:rPr>
          <w:rFonts w:ascii="Cambria" w:hAnsi="Cambria"/>
          <w:sz w:val="20"/>
          <w:szCs w:val="20"/>
          <w:lang w:val="es-ES"/>
        </w:rPr>
        <w:lastRenderedPageBreak/>
        <w:t>tomó conocimiento de la desaparición del señor Guachalá, “se procedió a realizar las gestiones correspondientes que el caso amerita”</w:t>
      </w:r>
      <w:r w:rsidR="005F7295" w:rsidRPr="008A084A">
        <w:rPr>
          <w:rStyle w:val="FootnoteReference"/>
          <w:rFonts w:ascii="Cambria" w:hAnsi="Cambria"/>
          <w:sz w:val="20"/>
          <w:szCs w:val="20"/>
        </w:rPr>
        <w:footnoteReference w:id="131"/>
      </w:r>
      <w:r w:rsidR="005F7295" w:rsidRPr="008A084A">
        <w:rPr>
          <w:rFonts w:ascii="Cambria" w:hAnsi="Cambria"/>
          <w:sz w:val="20"/>
          <w:szCs w:val="20"/>
          <w:lang w:val="es-ES"/>
        </w:rPr>
        <w:t>.</w:t>
      </w:r>
    </w:p>
    <w:p w:rsidR="00003ABD" w:rsidRPr="008A084A" w:rsidRDefault="00003ABD" w:rsidP="00003ABD">
      <w:pPr>
        <w:pStyle w:val="ColorfulList-Accent11"/>
        <w:rPr>
          <w:rFonts w:ascii="Cambria" w:hAnsi="Cambria"/>
          <w:sz w:val="20"/>
          <w:szCs w:val="20"/>
          <w:lang w:val="es-ES"/>
        </w:rPr>
      </w:pPr>
    </w:p>
    <w:p w:rsidR="00003ABD" w:rsidRPr="008A084A" w:rsidRDefault="00003ABD" w:rsidP="00003AB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jc w:val="both"/>
        <w:rPr>
          <w:rFonts w:ascii="Cambria" w:hAnsi="Cambria"/>
          <w:color w:val="auto"/>
          <w:sz w:val="20"/>
          <w:szCs w:val="20"/>
        </w:rPr>
      </w:pPr>
      <w:r w:rsidRPr="008A084A">
        <w:rPr>
          <w:rFonts w:ascii="Cambria" w:hAnsi="Cambria"/>
          <w:color w:val="auto"/>
          <w:sz w:val="20"/>
          <w:szCs w:val="20"/>
        </w:rPr>
        <w:t>El 7 de abril de 2005 la doctora del hospital, Sonia Sánchez, informó al director de dicho centro que se practicaron exámenes odontológicos forenses a dos cadáveres no identificados encontrados el 13 de agosto y 18 de septiembre de 2004</w:t>
      </w:r>
      <w:r w:rsidRPr="008A084A">
        <w:rPr>
          <w:rStyle w:val="FootnoteReference"/>
          <w:rFonts w:ascii="Cambria" w:hAnsi="Cambria"/>
          <w:color w:val="auto"/>
          <w:sz w:val="20"/>
          <w:szCs w:val="20"/>
        </w:rPr>
        <w:footnoteReference w:id="132"/>
      </w:r>
      <w:r w:rsidRPr="008A084A">
        <w:rPr>
          <w:rFonts w:ascii="Cambria" w:hAnsi="Cambria"/>
          <w:color w:val="auto"/>
          <w:sz w:val="20"/>
          <w:szCs w:val="20"/>
        </w:rPr>
        <w:t>. Sostuvo que los resultados no concuerdan con el del señor Guachalá</w:t>
      </w:r>
      <w:r w:rsidRPr="008A084A">
        <w:rPr>
          <w:rStyle w:val="FootnoteReference"/>
          <w:rFonts w:ascii="Cambria" w:hAnsi="Cambria"/>
          <w:color w:val="auto"/>
          <w:sz w:val="20"/>
          <w:szCs w:val="20"/>
        </w:rPr>
        <w:footnoteReference w:id="133"/>
      </w:r>
      <w:r w:rsidRPr="008A084A">
        <w:rPr>
          <w:rFonts w:ascii="Cambria" w:hAnsi="Cambria"/>
          <w:color w:val="auto"/>
          <w:sz w:val="20"/>
          <w:szCs w:val="20"/>
        </w:rPr>
        <w:t>.</w:t>
      </w:r>
    </w:p>
    <w:p w:rsidR="00B519E2" w:rsidRPr="008A084A" w:rsidRDefault="00B519E2" w:rsidP="00B519E2">
      <w:pPr>
        <w:jc w:val="both"/>
        <w:rPr>
          <w:rFonts w:ascii="Cambria" w:hAnsi="Cambria"/>
          <w:sz w:val="20"/>
          <w:szCs w:val="20"/>
          <w:lang w:val="es-ES"/>
        </w:rPr>
      </w:pPr>
    </w:p>
    <w:p w:rsidR="00793E90" w:rsidRPr="008A084A" w:rsidRDefault="00793E90" w:rsidP="00B329C1">
      <w:pPr>
        <w:pStyle w:val="Heading2"/>
        <w:numPr>
          <w:ilvl w:val="0"/>
          <w:numId w:val="59"/>
        </w:numPr>
        <w:spacing w:before="0" w:after="0"/>
        <w:ind w:left="1440" w:hanging="720"/>
        <w:jc w:val="both"/>
        <w:rPr>
          <w:rFonts w:ascii="Cambria" w:hAnsi="Cambria"/>
          <w:i w:val="0"/>
          <w:sz w:val="20"/>
          <w:szCs w:val="20"/>
          <w:lang w:val="es-ES"/>
        </w:rPr>
      </w:pPr>
      <w:bookmarkStart w:id="27" w:name="_Toc525547508"/>
      <w:r w:rsidRPr="008A084A">
        <w:rPr>
          <w:rFonts w:ascii="Cambria" w:hAnsi="Cambria"/>
          <w:i w:val="0"/>
          <w:sz w:val="20"/>
          <w:szCs w:val="20"/>
          <w:lang w:val="es-ES"/>
        </w:rPr>
        <w:t>Sobre los recursos presentados</w:t>
      </w:r>
      <w:bookmarkEnd w:id="27"/>
    </w:p>
    <w:p w:rsidR="00793E90" w:rsidRPr="008A084A" w:rsidRDefault="00793E90" w:rsidP="00B519E2">
      <w:pPr>
        <w:jc w:val="both"/>
        <w:rPr>
          <w:rFonts w:ascii="Cambria" w:hAnsi="Cambria"/>
          <w:sz w:val="20"/>
          <w:szCs w:val="20"/>
          <w:lang w:val="es-ES"/>
        </w:rPr>
      </w:pPr>
    </w:p>
    <w:p w:rsidR="0022054D" w:rsidRPr="008A084A" w:rsidRDefault="00793E90" w:rsidP="00793E90">
      <w:pPr>
        <w:numPr>
          <w:ilvl w:val="3"/>
          <w:numId w:val="55"/>
        </w:numPr>
        <w:tabs>
          <w:tab w:val="clear" w:pos="2880"/>
          <w:tab w:val="num" w:pos="1440"/>
        </w:tabs>
        <w:ind w:hanging="2160"/>
        <w:jc w:val="both"/>
        <w:rPr>
          <w:rFonts w:ascii="Cambria" w:hAnsi="Cambria"/>
          <w:b/>
          <w:sz w:val="20"/>
          <w:szCs w:val="20"/>
          <w:lang w:val="es-ES"/>
        </w:rPr>
      </w:pPr>
      <w:r w:rsidRPr="008A084A">
        <w:rPr>
          <w:rFonts w:ascii="Cambria" w:hAnsi="Cambria"/>
          <w:b/>
          <w:sz w:val="20"/>
          <w:szCs w:val="20"/>
          <w:lang w:val="es-ES"/>
        </w:rPr>
        <w:t>D</w:t>
      </w:r>
      <w:r w:rsidR="006A0F60" w:rsidRPr="008A084A">
        <w:rPr>
          <w:rFonts w:ascii="Cambria" w:hAnsi="Cambria"/>
          <w:b/>
          <w:sz w:val="20"/>
          <w:szCs w:val="20"/>
          <w:lang w:val="es-ES"/>
        </w:rPr>
        <w:t>enuncia ante la Policía Judicial</w:t>
      </w:r>
    </w:p>
    <w:p w:rsidR="002C39B8" w:rsidRPr="008A084A" w:rsidRDefault="002C39B8" w:rsidP="00B519E2">
      <w:pPr>
        <w:jc w:val="both"/>
        <w:rPr>
          <w:rFonts w:ascii="Cambria" w:hAnsi="Cambria"/>
          <w:sz w:val="20"/>
          <w:szCs w:val="20"/>
          <w:lang w:val="es-ES"/>
        </w:rPr>
      </w:pPr>
    </w:p>
    <w:p w:rsidR="0047536B" w:rsidRPr="008A084A" w:rsidRDefault="002C39B8" w:rsidP="00003ABD">
      <w:pPr>
        <w:numPr>
          <w:ilvl w:val="0"/>
          <w:numId w:val="55"/>
        </w:numPr>
        <w:jc w:val="both"/>
        <w:rPr>
          <w:rFonts w:ascii="Cambria" w:hAnsi="Cambria"/>
          <w:sz w:val="20"/>
          <w:szCs w:val="20"/>
          <w:lang w:val="es-ES"/>
        </w:rPr>
      </w:pPr>
      <w:r w:rsidRPr="008A084A">
        <w:rPr>
          <w:rFonts w:ascii="Cambria" w:hAnsi="Cambria"/>
          <w:sz w:val="20"/>
          <w:szCs w:val="20"/>
          <w:lang w:val="es-ES"/>
        </w:rPr>
        <w:t xml:space="preserve">El 21 de enero de 2004 la señora Chimbó presentó </w:t>
      </w:r>
      <w:r w:rsidR="00003ABD" w:rsidRPr="008A084A">
        <w:rPr>
          <w:rFonts w:ascii="Cambria" w:hAnsi="Cambria"/>
          <w:sz w:val="20"/>
          <w:szCs w:val="20"/>
          <w:lang w:val="es-ES"/>
        </w:rPr>
        <w:t>una</w:t>
      </w:r>
      <w:r w:rsidRPr="008A084A">
        <w:rPr>
          <w:rFonts w:ascii="Cambria" w:hAnsi="Cambria"/>
          <w:sz w:val="20"/>
          <w:szCs w:val="20"/>
          <w:lang w:val="es-ES"/>
        </w:rPr>
        <w:t xml:space="preserve"> denuncia ante la Policía Judicial </w:t>
      </w:r>
      <w:r w:rsidR="00D64776" w:rsidRPr="008A084A">
        <w:rPr>
          <w:rFonts w:ascii="Cambria" w:hAnsi="Cambria"/>
          <w:sz w:val="20"/>
          <w:szCs w:val="20"/>
          <w:lang w:val="es-ES"/>
        </w:rPr>
        <w:t xml:space="preserve">de Pichincha </w:t>
      </w:r>
      <w:r w:rsidRPr="008A084A">
        <w:rPr>
          <w:rFonts w:ascii="Cambria" w:hAnsi="Cambria"/>
          <w:sz w:val="20"/>
          <w:szCs w:val="20"/>
          <w:lang w:val="es-ES"/>
        </w:rPr>
        <w:t>por la desaparición de su hijo</w:t>
      </w:r>
      <w:r w:rsidRPr="008A084A">
        <w:rPr>
          <w:rStyle w:val="FootnoteReference"/>
          <w:rFonts w:ascii="Cambria" w:hAnsi="Cambria"/>
          <w:sz w:val="20"/>
          <w:szCs w:val="20"/>
        </w:rPr>
        <w:footnoteReference w:id="134"/>
      </w:r>
      <w:r w:rsidRPr="008A084A">
        <w:rPr>
          <w:rFonts w:ascii="Cambria" w:hAnsi="Cambria"/>
          <w:sz w:val="20"/>
          <w:szCs w:val="20"/>
          <w:lang w:val="es-ES"/>
        </w:rPr>
        <w:t xml:space="preserve">. </w:t>
      </w:r>
      <w:r w:rsidR="003200FC" w:rsidRPr="008A084A">
        <w:rPr>
          <w:rFonts w:ascii="Cambria" w:hAnsi="Cambria"/>
          <w:sz w:val="20"/>
          <w:szCs w:val="20"/>
          <w:lang w:val="es-ES"/>
        </w:rPr>
        <w:t xml:space="preserve">El Estado indicó que </w:t>
      </w:r>
      <w:r w:rsidR="00C72412" w:rsidRPr="008A084A">
        <w:rPr>
          <w:rFonts w:ascii="Cambria" w:hAnsi="Cambria"/>
          <w:sz w:val="20"/>
          <w:szCs w:val="20"/>
          <w:lang w:val="es-ES"/>
        </w:rPr>
        <w:t>la Fiscalía Distrital de Pichincha inició la indagación previa</w:t>
      </w:r>
      <w:r w:rsidR="00C72412" w:rsidRPr="008A084A">
        <w:rPr>
          <w:rStyle w:val="FootnoteReference"/>
          <w:rFonts w:ascii="Cambria" w:hAnsi="Cambria"/>
          <w:sz w:val="20"/>
          <w:szCs w:val="20"/>
          <w:lang w:val="es-ES"/>
        </w:rPr>
        <w:footnoteReference w:id="135"/>
      </w:r>
      <w:r w:rsidR="00C72412" w:rsidRPr="008A084A">
        <w:rPr>
          <w:rFonts w:ascii="Cambria" w:hAnsi="Cambria"/>
          <w:sz w:val="20"/>
          <w:szCs w:val="20"/>
          <w:lang w:val="es-ES"/>
        </w:rPr>
        <w:t>.</w:t>
      </w:r>
      <w:r w:rsidR="00AF7F5C" w:rsidRPr="008A084A">
        <w:rPr>
          <w:rFonts w:ascii="Cambria" w:hAnsi="Cambria"/>
          <w:sz w:val="20"/>
          <w:szCs w:val="20"/>
          <w:lang w:val="es-ES"/>
        </w:rPr>
        <w:t xml:space="preserve"> El mismo día el agente fiscal de la Unidad de Delitos contra la Vida de Pichincha requirió i) la declaración de la señora Chimbó; y ii) el reconocimiento del lugar de los hechos</w:t>
      </w:r>
      <w:r w:rsidR="00AF7F5C" w:rsidRPr="008A084A">
        <w:rPr>
          <w:rStyle w:val="FootnoteReference"/>
          <w:rFonts w:ascii="Cambria" w:hAnsi="Cambria"/>
          <w:sz w:val="20"/>
          <w:szCs w:val="20"/>
          <w:lang w:val="es-ES"/>
        </w:rPr>
        <w:footnoteReference w:id="136"/>
      </w:r>
      <w:r w:rsidR="00AF7F5C" w:rsidRPr="008A084A">
        <w:rPr>
          <w:rFonts w:ascii="Cambria" w:hAnsi="Cambria"/>
          <w:sz w:val="20"/>
          <w:szCs w:val="20"/>
          <w:lang w:val="es-ES"/>
        </w:rPr>
        <w:t>.</w:t>
      </w:r>
    </w:p>
    <w:p w:rsidR="00F672E6" w:rsidRPr="008A084A" w:rsidRDefault="00F672E6"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C715CB" w:rsidRPr="008A084A" w:rsidRDefault="00F672E6" w:rsidP="00003ABD">
      <w:pPr>
        <w:numPr>
          <w:ilvl w:val="0"/>
          <w:numId w:val="55"/>
        </w:numPr>
        <w:jc w:val="both"/>
        <w:rPr>
          <w:rFonts w:ascii="Cambria" w:hAnsi="Cambria"/>
          <w:sz w:val="20"/>
          <w:szCs w:val="20"/>
          <w:lang w:val="es-ES"/>
        </w:rPr>
      </w:pPr>
      <w:r w:rsidRPr="008A084A">
        <w:rPr>
          <w:rFonts w:ascii="Cambria" w:hAnsi="Cambria"/>
          <w:sz w:val="20"/>
          <w:szCs w:val="20"/>
          <w:lang w:val="es-ES"/>
        </w:rPr>
        <w:t>El 3 de febrero de 2004 la señora Chimbó rindió su declaración</w:t>
      </w:r>
      <w:r w:rsidR="00C72412" w:rsidRPr="008A084A">
        <w:rPr>
          <w:rFonts w:ascii="Cambria" w:hAnsi="Cambria"/>
          <w:sz w:val="20"/>
          <w:szCs w:val="20"/>
          <w:lang w:val="es-ES"/>
        </w:rPr>
        <w:t xml:space="preserve"> judicial</w:t>
      </w:r>
      <w:r w:rsidRPr="008A084A">
        <w:rPr>
          <w:rStyle w:val="FootnoteReference"/>
          <w:rFonts w:ascii="Cambria" w:hAnsi="Cambria"/>
          <w:sz w:val="20"/>
          <w:szCs w:val="20"/>
        </w:rPr>
        <w:footnoteReference w:id="137"/>
      </w:r>
      <w:r w:rsidRPr="008A084A">
        <w:rPr>
          <w:rFonts w:ascii="Cambria" w:hAnsi="Cambria"/>
          <w:sz w:val="20"/>
          <w:szCs w:val="20"/>
          <w:lang w:val="es-ES"/>
        </w:rPr>
        <w:t>.</w:t>
      </w:r>
      <w:r w:rsidR="00003ABD" w:rsidRPr="008A084A">
        <w:rPr>
          <w:rFonts w:ascii="Cambria" w:hAnsi="Cambria"/>
          <w:sz w:val="20"/>
          <w:szCs w:val="20"/>
          <w:lang w:val="es-ES"/>
        </w:rPr>
        <w:t xml:space="preserve"> Asimismo, e</w:t>
      </w:r>
      <w:r w:rsidR="00C715CB" w:rsidRPr="008A084A">
        <w:rPr>
          <w:rFonts w:ascii="Cambria" w:hAnsi="Cambria"/>
          <w:sz w:val="20"/>
          <w:szCs w:val="20"/>
          <w:lang w:val="es-ES"/>
        </w:rPr>
        <w:t>l enfermero Luis Borja indicó que rindió su declaración ante la Policía Judicial</w:t>
      </w:r>
      <w:r w:rsidR="00003ABD" w:rsidRPr="008A084A">
        <w:rPr>
          <w:rFonts w:ascii="Cambria" w:hAnsi="Cambria"/>
          <w:sz w:val="20"/>
          <w:szCs w:val="20"/>
          <w:lang w:val="es-ES"/>
        </w:rPr>
        <w:t xml:space="preserve"> y manifestó lo siguiente:</w:t>
      </w:r>
      <w:r w:rsidR="00C715CB" w:rsidRPr="008A084A">
        <w:rPr>
          <w:rFonts w:ascii="Cambria" w:hAnsi="Cambria"/>
          <w:sz w:val="20"/>
          <w:szCs w:val="20"/>
          <w:lang w:val="es-ES"/>
        </w:rPr>
        <w:t xml:space="preserve"> </w:t>
      </w:r>
    </w:p>
    <w:p w:rsidR="00C715CB" w:rsidRPr="008A084A" w:rsidRDefault="00C715CB"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C715CB" w:rsidRPr="008A084A" w:rsidRDefault="00C715CB" w:rsidP="00C715CB">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firstLine="0"/>
        <w:jc w:val="both"/>
        <w:rPr>
          <w:rFonts w:ascii="Cambria" w:hAnsi="Cambria"/>
          <w:color w:val="auto"/>
          <w:sz w:val="20"/>
          <w:szCs w:val="20"/>
        </w:rPr>
      </w:pPr>
      <w:r w:rsidRPr="008A084A">
        <w:rPr>
          <w:rFonts w:ascii="Cambria" w:hAnsi="Cambria"/>
          <w:color w:val="auto"/>
          <w:sz w:val="20"/>
          <w:szCs w:val="20"/>
        </w:rPr>
        <w:t>(...) el hospital no es un hospital cerrado y que siempre hay la posibilidad de salida de los pacientes ya que se estaba realizando en esos días la tala de árboles que circundan al hospital, lo cual dañó en parte dicho cerramiento. (...) cuando un paciente ingresa al hospital los familiares firman una hoja en donde no se responsabiliza al hospital en estos casos por el estado  crítico de los pacientes, a pesar de los cuidados que aquí se prestan, de lo cual fueron debidamente informados</w:t>
      </w:r>
      <w:r w:rsidRPr="008A084A">
        <w:rPr>
          <w:rStyle w:val="FootnoteReference"/>
          <w:rFonts w:ascii="Cambria" w:hAnsi="Cambria"/>
          <w:color w:val="auto"/>
          <w:sz w:val="20"/>
          <w:szCs w:val="20"/>
        </w:rPr>
        <w:footnoteReference w:id="138"/>
      </w:r>
      <w:r w:rsidRPr="008A084A">
        <w:rPr>
          <w:rFonts w:ascii="Cambria" w:hAnsi="Cambria"/>
          <w:color w:val="auto"/>
          <w:sz w:val="20"/>
          <w:szCs w:val="20"/>
        </w:rPr>
        <w:t>.</w:t>
      </w:r>
    </w:p>
    <w:p w:rsidR="00637852" w:rsidRPr="008A084A" w:rsidRDefault="00637852"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F052FA" w:rsidRPr="008A084A" w:rsidRDefault="00AF7F5C" w:rsidP="00003ABD">
      <w:pPr>
        <w:numPr>
          <w:ilvl w:val="0"/>
          <w:numId w:val="55"/>
        </w:numPr>
        <w:jc w:val="both"/>
        <w:rPr>
          <w:rFonts w:ascii="Cambria" w:hAnsi="Cambria"/>
          <w:sz w:val="20"/>
          <w:szCs w:val="20"/>
          <w:lang w:val="es-ES"/>
        </w:rPr>
      </w:pPr>
      <w:r w:rsidRPr="008A084A">
        <w:rPr>
          <w:rFonts w:ascii="Cambria" w:hAnsi="Cambria"/>
          <w:sz w:val="20"/>
          <w:szCs w:val="20"/>
          <w:lang w:val="es-ES"/>
        </w:rPr>
        <w:t>E</w:t>
      </w:r>
      <w:r w:rsidR="00F052FA" w:rsidRPr="008A084A">
        <w:rPr>
          <w:rFonts w:ascii="Cambria" w:hAnsi="Cambria"/>
          <w:sz w:val="20"/>
          <w:szCs w:val="20"/>
          <w:lang w:val="es-ES"/>
        </w:rPr>
        <w:t>l 22 de marzo de 2004 el Jefe Provincial de la Policía Judicial presentó a la Fiscalía un informe sobre diligencias realizadas</w:t>
      </w:r>
      <w:r w:rsidRPr="008A084A">
        <w:rPr>
          <w:rStyle w:val="FootnoteReference"/>
          <w:rFonts w:ascii="Cambria" w:hAnsi="Cambria"/>
          <w:sz w:val="20"/>
          <w:szCs w:val="20"/>
          <w:lang w:val="es-ES"/>
        </w:rPr>
        <w:footnoteReference w:id="139"/>
      </w:r>
      <w:r w:rsidR="00F052FA" w:rsidRPr="008A084A">
        <w:rPr>
          <w:rFonts w:ascii="Cambria" w:hAnsi="Cambria"/>
          <w:sz w:val="20"/>
          <w:szCs w:val="20"/>
          <w:lang w:val="es-ES"/>
        </w:rPr>
        <w:t xml:space="preserve">. </w:t>
      </w:r>
      <w:r w:rsidR="006A5D68" w:rsidRPr="008A084A">
        <w:rPr>
          <w:rFonts w:ascii="Cambria" w:hAnsi="Cambria"/>
          <w:sz w:val="20"/>
          <w:szCs w:val="20"/>
          <w:lang w:val="es-ES"/>
        </w:rPr>
        <w:t>En d</w:t>
      </w:r>
      <w:r w:rsidR="00F052FA" w:rsidRPr="008A084A">
        <w:rPr>
          <w:rFonts w:ascii="Cambria" w:hAnsi="Cambria"/>
          <w:sz w:val="20"/>
          <w:szCs w:val="20"/>
          <w:lang w:val="es-ES"/>
        </w:rPr>
        <w:t>icho informe</w:t>
      </w:r>
      <w:r w:rsidR="006A5D68" w:rsidRPr="008A084A">
        <w:rPr>
          <w:rFonts w:ascii="Cambria" w:hAnsi="Cambria"/>
          <w:sz w:val="20"/>
          <w:szCs w:val="20"/>
          <w:lang w:val="es-ES"/>
        </w:rPr>
        <w:t xml:space="preserve"> se</w:t>
      </w:r>
      <w:r w:rsidR="00F052FA" w:rsidRPr="008A084A">
        <w:rPr>
          <w:rFonts w:ascii="Cambria" w:hAnsi="Cambria"/>
          <w:sz w:val="20"/>
          <w:szCs w:val="20"/>
          <w:lang w:val="es-ES"/>
        </w:rPr>
        <w:t xml:space="preserve"> señaló que se tomó la declaración de algunos funcionarios del hospital</w:t>
      </w:r>
      <w:r w:rsidRPr="008A084A">
        <w:rPr>
          <w:rStyle w:val="FootnoteReference"/>
          <w:rFonts w:ascii="Cambria" w:hAnsi="Cambria"/>
          <w:sz w:val="20"/>
          <w:szCs w:val="20"/>
          <w:lang w:val="es-ES"/>
        </w:rPr>
        <w:footnoteReference w:id="140"/>
      </w:r>
      <w:r w:rsidRPr="008A084A">
        <w:rPr>
          <w:rFonts w:ascii="Cambria" w:hAnsi="Cambria"/>
          <w:sz w:val="20"/>
          <w:szCs w:val="20"/>
          <w:lang w:val="es-ES"/>
        </w:rPr>
        <w:t>. La CIDH no cuenta con dichas declaraciones</w:t>
      </w:r>
      <w:r w:rsidR="00B71C5E" w:rsidRPr="008A084A">
        <w:rPr>
          <w:rFonts w:ascii="Cambria" w:hAnsi="Cambria"/>
          <w:sz w:val="20"/>
          <w:szCs w:val="20"/>
          <w:lang w:val="es-ES"/>
        </w:rPr>
        <w:t>.</w:t>
      </w:r>
    </w:p>
    <w:p w:rsidR="00AF7F5C" w:rsidRPr="008A084A" w:rsidRDefault="00AF7F5C" w:rsidP="00AF7F5C">
      <w:pPr>
        <w:jc w:val="both"/>
        <w:rPr>
          <w:rFonts w:ascii="Cambria" w:hAnsi="Cambria"/>
          <w:sz w:val="20"/>
          <w:szCs w:val="20"/>
          <w:lang w:val="es-ES"/>
        </w:rPr>
      </w:pPr>
    </w:p>
    <w:p w:rsidR="00C66D21" w:rsidRPr="008A084A" w:rsidRDefault="00C66D21" w:rsidP="00003ABD">
      <w:pPr>
        <w:numPr>
          <w:ilvl w:val="0"/>
          <w:numId w:val="55"/>
        </w:numPr>
        <w:jc w:val="both"/>
        <w:rPr>
          <w:rFonts w:ascii="Cambria" w:hAnsi="Cambria"/>
          <w:sz w:val="20"/>
          <w:szCs w:val="20"/>
          <w:lang w:val="es-ES"/>
        </w:rPr>
      </w:pPr>
      <w:r w:rsidRPr="008A084A">
        <w:rPr>
          <w:rFonts w:ascii="Cambria" w:hAnsi="Cambria"/>
          <w:sz w:val="20"/>
          <w:szCs w:val="20"/>
          <w:lang w:val="es-ES"/>
        </w:rPr>
        <w:t>Los peticionarios señalaron que se realizaron autopsias de dos cadáveres encontrados el 13 de agosto y 18 de septiembre de 2004, respectivamente, los cuales no correspondieron al señor Guachalá</w:t>
      </w:r>
      <w:r w:rsidR="00CB6937" w:rsidRPr="008A084A">
        <w:rPr>
          <w:rStyle w:val="FootnoteReference"/>
          <w:rFonts w:ascii="Cambria" w:hAnsi="Cambria"/>
          <w:sz w:val="20"/>
          <w:szCs w:val="20"/>
        </w:rPr>
        <w:footnoteReference w:id="141"/>
      </w:r>
      <w:r w:rsidRPr="008A084A">
        <w:rPr>
          <w:rFonts w:ascii="Cambria" w:hAnsi="Cambria"/>
          <w:sz w:val="20"/>
          <w:szCs w:val="20"/>
          <w:lang w:val="es-ES"/>
        </w:rPr>
        <w:t>.</w:t>
      </w:r>
      <w:r w:rsidR="00CB6937" w:rsidRPr="008A084A">
        <w:rPr>
          <w:rFonts w:ascii="Cambria" w:hAnsi="Cambria"/>
          <w:sz w:val="20"/>
          <w:szCs w:val="20"/>
          <w:lang w:val="es-ES"/>
        </w:rPr>
        <w:t xml:space="preserve"> Por su parte, el Estado señaló que el 18 de octubre de 2004 el perito acreditado por el Ministerio Público remitió a la Fiscalía su informe pericial de reconocimiento de lugar de los hechos</w:t>
      </w:r>
      <w:r w:rsidR="00CB6937" w:rsidRPr="008A084A">
        <w:rPr>
          <w:rStyle w:val="FootnoteReference"/>
          <w:rFonts w:ascii="Cambria" w:hAnsi="Cambria"/>
          <w:sz w:val="20"/>
          <w:szCs w:val="20"/>
          <w:lang w:val="es-ES"/>
        </w:rPr>
        <w:footnoteReference w:id="142"/>
      </w:r>
      <w:r w:rsidR="00CB6937" w:rsidRPr="008A084A">
        <w:rPr>
          <w:rFonts w:ascii="Cambria" w:hAnsi="Cambria"/>
          <w:sz w:val="20"/>
          <w:szCs w:val="20"/>
          <w:lang w:val="es-ES"/>
        </w:rPr>
        <w:t>. El Estado no indicó sobre la forma en que se realizó dicho reconocimiento ni los resultados obtenidos.</w:t>
      </w:r>
    </w:p>
    <w:p w:rsidR="000B73DF" w:rsidRPr="008A084A" w:rsidRDefault="000B73DF" w:rsidP="00CB6937">
      <w:pPr>
        <w:jc w:val="both"/>
        <w:rPr>
          <w:rFonts w:ascii="Cambria" w:hAnsi="Cambria"/>
          <w:sz w:val="20"/>
          <w:szCs w:val="20"/>
          <w:lang w:val="es-ES"/>
        </w:rPr>
      </w:pPr>
    </w:p>
    <w:p w:rsidR="000B73DF" w:rsidRPr="008A084A" w:rsidRDefault="00CB6937" w:rsidP="00003ABD">
      <w:pPr>
        <w:numPr>
          <w:ilvl w:val="0"/>
          <w:numId w:val="55"/>
        </w:numPr>
        <w:jc w:val="both"/>
        <w:rPr>
          <w:rFonts w:ascii="Cambria" w:hAnsi="Cambria"/>
          <w:sz w:val="20"/>
          <w:szCs w:val="20"/>
          <w:lang w:val="es-ES"/>
        </w:rPr>
      </w:pPr>
      <w:r w:rsidRPr="008A084A">
        <w:rPr>
          <w:rFonts w:ascii="Cambria" w:hAnsi="Cambria"/>
          <w:sz w:val="20"/>
          <w:szCs w:val="20"/>
          <w:lang w:val="es-ES"/>
        </w:rPr>
        <w:t>L</w:t>
      </w:r>
      <w:r w:rsidR="000B73DF" w:rsidRPr="008A084A">
        <w:rPr>
          <w:rFonts w:ascii="Cambria" w:hAnsi="Cambria"/>
          <w:sz w:val="20"/>
          <w:szCs w:val="20"/>
          <w:lang w:val="es-ES"/>
        </w:rPr>
        <w:t>a señora Chimbó presentó comunicaciones a la Fiscalía el 26 de noviembre de 2004, y el 28 de enero, 3 de marzo y 4 de julio de 2005</w:t>
      </w:r>
      <w:r w:rsidR="002B20A8" w:rsidRPr="008A084A">
        <w:rPr>
          <w:rFonts w:ascii="Cambria" w:hAnsi="Cambria"/>
          <w:sz w:val="20"/>
          <w:szCs w:val="20"/>
          <w:lang w:val="es-ES"/>
        </w:rPr>
        <w:t xml:space="preserve">, solicitando </w:t>
      </w:r>
      <w:r w:rsidR="000B73DF" w:rsidRPr="008A084A">
        <w:rPr>
          <w:rFonts w:ascii="Cambria" w:hAnsi="Cambria"/>
          <w:sz w:val="20"/>
          <w:szCs w:val="20"/>
          <w:lang w:val="es-ES"/>
        </w:rPr>
        <w:t>la práctica de varias diligencias</w:t>
      </w:r>
      <w:r w:rsidRPr="008A084A">
        <w:rPr>
          <w:rStyle w:val="FootnoteReference"/>
          <w:rFonts w:ascii="Cambria" w:hAnsi="Cambria"/>
          <w:sz w:val="20"/>
          <w:szCs w:val="20"/>
          <w:lang w:val="es-ES"/>
        </w:rPr>
        <w:footnoteReference w:id="143"/>
      </w:r>
      <w:r w:rsidR="000B73DF" w:rsidRPr="008A084A">
        <w:rPr>
          <w:rFonts w:ascii="Cambria" w:hAnsi="Cambria"/>
          <w:sz w:val="20"/>
          <w:szCs w:val="20"/>
          <w:lang w:val="es-ES"/>
        </w:rPr>
        <w:t xml:space="preserve">. El </w:t>
      </w:r>
      <w:r w:rsidRPr="008A084A">
        <w:rPr>
          <w:rFonts w:ascii="Cambria" w:hAnsi="Cambria"/>
          <w:sz w:val="20"/>
          <w:szCs w:val="20"/>
          <w:lang w:val="es-ES"/>
        </w:rPr>
        <w:t xml:space="preserve">Estado sostuvo que el </w:t>
      </w:r>
      <w:r w:rsidR="000B73DF" w:rsidRPr="008A084A">
        <w:rPr>
          <w:rFonts w:ascii="Cambria" w:hAnsi="Cambria"/>
          <w:sz w:val="20"/>
          <w:szCs w:val="20"/>
          <w:lang w:val="es-ES"/>
        </w:rPr>
        <w:t>fiscal a cargo de la investigación</w:t>
      </w:r>
      <w:r w:rsidR="00D97F4C" w:rsidRPr="008A084A">
        <w:rPr>
          <w:rFonts w:ascii="Cambria" w:hAnsi="Cambria"/>
          <w:sz w:val="20"/>
          <w:szCs w:val="20"/>
          <w:lang w:val="es-ES"/>
        </w:rPr>
        <w:t xml:space="preserve"> le</w:t>
      </w:r>
      <w:r w:rsidR="000B73DF" w:rsidRPr="008A084A">
        <w:rPr>
          <w:rFonts w:ascii="Cambria" w:hAnsi="Cambria"/>
          <w:sz w:val="20"/>
          <w:szCs w:val="20"/>
          <w:lang w:val="es-ES"/>
        </w:rPr>
        <w:t xml:space="preserve"> informó </w:t>
      </w:r>
      <w:r w:rsidRPr="008A084A">
        <w:rPr>
          <w:rFonts w:ascii="Cambria" w:hAnsi="Cambria"/>
          <w:sz w:val="20"/>
          <w:szCs w:val="20"/>
          <w:lang w:val="es-ES"/>
        </w:rPr>
        <w:t xml:space="preserve">a la señora Chimbó </w:t>
      </w:r>
      <w:r w:rsidR="000B73DF" w:rsidRPr="008A084A">
        <w:rPr>
          <w:rFonts w:ascii="Cambria" w:hAnsi="Cambria"/>
          <w:sz w:val="20"/>
          <w:szCs w:val="20"/>
          <w:lang w:val="es-ES"/>
        </w:rPr>
        <w:t xml:space="preserve">que varias de las diligencias solicitadas </w:t>
      </w:r>
      <w:r w:rsidR="000B73DF" w:rsidRPr="008A084A">
        <w:rPr>
          <w:rFonts w:ascii="Cambria" w:hAnsi="Cambria"/>
          <w:sz w:val="20"/>
          <w:szCs w:val="20"/>
          <w:lang w:val="es-ES"/>
        </w:rPr>
        <w:lastRenderedPageBreak/>
        <w:t>ya habían sido practicad</w:t>
      </w:r>
      <w:r w:rsidR="00B04B87" w:rsidRPr="008A084A">
        <w:rPr>
          <w:rFonts w:ascii="Cambria" w:hAnsi="Cambria"/>
          <w:sz w:val="20"/>
          <w:szCs w:val="20"/>
          <w:lang w:val="es-ES"/>
        </w:rPr>
        <w:t>a</w:t>
      </w:r>
      <w:r w:rsidR="000B73DF" w:rsidRPr="008A084A">
        <w:rPr>
          <w:rFonts w:ascii="Cambria" w:hAnsi="Cambria"/>
          <w:sz w:val="20"/>
          <w:szCs w:val="20"/>
          <w:lang w:val="es-ES"/>
        </w:rPr>
        <w:t>s y que respecto de las otras, “se realizarían en el momento que se considere oportuno”</w:t>
      </w:r>
      <w:r w:rsidR="000B73DF" w:rsidRPr="008A084A">
        <w:rPr>
          <w:rStyle w:val="FootnoteReference"/>
          <w:rFonts w:ascii="Cambria" w:hAnsi="Cambria"/>
          <w:sz w:val="20"/>
          <w:szCs w:val="20"/>
          <w:lang w:val="es-ES"/>
        </w:rPr>
        <w:footnoteReference w:id="144"/>
      </w:r>
      <w:r w:rsidR="000B73DF" w:rsidRPr="008A084A">
        <w:rPr>
          <w:rFonts w:ascii="Cambria" w:hAnsi="Cambria"/>
          <w:sz w:val="20"/>
          <w:szCs w:val="20"/>
          <w:lang w:val="es-ES"/>
        </w:rPr>
        <w:t>.</w:t>
      </w:r>
      <w:r w:rsidR="00AF7F5C" w:rsidRPr="008A084A">
        <w:rPr>
          <w:rFonts w:ascii="Cambria" w:hAnsi="Cambria"/>
          <w:sz w:val="20"/>
          <w:szCs w:val="20"/>
          <w:lang w:val="es-ES"/>
        </w:rPr>
        <w:t xml:space="preserve"> </w:t>
      </w:r>
    </w:p>
    <w:p w:rsidR="00F052FA" w:rsidRPr="008A084A" w:rsidRDefault="00F052FA" w:rsidP="00F052FA">
      <w:pPr>
        <w:ind w:left="720"/>
        <w:jc w:val="both"/>
        <w:rPr>
          <w:rFonts w:ascii="Cambria" w:hAnsi="Cambria"/>
          <w:sz w:val="20"/>
          <w:szCs w:val="20"/>
          <w:lang w:val="es-ES"/>
        </w:rPr>
      </w:pPr>
    </w:p>
    <w:p w:rsidR="00F73817" w:rsidRPr="008A084A" w:rsidRDefault="00102BA9" w:rsidP="00003ABD">
      <w:pPr>
        <w:numPr>
          <w:ilvl w:val="0"/>
          <w:numId w:val="55"/>
        </w:numPr>
        <w:jc w:val="both"/>
        <w:rPr>
          <w:rFonts w:ascii="Cambria" w:hAnsi="Cambria"/>
          <w:sz w:val="20"/>
          <w:szCs w:val="20"/>
          <w:lang w:val="es-CO"/>
        </w:rPr>
      </w:pPr>
      <w:r w:rsidRPr="008A084A">
        <w:rPr>
          <w:rFonts w:ascii="Cambria" w:hAnsi="Cambria"/>
          <w:sz w:val="20"/>
          <w:szCs w:val="20"/>
          <w:lang w:val="es-ES"/>
        </w:rPr>
        <w:t xml:space="preserve">El 12 de julio de 2005 el director del hospital, Rommel </w:t>
      </w:r>
      <w:proofErr w:type="spellStart"/>
      <w:r w:rsidRPr="008A084A">
        <w:rPr>
          <w:rFonts w:ascii="Cambria" w:hAnsi="Cambria"/>
          <w:sz w:val="20"/>
          <w:szCs w:val="20"/>
          <w:lang w:val="es-ES"/>
        </w:rPr>
        <w:t>Artieda</w:t>
      </w:r>
      <w:proofErr w:type="spellEnd"/>
      <w:r w:rsidRPr="008A084A">
        <w:rPr>
          <w:rFonts w:ascii="Cambria" w:hAnsi="Cambria"/>
          <w:sz w:val="20"/>
          <w:szCs w:val="20"/>
          <w:lang w:val="es-ES"/>
        </w:rPr>
        <w:t xml:space="preserve">, </w:t>
      </w:r>
      <w:r w:rsidR="00D2746C" w:rsidRPr="008A084A">
        <w:rPr>
          <w:rFonts w:ascii="Cambria" w:hAnsi="Cambria"/>
          <w:sz w:val="20"/>
          <w:szCs w:val="20"/>
          <w:lang w:val="es-ES"/>
        </w:rPr>
        <w:t>rindió su declaración ante el Juez Vigésimo Primero de lo Civil de Pichincha</w:t>
      </w:r>
      <w:r w:rsidR="00D2746C" w:rsidRPr="008A084A">
        <w:rPr>
          <w:rStyle w:val="FootnoteReference"/>
          <w:rFonts w:ascii="Cambria" w:hAnsi="Cambria"/>
          <w:sz w:val="20"/>
          <w:szCs w:val="20"/>
        </w:rPr>
        <w:footnoteReference w:id="145"/>
      </w:r>
      <w:r w:rsidR="00D2746C" w:rsidRPr="008A084A">
        <w:rPr>
          <w:rFonts w:ascii="Cambria" w:hAnsi="Cambria"/>
          <w:sz w:val="20"/>
          <w:szCs w:val="20"/>
          <w:lang w:val="es-ES"/>
        </w:rPr>
        <w:t>.</w:t>
      </w:r>
      <w:r w:rsidR="00F70C3A" w:rsidRPr="008A084A">
        <w:rPr>
          <w:rFonts w:ascii="Cambria" w:hAnsi="Cambria"/>
          <w:sz w:val="20"/>
          <w:szCs w:val="20"/>
          <w:lang w:val="es-ES"/>
        </w:rPr>
        <w:t xml:space="preserve"> El señor </w:t>
      </w:r>
      <w:proofErr w:type="spellStart"/>
      <w:r w:rsidR="00F70C3A" w:rsidRPr="008A084A">
        <w:rPr>
          <w:rFonts w:ascii="Cambria" w:hAnsi="Cambria"/>
          <w:sz w:val="20"/>
          <w:szCs w:val="20"/>
          <w:lang w:val="es-ES"/>
        </w:rPr>
        <w:t>Artieda</w:t>
      </w:r>
      <w:proofErr w:type="spellEnd"/>
      <w:r w:rsidR="00F70C3A" w:rsidRPr="008A084A">
        <w:rPr>
          <w:rFonts w:ascii="Cambria" w:hAnsi="Cambria"/>
          <w:sz w:val="20"/>
          <w:szCs w:val="20"/>
          <w:lang w:val="es-ES"/>
        </w:rPr>
        <w:t xml:space="preserve"> sostuvo que la condición médica del señor Guachalá era “inestable, ante lo cual el persona</w:t>
      </w:r>
      <w:r w:rsidR="005D55C3" w:rsidRPr="008A084A">
        <w:rPr>
          <w:rFonts w:ascii="Cambria" w:hAnsi="Cambria"/>
          <w:sz w:val="20"/>
          <w:szCs w:val="20"/>
          <w:lang w:val="es-ES"/>
        </w:rPr>
        <w:t>l</w:t>
      </w:r>
      <w:r w:rsidR="00F70C3A" w:rsidRPr="008A084A">
        <w:rPr>
          <w:rFonts w:ascii="Cambria" w:hAnsi="Cambria"/>
          <w:sz w:val="20"/>
          <w:szCs w:val="20"/>
          <w:lang w:val="es-ES"/>
        </w:rPr>
        <w:t xml:space="preserve"> médico del hospital le ha brindado toda la atención prioritaria, preferente, especializada y los cuidados necesarios”</w:t>
      </w:r>
      <w:r w:rsidR="00F70C3A" w:rsidRPr="008A084A">
        <w:rPr>
          <w:rStyle w:val="FootnoteReference"/>
          <w:rFonts w:ascii="Cambria" w:hAnsi="Cambria"/>
          <w:sz w:val="20"/>
          <w:szCs w:val="20"/>
        </w:rPr>
        <w:footnoteReference w:id="146"/>
      </w:r>
      <w:r w:rsidR="00F70C3A" w:rsidRPr="008A084A">
        <w:rPr>
          <w:rFonts w:ascii="Cambria" w:hAnsi="Cambria"/>
          <w:sz w:val="20"/>
          <w:szCs w:val="20"/>
          <w:lang w:val="es-ES"/>
        </w:rPr>
        <w:t>.</w:t>
      </w:r>
      <w:r w:rsidR="00A64B4F" w:rsidRPr="008A084A">
        <w:rPr>
          <w:rFonts w:ascii="Cambria" w:hAnsi="Cambria"/>
          <w:sz w:val="20"/>
          <w:szCs w:val="20"/>
          <w:lang w:val="es-ES"/>
        </w:rPr>
        <w:t xml:space="preserve"> </w:t>
      </w:r>
      <w:r w:rsidR="007C58C2" w:rsidRPr="008A084A">
        <w:rPr>
          <w:rFonts w:ascii="Cambria" w:hAnsi="Cambria"/>
          <w:sz w:val="20"/>
          <w:szCs w:val="20"/>
          <w:lang w:val="es-CO"/>
        </w:rPr>
        <w:t>Agregó que:</w:t>
      </w:r>
    </w:p>
    <w:p w:rsidR="00D65E17" w:rsidRPr="008A084A" w:rsidRDefault="00D65E17"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D65E17" w:rsidRPr="008A084A" w:rsidRDefault="00D65E17" w:rsidP="00D65E1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270"/>
        </w:tabs>
        <w:ind w:left="720" w:right="720" w:firstLine="0"/>
        <w:jc w:val="both"/>
        <w:rPr>
          <w:rFonts w:ascii="Cambria" w:hAnsi="Cambria"/>
          <w:color w:val="auto"/>
          <w:sz w:val="20"/>
          <w:szCs w:val="20"/>
        </w:rPr>
      </w:pPr>
      <w:r w:rsidRPr="008A084A">
        <w:rPr>
          <w:rFonts w:ascii="Cambria" w:hAnsi="Cambria"/>
          <w:color w:val="auto"/>
          <w:sz w:val="20"/>
          <w:szCs w:val="20"/>
        </w:rPr>
        <w:t>(...) como se trata de un hospital psiquiátrico, tiene una gran extensión, en donde los pacientes se movilizan con libertad y tranquilidad, el cerramiento tiene una altura mediana y los pacientes al no ver a sus familiares en su desesperación tratan de salir del establecimiento, como ha sucedido con el señor Luis Guachalá</w:t>
      </w:r>
      <w:r w:rsidRPr="008A084A">
        <w:rPr>
          <w:rStyle w:val="FootnoteReference"/>
          <w:rFonts w:ascii="Cambria" w:hAnsi="Cambria"/>
          <w:color w:val="auto"/>
          <w:sz w:val="20"/>
          <w:szCs w:val="20"/>
        </w:rPr>
        <w:footnoteReference w:id="147"/>
      </w:r>
      <w:r w:rsidRPr="008A084A">
        <w:rPr>
          <w:rFonts w:ascii="Cambria" w:hAnsi="Cambria"/>
          <w:color w:val="auto"/>
          <w:sz w:val="20"/>
          <w:szCs w:val="20"/>
        </w:rPr>
        <w:t>.</w:t>
      </w:r>
    </w:p>
    <w:p w:rsidR="0011248A" w:rsidRPr="008A084A" w:rsidRDefault="0011248A"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EB6E5F" w:rsidRPr="008A084A" w:rsidRDefault="002D3818" w:rsidP="00A97EBC">
      <w:pPr>
        <w:numPr>
          <w:ilvl w:val="0"/>
          <w:numId w:val="55"/>
        </w:numPr>
        <w:jc w:val="both"/>
        <w:rPr>
          <w:rFonts w:ascii="Cambria" w:hAnsi="Cambria"/>
          <w:sz w:val="20"/>
          <w:szCs w:val="20"/>
          <w:lang w:val="es-ES"/>
        </w:rPr>
      </w:pPr>
      <w:r w:rsidRPr="008A084A">
        <w:rPr>
          <w:rFonts w:ascii="Cambria" w:hAnsi="Cambria"/>
          <w:sz w:val="20"/>
          <w:szCs w:val="20"/>
          <w:lang w:val="es-ES"/>
        </w:rPr>
        <w:t>El Estado informó que el 13 de julio de 2005 la odontóloga forense asignada envió a la Fiscalía un informe</w:t>
      </w:r>
      <w:r w:rsidR="009C0184" w:rsidRPr="008A084A">
        <w:rPr>
          <w:rFonts w:ascii="Cambria" w:hAnsi="Cambria"/>
          <w:sz w:val="20"/>
          <w:szCs w:val="20"/>
          <w:lang w:val="es-ES"/>
        </w:rPr>
        <w:t xml:space="preserve"> en el cual </w:t>
      </w:r>
      <w:r w:rsidRPr="008A084A">
        <w:rPr>
          <w:rFonts w:ascii="Cambria" w:hAnsi="Cambria"/>
          <w:sz w:val="20"/>
          <w:szCs w:val="20"/>
          <w:lang w:val="es-ES"/>
        </w:rPr>
        <w:t>indicó que se hizo un estudio de las piezas dentales del señor Guachalá y dos cadáveres no identificados</w:t>
      </w:r>
      <w:r w:rsidR="00BE0A3E" w:rsidRPr="008A084A">
        <w:rPr>
          <w:rFonts w:ascii="Cambria" w:hAnsi="Cambria"/>
          <w:sz w:val="20"/>
          <w:szCs w:val="20"/>
          <w:lang w:val="es-ES"/>
        </w:rPr>
        <w:t>, con resultados negativo</w:t>
      </w:r>
      <w:r w:rsidRPr="008A084A">
        <w:rPr>
          <w:rStyle w:val="FootnoteReference"/>
          <w:rFonts w:ascii="Cambria" w:hAnsi="Cambria"/>
          <w:sz w:val="20"/>
          <w:szCs w:val="20"/>
          <w:lang w:val="es-ES"/>
        </w:rPr>
        <w:footnoteReference w:id="148"/>
      </w:r>
      <w:r w:rsidRPr="008A084A">
        <w:rPr>
          <w:rFonts w:ascii="Cambria" w:hAnsi="Cambria"/>
          <w:sz w:val="20"/>
          <w:szCs w:val="20"/>
          <w:lang w:val="es-ES"/>
        </w:rPr>
        <w:t>.</w:t>
      </w:r>
    </w:p>
    <w:p w:rsidR="00EB6E5F" w:rsidRPr="008A084A" w:rsidRDefault="00EB6E5F" w:rsidP="00EB6E5F">
      <w:pPr>
        <w:ind w:left="720"/>
        <w:jc w:val="both"/>
        <w:rPr>
          <w:rFonts w:ascii="Cambria" w:hAnsi="Cambria"/>
          <w:sz w:val="20"/>
          <w:szCs w:val="20"/>
          <w:lang w:val="es-ES"/>
        </w:rPr>
      </w:pPr>
    </w:p>
    <w:p w:rsidR="00A97EBC" w:rsidRPr="008A084A" w:rsidRDefault="00003ABD" w:rsidP="00A97EBC">
      <w:pPr>
        <w:numPr>
          <w:ilvl w:val="0"/>
          <w:numId w:val="55"/>
        </w:numPr>
        <w:jc w:val="both"/>
        <w:rPr>
          <w:rFonts w:ascii="Cambria" w:hAnsi="Cambria"/>
          <w:sz w:val="20"/>
          <w:szCs w:val="20"/>
          <w:lang w:val="es-ES"/>
        </w:rPr>
      </w:pPr>
      <w:r w:rsidRPr="008A084A">
        <w:rPr>
          <w:rFonts w:ascii="Cambria" w:hAnsi="Cambria"/>
          <w:sz w:val="20"/>
          <w:szCs w:val="20"/>
          <w:lang w:val="es-ES"/>
        </w:rPr>
        <w:t>La señora Chimbó indicó que desde que interpuso su denuncia hasta mediados del año 2005, ella misma tuvo que pagar la movilización de los agentes de la Policía Judicial al hospital</w:t>
      </w:r>
      <w:r w:rsidRPr="008A084A">
        <w:rPr>
          <w:rStyle w:val="FootnoteReference"/>
          <w:rFonts w:ascii="Cambria" w:hAnsi="Cambria"/>
          <w:sz w:val="20"/>
          <w:szCs w:val="20"/>
        </w:rPr>
        <w:footnoteReference w:id="149"/>
      </w:r>
      <w:r w:rsidRPr="008A084A">
        <w:rPr>
          <w:rFonts w:ascii="Cambria" w:hAnsi="Cambria"/>
          <w:sz w:val="20"/>
          <w:szCs w:val="20"/>
          <w:lang w:val="es-ES"/>
        </w:rPr>
        <w:t xml:space="preserve">. Sostuvo que a pesar de sus solicitudes, no </w:t>
      </w:r>
      <w:r w:rsidR="00A97EBC" w:rsidRPr="008A084A">
        <w:rPr>
          <w:rFonts w:ascii="Cambria" w:hAnsi="Cambria"/>
          <w:sz w:val="20"/>
          <w:szCs w:val="20"/>
          <w:lang w:val="es-ES"/>
        </w:rPr>
        <w:t xml:space="preserve">se </w:t>
      </w:r>
      <w:r w:rsidRPr="008A084A">
        <w:rPr>
          <w:rFonts w:ascii="Cambria" w:hAnsi="Cambria"/>
          <w:sz w:val="20"/>
          <w:szCs w:val="20"/>
          <w:lang w:val="es-ES"/>
        </w:rPr>
        <w:t xml:space="preserve">realizaron mayores diligencias, incluyendo la falta de registro </w:t>
      </w:r>
      <w:r w:rsidR="00A97EBC" w:rsidRPr="008A084A">
        <w:rPr>
          <w:rFonts w:ascii="Cambria" w:hAnsi="Cambria"/>
          <w:sz w:val="20"/>
          <w:szCs w:val="20"/>
          <w:lang w:val="es-ES"/>
        </w:rPr>
        <w:t>de la información de</w:t>
      </w:r>
      <w:r w:rsidRPr="008A084A">
        <w:rPr>
          <w:rFonts w:ascii="Cambria" w:hAnsi="Cambria"/>
          <w:sz w:val="20"/>
          <w:szCs w:val="20"/>
          <w:lang w:val="es-ES"/>
        </w:rPr>
        <w:t xml:space="preserve"> una de las internas respecto del posible fallecimiento del señor Guachalá.</w:t>
      </w:r>
    </w:p>
    <w:p w:rsidR="00A97EBC" w:rsidRPr="008A084A" w:rsidRDefault="00A97EBC" w:rsidP="00A97EBC">
      <w:pPr>
        <w:ind w:left="720"/>
        <w:jc w:val="both"/>
        <w:rPr>
          <w:rFonts w:ascii="Cambria" w:hAnsi="Cambria"/>
          <w:sz w:val="20"/>
          <w:szCs w:val="20"/>
          <w:lang w:val="es-ES"/>
        </w:rPr>
      </w:pPr>
    </w:p>
    <w:p w:rsidR="0097114D" w:rsidRPr="008A084A" w:rsidRDefault="002D3818" w:rsidP="00A97EBC">
      <w:pPr>
        <w:numPr>
          <w:ilvl w:val="0"/>
          <w:numId w:val="55"/>
        </w:numPr>
        <w:jc w:val="both"/>
        <w:rPr>
          <w:rFonts w:ascii="Cambria" w:hAnsi="Cambria"/>
          <w:sz w:val="20"/>
          <w:szCs w:val="20"/>
          <w:lang w:val="es-ES"/>
        </w:rPr>
      </w:pPr>
      <w:r w:rsidRPr="008A084A">
        <w:rPr>
          <w:rFonts w:ascii="Cambria" w:hAnsi="Cambria"/>
          <w:sz w:val="20"/>
          <w:szCs w:val="20"/>
          <w:lang w:val="es-ES"/>
        </w:rPr>
        <w:t>E</w:t>
      </w:r>
      <w:r w:rsidR="00D7524E" w:rsidRPr="008A084A">
        <w:rPr>
          <w:rFonts w:ascii="Cambria" w:hAnsi="Cambria"/>
          <w:sz w:val="20"/>
          <w:szCs w:val="20"/>
          <w:lang w:val="es-ES"/>
        </w:rPr>
        <w:t xml:space="preserve">l 29 de agosto </w:t>
      </w:r>
      <w:r w:rsidR="002F3885" w:rsidRPr="008A084A">
        <w:rPr>
          <w:rFonts w:ascii="Cambria" w:hAnsi="Cambria"/>
          <w:sz w:val="20"/>
          <w:szCs w:val="20"/>
          <w:lang w:val="es-ES"/>
        </w:rPr>
        <w:t>de 2005 la Fiscalía de Pichicha solicitó al Juzgado Décimo Octavo de lo Penal de Pichincha la desestimación de la denuncia</w:t>
      </w:r>
      <w:r w:rsidR="00574B68" w:rsidRPr="008A084A">
        <w:rPr>
          <w:rFonts w:ascii="Cambria" w:hAnsi="Cambria"/>
          <w:sz w:val="20"/>
          <w:szCs w:val="20"/>
          <w:lang w:val="es-ES"/>
        </w:rPr>
        <w:t xml:space="preserve"> y el archivo de la misma </w:t>
      </w:r>
      <w:r w:rsidR="008343E5" w:rsidRPr="008A084A">
        <w:rPr>
          <w:rFonts w:ascii="Cambria" w:hAnsi="Cambria"/>
          <w:sz w:val="20"/>
          <w:szCs w:val="20"/>
          <w:lang w:val="es-ES"/>
        </w:rPr>
        <w:t xml:space="preserve">con </w:t>
      </w:r>
      <w:r w:rsidR="00574B68" w:rsidRPr="008A084A">
        <w:rPr>
          <w:rFonts w:ascii="Cambria" w:hAnsi="Cambria"/>
          <w:sz w:val="20"/>
          <w:szCs w:val="20"/>
          <w:lang w:val="es-ES"/>
        </w:rPr>
        <w:t xml:space="preserve">base </w:t>
      </w:r>
      <w:r w:rsidR="008343E5" w:rsidRPr="008A084A">
        <w:rPr>
          <w:rFonts w:ascii="Cambria" w:hAnsi="Cambria"/>
          <w:sz w:val="20"/>
          <w:szCs w:val="20"/>
          <w:lang w:val="es-ES"/>
        </w:rPr>
        <w:t>en e</w:t>
      </w:r>
      <w:r w:rsidR="00574B68" w:rsidRPr="008A084A">
        <w:rPr>
          <w:rFonts w:ascii="Cambria" w:hAnsi="Cambria"/>
          <w:sz w:val="20"/>
          <w:szCs w:val="20"/>
          <w:lang w:val="es-ES"/>
        </w:rPr>
        <w:t>l artículo 38 del Código de Procedimiento Penal</w:t>
      </w:r>
      <w:r w:rsidR="002F3885" w:rsidRPr="008A084A">
        <w:rPr>
          <w:rStyle w:val="FootnoteReference"/>
          <w:rFonts w:ascii="Cambria" w:hAnsi="Cambria"/>
          <w:sz w:val="20"/>
          <w:szCs w:val="20"/>
        </w:rPr>
        <w:footnoteReference w:id="150"/>
      </w:r>
      <w:r w:rsidR="002F3885" w:rsidRPr="008A084A">
        <w:rPr>
          <w:rFonts w:ascii="Cambria" w:hAnsi="Cambria"/>
          <w:sz w:val="20"/>
          <w:szCs w:val="20"/>
          <w:lang w:val="es-ES"/>
        </w:rPr>
        <w:t>.</w:t>
      </w:r>
      <w:r w:rsidR="00574B68" w:rsidRPr="008A084A">
        <w:rPr>
          <w:rFonts w:ascii="Cambria" w:hAnsi="Cambria"/>
          <w:sz w:val="20"/>
          <w:szCs w:val="20"/>
          <w:lang w:val="es-ES"/>
        </w:rPr>
        <w:t xml:space="preserve"> Ello debido a que a pesar “haberse efectuado todas las diligencias e investigaciones en torno al caso, se hizo imposible dar con el paradero del señor Guachalá”</w:t>
      </w:r>
      <w:r w:rsidR="00574B68" w:rsidRPr="008A084A">
        <w:rPr>
          <w:rStyle w:val="FootnoteReference"/>
          <w:rFonts w:ascii="Cambria" w:hAnsi="Cambria"/>
          <w:sz w:val="20"/>
          <w:szCs w:val="20"/>
        </w:rPr>
        <w:footnoteReference w:id="151"/>
      </w:r>
      <w:r w:rsidR="00574B68" w:rsidRPr="008A084A">
        <w:rPr>
          <w:rFonts w:ascii="Cambria" w:hAnsi="Cambria"/>
          <w:sz w:val="20"/>
          <w:szCs w:val="20"/>
          <w:lang w:val="es-ES"/>
        </w:rPr>
        <w:t>.</w:t>
      </w:r>
      <w:r w:rsidR="00A65C92" w:rsidRPr="008A084A">
        <w:rPr>
          <w:rFonts w:ascii="Cambria" w:hAnsi="Cambria"/>
          <w:sz w:val="20"/>
          <w:szCs w:val="20"/>
          <w:lang w:val="es-ES"/>
        </w:rPr>
        <w:t xml:space="preserve"> El Estado informó que la señora Chimbó solicitó que no se desestime la denuncia</w:t>
      </w:r>
      <w:r w:rsidR="00A65C92" w:rsidRPr="008A084A">
        <w:rPr>
          <w:rStyle w:val="FootnoteReference"/>
          <w:rFonts w:ascii="Cambria" w:hAnsi="Cambria"/>
          <w:sz w:val="20"/>
          <w:szCs w:val="20"/>
        </w:rPr>
        <w:footnoteReference w:id="152"/>
      </w:r>
      <w:r w:rsidR="00A65C92" w:rsidRPr="008A084A">
        <w:rPr>
          <w:rFonts w:ascii="Cambria" w:hAnsi="Cambria"/>
          <w:sz w:val="20"/>
          <w:szCs w:val="20"/>
          <w:lang w:val="es-ES"/>
        </w:rPr>
        <w:t xml:space="preserve">. </w:t>
      </w:r>
    </w:p>
    <w:p w:rsidR="0097114D" w:rsidRPr="008A084A" w:rsidRDefault="0097114D" w:rsidP="0097114D">
      <w:pPr>
        <w:pStyle w:val="ColorfulList-Accent11"/>
        <w:rPr>
          <w:rFonts w:ascii="Cambria" w:hAnsi="Cambria"/>
          <w:sz w:val="20"/>
          <w:szCs w:val="20"/>
          <w:lang w:val="es-ES"/>
        </w:rPr>
      </w:pPr>
    </w:p>
    <w:p w:rsidR="0097114D" w:rsidRPr="008A084A" w:rsidRDefault="00C91893" w:rsidP="00C66D21">
      <w:pPr>
        <w:numPr>
          <w:ilvl w:val="0"/>
          <w:numId w:val="55"/>
        </w:numPr>
        <w:jc w:val="both"/>
        <w:rPr>
          <w:rFonts w:ascii="Cambria" w:hAnsi="Cambria"/>
          <w:sz w:val="20"/>
          <w:szCs w:val="20"/>
          <w:lang w:val="es-ES"/>
        </w:rPr>
      </w:pPr>
      <w:r w:rsidRPr="008A084A">
        <w:rPr>
          <w:rFonts w:ascii="Cambria" w:hAnsi="Cambria"/>
          <w:sz w:val="20"/>
          <w:szCs w:val="20"/>
          <w:lang w:val="es-ES"/>
        </w:rPr>
        <w:t>E</w:t>
      </w:r>
      <w:r w:rsidR="00A65C92" w:rsidRPr="008A084A">
        <w:rPr>
          <w:rFonts w:ascii="Cambria" w:hAnsi="Cambria"/>
          <w:sz w:val="20"/>
          <w:szCs w:val="20"/>
          <w:lang w:val="es-ES"/>
        </w:rPr>
        <w:t>l 27 de septiembre de 2005 la jueza a cargo ordenó remitir el expediente al Ministro Fiscal Superior, en consulta, a fin de que revoque o ratifique la desestimación solicitada</w:t>
      </w:r>
      <w:r w:rsidRPr="008A084A">
        <w:rPr>
          <w:rStyle w:val="FootnoteReference"/>
          <w:rFonts w:ascii="Cambria" w:hAnsi="Cambria"/>
          <w:sz w:val="20"/>
          <w:szCs w:val="20"/>
          <w:lang w:val="es-ES"/>
        </w:rPr>
        <w:footnoteReference w:id="153"/>
      </w:r>
      <w:r w:rsidR="00A65C92" w:rsidRPr="008A084A">
        <w:rPr>
          <w:rFonts w:ascii="Cambria" w:hAnsi="Cambria"/>
          <w:sz w:val="20"/>
          <w:szCs w:val="20"/>
          <w:lang w:val="es-ES"/>
        </w:rPr>
        <w:t>.</w:t>
      </w:r>
      <w:r w:rsidR="0097114D" w:rsidRPr="008A084A">
        <w:rPr>
          <w:rFonts w:ascii="Cambria" w:hAnsi="Cambria"/>
          <w:sz w:val="20"/>
          <w:szCs w:val="20"/>
          <w:lang w:val="es-ES"/>
        </w:rPr>
        <w:t xml:space="preserve"> E</w:t>
      </w:r>
      <w:r w:rsidR="00337F4A" w:rsidRPr="008A084A">
        <w:rPr>
          <w:rFonts w:ascii="Cambria" w:hAnsi="Cambria"/>
          <w:sz w:val="20"/>
          <w:szCs w:val="20"/>
          <w:lang w:val="es-ES"/>
        </w:rPr>
        <w:t>l 13 de julio de 2006 el Ministro Fiscal Provincial de Pichincha ratificó el requerimiento de archivo de la investigación</w:t>
      </w:r>
      <w:r w:rsidR="0097114D" w:rsidRPr="008A084A">
        <w:rPr>
          <w:rStyle w:val="FootnoteReference"/>
          <w:rFonts w:ascii="Cambria" w:hAnsi="Cambria"/>
          <w:sz w:val="20"/>
          <w:szCs w:val="20"/>
          <w:lang w:val="es-ES"/>
        </w:rPr>
        <w:footnoteReference w:id="154"/>
      </w:r>
      <w:r w:rsidR="00337F4A" w:rsidRPr="008A084A">
        <w:rPr>
          <w:rFonts w:ascii="Cambria" w:hAnsi="Cambria"/>
          <w:sz w:val="20"/>
          <w:szCs w:val="20"/>
          <w:lang w:val="es-ES"/>
        </w:rPr>
        <w:t xml:space="preserve">. </w:t>
      </w:r>
      <w:r w:rsidR="0097114D" w:rsidRPr="008A084A">
        <w:rPr>
          <w:rFonts w:ascii="Cambria" w:hAnsi="Cambria"/>
          <w:sz w:val="20"/>
          <w:szCs w:val="20"/>
          <w:lang w:val="es-ES"/>
        </w:rPr>
        <w:t>En su resolución señaló lo siguiente:</w:t>
      </w:r>
    </w:p>
    <w:p w:rsidR="0097114D" w:rsidRPr="008A084A" w:rsidRDefault="0097114D" w:rsidP="0097114D">
      <w:pPr>
        <w:jc w:val="both"/>
        <w:rPr>
          <w:rFonts w:ascii="Cambria" w:hAnsi="Cambria"/>
          <w:sz w:val="20"/>
          <w:szCs w:val="20"/>
          <w:lang w:val="es-ES"/>
        </w:rPr>
      </w:pPr>
    </w:p>
    <w:p w:rsidR="0097114D" w:rsidRPr="008A084A" w:rsidRDefault="0097114D" w:rsidP="0097114D">
      <w:pPr>
        <w:ind w:left="720" w:right="720"/>
        <w:jc w:val="both"/>
        <w:rPr>
          <w:rFonts w:ascii="Cambria" w:hAnsi="Cambria"/>
          <w:sz w:val="20"/>
          <w:szCs w:val="20"/>
          <w:lang w:val="es-ES"/>
        </w:rPr>
      </w:pPr>
      <w:r w:rsidRPr="008A084A">
        <w:rPr>
          <w:rFonts w:ascii="Cambria" w:hAnsi="Cambria"/>
          <w:sz w:val="20"/>
          <w:szCs w:val="20"/>
          <w:lang w:val="es-ES"/>
        </w:rPr>
        <w:t>(…) esta Fiscalía considera que no se ha determinado la existencia de delito alguno, por cuya razón el suscrito Ministro Fiscal Distrital de Pichincha, ratifica el requerimiento de archivo subido en grado</w:t>
      </w:r>
      <w:r w:rsidRPr="008A084A">
        <w:rPr>
          <w:rStyle w:val="FootnoteReference"/>
          <w:rFonts w:ascii="Cambria" w:hAnsi="Cambria"/>
          <w:sz w:val="20"/>
          <w:szCs w:val="20"/>
          <w:lang w:val="es-ES"/>
        </w:rPr>
        <w:footnoteReference w:id="155"/>
      </w:r>
      <w:r w:rsidRPr="008A084A">
        <w:rPr>
          <w:rFonts w:ascii="Cambria" w:hAnsi="Cambria"/>
          <w:sz w:val="20"/>
          <w:szCs w:val="20"/>
          <w:lang w:val="es-ES"/>
        </w:rPr>
        <w:t>.</w:t>
      </w:r>
    </w:p>
    <w:p w:rsidR="00337F4A" w:rsidRPr="008A084A" w:rsidRDefault="00C66D21" w:rsidP="00A97EBC">
      <w:pPr>
        <w:numPr>
          <w:ilvl w:val="0"/>
          <w:numId w:val="55"/>
        </w:numPr>
        <w:jc w:val="both"/>
        <w:rPr>
          <w:rFonts w:ascii="Cambria" w:hAnsi="Cambria"/>
          <w:sz w:val="20"/>
          <w:szCs w:val="20"/>
          <w:lang w:val="es-ES"/>
        </w:rPr>
      </w:pPr>
      <w:r w:rsidRPr="008A084A">
        <w:rPr>
          <w:rFonts w:ascii="Cambria" w:hAnsi="Cambria"/>
          <w:sz w:val="20"/>
          <w:szCs w:val="20"/>
          <w:lang w:val="es-ES"/>
        </w:rPr>
        <w:t>El 19 de julio de 2006 la Jueza del Décimo Octavo de lo Penal de Pichincha</w:t>
      </w:r>
      <w:r w:rsidR="00337F4A" w:rsidRPr="008A084A">
        <w:rPr>
          <w:rFonts w:ascii="Cambria" w:hAnsi="Cambria"/>
          <w:sz w:val="20"/>
          <w:szCs w:val="20"/>
          <w:lang w:val="es-ES"/>
        </w:rPr>
        <w:t xml:space="preserve"> ordenó el archivo de la causa</w:t>
      </w:r>
      <w:r w:rsidR="00337F4A" w:rsidRPr="008A084A">
        <w:rPr>
          <w:rStyle w:val="FootnoteReference"/>
          <w:rFonts w:ascii="Cambria" w:hAnsi="Cambria"/>
          <w:sz w:val="20"/>
          <w:szCs w:val="20"/>
        </w:rPr>
        <w:footnoteReference w:id="156"/>
      </w:r>
      <w:r w:rsidR="00337F4A" w:rsidRPr="008A084A">
        <w:rPr>
          <w:rFonts w:ascii="Cambria" w:hAnsi="Cambria"/>
          <w:sz w:val="20"/>
          <w:szCs w:val="20"/>
          <w:lang w:val="es-ES"/>
        </w:rPr>
        <w:t>.</w:t>
      </w:r>
    </w:p>
    <w:p w:rsidR="007B7478" w:rsidRPr="008A084A" w:rsidRDefault="007B7478" w:rsidP="0097114D">
      <w:pPr>
        <w:pStyle w:val="ColorfulList-Accent11"/>
        <w:ind w:left="0"/>
        <w:rPr>
          <w:rFonts w:ascii="Cambria" w:hAnsi="Cambria"/>
          <w:sz w:val="20"/>
          <w:szCs w:val="20"/>
          <w:lang w:val="es-ES"/>
        </w:rPr>
      </w:pPr>
    </w:p>
    <w:p w:rsidR="007B7478" w:rsidRPr="008A084A" w:rsidRDefault="00793E90" w:rsidP="00FC72CE">
      <w:pPr>
        <w:ind w:firstLine="720"/>
        <w:jc w:val="both"/>
        <w:rPr>
          <w:rFonts w:ascii="Cambria" w:hAnsi="Cambria"/>
          <w:b/>
          <w:sz w:val="20"/>
          <w:szCs w:val="20"/>
          <w:lang w:val="es-ES"/>
        </w:rPr>
      </w:pPr>
      <w:r w:rsidRPr="008A084A">
        <w:rPr>
          <w:rFonts w:ascii="Cambria" w:hAnsi="Cambria"/>
          <w:b/>
          <w:sz w:val="20"/>
          <w:szCs w:val="20"/>
          <w:lang w:val="es-ES"/>
        </w:rPr>
        <w:t xml:space="preserve">2. </w:t>
      </w:r>
      <w:r w:rsidR="00FC72CE" w:rsidRPr="008A084A">
        <w:rPr>
          <w:rFonts w:ascii="Cambria" w:hAnsi="Cambria"/>
          <w:b/>
          <w:sz w:val="20"/>
          <w:szCs w:val="20"/>
          <w:lang w:val="es-ES"/>
        </w:rPr>
        <w:tab/>
      </w:r>
      <w:r w:rsidR="002506D8" w:rsidRPr="008A084A">
        <w:rPr>
          <w:rFonts w:ascii="Cambria" w:hAnsi="Cambria"/>
          <w:b/>
          <w:sz w:val="20"/>
          <w:szCs w:val="20"/>
          <w:lang w:val="es-ES"/>
        </w:rPr>
        <w:t>Expediente administrativo</w:t>
      </w:r>
    </w:p>
    <w:p w:rsidR="00ED7E7D" w:rsidRPr="008A084A" w:rsidRDefault="00ED7E7D" w:rsidP="00ED7E7D">
      <w:pPr>
        <w:pStyle w:val="ColorfulList-Accent11"/>
        <w:rPr>
          <w:rFonts w:ascii="Cambria" w:hAnsi="Cambria"/>
          <w:sz w:val="20"/>
          <w:szCs w:val="20"/>
          <w:lang w:val="es-ES"/>
        </w:rPr>
      </w:pPr>
    </w:p>
    <w:p w:rsidR="002506D8" w:rsidRPr="008A084A" w:rsidRDefault="002506D8" w:rsidP="00B27E01">
      <w:pPr>
        <w:numPr>
          <w:ilvl w:val="0"/>
          <w:numId w:val="55"/>
        </w:numPr>
        <w:jc w:val="both"/>
        <w:rPr>
          <w:rFonts w:ascii="Cambria" w:hAnsi="Cambria"/>
          <w:sz w:val="20"/>
          <w:szCs w:val="20"/>
          <w:lang w:val="es-ES"/>
        </w:rPr>
      </w:pPr>
      <w:r w:rsidRPr="008A084A">
        <w:rPr>
          <w:rFonts w:ascii="Cambria" w:hAnsi="Cambria"/>
          <w:sz w:val="20"/>
          <w:szCs w:val="20"/>
          <w:lang w:val="es-ES"/>
        </w:rPr>
        <w:t xml:space="preserve">El 23 de mayo de 2013 un oficial investigador de la Policía Judicial presentó al Fiscal Provincial un informe donde se indicaba que se realizó una reunión de trabajo a efectos de complementar </w:t>
      </w:r>
      <w:r w:rsidRPr="008A084A">
        <w:rPr>
          <w:rFonts w:ascii="Cambria" w:hAnsi="Cambria"/>
          <w:sz w:val="20"/>
          <w:szCs w:val="20"/>
          <w:lang w:val="es-ES"/>
        </w:rPr>
        <w:lastRenderedPageBreak/>
        <w:t>actividades de investigación en el presente caso</w:t>
      </w:r>
      <w:r w:rsidR="007F753C" w:rsidRPr="008A084A">
        <w:rPr>
          <w:rStyle w:val="FootnoteReference"/>
          <w:rFonts w:ascii="Cambria" w:hAnsi="Cambria"/>
          <w:sz w:val="20"/>
          <w:szCs w:val="20"/>
          <w:lang w:val="es-ES"/>
        </w:rPr>
        <w:footnoteReference w:id="157"/>
      </w:r>
      <w:r w:rsidRPr="008A084A">
        <w:rPr>
          <w:rFonts w:ascii="Cambria" w:hAnsi="Cambria"/>
          <w:sz w:val="20"/>
          <w:szCs w:val="20"/>
          <w:lang w:val="es-ES"/>
        </w:rPr>
        <w:t>. El fiscal remitió dicho informe a la Unidad de Atención Integral al Público a fin de que se direccione a la Unidad de Actuaciones Administrativas</w:t>
      </w:r>
      <w:r w:rsidR="007F753C" w:rsidRPr="008A084A">
        <w:rPr>
          <w:rStyle w:val="FootnoteReference"/>
          <w:rFonts w:ascii="Cambria" w:hAnsi="Cambria"/>
          <w:sz w:val="20"/>
          <w:szCs w:val="20"/>
          <w:lang w:val="es-ES"/>
        </w:rPr>
        <w:footnoteReference w:id="158"/>
      </w:r>
      <w:r w:rsidRPr="008A084A">
        <w:rPr>
          <w:rFonts w:ascii="Cambria" w:hAnsi="Cambria"/>
          <w:sz w:val="20"/>
          <w:szCs w:val="20"/>
          <w:lang w:val="es-ES"/>
        </w:rPr>
        <w:t>.</w:t>
      </w:r>
    </w:p>
    <w:p w:rsidR="002506D8" w:rsidRPr="008A084A" w:rsidRDefault="002506D8" w:rsidP="002506D8">
      <w:pPr>
        <w:ind w:left="720"/>
        <w:jc w:val="both"/>
        <w:rPr>
          <w:rFonts w:ascii="Cambria" w:hAnsi="Cambria"/>
          <w:sz w:val="20"/>
          <w:szCs w:val="20"/>
          <w:lang w:val="es-ES"/>
        </w:rPr>
      </w:pPr>
    </w:p>
    <w:p w:rsidR="00ED7E7D" w:rsidRPr="008A084A" w:rsidRDefault="00ED7E7D" w:rsidP="00B27E01">
      <w:pPr>
        <w:numPr>
          <w:ilvl w:val="0"/>
          <w:numId w:val="55"/>
        </w:numPr>
        <w:jc w:val="both"/>
        <w:rPr>
          <w:rFonts w:ascii="Cambria" w:hAnsi="Cambria"/>
          <w:sz w:val="20"/>
          <w:szCs w:val="20"/>
          <w:lang w:val="es-ES"/>
        </w:rPr>
      </w:pPr>
      <w:r w:rsidRPr="008A084A">
        <w:rPr>
          <w:rFonts w:ascii="Cambria" w:hAnsi="Cambria"/>
          <w:sz w:val="20"/>
          <w:szCs w:val="20"/>
          <w:lang w:val="es-ES"/>
        </w:rPr>
        <w:t>De acuerdo a un oficio del Fiscal 4 de la Unidad de Actuaciones Administrativas de Pichincha</w:t>
      </w:r>
      <w:r w:rsidR="00003382" w:rsidRPr="008A084A">
        <w:rPr>
          <w:rFonts w:ascii="Cambria" w:hAnsi="Cambria"/>
          <w:sz w:val="20"/>
          <w:szCs w:val="20"/>
          <w:lang w:val="es-ES"/>
        </w:rPr>
        <w:t xml:space="preserve"> de 4 de noviembre de 2013</w:t>
      </w:r>
      <w:r w:rsidRPr="008A084A">
        <w:rPr>
          <w:rFonts w:ascii="Cambria" w:hAnsi="Cambria"/>
          <w:sz w:val="20"/>
          <w:szCs w:val="20"/>
          <w:lang w:val="es-ES"/>
        </w:rPr>
        <w:t>, el 19 de agosto de 2013 se avocó a conocimiento del expediente sobre la desaparición del señor Guachalá</w:t>
      </w:r>
      <w:r w:rsidRPr="008A084A">
        <w:rPr>
          <w:rStyle w:val="FootnoteReference"/>
          <w:rFonts w:ascii="Cambria" w:hAnsi="Cambria"/>
          <w:sz w:val="20"/>
          <w:szCs w:val="20"/>
          <w:lang w:val="es-ES"/>
        </w:rPr>
        <w:footnoteReference w:id="159"/>
      </w:r>
      <w:r w:rsidRPr="008A084A">
        <w:rPr>
          <w:rFonts w:ascii="Cambria" w:hAnsi="Cambria"/>
          <w:sz w:val="20"/>
          <w:szCs w:val="20"/>
          <w:lang w:val="es-ES"/>
        </w:rPr>
        <w:t>.</w:t>
      </w:r>
      <w:r w:rsidR="00EF553F" w:rsidRPr="008A084A">
        <w:rPr>
          <w:rFonts w:ascii="Cambria" w:hAnsi="Cambria"/>
          <w:sz w:val="20"/>
          <w:szCs w:val="20"/>
          <w:lang w:val="es-ES"/>
        </w:rPr>
        <w:t xml:space="preserve"> El Fiscal indicó que solicitó a la Policía Nacional “realizar las investigaciones correspondientes” y enviar un informe sobre las diligencias realizadas en el plazo de 30 días</w:t>
      </w:r>
      <w:r w:rsidR="00EF553F" w:rsidRPr="008A084A">
        <w:rPr>
          <w:rStyle w:val="FootnoteReference"/>
          <w:rFonts w:ascii="Cambria" w:hAnsi="Cambria"/>
          <w:sz w:val="20"/>
          <w:szCs w:val="20"/>
          <w:lang w:val="es-ES"/>
        </w:rPr>
        <w:footnoteReference w:id="160"/>
      </w:r>
      <w:r w:rsidR="00EF553F" w:rsidRPr="008A084A">
        <w:rPr>
          <w:rFonts w:ascii="Cambria" w:hAnsi="Cambria"/>
          <w:sz w:val="20"/>
          <w:szCs w:val="20"/>
          <w:lang w:val="es-ES"/>
        </w:rPr>
        <w:t>. Asimismo, ordenó</w:t>
      </w:r>
      <w:r w:rsidR="00F14952" w:rsidRPr="008A084A">
        <w:rPr>
          <w:rFonts w:ascii="Cambria" w:hAnsi="Cambria"/>
          <w:sz w:val="20"/>
          <w:szCs w:val="20"/>
          <w:lang w:val="es-ES"/>
        </w:rPr>
        <w:t xml:space="preserve"> enviar oficios a </w:t>
      </w:r>
      <w:r w:rsidR="00943DC0" w:rsidRPr="008A084A">
        <w:rPr>
          <w:rFonts w:ascii="Cambria" w:hAnsi="Cambria"/>
          <w:sz w:val="20"/>
          <w:szCs w:val="20"/>
          <w:lang w:val="es-ES"/>
        </w:rPr>
        <w:t>diversas</w:t>
      </w:r>
      <w:r w:rsidR="00F14952" w:rsidRPr="008A084A">
        <w:rPr>
          <w:rFonts w:ascii="Cambria" w:hAnsi="Cambria"/>
          <w:sz w:val="20"/>
          <w:szCs w:val="20"/>
          <w:lang w:val="es-ES"/>
        </w:rPr>
        <w:t xml:space="preserve"> instituciones</w:t>
      </w:r>
      <w:r w:rsidR="00943DC0" w:rsidRPr="008A084A">
        <w:rPr>
          <w:rFonts w:ascii="Cambria" w:hAnsi="Cambria"/>
          <w:sz w:val="20"/>
          <w:szCs w:val="20"/>
          <w:lang w:val="es-ES"/>
        </w:rPr>
        <w:t>, entre las cuales se destacan</w:t>
      </w:r>
      <w:r w:rsidR="00F14952" w:rsidRPr="008A084A">
        <w:rPr>
          <w:rFonts w:ascii="Cambria" w:hAnsi="Cambria"/>
          <w:sz w:val="20"/>
          <w:szCs w:val="20"/>
          <w:lang w:val="es-ES"/>
        </w:rPr>
        <w:t xml:space="preserve">: i) </w:t>
      </w:r>
      <w:r w:rsidR="00943DC0" w:rsidRPr="008A084A">
        <w:rPr>
          <w:rFonts w:ascii="Cambria" w:hAnsi="Cambria"/>
          <w:sz w:val="20"/>
          <w:szCs w:val="20"/>
          <w:lang w:val="es-ES"/>
        </w:rPr>
        <w:t xml:space="preserve">la </w:t>
      </w:r>
      <w:r w:rsidR="00F14952" w:rsidRPr="008A084A">
        <w:rPr>
          <w:rFonts w:ascii="Cambria" w:hAnsi="Cambria"/>
          <w:sz w:val="20"/>
          <w:szCs w:val="20"/>
          <w:lang w:val="es-ES"/>
        </w:rPr>
        <w:t xml:space="preserve">OCNI-INTERPOL a fin de que emitan la “difusión amarilla de persona desaparecida” del señor Guachalá”; ii) </w:t>
      </w:r>
      <w:r w:rsidR="00943DC0" w:rsidRPr="008A084A">
        <w:rPr>
          <w:rFonts w:ascii="Cambria" w:hAnsi="Cambria"/>
          <w:sz w:val="20"/>
          <w:szCs w:val="20"/>
          <w:lang w:val="es-ES"/>
        </w:rPr>
        <w:t xml:space="preserve">la </w:t>
      </w:r>
      <w:r w:rsidR="00F14952" w:rsidRPr="008A084A">
        <w:rPr>
          <w:rFonts w:ascii="Cambria" w:hAnsi="Cambria"/>
          <w:sz w:val="20"/>
          <w:szCs w:val="20"/>
          <w:lang w:val="es-ES"/>
        </w:rPr>
        <w:t>Dirección Nacional de la Policía Judicial e Investigaciones a fin de que certificar si en algún lugar del país se encuentran cadáveres no identificados con características del señor Guachalá; iii)</w:t>
      </w:r>
      <w:r w:rsidR="00943DC0" w:rsidRPr="008A084A">
        <w:rPr>
          <w:rFonts w:ascii="Cambria" w:hAnsi="Cambria"/>
          <w:sz w:val="20"/>
          <w:szCs w:val="20"/>
          <w:lang w:val="es-ES"/>
        </w:rPr>
        <w:t xml:space="preserve"> el</w:t>
      </w:r>
      <w:r w:rsidR="00F14952" w:rsidRPr="008A084A">
        <w:rPr>
          <w:rFonts w:ascii="Cambria" w:hAnsi="Cambria"/>
          <w:sz w:val="20"/>
          <w:szCs w:val="20"/>
          <w:lang w:val="es-ES"/>
        </w:rPr>
        <w:t xml:space="preserve"> Ministerio de Salud Pública a fin de informar si en algún hospital psiquiátrico o albergue ha sido atendido o internado el señor Guachalá con posterioridad a enero de 2004</w:t>
      </w:r>
      <w:r w:rsidR="00943DC0" w:rsidRPr="008A084A">
        <w:rPr>
          <w:rStyle w:val="FootnoteReference"/>
          <w:rFonts w:ascii="Cambria" w:hAnsi="Cambria"/>
          <w:sz w:val="20"/>
          <w:szCs w:val="20"/>
          <w:lang w:val="es-ES"/>
        </w:rPr>
        <w:footnoteReference w:id="161"/>
      </w:r>
      <w:r w:rsidR="00F14952" w:rsidRPr="008A084A">
        <w:rPr>
          <w:rFonts w:ascii="Cambria" w:hAnsi="Cambria"/>
          <w:sz w:val="20"/>
          <w:szCs w:val="20"/>
          <w:lang w:val="es-ES"/>
        </w:rPr>
        <w:t>.</w:t>
      </w:r>
      <w:r w:rsidR="00003382" w:rsidRPr="008A084A">
        <w:rPr>
          <w:rFonts w:ascii="Cambria" w:hAnsi="Cambria"/>
          <w:sz w:val="20"/>
          <w:szCs w:val="20"/>
          <w:lang w:val="es-ES"/>
        </w:rPr>
        <w:t xml:space="preserve"> En dicho oficio el Fiscal sostuvo que está a la espera de la documentación requerida. </w:t>
      </w:r>
    </w:p>
    <w:p w:rsidR="005D289A" w:rsidRPr="008A084A" w:rsidRDefault="005D289A" w:rsidP="00003382">
      <w:pPr>
        <w:pStyle w:val="ColorfulList-Accent11"/>
        <w:ind w:left="0"/>
        <w:rPr>
          <w:rFonts w:ascii="Cambria" w:hAnsi="Cambria"/>
          <w:sz w:val="20"/>
          <w:szCs w:val="20"/>
          <w:lang w:val="es-ES"/>
        </w:rPr>
      </w:pPr>
    </w:p>
    <w:p w:rsidR="00943DC0" w:rsidRPr="008A084A" w:rsidRDefault="00943DC0" w:rsidP="00A97EBC">
      <w:pPr>
        <w:numPr>
          <w:ilvl w:val="0"/>
          <w:numId w:val="55"/>
        </w:numPr>
        <w:jc w:val="both"/>
        <w:rPr>
          <w:rFonts w:ascii="Cambria" w:hAnsi="Cambria"/>
          <w:sz w:val="20"/>
          <w:szCs w:val="20"/>
          <w:lang w:val="es-ES"/>
        </w:rPr>
      </w:pPr>
      <w:r w:rsidRPr="008A084A">
        <w:rPr>
          <w:rFonts w:ascii="Cambria" w:hAnsi="Cambria"/>
          <w:sz w:val="20"/>
          <w:szCs w:val="20"/>
          <w:lang w:val="es-ES"/>
        </w:rPr>
        <w:t xml:space="preserve">El </w:t>
      </w:r>
      <w:r w:rsidR="000836B5" w:rsidRPr="008A084A">
        <w:rPr>
          <w:rFonts w:ascii="Cambria" w:hAnsi="Cambria"/>
          <w:sz w:val="20"/>
          <w:szCs w:val="20"/>
          <w:lang w:val="es-ES"/>
        </w:rPr>
        <w:t>30 de octubre de 2013 el Fiscal envió una comunicación al Jefe de la Policía Judicial de Pichincha indicando que</w:t>
      </w:r>
      <w:r w:rsidR="005D289A" w:rsidRPr="008A084A">
        <w:rPr>
          <w:rFonts w:ascii="Cambria" w:hAnsi="Cambria"/>
          <w:sz w:val="20"/>
          <w:szCs w:val="20"/>
          <w:lang w:val="es-ES"/>
        </w:rPr>
        <w:t xml:space="preserve"> tomó conocimiento</w:t>
      </w:r>
      <w:r w:rsidR="002570D9" w:rsidRPr="008A084A">
        <w:rPr>
          <w:rFonts w:ascii="Cambria" w:hAnsi="Cambria"/>
          <w:sz w:val="20"/>
          <w:szCs w:val="20"/>
          <w:lang w:val="es-ES"/>
        </w:rPr>
        <w:t xml:space="preserve"> de</w:t>
      </w:r>
      <w:r w:rsidR="005D289A" w:rsidRPr="008A084A">
        <w:rPr>
          <w:rFonts w:ascii="Cambria" w:hAnsi="Cambria"/>
          <w:sz w:val="20"/>
          <w:szCs w:val="20"/>
          <w:lang w:val="es-ES"/>
        </w:rPr>
        <w:t xml:space="preserve"> que el investigador a cargo de este caso fue trasladado de unidad</w:t>
      </w:r>
      <w:r w:rsidR="004E5F84" w:rsidRPr="008A084A">
        <w:rPr>
          <w:rFonts w:ascii="Cambria" w:hAnsi="Cambria"/>
          <w:sz w:val="20"/>
          <w:szCs w:val="20"/>
          <w:lang w:val="es-ES"/>
        </w:rPr>
        <w:t xml:space="preserve">, por lo que </w:t>
      </w:r>
      <w:r w:rsidR="005D289A" w:rsidRPr="008A084A">
        <w:rPr>
          <w:rFonts w:ascii="Cambria" w:hAnsi="Cambria"/>
          <w:sz w:val="20"/>
          <w:szCs w:val="20"/>
          <w:lang w:val="es-ES"/>
        </w:rPr>
        <w:t>resultaba necesario designar a otro policía para continuar con la investigación</w:t>
      </w:r>
      <w:r w:rsidR="005D289A" w:rsidRPr="008A084A">
        <w:rPr>
          <w:rStyle w:val="FootnoteReference"/>
          <w:rFonts w:ascii="Cambria" w:hAnsi="Cambria"/>
          <w:sz w:val="20"/>
          <w:szCs w:val="20"/>
          <w:lang w:val="es-ES"/>
        </w:rPr>
        <w:footnoteReference w:id="162"/>
      </w:r>
      <w:r w:rsidR="005D289A" w:rsidRPr="008A084A">
        <w:rPr>
          <w:rFonts w:ascii="Cambria" w:hAnsi="Cambria"/>
          <w:sz w:val="20"/>
          <w:szCs w:val="20"/>
          <w:lang w:val="es-ES"/>
        </w:rPr>
        <w:t>.</w:t>
      </w:r>
    </w:p>
    <w:p w:rsidR="00B27E01" w:rsidRPr="008A084A" w:rsidRDefault="00B27E01" w:rsidP="00B27E01">
      <w:pPr>
        <w:pStyle w:val="ColorfulList-Accent11"/>
        <w:rPr>
          <w:rFonts w:ascii="Cambria" w:hAnsi="Cambria"/>
          <w:sz w:val="20"/>
          <w:szCs w:val="20"/>
          <w:lang w:val="es-ES"/>
        </w:rPr>
      </w:pPr>
    </w:p>
    <w:p w:rsidR="007F753C" w:rsidRPr="008A084A" w:rsidRDefault="002B38EE" w:rsidP="00A97EBC">
      <w:pPr>
        <w:numPr>
          <w:ilvl w:val="0"/>
          <w:numId w:val="55"/>
        </w:numPr>
        <w:jc w:val="both"/>
        <w:rPr>
          <w:rFonts w:ascii="Cambria" w:hAnsi="Cambria"/>
          <w:sz w:val="20"/>
          <w:szCs w:val="20"/>
          <w:lang w:val="es-ES"/>
        </w:rPr>
      </w:pPr>
      <w:r w:rsidRPr="008A084A">
        <w:rPr>
          <w:rFonts w:ascii="Cambria" w:hAnsi="Cambria"/>
          <w:sz w:val="20"/>
          <w:szCs w:val="20"/>
          <w:lang w:val="es-ES"/>
        </w:rPr>
        <w:t>En enero de 201</w:t>
      </w:r>
      <w:r w:rsidR="007F753C" w:rsidRPr="008A084A">
        <w:rPr>
          <w:rFonts w:ascii="Cambria" w:hAnsi="Cambria"/>
          <w:sz w:val="20"/>
          <w:szCs w:val="20"/>
          <w:lang w:val="es-ES"/>
        </w:rPr>
        <w:t>4 el Fiscal solicitó</w:t>
      </w:r>
      <w:r w:rsidR="00143EB5" w:rsidRPr="008A084A">
        <w:rPr>
          <w:rFonts w:ascii="Cambria" w:hAnsi="Cambria"/>
          <w:sz w:val="20"/>
          <w:szCs w:val="20"/>
          <w:lang w:val="es-ES"/>
        </w:rPr>
        <w:t xml:space="preserve"> la realización de </w:t>
      </w:r>
      <w:r w:rsidR="007F753C" w:rsidRPr="008A084A">
        <w:rPr>
          <w:rFonts w:ascii="Cambria" w:hAnsi="Cambria"/>
          <w:sz w:val="20"/>
          <w:szCs w:val="20"/>
          <w:lang w:val="es-ES"/>
        </w:rPr>
        <w:t xml:space="preserve">diversas diligencias, tales como i) la toma de declaraciones de personal del hospital; ii) la comparecencia de la señora Chimbó; </w:t>
      </w:r>
      <w:r w:rsidR="001D0FC6" w:rsidRPr="008A084A">
        <w:rPr>
          <w:rFonts w:ascii="Cambria" w:hAnsi="Cambria"/>
          <w:sz w:val="20"/>
          <w:szCs w:val="20"/>
          <w:lang w:val="es-ES"/>
        </w:rPr>
        <w:t xml:space="preserve">y </w:t>
      </w:r>
      <w:r w:rsidR="007F753C" w:rsidRPr="008A084A">
        <w:rPr>
          <w:rFonts w:ascii="Cambria" w:hAnsi="Cambria"/>
          <w:sz w:val="20"/>
          <w:szCs w:val="20"/>
          <w:lang w:val="es-ES"/>
        </w:rPr>
        <w:t>iii) el cotejo de ADN de la señora Chimbó con la de cadáveres no identificados en Pichincha</w:t>
      </w:r>
      <w:r w:rsidR="007F753C" w:rsidRPr="008A084A">
        <w:rPr>
          <w:rStyle w:val="FootnoteReference"/>
          <w:rFonts w:ascii="Cambria" w:hAnsi="Cambria"/>
          <w:sz w:val="20"/>
          <w:szCs w:val="20"/>
          <w:lang w:val="es-ES"/>
        </w:rPr>
        <w:footnoteReference w:id="163"/>
      </w:r>
      <w:r w:rsidR="007F753C" w:rsidRPr="008A084A">
        <w:rPr>
          <w:rFonts w:ascii="Cambria" w:hAnsi="Cambria"/>
          <w:sz w:val="20"/>
          <w:szCs w:val="20"/>
          <w:lang w:val="es-ES"/>
        </w:rPr>
        <w:t>.</w:t>
      </w:r>
    </w:p>
    <w:p w:rsidR="001D0FC6" w:rsidRPr="008A084A" w:rsidRDefault="001D0FC6" w:rsidP="001D0FC6">
      <w:pPr>
        <w:pStyle w:val="ColorfulList-Accent11"/>
        <w:rPr>
          <w:rFonts w:ascii="Cambria" w:hAnsi="Cambria"/>
          <w:sz w:val="20"/>
          <w:szCs w:val="20"/>
          <w:lang w:val="es-ES"/>
        </w:rPr>
      </w:pPr>
    </w:p>
    <w:p w:rsidR="001D0FC6" w:rsidRPr="008A084A" w:rsidRDefault="002B38EE" w:rsidP="001D0FC6">
      <w:pPr>
        <w:numPr>
          <w:ilvl w:val="0"/>
          <w:numId w:val="55"/>
        </w:numPr>
        <w:jc w:val="both"/>
        <w:rPr>
          <w:rFonts w:ascii="Cambria" w:hAnsi="Cambria"/>
          <w:sz w:val="20"/>
          <w:szCs w:val="20"/>
          <w:lang w:val="es-ES"/>
        </w:rPr>
      </w:pPr>
      <w:r w:rsidRPr="008A084A">
        <w:rPr>
          <w:rFonts w:ascii="Cambria" w:hAnsi="Cambria"/>
          <w:sz w:val="20"/>
          <w:szCs w:val="20"/>
          <w:lang w:val="es-ES"/>
        </w:rPr>
        <w:t>El 21 de enero de 201</w:t>
      </w:r>
      <w:r w:rsidR="001D0FC6" w:rsidRPr="008A084A">
        <w:rPr>
          <w:rFonts w:ascii="Cambria" w:hAnsi="Cambria"/>
          <w:sz w:val="20"/>
          <w:szCs w:val="20"/>
          <w:lang w:val="es-ES"/>
        </w:rPr>
        <w:t>4 el jefe de la OCNI-INTERPOL remitió al fiscal la notificación de difusión amarilla del señor Guachalá</w:t>
      </w:r>
      <w:r w:rsidR="00B96D9D" w:rsidRPr="008A084A">
        <w:rPr>
          <w:rFonts w:ascii="Cambria" w:hAnsi="Cambria"/>
          <w:sz w:val="20"/>
          <w:szCs w:val="20"/>
          <w:lang w:val="es-ES"/>
        </w:rPr>
        <w:t xml:space="preserve">, a fin de </w:t>
      </w:r>
      <w:r w:rsidR="002D3E9F" w:rsidRPr="008A084A">
        <w:rPr>
          <w:rFonts w:ascii="Cambria" w:hAnsi="Cambria"/>
          <w:sz w:val="20"/>
          <w:szCs w:val="20"/>
          <w:lang w:val="es-ES"/>
        </w:rPr>
        <w:t>difundir la desaparición de una persona a nivel internacional</w:t>
      </w:r>
      <w:r w:rsidR="002D3E9F" w:rsidRPr="008A084A">
        <w:rPr>
          <w:rStyle w:val="FootnoteReference"/>
          <w:rFonts w:ascii="Cambria" w:hAnsi="Cambria"/>
          <w:sz w:val="20"/>
          <w:szCs w:val="20"/>
          <w:lang w:val="es-ES"/>
        </w:rPr>
        <w:footnoteReference w:id="164"/>
      </w:r>
      <w:r w:rsidR="002D3E9F" w:rsidRPr="008A084A">
        <w:rPr>
          <w:rFonts w:ascii="Cambria" w:hAnsi="Cambria"/>
          <w:sz w:val="20"/>
          <w:szCs w:val="20"/>
          <w:lang w:val="es-ES"/>
        </w:rPr>
        <w:t>.</w:t>
      </w:r>
    </w:p>
    <w:p w:rsidR="002D3E9F" w:rsidRPr="008A084A" w:rsidRDefault="002D3E9F" w:rsidP="002D3E9F">
      <w:pPr>
        <w:pStyle w:val="ColorfulList-Accent11"/>
        <w:rPr>
          <w:rFonts w:ascii="Cambria" w:hAnsi="Cambria"/>
          <w:sz w:val="20"/>
          <w:szCs w:val="20"/>
          <w:lang w:val="es-ES"/>
        </w:rPr>
      </w:pPr>
    </w:p>
    <w:p w:rsidR="002D3E9F" w:rsidRPr="008A084A" w:rsidRDefault="00C40420" w:rsidP="001D0FC6">
      <w:pPr>
        <w:numPr>
          <w:ilvl w:val="0"/>
          <w:numId w:val="55"/>
        </w:numPr>
        <w:jc w:val="both"/>
        <w:rPr>
          <w:rFonts w:ascii="Cambria" w:hAnsi="Cambria"/>
          <w:sz w:val="20"/>
          <w:szCs w:val="20"/>
          <w:lang w:val="es-ES"/>
        </w:rPr>
      </w:pPr>
      <w:r w:rsidRPr="008A084A">
        <w:rPr>
          <w:rFonts w:ascii="Cambria" w:hAnsi="Cambria"/>
          <w:sz w:val="20"/>
          <w:szCs w:val="20"/>
          <w:lang w:val="es-ES"/>
        </w:rPr>
        <w:t>Se cuenta con información en cuanto a que e</w:t>
      </w:r>
      <w:r w:rsidR="002B38EE" w:rsidRPr="008A084A">
        <w:rPr>
          <w:rFonts w:ascii="Cambria" w:hAnsi="Cambria"/>
          <w:sz w:val="20"/>
          <w:szCs w:val="20"/>
          <w:lang w:val="es-ES"/>
        </w:rPr>
        <w:t>ntre abril y mayo de 201</w:t>
      </w:r>
      <w:r w:rsidR="002D3E9F" w:rsidRPr="008A084A">
        <w:rPr>
          <w:rFonts w:ascii="Cambria" w:hAnsi="Cambria"/>
          <w:sz w:val="20"/>
          <w:szCs w:val="20"/>
          <w:lang w:val="es-ES"/>
        </w:rPr>
        <w:t>4 que se realizaron búsquedas a albergues, y pega de afiches</w:t>
      </w:r>
      <w:r w:rsidR="002D3E9F" w:rsidRPr="008A084A">
        <w:rPr>
          <w:rStyle w:val="FootnoteReference"/>
          <w:rFonts w:ascii="Cambria" w:hAnsi="Cambria"/>
          <w:sz w:val="20"/>
          <w:szCs w:val="20"/>
          <w:lang w:val="es-ES"/>
        </w:rPr>
        <w:footnoteReference w:id="165"/>
      </w:r>
      <w:r w:rsidR="002D3E9F" w:rsidRPr="008A084A">
        <w:rPr>
          <w:rFonts w:ascii="Cambria" w:hAnsi="Cambria"/>
          <w:sz w:val="20"/>
          <w:szCs w:val="20"/>
          <w:lang w:val="es-ES"/>
        </w:rPr>
        <w:t>. En junio de 20</w:t>
      </w:r>
      <w:r w:rsidR="00F26708" w:rsidRPr="008A084A">
        <w:rPr>
          <w:rFonts w:ascii="Cambria" w:hAnsi="Cambria"/>
          <w:sz w:val="20"/>
          <w:szCs w:val="20"/>
          <w:lang w:val="es-ES"/>
        </w:rPr>
        <w:t>1</w:t>
      </w:r>
      <w:r w:rsidR="002D3E9F" w:rsidRPr="008A084A">
        <w:rPr>
          <w:rFonts w:ascii="Cambria" w:hAnsi="Cambria"/>
          <w:sz w:val="20"/>
          <w:szCs w:val="20"/>
          <w:lang w:val="es-ES"/>
        </w:rPr>
        <w:t>4 la fiscal de la Unidad Especializada en Investigación de Personas Desaparecidas realizó</w:t>
      </w:r>
      <w:r w:rsidR="00B65B57" w:rsidRPr="008A084A">
        <w:rPr>
          <w:rFonts w:ascii="Cambria" w:hAnsi="Cambria"/>
          <w:sz w:val="20"/>
          <w:szCs w:val="20"/>
          <w:lang w:val="es-ES"/>
        </w:rPr>
        <w:t xml:space="preserve"> un allanamiento en el hospital a efectos de recabar documentación relevante con el presente caso</w:t>
      </w:r>
      <w:r w:rsidR="00B65B57" w:rsidRPr="008A084A">
        <w:rPr>
          <w:rStyle w:val="FootnoteReference"/>
          <w:rFonts w:ascii="Cambria" w:hAnsi="Cambria"/>
          <w:sz w:val="20"/>
          <w:szCs w:val="20"/>
          <w:lang w:val="es-ES"/>
        </w:rPr>
        <w:footnoteReference w:id="166"/>
      </w:r>
      <w:r w:rsidR="002B38EE" w:rsidRPr="008A084A">
        <w:rPr>
          <w:rFonts w:ascii="Cambria" w:hAnsi="Cambria"/>
          <w:sz w:val="20"/>
          <w:szCs w:val="20"/>
          <w:lang w:val="es-ES"/>
        </w:rPr>
        <w:t>. En julio de 201</w:t>
      </w:r>
      <w:r w:rsidR="00B65B57" w:rsidRPr="008A084A">
        <w:rPr>
          <w:rFonts w:ascii="Cambria" w:hAnsi="Cambria"/>
          <w:sz w:val="20"/>
          <w:szCs w:val="20"/>
          <w:lang w:val="es-ES"/>
        </w:rPr>
        <w:t>4 la fiscal ordenó la realización de diligencias tales como i) determinar si existen compras de boleto de transporte terrestre a nombre del señor Guachalá; ii) cotejar las huellas dactilares registradas del señor Guachalá con cadáveres no identificados en enero de 2004; entre otras</w:t>
      </w:r>
      <w:r w:rsidR="00B65B57" w:rsidRPr="008A084A">
        <w:rPr>
          <w:rStyle w:val="FootnoteReference"/>
          <w:rFonts w:ascii="Cambria" w:hAnsi="Cambria"/>
          <w:sz w:val="20"/>
          <w:szCs w:val="20"/>
          <w:lang w:val="es-ES"/>
        </w:rPr>
        <w:footnoteReference w:id="167"/>
      </w:r>
      <w:r w:rsidR="00B65B57" w:rsidRPr="008A084A">
        <w:rPr>
          <w:rFonts w:ascii="Cambria" w:hAnsi="Cambria"/>
          <w:sz w:val="20"/>
          <w:szCs w:val="20"/>
          <w:lang w:val="es-ES"/>
        </w:rPr>
        <w:t xml:space="preserve">. </w:t>
      </w:r>
    </w:p>
    <w:p w:rsidR="00B358FB" w:rsidRPr="008A084A" w:rsidRDefault="00B358FB" w:rsidP="00B358FB">
      <w:pPr>
        <w:pStyle w:val="ColorfulList-Accent11"/>
        <w:rPr>
          <w:rFonts w:ascii="Cambria" w:hAnsi="Cambria"/>
          <w:sz w:val="20"/>
          <w:szCs w:val="20"/>
          <w:lang w:val="es-ES"/>
        </w:rPr>
      </w:pPr>
    </w:p>
    <w:p w:rsidR="0016477E" w:rsidRPr="008A084A" w:rsidRDefault="002B38EE" w:rsidP="0016477E">
      <w:pPr>
        <w:numPr>
          <w:ilvl w:val="0"/>
          <w:numId w:val="55"/>
        </w:numPr>
        <w:jc w:val="both"/>
        <w:rPr>
          <w:rFonts w:ascii="Cambria" w:hAnsi="Cambria"/>
          <w:sz w:val="20"/>
          <w:szCs w:val="20"/>
          <w:lang w:val="es-ES"/>
        </w:rPr>
      </w:pPr>
      <w:r w:rsidRPr="008A084A">
        <w:rPr>
          <w:rFonts w:ascii="Cambria" w:hAnsi="Cambria"/>
          <w:sz w:val="20"/>
          <w:szCs w:val="20"/>
          <w:lang w:val="es-ES"/>
        </w:rPr>
        <w:t>En septiembre de 201</w:t>
      </w:r>
      <w:r w:rsidR="00B358FB" w:rsidRPr="008A084A">
        <w:rPr>
          <w:rFonts w:ascii="Cambria" w:hAnsi="Cambria"/>
          <w:sz w:val="20"/>
          <w:szCs w:val="20"/>
          <w:lang w:val="es-ES"/>
        </w:rPr>
        <w:t xml:space="preserve">4 la fiscal solicitó i) oficiar a la trabajadora social de la Fiscalía General del Estado la realización de un examen de “valoración de entorno social y familiar”; y ii) </w:t>
      </w:r>
      <w:proofErr w:type="spellStart"/>
      <w:r w:rsidR="00B358FB" w:rsidRPr="008A084A">
        <w:rPr>
          <w:rFonts w:ascii="Cambria" w:hAnsi="Cambria"/>
          <w:sz w:val="20"/>
          <w:szCs w:val="20"/>
          <w:lang w:val="es-ES"/>
        </w:rPr>
        <w:t>recepcionar</w:t>
      </w:r>
      <w:proofErr w:type="spellEnd"/>
      <w:r w:rsidR="00B358FB" w:rsidRPr="008A084A">
        <w:rPr>
          <w:rFonts w:ascii="Cambria" w:hAnsi="Cambria"/>
          <w:sz w:val="20"/>
          <w:szCs w:val="20"/>
          <w:lang w:val="es-ES"/>
        </w:rPr>
        <w:t xml:space="preserve"> declaraciones de los médicos del hospital, entre otras diligencias</w:t>
      </w:r>
      <w:r w:rsidR="00B358FB" w:rsidRPr="008A084A">
        <w:rPr>
          <w:rStyle w:val="FootnoteReference"/>
          <w:rFonts w:ascii="Cambria" w:hAnsi="Cambria"/>
          <w:sz w:val="20"/>
          <w:szCs w:val="20"/>
          <w:lang w:val="es-ES"/>
        </w:rPr>
        <w:footnoteReference w:id="168"/>
      </w:r>
      <w:r w:rsidR="00B358FB" w:rsidRPr="008A084A">
        <w:rPr>
          <w:rFonts w:ascii="Cambria" w:hAnsi="Cambria"/>
          <w:sz w:val="20"/>
          <w:szCs w:val="20"/>
          <w:lang w:val="es-ES"/>
        </w:rPr>
        <w:t>.</w:t>
      </w:r>
      <w:r w:rsidR="002F616C" w:rsidRPr="008A084A">
        <w:rPr>
          <w:rFonts w:ascii="Cambria" w:hAnsi="Cambria"/>
          <w:sz w:val="20"/>
          <w:szCs w:val="20"/>
          <w:lang w:val="es-ES"/>
        </w:rPr>
        <w:t xml:space="preserve"> En enero de 2015 la fiscal solicitó </w:t>
      </w:r>
      <w:proofErr w:type="spellStart"/>
      <w:r w:rsidR="002F616C" w:rsidRPr="008A084A">
        <w:rPr>
          <w:rFonts w:ascii="Cambria" w:hAnsi="Cambria"/>
          <w:sz w:val="20"/>
          <w:szCs w:val="20"/>
          <w:lang w:val="es-ES"/>
        </w:rPr>
        <w:t>recepcionar</w:t>
      </w:r>
      <w:proofErr w:type="spellEnd"/>
      <w:r w:rsidR="002F616C" w:rsidRPr="008A084A">
        <w:rPr>
          <w:rFonts w:ascii="Cambria" w:hAnsi="Cambria"/>
          <w:sz w:val="20"/>
          <w:szCs w:val="20"/>
          <w:lang w:val="es-ES"/>
        </w:rPr>
        <w:t xml:space="preserve"> declaraciones de las auxiliares de enfermería del hospital</w:t>
      </w:r>
      <w:r w:rsidR="002F616C" w:rsidRPr="008A084A">
        <w:rPr>
          <w:rStyle w:val="FootnoteReference"/>
          <w:rFonts w:ascii="Cambria" w:hAnsi="Cambria"/>
          <w:sz w:val="20"/>
          <w:szCs w:val="20"/>
          <w:lang w:val="es-ES"/>
        </w:rPr>
        <w:footnoteReference w:id="169"/>
      </w:r>
      <w:r w:rsidR="002F616C" w:rsidRPr="008A084A">
        <w:rPr>
          <w:rFonts w:ascii="Cambria" w:hAnsi="Cambria"/>
          <w:sz w:val="20"/>
          <w:szCs w:val="20"/>
          <w:lang w:val="es-ES"/>
        </w:rPr>
        <w:t xml:space="preserve">. En febrero de 2015 la fiscal requirió a la Dirección Nacional de Delitos Contra la Vida, Muertes Violentas, Desapariciones, Extorsión y Secuestros (DINASED) revisar en el Departamento de Medicina Legal de Pichincha los libros de levantamiento de </w:t>
      </w:r>
      <w:r w:rsidR="002F616C" w:rsidRPr="008A084A">
        <w:rPr>
          <w:rFonts w:ascii="Cambria" w:hAnsi="Cambria"/>
          <w:sz w:val="20"/>
          <w:szCs w:val="20"/>
          <w:lang w:val="es-ES"/>
        </w:rPr>
        <w:lastRenderedPageBreak/>
        <w:t>cadáveres desde el 2004 y verificar si existen similitudes entre los cuerpos no identificados y el señor Guachalá</w:t>
      </w:r>
      <w:r w:rsidR="002F616C" w:rsidRPr="008A084A">
        <w:rPr>
          <w:rStyle w:val="FootnoteReference"/>
          <w:rFonts w:ascii="Cambria" w:hAnsi="Cambria"/>
          <w:sz w:val="20"/>
          <w:szCs w:val="20"/>
          <w:lang w:val="es-ES"/>
        </w:rPr>
        <w:footnoteReference w:id="170"/>
      </w:r>
      <w:r w:rsidR="002F616C" w:rsidRPr="008A084A">
        <w:rPr>
          <w:rFonts w:ascii="Cambria" w:hAnsi="Cambria"/>
          <w:sz w:val="20"/>
          <w:szCs w:val="20"/>
          <w:lang w:val="es-ES"/>
        </w:rPr>
        <w:t>.</w:t>
      </w:r>
    </w:p>
    <w:p w:rsidR="0016477E" w:rsidRPr="008A084A" w:rsidRDefault="0016477E" w:rsidP="0016477E">
      <w:pPr>
        <w:pStyle w:val="ColorfulList-Accent11"/>
        <w:rPr>
          <w:rFonts w:ascii="Cambria" w:hAnsi="Cambria"/>
          <w:sz w:val="20"/>
          <w:szCs w:val="20"/>
          <w:lang w:val="es-ES"/>
        </w:rPr>
      </w:pPr>
    </w:p>
    <w:p w:rsidR="009B0B37" w:rsidRPr="008A084A" w:rsidRDefault="0016477E" w:rsidP="0016477E">
      <w:pPr>
        <w:numPr>
          <w:ilvl w:val="0"/>
          <w:numId w:val="55"/>
        </w:numPr>
        <w:jc w:val="both"/>
        <w:rPr>
          <w:rFonts w:ascii="Cambria" w:hAnsi="Cambria"/>
          <w:sz w:val="20"/>
          <w:szCs w:val="20"/>
          <w:lang w:val="es-ES"/>
        </w:rPr>
      </w:pPr>
      <w:r w:rsidRPr="008A084A">
        <w:rPr>
          <w:rFonts w:ascii="Cambria" w:hAnsi="Cambria"/>
          <w:sz w:val="20"/>
          <w:szCs w:val="20"/>
          <w:lang w:val="es-ES"/>
        </w:rPr>
        <w:t>En junio de 2015 la fiscal requiri</w:t>
      </w:r>
      <w:r w:rsidR="00133619" w:rsidRPr="008A084A">
        <w:rPr>
          <w:rFonts w:ascii="Cambria" w:hAnsi="Cambria"/>
          <w:sz w:val="20"/>
          <w:szCs w:val="20"/>
          <w:lang w:val="es-ES"/>
        </w:rPr>
        <w:t>ó a los comandantes de la Policía de diversos distritos realizar un censo de personas indigentes, mendigos, alcohólicos y “demás personas que deambulan por las calles”</w:t>
      </w:r>
      <w:r w:rsidR="00133619" w:rsidRPr="008A084A">
        <w:rPr>
          <w:rStyle w:val="FootnoteReference"/>
          <w:rFonts w:ascii="Cambria" w:hAnsi="Cambria"/>
          <w:sz w:val="20"/>
          <w:szCs w:val="20"/>
          <w:lang w:val="es-ES"/>
        </w:rPr>
        <w:footnoteReference w:id="171"/>
      </w:r>
      <w:r w:rsidR="00133619" w:rsidRPr="008A084A">
        <w:rPr>
          <w:rFonts w:ascii="Cambria" w:hAnsi="Cambria"/>
          <w:sz w:val="20"/>
          <w:szCs w:val="20"/>
          <w:lang w:val="es-ES"/>
        </w:rPr>
        <w:t>.</w:t>
      </w:r>
      <w:r w:rsidRPr="008A084A">
        <w:rPr>
          <w:rFonts w:ascii="Cambria" w:hAnsi="Cambria"/>
          <w:sz w:val="20"/>
          <w:szCs w:val="20"/>
          <w:lang w:val="es-ES"/>
        </w:rPr>
        <w:t xml:space="preserve"> </w:t>
      </w:r>
      <w:r w:rsidR="009B0B37" w:rsidRPr="008A084A">
        <w:rPr>
          <w:rFonts w:ascii="Cambria" w:hAnsi="Cambria"/>
          <w:sz w:val="20"/>
          <w:szCs w:val="20"/>
          <w:lang w:val="es-ES"/>
        </w:rPr>
        <w:t>Uno de los comandantes indicó que “no se puede atender el pedido (</w:t>
      </w:r>
      <w:proofErr w:type="gramStart"/>
      <w:r w:rsidR="009B0B37" w:rsidRPr="008A084A">
        <w:rPr>
          <w:rFonts w:ascii="Cambria" w:hAnsi="Cambria"/>
          <w:sz w:val="20"/>
          <w:szCs w:val="20"/>
          <w:lang w:val="es-ES"/>
        </w:rPr>
        <w:t>..)</w:t>
      </w:r>
      <w:proofErr w:type="gramEnd"/>
      <w:r w:rsidR="009B0B37" w:rsidRPr="008A084A">
        <w:rPr>
          <w:rFonts w:ascii="Cambria" w:hAnsi="Cambria"/>
          <w:sz w:val="20"/>
          <w:szCs w:val="20"/>
          <w:lang w:val="es-ES"/>
        </w:rPr>
        <w:t xml:space="preserve"> toda vez que los vehículos no se encuentran disponibles por encontrarse 3 vehículos con daños”</w:t>
      </w:r>
      <w:r w:rsidR="009B0B37" w:rsidRPr="008A084A">
        <w:rPr>
          <w:rStyle w:val="FootnoteReference"/>
          <w:rFonts w:ascii="Cambria" w:hAnsi="Cambria"/>
          <w:sz w:val="20"/>
          <w:szCs w:val="20"/>
          <w:lang w:val="es-ES"/>
        </w:rPr>
        <w:footnoteReference w:id="172"/>
      </w:r>
      <w:r w:rsidR="009B0B37" w:rsidRPr="008A084A">
        <w:rPr>
          <w:rFonts w:ascii="Cambria" w:hAnsi="Cambria"/>
          <w:sz w:val="20"/>
          <w:szCs w:val="20"/>
          <w:lang w:val="es-ES"/>
        </w:rPr>
        <w:t>.</w:t>
      </w:r>
    </w:p>
    <w:p w:rsidR="009B0B37" w:rsidRPr="008A084A" w:rsidRDefault="009B0B37" w:rsidP="009B0B37">
      <w:pPr>
        <w:pStyle w:val="ColorfulList-Accent11"/>
        <w:rPr>
          <w:rFonts w:ascii="Cambria" w:hAnsi="Cambria"/>
          <w:sz w:val="20"/>
          <w:szCs w:val="20"/>
          <w:lang w:val="es-ES"/>
        </w:rPr>
      </w:pPr>
    </w:p>
    <w:p w:rsidR="0016477E" w:rsidRPr="008A084A" w:rsidRDefault="000371C7" w:rsidP="0016477E">
      <w:pPr>
        <w:numPr>
          <w:ilvl w:val="0"/>
          <w:numId w:val="55"/>
        </w:numPr>
        <w:jc w:val="both"/>
        <w:rPr>
          <w:rFonts w:ascii="Cambria" w:hAnsi="Cambria"/>
          <w:sz w:val="20"/>
          <w:szCs w:val="20"/>
          <w:lang w:val="es-ES"/>
        </w:rPr>
      </w:pPr>
      <w:r w:rsidRPr="008A084A">
        <w:rPr>
          <w:rFonts w:ascii="Cambria" w:hAnsi="Cambria"/>
          <w:sz w:val="20"/>
          <w:szCs w:val="20"/>
          <w:lang w:val="es-ES"/>
        </w:rPr>
        <w:t xml:space="preserve">El 16 de julio de 2015 la fiscal recibió un oficio del jefe de la Unidad de Desaparición de Personas </w:t>
      </w:r>
      <w:r w:rsidR="00B235A4" w:rsidRPr="008A084A">
        <w:rPr>
          <w:rFonts w:ascii="Cambria" w:hAnsi="Cambria"/>
          <w:sz w:val="20"/>
          <w:szCs w:val="20"/>
          <w:lang w:val="es-ES"/>
        </w:rPr>
        <w:t xml:space="preserve">respecto de la toma de </w:t>
      </w:r>
      <w:r w:rsidRPr="008A084A">
        <w:rPr>
          <w:rFonts w:ascii="Cambria" w:hAnsi="Cambria"/>
          <w:sz w:val="20"/>
          <w:szCs w:val="20"/>
          <w:lang w:val="es-ES"/>
        </w:rPr>
        <w:t>declaración de</w:t>
      </w:r>
      <w:r w:rsidR="00B235A4" w:rsidRPr="008A084A">
        <w:rPr>
          <w:rFonts w:ascii="Cambria" w:hAnsi="Cambria"/>
          <w:sz w:val="20"/>
          <w:szCs w:val="20"/>
          <w:lang w:val="es-ES"/>
        </w:rPr>
        <w:t xml:space="preserve"> Andrés, </w:t>
      </w:r>
      <w:r w:rsidRPr="008A084A">
        <w:rPr>
          <w:rFonts w:ascii="Cambria" w:hAnsi="Cambria"/>
          <w:sz w:val="20"/>
          <w:szCs w:val="20"/>
          <w:lang w:val="es-ES"/>
        </w:rPr>
        <w:t>hermano del señor Guachalá, quien indicó lo siguiente:</w:t>
      </w:r>
    </w:p>
    <w:p w:rsidR="000371C7" w:rsidRPr="008A084A" w:rsidRDefault="000371C7" w:rsidP="00FD7742">
      <w:pPr>
        <w:pStyle w:val="ColorfulList-Accent11"/>
        <w:rPr>
          <w:rFonts w:ascii="Cambria" w:hAnsi="Cambria"/>
          <w:sz w:val="20"/>
          <w:szCs w:val="20"/>
          <w:lang w:val="es-ES"/>
        </w:rPr>
      </w:pPr>
    </w:p>
    <w:p w:rsidR="000371C7" w:rsidRPr="008A084A" w:rsidRDefault="00250C17" w:rsidP="000371C7">
      <w:pPr>
        <w:ind w:left="720" w:right="720"/>
        <w:jc w:val="both"/>
        <w:rPr>
          <w:rFonts w:ascii="Cambria" w:hAnsi="Cambria"/>
          <w:sz w:val="20"/>
          <w:szCs w:val="20"/>
          <w:lang w:val="es-ES"/>
        </w:rPr>
      </w:pPr>
      <w:r w:rsidRPr="008A084A">
        <w:rPr>
          <w:rFonts w:ascii="Cambria" w:hAnsi="Cambria"/>
          <w:sz w:val="20"/>
          <w:szCs w:val="20"/>
          <w:lang w:val="es-ES"/>
        </w:rPr>
        <w:t>(…) manifestó que un sujet</w:t>
      </w:r>
      <w:r w:rsidR="000371C7" w:rsidRPr="008A084A">
        <w:rPr>
          <w:rFonts w:ascii="Cambria" w:hAnsi="Cambria"/>
          <w:sz w:val="20"/>
          <w:szCs w:val="20"/>
          <w:lang w:val="es-ES"/>
        </w:rPr>
        <w:t>o alias “Guatas” le había visto hace algunos años atrás</w:t>
      </w:r>
      <w:r w:rsidR="008D5E06" w:rsidRPr="008A084A">
        <w:rPr>
          <w:rFonts w:ascii="Cambria" w:hAnsi="Cambria"/>
          <w:sz w:val="20"/>
          <w:szCs w:val="20"/>
          <w:lang w:val="es-ES"/>
        </w:rPr>
        <w:t xml:space="preserve"> (2012)</w:t>
      </w:r>
      <w:r w:rsidR="000371C7" w:rsidRPr="008A084A">
        <w:rPr>
          <w:rFonts w:ascii="Cambria" w:hAnsi="Cambria"/>
          <w:sz w:val="20"/>
          <w:szCs w:val="20"/>
          <w:lang w:val="es-ES"/>
        </w:rPr>
        <w:t xml:space="preserve"> a Luis Guachalá y que dicha información le habría proporcionado a su madre la señora Zoila Chimbó Jarro, quien estaba a cargo de la investigación por la presunta desaparición de Luis</w:t>
      </w:r>
      <w:r w:rsidR="009B0B37" w:rsidRPr="008A084A">
        <w:rPr>
          <w:rStyle w:val="FootnoteReference"/>
          <w:rFonts w:ascii="Cambria" w:hAnsi="Cambria"/>
          <w:sz w:val="20"/>
          <w:szCs w:val="20"/>
          <w:lang w:val="es-ES"/>
        </w:rPr>
        <w:footnoteReference w:id="173"/>
      </w:r>
      <w:r w:rsidR="000371C7" w:rsidRPr="008A084A">
        <w:rPr>
          <w:rFonts w:ascii="Cambria" w:hAnsi="Cambria"/>
          <w:sz w:val="20"/>
          <w:szCs w:val="20"/>
          <w:lang w:val="es-ES"/>
        </w:rPr>
        <w:t>.</w:t>
      </w:r>
    </w:p>
    <w:p w:rsidR="00DB26F8" w:rsidRPr="008A084A" w:rsidRDefault="00DB26F8" w:rsidP="002F616C">
      <w:pPr>
        <w:pStyle w:val="ColorfulList-Accent11"/>
        <w:ind w:left="0"/>
        <w:rPr>
          <w:rFonts w:ascii="Cambria" w:hAnsi="Cambria"/>
          <w:sz w:val="20"/>
          <w:szCs w:val="20"/>
          <w:lang w:val="es-ES"/>
        </w:rPr>
      </w:pPr>
    </w:p>
    <w:p w:rsidR="008D5E06" w:rsidRPr="008A084A" w:rsidRDefault="008D5E06" w:rsidP="00A97EBC">
      <w:pPr>
        <w:numPr>
          <w:ilvl w:val="0"/>
          <w:numId w:val="55"/>
        </w:numPr>
        <w:jc w:val="both"/>
        <w:rPr>
          <w:rFonts w:ascii="Cambria" w:hAnsi="Cambria"/>
          <w:sz w:val="20"/>
          <w:szCs w:val="20"/>
          <w:lang w:val="es-ES"/>
        </w:rPr>
      </w:pPr>
      <w:r w:rsidRPr="008A084A">
        <w:rPr>
          <w:rFonts w:ascii="Cambria" w:hAnsi="Cambria"/>
          <w:sz w:val="20"/>
          <w:szCs w:val="20"/>
          <w:lang w:val="es-ES"/>
        </w:rPr>
        <w:t xml:space="preserve">Andrés Guachalá también manifestó que en la actualidad alias “Guatas” le indicó que “no </w:t>
      </w:r>
      <w:proofErr w:type="spellStart"/>
      <w:proofErr w:type="gramStart"/>
      <w:r w:rsidRPr="008A084A">
        <w:rPr>
          <w:rFonts w:ascii="Cambria" w:hAnsi="Cambria"/>
          <w:sz w:val="20"/>
          <w:szCs w:val="20"/>
          <w:lang w:val="es-ES"/>
        </w:rPr>
        <w:t>est</w:t>
      </w:r>
      <w:proofErr w:type="spellEnd"/>
      <w:r w:rsidRPr="008A084A">
        <w:rPr>
          <w:rFonts w:ascii="Cambria" w:hAnsi="Cambria"/>
          <w:sz w:val="20"/>
          <w:szCs w:val="20"/>
          <w:lang w:val="es-ES"/>
        </w:rPr>
        <w:t>(</w:t>
      </w:r>
      <w:proofErr w:type="gramEnd"/>
      <w:r w:rsidRPr="008A084A">
        <w:rPr>
          <w:rFonts w:ascii="Cambria" w:hAnsi="Cambria"/>
          <w:sz w:val="20"/>
          <w:szCs w:val="20"/>
          <w:lang w:val="es-ES"/>
        </w:rPr>
        <w:t>aba) ciento por ciento seguro que se tratara de Luis Guachalá”</w:t>
      </w:r>
      <w:r w:rsidRPr="008A084A">
        <w:rPr>
          <w:rStyle w:val="FootnoteReference"/>
          <w:rFonts w:ascii="Cambria" w:hAnsi="Cambria"/>
          <w:sz w:val="20"/>
          <w:szCs w:val="20"/>
          <w:lang w:val="es-ES"/>
        </w:rPr>
        <w:footnoteReference w:id="174"/>
      </w:r>
      <w:r w:rsidRPr="008A084A">
        <w:rPr>
          <w:rFonts w:ascii="Cambria" w:hAnsi="Cambria"/>
          <w:sz w:val="20"/>
          <w:szCs w:val="20"/>
          <w:lang w:val="es-ES"/>
        </w:rPr>
        <w:t>.</w:t>
      </w:r>
    </w:p>
    <w:p w:rsidR="00B00ECF" w:rsidRPr="008A084A" w:rsidRDefault="00B00ECF" w:rsidP="00B00ECF">
      <w:pPr>
        <w:pStyle w:val="ColorfulList-Accent11"/>
        <w:ind w:left="0"/>
        <w:rPr>
          <w:rFonts w:ascii="Cambria" w:hAnsi="Cambria"/>
          <w:sz w:val="20"/>
          <w:szCs w:val="20"/>
          <w:lang w:val="es-ES"/>
        </w:rPr>
      </w:pPr>
    </w:p>
    <w:p w:rsidR="00B00ECF" w:rsidRPr="008A084A" w:rsidRDefault="00B00ECF" w:rsidP="00A97EBC">
      <w:pPr>
        <w:numPr>
          <w:ilvl w:val="0"/>
          <w:numId w:val="55"/>
        </w:numPr>
        <w:jc w:val="both"/>
        <w:rPr>
          <w:rFonts w:ascii="Cambria" w:hAnsi="Cambria"/>
          <w:sz w:val="20"/>
          <w:szCs w:val="20"/>
          <w:lang w:val="es-ES"/>
        </w:rPr>
      </w:pPr>
      <w:r w:rsidRPr="008A084A">
        <w:rPr>
          <w:rFonts w:ascii="Cambria" w:hAnsi="Cambria"/>
          <w:sz w:val="20"/>
          <w:szCs w:val="20"/>
          <w:lang w:val="es-ES"/>
        </w:rPr>
        <w:t>El 1 de octubre de 2015 la señora Chimbó solicitó que se reali</w:t>
      </w:r>
      <w:r w:rsidR="00F34321" w:rsidRPr="008A084A">
        <w:rPr>
          <w:rFonts w:ascii="Cambria" w:hAnsi="Cambria"/>
          <w:sz w:val="20"/>
          <w:szCs w:val="20"/>
          <w:lang w:val="es-ES"/>
        </w:rPr>
        <w:t>ce</w:t>
      </w:r>
      <w:r w:rsidRPr="008A084A">
        <w:rPr>
          <w:rFonts w:ascii="Cambria" w:hAnsi="Cambria"/>
          <w:sz w:val="20"/>
          <w:szCs w:val="20"/>
          <w:lang w:val="es-ES"/>
        </w:rPr>
        <w:t xml:space="preserve"> un rastreo dentro del hospital</w:t>
      </w:r>
      <w:r w:rsidR="00745243" w:rsidRPr="008A084A">
        <w:rPr>
          <w:rFonts w:ascii="Cambria" w:hAnsi="Cambria"/>
          <w:sz w:val="20"/>
          <w:szCs w:val="20"/>
          <w:lang w:val="es-ES"/>
        </w:rPr>
        <w:t>,</w:t>
      </w:r>
      <w:r w:rsidRPr="008A084A">
        <w:rPr>
          <w:rFonts w:ascii="Cambria" w:hAnsi="Cambria"/>
          <w:sz w:val="20"/>
          <w:szCs w:val="20"/>
          <w:lang w:val="es-ES"/>
        </w:rPr>
        <w:t xml:space="preserve"> “</w:t>
      </w:r>
      <w:r w:rsidR="00745243" w:rsidRPr="008A084A">
        <w:rPr>
          <w:rFonts w:ascii="Cambria" w:hAnsi="Cambria"/>
          <w:sz w:val="20"/>
          <w:szCs w:val="20"/>
          <w:lang w:val="es-ES"/>
        </w:rPr>
        <w:t xml:space="preserve">en el sector de las antiguas instalaciones </w:t>
      </w:r>
      <w:r w:rsidRPr="008A084A">
        <w:rPr>
          <w:rFonts w:ascii="Cambria" w:hAnsi="Cambria"/>
          <w:sz w:val="20"/>
          <w:szCs w:val="20"/>
          <w:lang w:val="es-ES"/>
        </w:rPr>
        <w:t>con canes amaestrados en búsqueda de osamentas”</w:t>
      </w:r>
      <w:r w:rsidRPr="008A084A">
        <w:rPr>
          <w:rStyle w:val="FootnoteReference"/>
          <w:rFonts w:ascii="Cambria" w:hAnsi="Cambria"/>
          <w:sz w:val="20"/>
          <w:szCs w:val="20"/>
          <w:lang w:val="es-ES"/>
        </w:rPr>
        <w:footnoteReference w:id="175"/>
      </w:r>
      <w:r w:rsidRPr="008A084A">
        <w:rPr>
          <w:rFonts w:ascii="Cambria" w:hAnsi="Cambria"/>
          <w:sz w:val="20"/>
          <w:szCs w:val="20"/>
          <w:lang w:val="es-ES"/>
        </w:rPr>
        <w:t>. Dicha diligencia se programó para el 11 de noviembre de 2015</w:t>
      </w:r>
      <w:r w:rsidRPr="008A084A">
        <w:rPr>
          <w:rStyle w:val="FootnoteReference"/>
          <w:rFonts w:ascii="Cambria" w:hAnsi="Cambria"/>
          <w:sz w:val="20"/>
          <w:szCs w:val="20"/>
          <w:lang w:val="es-ES"/>
        </w:rPr>
        <w:footnoteReference w:id="176"/>
      </w:r>
      <w:r w:rsidRPr="008A084A">
        <w:rPr>
          <w:rFonts w:ascii="Cambria" w:hAnsi="Cambria"/>
          <w:sz w:val="20"/>
          <w:szCs w:val="20"/>
          <w:lang w:val="es-ES"/>
        </w:rPr>
        <w:t>. No obstante, fue suspendida debido a que la Unidad de Mantenimiento del Orden informó que existía “falta de persona para esta búsqueda”</w:t>
      </w:r>
      <w:r w:rsidRPr="008A084A">
        <w:rPr>
          <w:rStyle w:val="FootnoteReference"/>
          <w:rFonts w:ascii="Cambria" w:hAnsi="Cambria"/>
          <w:sz w:val="20"/>
          <w:szCs w:val="20"/>
          <w:lang w:val="es-ES"/>
        </w:rPr>
        <w:footnoteReference w:id="177"/>
      </w:r>
      <w:r w:rsidRPr="008A084A">
        <w:rPr>
          <w:rFonts w:ascii="Cambria" w:hAnsi="Cambria"/>
          <w:sz w:val="20"/>
          <w:szCs w:val="20"/>
          <w:lang w:val="es-ES"/>
        </w:rPr>
        <w:t>.</w:t>
      </w:r>
      <w:r w:rsidR="00745243" w:rsidRPr="008A084A">
        <w:rPr>
          <w:rFonts w:ascii="Cambria" w:hAnsi="Cambria"/>
          <w:sz w:val="20"/>
          <w:szCs w:val="20"/>
          <w:lang w:val="es-ES"/>
        </w:rPr>
        <w:t xml:space="preserve"> La diligencia se realizó el 27 de noviembre de 2015 </w:t>
      </w:r>
      <w:r w:rsidR="003C0ECB" w:rsidRPr="008A084A">
        <w:rPr>
          <w:rFonts w:ascii="Cambria" w:hAnsi="Cambria"/>
          <w:sz w:val="20"/>
          <w:szCs w:val="20"/>
          <w:lang w:val="es-ES"/>
        </w:rPr>
        <w:t xml:space="preserve">sin </w:t>
      </w:r>
      <w:r w:rsidR="00745243" w:rsidRPr="008A084A">
        <w:rPr>
          <w:rFonts w:ascii="Cambria" w:hAnsi="Cambria"/>
          <w:sz w:val="20"/>
          <w:szCs w:val="20"/>
          <w:lang w:val="es-ES"/>
        </w:rPr>
        <w:t>resultados positivos</w:t>
      </w:r>
      <w:r w:rsidR="00745243" w:rsidRPr="008A084A">
        <w:rPr>
          <w:rStyle w:val="FootnoteReference"/>
          <w:rFonts w:ascii="Cambria" w:hAnsi="Cambria"/>
          <w:sz w:val="20"/>
          <w:szCs w:val="20"/>
          <w:lang w:val="es-ES"/>
        </w:rPr>
        <w:footnoteReference w:id="178"/>
      </w:r>
      <w:r w:rsidR="00745243" w:rsidRPr="008A084A">
        <w:rPr>
          <w:rFonts w:ascii="Cambria" w:hAnsi="Cambria"/>
          <w:sz w:val="20"/>
          <w:szCs w:val="20"/>
          <w:lang w:val="es-ES"/>
        </w:rPr>
        <w:t>.</w:t>
      </w:r>
    </w:p>
    <w:p w:rsidR="00B00ECF" w:rsidRPr="008A084A" w:rsidRDefault="00B00ECF" w:rsidP="00B00ECF">
      <w:pPr>
        <w:pStyle w:val="ColorfulList-Accent11"/>
        <w:rPr>
          <w:rFonts w:ascii="Cambria" w:hAnsi="Cambria"/>
          <w:sz w:val="20"/>
          <w:szCs w:val="20"/>
          <w:lang w:val="es-ES"/>
        </w:rPr>
      </w:pPr>
    </w:p>
    <w:p w:rsidR="009B0B37" w:rsidRPr="008A084A" w:rsidRDefault="009B0B37" w:rsidP="00A97EBC">
      <w:pPr>
        <w:numPr>
          <w:ilvl w:val="0"/>
          <w:numId w:val="55"/>
        </w:numPr>
        <w:jc w:val="both"/>
        <w:rPr>
          <w:rFonts w:ascii="Cambria" w:hAnsi="Cambria"/>
          <w:sz w:val="20"/>
          <w:szCs w:val="20"/>
          <w:lang w:val="es-ES"/>
        </w:rPr>
      </w:pPr>
      <w:r w:rsidRPr="008A084A">
        <w:rPr>
          <w:rFonts w:ascii="Cambria" w:hAnsi="Cambria"/>
          <w:sz w:val="20"/>
          <w:szCs w:val="20"/>
          <w:lang w:val="es-ES"/>
        </w:rPr>
        <w:t>En enero de 2016 la fiscal requirió nuevamente a la DINASED la revisión de los libros en el Departamento de Medicina Legal de Pichincha</w:t>
      </w:r>
      <w:r w:rsidRPr="008A084A">
        <w:rPr>
          <w:rStyle w:val="FootnoteReference"/>
          <w:rFonts w:ascii="Cambria" w:hAnsi="Cambria"/>
          <w:sz w:val="20"/>
          <w:szCs w:val="20"/>
          <w:lang w:val="es-ES"/>
        </w:rPr>
        <w:footnoteReference w:id="179"/>
      </w:r>
      <w:r w:rsidRPr="008A084A">
        <w:rPr>
          <w:rFonts w:ascii="Cambria" w:hAnsi="Cambria"/>
          <w:sz w:val="20"/>
          <w:szCs w:val="20"/>
          <w:lang w:val="es-ES"/>
        </w:rPr>
        <w:t>. Ello debido a que sólo se revisaron los documentos del año 2001 al 2014</w:t>
      </w:r>
      <w:r w:rsidRPr="008A084A">
        <w:rPr>
          <w:rStyle w:val="FootnoteReference"/>
          <w:rFonts w:ascii="Cambria" w:hAnsi="Cambria"/>
          <w:sz w:val="20"/>
          <w:szCs w:val="20"/>
          <w:lang w:val="es-ES"/>
        </w:rPr>
        <w:footnoteReference w:id="180"/>
      </w:r>
      <w:r w:rsidRPr="008A084A">
        <w:rPr>
          <w:rFonts w:ascii="Cambria" w:hAnsi="Cambria"/>
          <w:sz w:val="20"/>
          <w:szCs w:val="20"/>
          <w:lang w:val="es-ES"/>
        </w:rPr>
        <w:t>. E</w:t>
      </w:r>
      <w:r w:rsidR="00CD1404" w:rsidRPr="008A084A">
        <w:rPr>
          <w:rFonts w:ascii="Cambria" w:hAnsi="Cambria"/>
          <w:sz w:val="20"/>
          <w:szCs w:val="20"/>
          <w:lang w:val="es-ES"/>
        </w:rPr>
        <w:t>n febrero de 2016 la fiscal requirió a seis canales de televisión y a cuatro diarios a difundir la imagen y datos del señor Guachalá</w:t>
      </w:r>
      <w:r w:rsidR="00CD1404" w:rsidRPr="008A084A">
        <w:rPr>
          <w:rStyle w:val="FootnoteReference"/>
          <w:rFonts w:ascii="Cambria" w:hAnsi="Cambria"/>
          <w:sz w:val="20"/>
          <w:szCs w:val="20"/>
          <w:lang w:val="es-ES"/>
        </w:rPr>
        <w:footnoteReference w:id="181"/>
      </w:r>
      <w:r w:rsidR="00CD1404" w:rsidRPr="008A084A">
        <w:rPr>
          <w:rFonts w:ascii="Cambria" w:hAnsi="Cambria"/>
          <w:sz w:val="20"/>
          <w:szCs w:val="20"/>
          <w:lang w:val="es-ES"/>
        </w:rPr>
        <w:t>.</w:t>
      </w:r>
    </w:p>
    <w:p w:rsidR="00CD1404" w:rsidRPr="008A084A" w:rsidRDefault="00CD1404" w:rsidP="00CD1404">
      <w:pPr>
        <w:ind w:left="720"/>
        <w:jc w:val="both"/>
        <w:rPr>
          <w:rFonts w:ascii="Cambria" w:hAnsi="Cambria"/>
          <w:sz w:val="20"/>
          <w:szCs w:val="20"/>
          <w:lang w:val="es-ES"/>
        </w:rPr>
      </w:pPr>
    </w:p>
    <w:p w:rsidR="00CD1404" w:rsidRPr="008A084A" w:rsidRDefault="00CD1404" w:rsidP="00A97EBC">
      <w:pPr>
        <w:numPr>
          <w:ilvl w:val="0"/>
          <w:numId w:val="55"/>
        </w:numPr>
        <w:jc w:val="both"/>
        <w:rPr>
          <w:rFonts w:ascii="Cambria" w:hAnsi="Cambria"/>
          <w:sz w:val="20"/>
          <w:szCs w:val="20"/>
          <w:lang w:val="es-ES"/>
        </w:rPr>
      </w:pPr>
      <w:r w:rsidRPr="008A084A">
        <w:rPr>
          <w:rFonts w:ascii="Cambria" w:hAnsi="Cambria"/>
          <w:sz w:val="20"/>
          <w:szCs w:val="20"/>
          <w:lang w:val="es-ES"/>
        </w:rPr>
        <w:t>El 15 de marzo de 2016 la fiscal solicitó a la Unidad de Archivo de la Fiscalía</w:t>
      </w:r>
      <w:r w:rsidR="00250C17" w:rsidRPr="008A084A">
        <w:rPr>
          <w:rFonts w:ascii="Cambria" w:hAnsi="Cambria"/>
          <w:sz w:val="20"/>
          <w:szCs w:val="20"/>
          <w:lang w:val="es-ES"/>
        </w:rPr>
        <w:t xml:space="preserve"> “todo el expediente original (…) que tiene relación a la denuncia propuesta por la señora Chimbó (…) sobre la desaparición del señor Luis Eduardo Guachalá”</w:t>
      </w:r>
      <w:r w:rsidR="00250C17" w:rsidRPr="008A084A">
        <w:rPr>
          <w:rStyle w:val="FootnoteReference"/>
          <w:rFonts w:ascii="Cambria" w:hAnsi="Cambria"/>
          <w:sz w:val="20"/>
          <w:szCs w:val="20"/>
          <w:lang w:val="es-ES"/>
        </w:rPr>
        <w:footnoteReference w:id="182"/>
      </w:r>
      <w:r w:rsidR="00250C17" w:rsidRPr="008A084A">
        <w:rPr>
          <w:rFonts w:ascii="Cambria" w:hAnsi="Cambria"/>
          <w:sz w:val="20"/>
          <w:szCs w:val="20"/>
          <w:lang w:val="es-ES"/>
        </w:rPr>
        <w:t>.</w:t>
      </w:r>
      <w:r w:rsidR="00701862" w:rsidRPr="008A084A">
        <w:rPr>
          <w:rFonts w:ascii="Cambria" w:hAnsi="Cambria"/>
          <w:sz w:val="20"/>
          <w:szCs w:val="20"/>
          <w:lang w:val="es-ES"/>
        </w:rPr>
        <w:t xml:space="preserve"> El mismo día la fiscal recibió el expediente solicitado</w:t>
      </w:r>
      <w:r w:rsidR="00701862" w:rsidRPr="008A084A">
        <w:rPr>
          <w:rStyle w:val="FootnoteReference"/>
          <w:rFonts w:ascii="Cambria" w:hAnsi="Cambria"/>
          <w:sz w:val="20"/>
          <w:szCs w:val="20"/>
          <w:lang w:val="es-ES"/>
        </w:rPr>
        <w:footnoteReference w:id="183"/>
      </w:r>
      <w:r w:rsidR="00701862" w:rsidRPr="008A084A">
        <w:rPr>
          <w:rFonts w:ascii="Cambria" w:hAnsi="Cambria"/>
          <w:sz w:val="20"/>
          <w:szCs w:val="20"/>
          <w:lang w:val="es-ES"/>
        </w:rPr>
        <w:t>.</w:t>
      </w:r>
    </w:p>
    <w:p w:rsidR="009B0B37" w:rsidRPr="008A084A" w:rsidRDefault="009B0B37" w:rsidP="009B0B37">
      <w:pPr>
        <w:ind w:left="720"/>
        <w:jc w:val="both"/>
        <w:rPr>
          <w:rFonts w:ascii="Cambria" w:hAnsi="Cambria"/>
          <w:sz w:val="20"/>
          <w:szCs w:val="20"/>
          <w:lang w:val="es-ES"/>
        </w:rPr>
      </w:pPr>
    </w:p>
    <w:p w:rsidR="00B27E01" w:rsidRPr="008A084A" w:rsidRDefault="00BC585D" w:rsidP="00A97EBC">
      <w:pPr>
        <w:numPr>
          <w:ilvl w:val="0"/>
          <w:numId w:val="55"/>
        </w:numPr>
        <w:jc w:val="both"/>
        <w:rPr>
          <w:rFonts w:ascii="Cambria" w:hAnsi="Cambria"/>
          <w:sz w:val="20"/>
          <w:szCs w:val="20"/>
          <w:lang w:val="es-ES"/>
        </w:rPr>
      </w:pPr>
      <w:r w:rsidRPr="008A084A">
        <w:rPr>
          <w:rFonts w:ascii="Cambria" w:hAnsi="Cambria"/>
          <w:sz w:val="20"/>
          <w:szCs w:val="20"/>
          <w:lang w:val="es-ES"/>
        </w:rPr>
        <w:t>En su comunicación de mayo de 2016 el</w:t>
      </w:r>
      <w:r w:rsidR="00AD3047" w:rsidRPr="008A084A">
        <w:rPr>
          <w:rFonts w:ascii="Cambria" w:hAnsi="Cambria"/>
          <w:sz w:val="20"/>
          <w:szCs w:val="20"/>
          <w:lang w:val="es-ES"/>
        </w:rPr>
        <w:t xml:space="preserve"> Estado sostuvo que la causa se encuentra en etapa de investigación previa a cargo de un fiscal</w:t>
      </w:r>
      <w:r w:rsidR="00DA7E9C" w:rsidRPr="008A084A">
        <w:rPr>
          <w:rStyle w:val="FootnoteReference"/>
          <w:rFonts w:ascii="Cambria" w:hAnsi="Cambria"/>
          <w:sz w:val="20"/>
          <w:szCs w:val="20"/>
        </w:rPr>
        <w:footnoteReference w:id="184"/>
      </w:r>
      <w:r w:rsidR="00AD3047" w:rsidRPr="008A084A">
        <w:rPr>
          <w:rFonts w:ascii="Cambria" w:hAnsi="Cambria"/>
          <w:sz w:val="20"/>
          <w:szCs w:val="20"/>
          <w:lang w:val="es-ES"/>
        </w:rPr>
        <w:t xml:space="preserve">. </w:t>
      </w:r>
      <w:r w:rsidRPr="008A084A">
        <w:rPr>
          <w:rFonts w:ascii="Cambria" w:hAnsi="Cambria"/>
          <w:sz w:val="20"/>
          <w:szCs w:val="20"/>
          <w:lang w:val="es-ES"/>
        </w:rPr>
        <w:t>En julio de 2016 los peticionarios informaron que el expediente se encontraba abierto</w:t>
      </w:r>
      <w:r w:rsidRPr="008A084A">
        <w:rPr>
          <w:rStyle w:val="FootnoteReference"/>
          <w:rFonts w:ascii="Cambria" w:hAnsi="Cambria"/>
          <w:sz w:val="20"/>
          <w:szCs w:val="20"/>
          <w:lang w:val="es-ES"/>
        </w:rPr>
        <w:footnoteReference w:id="185"/>
      </w:r>
      <w:r w:rsidRPr="008A084A">
        <w:rPr>
          <w:rFonts w:ascii="Cambria" w:hAnsi="Cambria"/>
          <w:sz w:val="20"/>
          <w:szCs w:val="20"/>
          <w:lang w:val="es-ES"/>
        </w:rPr>
        <w:t>.</w:t>
      </w:r>
    </w:p>
    <w:p w:rsidR="00BC585D" w:rsidRPr="008A084A" w:rsidRDefault="00BC585D" w:rsidP="00BC585D">
      <w:pPr>
        <w:numPr>
          <w:ilvl w:val="0"/>
          <w:numId w:val="55"/>
        </w:numPr>
        <w:jc w:val="both"/>
        <w:rPr>
          <w:rFonts w:ascii="Cambria" w:hAnsi="Cambria"/>
          <w:sz w:val="20"/>
          <w:szCs w:val="20"/>
          <w:lang w:val="es-ES"/>
        </w:rPr>
      </w:pPr>
      <w:r w:rsidRPr="008A084A">
        <w:rPr>
          <w:rFonts w:ascii="Cambria" w:hAnsi="Cambria"/>
          <w:sz w:val="20"/>
          <w:szCs w:val="20"/>
          <w:lang w:val="es-ES"/>
        </w:rPr>
        <w:lastRenderedPageBreak/>
        <w:t xml:space="preserve">El Estado señaló que en agosto de 2016 el personal de la Dirección de Atención a la Ciudadanía acompañó a la señora Chimbó al sector de </w:t>
      </w:r>
      <w:proofErr w:type="spellStart"/>
      <w:r w:rsidRPr="008A084A">
        <w:rPr>
          <w:rFonts w:ascii="Cambria" w:hAnsi="Cambria"/>
          <w:sz w:val="20"/>
          <w:szCs w:val="20"/>
          <w:lang w:val="es-ES"/>
        </w:rPr>
        <w:t>Conocoto</w:t>
      </w:r>
      <w:proofErr w:type="spellEnd"/>
      <w:r w:rsidRPr="008A084A">
        <w:rPr>
          <w:rFonts w:ascii="Cambria" w:hAnsi="Cambria"/>
          <w:sz w:val="20"/>
          <w:szCs w:val="20"/>
          <w:lang w:val="es-ES"/>
        </w:rPr>
        <w:t>, en Quito, “para presenciar una diligencia de rastreo y búsqueda de su hijo”</w:t>
      </w:r>
      <w:r w:rsidRPr="008A084A">
        <w:rPr>
          <w:rStyle w:val="FootnoteReference"/>
          <w:rFonts w:ascii="Cambria" w:hAnsi="Cambria"/>
          <w:sz w:val="20"/>
          <w:szCs w:val="20"/>
        </w:rPr>
        <w:footnoteReference w:id="186"/>
      </w:r>
      <w:r w:rsidRPr="008A084A">
        <w:rPr>
          <w:rFonts w:ascii="Cambria" w:hAnsi="Cambria"/>
          <w:sz w:val="20"/>
          <w:szCs w:val="20"/>
          <w:lang w:val="es-ES"/>
        </w:rPr>
        <w:t>. El Estado ecuatoriano sostuvo que dicha diligencia fue realizada por el equipo de la Dirección Nacional de Delitos contra la Vida, Muertes Violentas, Desapariciones, Extorsión y Secuestros, y que se contó con la presencia del fiscal a cargo del caso</w:t>
      </w:r>
      <w:r w:rsidRPr="008A084A">
        <w:rPr>
          <w:rStyle w:val="FootnoteReference"/>
          <w:rFonts w:ascii="Cambria" w:hAnsi="Cambria"/>
          <w:sz w:val="20"/>
          <w:szCs w:val="20"/>
        </w:rPr>
        <w:footnoteReference w:id="187"/>
      </w:r>
      <w:r w:rsidRPr="008A084A">
        <w:rPr>
          <w:rFonts w:ascii="Cambria" w:hAnsi="Cambria"/>
          <w:sz w:val="20"/>
          <w:szCs w:val="20"/>
          <w:lang w:val="es-ES"/>
        </w:rPr>
        <w:t>.</w:t>
      </w:r>
    </w:p>
    <w:p w:rsidR="00EC7ECC" w:rsidRPr="008A084A" w:rsidRDefault="00EC7ECC" w:rsidP="00EC7ECC">
      <w:pPr>
        <w:pStyle w:val="ColorfulList-Accent11"/>
        <w:rPr>
          <w:rFonts w:ascii="Cambria" w:hAnsi="Cambria"/>
          <w:sz w:val="20"/>
          <w:szCs w:val="20"/>
          <w:lang w:val="es-ES"/>
        </w:rPr>
      </w:pPr>
    </w:p>
    <w:p w:rsidR="00EC7ECC" w:rsidRPr="008A084A" w:rsidRDefault="00EC7ECC" w:rsidP="00BC585D">
      <w:pPr>
        <w:numPr>
          <w:ilvl w:val="0"/>
          <w:numId w:val="55"/>
        </w:numPr>
        <w:jc w:val="both"/>
        <w:rPr>
          <w:rFonts w:ascii="Cambria" w:hAnsi="Cambria"/>
          <w:sz w:val="20"/>
          <w:szCs w:val="20"/>
          <w:lang w:val="es-ES"/>
        </w:rPr>
      </w:pPr>
      <w:r w:rsidRPr="008A084A">
        <w:rPr>
          <w:rFonts w:ascii="Cambria" w:hAnsi="Cambria"/>
          <w:sz w:val="20"/>
          <w:szCs w:val="20"/>
          <w:lang w:val="es-ES"/>
        </w:rPr>
        <w:t>En su escrito de 2016 el Estado sostuvo que a pesar de las diligencias realizadas por la Fiscalía General del Estado, “no ha sido posible dar con el paradero de la presunta víctima”</w:t>
      </w:r>
      <w:r w:rsidRPr="008A084A">
        <w:rPr>
          <w:rStyle w:val="FootnoteReference"/>
          <w:rFonts w:ascii="Cambria" w:hAnsi="Cambria"/>
          <w:sz w:val="20"/>
          <w:szCs w:val="20"/>
          <w:lang w:val="es-ES"/>
        </w:rPr>
        <w:footnoteReference w:id="188"/>
      </w:r>
      <w:r w:rsidRPr="008A084A">
        <w:rPr>
          <w:rFonts w:ascii="Cambria" w:hAnsi="Cambria"/>
          <w:sz w:val="20"/>
          <w:szCs w:val="20"/>
          <w:lang w:val="es-ES"/>
        </w:rPr>
        <w:t xml:space="preserve">. </w:t>
      </w:r>
    </w:p>
    <w:p w:rsidR="00D7524E" w:rsidRPr="008A084A" w:rsidRDefault="00D7524E"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6A0F60" w:rsidRPr="008A084A" w:rsidRDefault="00FC72CE" w:rsidP="00A97EBC">
      <w:pPr>
        <w:ind w:firstLine="720"/>
        <w:jc w:val="both"/>
        <w:rPr>
          <w:rFonts w:ascii="Cambria" w:hAnsi="Cambria"/>
          <w:b/>
          <w:sz w:val="20"/>
          <w:szCs w:val="20"/>
          <w:lang w:val="es-ES"/>
        </w:rPr>
      </w:pPr>
      <w:r w:rsidRPr="008A084A">
        <w:rPr>
          <w:rFonts w:ascii="Cambria" w:hAnsi="Cambria"/>
          <w:b/>
          <w:sz w:val="20"/>
          <w:szCs w:val="20"/>
          <w:lang w:val="es-ES"/>
        </w:rPr>
        <w:t xml:space="preserve">3. </w:t>
      </w:r>
      <w:r w:rsidRPr="008A084A">
        <w:rPr>
          <w:rFonts w:ascii="Cambria" w:hAnsi="Cambria"/>
          <w:b/>
          <w:sz w:val="20"/>
          <w:szCs w:val="20"/>
          <w:lang w:val="es-ES"/>
        </w:rPr>
        <w:tab/>
        <w:t>Q</w:t>
      </w:r>
      <w:r w:rsidR="00F91ED2" w:rsidRPr="008A084A">
        <w:rPr>
          <w:rFonts w:ascii="Cambria" w:hAnsi="Cambria"/>
          <w:b/>
          <w:sz w:val="20"/>
          <w:szCs w:val="20"/>
          <w:lang w:val="es-ES"/>
        </w:rPr>
        <w:t xml:space="preserve">ueja </w:t>
      </w:r>
      <w:r w:rsidR="006A0F60" w:rsidRPr="008A084A">
        <w:rPr>
          <w:rFonts w:ascii="Cambria" w:hAnsi="Cambria"/>
          <w:b/>
          <w:sz w:val="20"/>
          <w:szCs w:val="20"/>
          <w:lang w:val="es-ES"/>
        </w:rPr>
        <w:t>ante la Defensoría del Pueblo</w:t>
      </w:r>
    </w:p>
    <w:p w:rsidR="006A0F60" w:rsidRPr="008A084A" w:rsidRDefault="006A0F60"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D45A5D" w:rsidRPr="008A084A" w:rsidRDefault="00F91ED2" w:rsidP="00A97EBC">
      <w:pPr>
        <w:numPr>
          <w:ilvl w:val="0"/>
          <w:numId w:val="55"/>
        </w:numPr>
        <w:jc w:val="both"/>
        <w:rPr>
          <w:rFonts w:ascii="Cambria" w:hAnsi="Cambria"/>
          <w:sz w:val="20"/>
          <w:szCs w:val="20"/>
          <w:lang w:val="es-ES"/>
        </w:rPr>
      </w:pPr>
      <w:r w:rsidRPr="008A084A">
        <w:rPr>
          <w:rFonts w:ascii="Cambria" w:hAnsi="Cambria"/>
          <w:sz w:val="20"/>
          <w:szCs w:val="20"/>
          <w:lang w:val="es-ES"/>
        </w:rPr>
        <w:t>El 2 de abril</w:t>
      </w:r>
      <w:r w:rsidR="006A0F60" w:rsidRPr="008A084A">
        <w:rPr>
          <w:rFonts w:ascii="Cambria" w:hAnsi="Cambria"/>
          <w:sz w:val="20"/>
          <w:szCs w:val="20"/>
          <w:lang w:val="es-ES"/>
        </w:rPr>
        <w:t xml:space="preserve"> de 2004 l</w:t>
      </w:r>
      <w:r w:rsidR="0011248A" w:rsidRPr="008A084A">
        <w:rPr>
          <w:rFonts w:ascii="Cambria" w:hAnsi="Cambria"/>
          <w:sz w:val="20"/>
          <w:szCs w:val="20"/>
          <w:lang w:val="es-ES"/>
        </w:rPr>
        <w:t xml:space="preserve">a INREDH presentó una </w:t>
      </w:r>
      <w:r w:rsidRPr="008A084A">
        <w:rPr>
          <w:rFonts w:ascii="Cambria" w:hAnsi="Cambria"/>
          <w:sz w:val="20"/>
          <w:szCs w:val="20"/>
          <w:lang w:val="es-ES"/>
        </w:rPr>
        <w:t>solicitud de queja</w:t>
      </w:r>
      <w:r w:rsidR="0011248A" w:rsidRPr="008A084A">
        <w:rPr>
          <w:rFonts w:ascii="Cambria" w:hAnsi="Cambria"/>
          <w:sz w:val="20"/>
          <w:szCs w:val="20"/>
          <w:lang w:val="es-ES"/>
        </w:rPr>
        <w:t xml:space="preserve"> ante la Defensoría del Pueblo por la desaparición del señor Guachalá</w:t>
      </w:r>
      <w:r w:rsidR="0011248A" w:rsidRPr="008A084A">
        <w:rPr>
          <w:rStyle w:val="FootnoteReference"/>
          <w:rFonts w:ascii="Cambria" w:hAnsi="Cambria"/>
          <w:sz w:val="20"/>
          <w:szCs w:val="20"/>
        </w:rPr>
        <w:footnoteReference w:id="189"/>
      </w:r>
      <w:r w:rsidR="0011248A" w:rsidRPr="008A084A">
        <w:rPr>
          <w:rFonts w:ascii="Cambria" w:hAnsi="Cambria"/>
          <w:sz w:val="20"/>
          <w:szCs w:val="20"/>
          <w:lang w:val="es-ES"/>
        </w:rPr>
        <w:t xml:space="preserve">. </w:t>
      </w:r>
      <w:r w:rsidRPr="008A084A">
        <w:rPr>
          <w:rFonts w:ascii="Cambria" w:hAnsi="Cambria"/>
          <w:sz w:val="20"/>
          <w:szCs w:val="20"/>
          <w:lang w:val="es-ES"/>
        </w:rPr>
        <w:t>Dicha solicitud fue dirigida a la Dirección Nacional de la Tercera Edad y Discapacitados (DINATED)</w:t>
      </w:r>
      <w:r w:rsidRPr="008A084A">
        <w:rPr>
          <w:rStyle w:val="FootnoteReference"/>
          <w:rFonts w:ascii="Cambria" w:hAnsi="Cambria"/>
          <w:sz w:val="20"/>
          <w:szCs w:val="20"/>
        </w:rPr>
        <w:footnoteReference w:id="190"/>
      </w:r>
      <w:r w:rsidRPr="008A084A">
        <w:rPr>
          <w:rFonts w:ascii="Cambria" w:hAnsi="Cambria"/>
          <w:sz w:val="20"/>
          <w:szCs w:val="20"/>
          <w:lang w:val="es-ES"/>
        </w:rPr>
        <w:t>.</w:t>
      </w:r>
      <w:r w:rsidR="004D00EA" w:rsidRPr="008A084A">
        <w:rPr>
          <w:rFonts w:ascii="Cambria" w:hAnsi="Cambria"/>
          <w:sz w:val="20"/>
          <w:szCs w:val="20"/>
          <w:lang w:val="es-ES"/>
        </w:rPr>
        <w:t xml:space="preserve"> </w:t>
      </w:r>
      <w:r w:rsidR="00933AF6" w:rsidRPr="008A084A">
        <w:rPr>
          <w:rFonts w:ascii="Cambria" w:hAnsi="Cambria"/>
          <w:sz w:val="20"/>
          <w:szCs w:val="20"/>
          <w:lang w:val="es-ES"/>
        </w:rPr>
        <w:t>El 5</w:t>
      </w:r>
      <w:r w:rsidR="002A2FE6" w:rsidRPr="008A084A">
        <w:rPr>
          <w:rFonts w:ascii="Cambria" w:hAnsi="Cambria"/>
          <w:sz w:val="20"/>
          <w:szCs w:val="20"/>
          <w:lang w:val="es-ES"/>
        </w:rPr>
        <w:t xml:space="preserve"> de octubre de 2004 l</w:t>
      </w:r>
      <w:r w:rsidR="003562A0" w:rsidRPr="008A084A">
        <w:rPr>
          <w:rFonts w:ascii="Cambria" w:hAnsi="Cambria"/>
          <w:sz w:val="20"/>
          <w:szCs w:val="20"/>
          <w:lang w:val="es-ES"/>
        </w:rPr>
        <w:t xml:space="preserve">a </w:t>
      </w:r>
      <w:r w:rsidR="00206E7F" w:rsidRPr="008A084A">
        <w:rPr>
          <w:rFonts w:ascii="Cambria" w:hAnsi="Cambria"/>
          <w:sz w:val="20"/>
          <w:szCs w:val="20"/>
          <w:lang w:val="es-ES"/>
        </w:rPr>
        <w:t>DINATED</w:t>
      </w:r>
      <w:r w:rsidR="003562A0" w:rsidRPr="008A084A">
        <w:rPr>
          <w:rFonts w:ascii="Cambria" w:hAnsi="Cambria"/>
          <w:sz w:val="20"/>
          <w:szCs w:val="20"/>
          <w:lang w:val="es-ES"/>
        </w:rPr>
        <w:t xml:space="preserve"> </w:t>
      </w:r>
      <w:r w:rsidR="00933AF6" w:rsidRPr="008A084A">
        <w:rPr>
          <w:rFonts w:ascii="Cambria" w:hAnsi="Cambria"/>
          <w:sz w:val="20"/>
          <w:szCs w:val="20"/>
          <w:lang w:val="es-ES"/>
        </w:rPr>
        <w:t>convocó a una audiencia en</w:t>
      </w:r>
      <w:r w:rsidR="00606BD2" w:rsidRPr="008A084A">
        <w:rPr>
          <w:rFonts w:ascii="Cambria" w:hAnsi="Cambria"/>
          <w:sz w:val="20"/>
          <w:szCs w:val="20"/>
          <w:lang w:val="es-ES"/>
        </w:rPr>
        <w:t xml:space="preserve"> la cual </w:t>
      </w:r>
      <w:r w:rsidR="00933AF6" w:rsidRPr="008A084A">
        <w:rPr>
          <w:rFonts w:ascii="Cambria" w:hAnsi="Cambria"/>
          <w:sz w:val="20"/>
          <w:szCs w:val="20"/>
          <w:lang w:val="es-ES"/>
        </w:rPr>
        <w:t xml:space="preserve">participó la señora </w:t>
      </w:r>
      <w:r w:rsidR="002125A0" w:rsidRPr="008A084A">
        <w:rPr>
          <w:rFonts w:ascii="Cambria" w:hAnsi="Cambria"/>
          <w:sz w:val="20"/>
          <w:szCs w:val="20"/>
          <w:lang w:val="es-ES"/>
        </w:rPr>
        <w:t>Chimbó</w:t>
      </w:r>
      <w:r w:rsidR="003562A0" w:rsidRPr="008A084A">
        <w:rPr>
          <w:rStyle w:val="FootnoteReference"/>
          <w:rFonts w:ascii="Cambria" w:hAnsi="Cambria"/>
          <w:sz w:val="20"/>
          <w:szCs w:val="20"/>
        </w:rPr>
        <w:footnoteReference w:id="191"/>
      </w:r>
      <w:r w:rsidR="003562A0" w:rsidRPr="008A084A">
        <w:rPr>
          <w:rFonts w:ascii="Cambria" w:hAnsi="Cambria"/>
          <w:sz w:val="20"/>
          <w:szCs w:val="20"/>
          <w:lang w:val="es-ES"/>
        </w:rPr>
        <w:t xml:space="preserve">. </w:t>
      </w:r>
      <w:r w:rsidR="00D45A5D" w:rsidRPr="008A084A">
        <w:rPr>
          <w:rFonts w:ascii="Cambria" w:hAnsi="Cambria"/>
          <w:sz w:val="20"/>
          <w:szCs w:val="20"/>
          <w:lang w:val="es-ES"/>
        </w:rPr>
        <w:t xml:space="preserve"> En dicha diligencia la señora </w:t>
      </w:r>
      <w:r w:rsidR="002125A0" w:rsidRPr="008A084A">
        <w:rPr>
          <w:rFonts w:ascii="Cambria" w:hAnsi="Cambria"/>
          <w:sz w:val="20"/>
          <w:szCs w:val="20"/>
          <w:lang w:val="es-ES"/>
        </w:rPr>
        <w:t>Chimbó</w:t>
      </w:r>
      <w:r w:rsidR="00D45A5D" w:rsidRPr="008A084A">
        <w:rPr>
          <w:rFonts w:ascii="Cambria" w:hAnsi="Cambria"/>
          <w:sz w:val="20"/>
          <w:szCs w:val="20"/>
          <w:lang w:val="es-ES"/>
        </w:rPr>
        <w:t xml:space="preserve"> expresó su preocupación por la falta de esclarecimiento de la desaparición de su hijo</w:t>
      </w:r>
      <w:r w:rsidR="00D45A5D" w:rsidRPr="008A084A">
        <w:rPr>
          <w:rStyle w:val="FootnoteReference"/>
          <w:rFonts w:ascii="Cambria" w:hAnsi="Cambria"/>
          <w:sz w:val="20"/>
          <w:szCs w:val="20"/>
        </w:rPr>
        <w:footnoteReference w:id="192"/>
      </w:r>
      <w:r w:rsidR="00D45A5D" w:rsidRPr="008A084A">
        <w:rPr>
          <w:rFonts w:ascii="Cambria" w:hAnsi="Cambria"/>
          <w:sz w:val="20"/>
          <w:szCs w:val="20"/>
          <w:lang w:val="es-ES"/>
        </w:rPr>
        <w:t xml:space="preserve">. Por su parte, los representantes de la señora </w:t>
      </w:r>
      <w:r w:rsidR="002125A0" w:rsidRPr="008A084A">
        <w:rPr>
          <w:rFonts w:ascii="Cambria" w:hAnsi="Cambria"/>
          <w:sz w:val="20"/>
          <w:szCs w:val="20"/>
          <w:lang w:val="es-ES"/>
        </w:rPr>
        <w:t>Chimbó</w:t>
      </w:r>
      <w:r w:rsidR="00D45A5D" w:rsidRPr="008A084A">
        <w:rPr>
          <w:rFonts w:ascii="Cambria" w:hAnsi="Cambria"/>
          <w:sz w:val="20"/>
          <w:szCs w:val="20"/>
          <w:lang w:val="es-ES"/>
        </w:rPr>
        <w:t xml:space="preserve"> alegaron que el hospital comunicó a las autoridades estatales sobre la desaparición del señor Guachalá dos días después de ocurridos los hechos</w:t>
      </w:r>
      <w:r w:rsidR="00D45A5D" w:rsidRPr="008A084A">
        <w:rPr>
          <w:rStyle w:val="FootnoteReference"/>
          <w:rFonts w:ascii="Cambria" w:hAnsi="Cambria"/>
          <w:sz w:val="20"/>
          <w:szCs w:val="20"/>
        </w:rPr>
        <w:footnoteReference w:id="193"/>
      </w:r>
      <w:r w:rsidR="00D45A5D" w:rsidRPr="008A084A">
        <w:rPr>
          <w:rFonts w:ascii="Cambria" w:hAnsi="Cambria"/>
          <w:sz w:val="20"/>
          <w:szCs w:val="20"/>
          <w:lang w:val="es-ES"/>
        </w:rPr>
        <w:t>. También solicitaron que la DINATED realice diversas diligencias tales como i) la recepción de</w:t>
      </w:r>
      <w:r w:rsidR="00502E96" w:rsidRPr="008A084A">
        <w:rPr>
          <w:rFonts w:ascii="Cambria" w:hAnsi="Cambria"/>
          <w:sz w:val="20"/>
          <w:szCs w:val="20"/>
          <w:lang w:val="es-ES"/>
        </w:rPr>
        <w:t xml:space="preserve"> </w:t>
      </w:r>
      <w:r w:rsidR="00D45A5D" w:rsidRPr="008A084A">
        <w:rPr>
          <w:rFonts w:ascii="Cambria" w:hAnsi="Cambria"/>
          <w:sz w:val="20"/>
          <w:szCs w:val="20"/>
          <w:lang w:val="es-ES"/>
        </w:rPr>
        <w:t>l</w:t>
      </w:r>
      <w:r w:rsidR="00502E96" w:rsidRPr="008A084A">
        <w:rPr>
          <w:rFonts w:ascii="Cambria" w:hAnsi="Cambria"/>
          <w:sz w:val="20"/>
          <w:szCs w:val="20"/>
          <w:lang w:val="es-ES"/>
        </w:rPr>
        <w:t>a declaración del</w:t>
      </w:r>
      <w:r w:rsidR="00D45A5D" w:rsidRPr="008A084A">
        <w:rPr>
          <w:rFonts w:ascii="Cambria" w:hAnsi="Cambria"/>
          <w:sz w:val="20"/>
          <w:szCs w:val="20"/>
          <w:lang w:val="es-ES"/>
        </w:rPr>
        <w:t xml:space="preserve"> enfermero que presuntamente estaba con el señor Guachalá antes de su desaparición; ii) contactar a todo el personal de médico tratantes, de turno y de enfermería;</w:t>
      </w:r>
      <w:r w:rsidR="00032910" w:rsidRPr="008A084A">
        <w:rPr>
          <w:rFonts w:ascii="Cambria" w:hAnsi="Cambria"/>
          <w:sz w:val="20"/>
          <w:szCs w:val="20"/>
          <w:lang w:val="es-ES"/>
        </w:rPr>
        <w:t xml:space="preserve"> y</w:t>
      </w:r>
      <w:r w:rsidR="00D45A5D" w:rsidRPr="008A084A">
        <w:rPr>
          <w:rFonts w:ascii="Cambria" w:hAnsi="Cambria"/>
          <w:sz w:val="20"/>
          <w:szCs w:val="20"/>
          <w:lang w:val="es-ES"/>
        </w:rPr>
        <w:t xml:space="preserve"> iii) recab</w:t>
      </w:r>
      <w:r w:rsidR="00032910" w:rsidRPr="008A084A">
        <w:rPr>
          <w:rFonts w:ascii="Cambria" w:hAnsi="Cambria"/>
          <w:sz w:val="20"/>
          <w:szCs w:val="20"/>
          <w:lang w:val="es-ES"/>
        </w:rPr>
        <w:t>ar</w:t>
      </w:r>
      <w:r w:rsidR="00D45A5D" w:rsidRPr="008A084A">
        <w:rPr>
          <w:rFonts w:ascii="Cambria" w:hAnsi="Cambria"/>
          <w:sz w:val="20"/>
          <w:szCs w:val="20"/>
          <w:lang w:val="es-ES"/>
        </w:rPr>
        <w:t xml:space="preserve"> de la Policía Judicial y del Ministerio Público información sobre las acc</w:t>
      </w:r>
      <w:r w:rsidR="002B161B" w:rsidRPr="008A084A">
        <w:rPr>
          <w:rFonts w:ascii="Cambria" w:hAnsi="Cambria"/>
          <w:sz w:val="20"/>
          <w:szCs w:val="20"/>
          <w:lang w:val="es-ES"/>
        </w:rPr>
        <w:t>iones investigativas en el caso</w:t>
      </w:r>
      <w:r w:rsidR="002B161B" w:rsidRPr="008A084A">
        <w:rPr>
          <w:rStyle w:val="FootnoteReference"/>
          <w:rFonts w:ascii="Cambria" w:hAnsi="Cambria"/>
          <w:sz w:val="20"/>
          <w:szCs w:val="20"/>
        </w:rPr>
        <w:footnoteReference w:id="194"/>
      </w:r>
      <w:r w:rsidR="002B161B" w:rsidRPr="008A084A">
        <w:rPr>
          <w:rFonts w:ascii="Cambria" w:hAnsi="Cambria"/>
          <w:sz w:val="20"/>
          <w:szCs w:val="20"/>
          <w:lang w:val="es-ES"/>
        </w:rPr>
        <w:t>.</w:t>
      </w:r>
    </w:p>
    <w:p w:rsidR="006025FE" w:rsidRPr="008A084A" w:rsidRDefault="006025FE"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6025FE" w:rsidRPr="008A084A" w:rsidRDefault="006025FE" w:rsidP="00A97EBC">
      <w:pPr>
        <w:numPr>
          <w:ilvl w:val="0"/>
          <w:numId w:val="55"/>
        </w:numPr>
        <w:jc w:val="both"/>
        <w:rPr>
          <w:rFonts w:ascii="Cambria" w:hAnsi="Cambria"/>
          <w:sz w:val="20"/>
          <w:szCs w:val="20"/>
          <w:lang w:val="es-ES"/>
        </w:rPr>
      </w:pPr>
      <w:r w:rsidRPr="008A084A">
        <w:rPr>
          <w:rFonts w:ascii="Cambria" w:hAnsi="Cambria"/>
          <w:sz w:val="20"/>
          <w:szCs w:val="20"/>
          <w:lang w:val="es-ES"/>
        </w:rPr>
        <w:t>El 7 de octubre de 2004 el director de DINATED emitió una resolución indicando que se avoca conocimiento de la queja en tanto reúne los requisitos legales</w:t>
      </w:r>
      <w:r w:rsidRPr="008A084A">
        <w:rPr>
          <w:rStyle w:val="FootnoteReference"/>
          <w:rFonts w:ascii="Cambria" w:hAnsi="Cambria"/>
          <w:sz w:val="20"/>
          <w:szCs w:val="20"/>
        </w:rPr>
        <w:footnoteReference w:id="195"/>
      </w:r>
      <w:r w:rsidRPr="008A084A">
        <w:rPr>
          <w:rFonts w:ascii="Cambria" w:hAnsi="Cambria"/>
          <w:sz w:val="20"/>
          <w:szCs w:val="20"/>
          <w:lang w:val="es-ES"/>
        </w:rPr>
        <w:t>.</w:t>
      </w:r>
    </w:p>
    <w:p w:rsidR="004D00EA" w:rsidRPr="008A084A" w:rsidRDefault="004D00EA"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A97EBC" w:rsidRPr="008A084A" w:rsidRDefault="004D00EA" w:rsidP="00A97EBC">
      <w:pPr>
        <w:numPr>
          <w:ilvl w:val="0"/>
          <w:numId w:val="55"/>
        </w:numPr>
        <w:jc w:val="both"/>
        <w:rPr>
          <w:rFonts w:ascii="Cambria" w:hAnsi="Cambria"/>
          <w:sz w:val="20"/>
          <w:szCs w:val="20"/>
          <w:lang w:val="es-ES"/>
        </w:rPr>
      </w:pPr>
      <w:r w:rsidRPr="008A084A">
        <w:rPr>
          <w:rFonts w:ascii="Cambria" w:hAnsi="Cambria"/>
          <w:sz w:val="20"/>
          <w:szCs w:val="20"/>
          <w:lang w:val="es-ES"/>
        </w:rPr>
        <w:t>El 17 de febrero de 2005 el director de la DINATED envió una comunicación al Ministro de Salud</w:t>
      </w:r>
      <w:r w:rsidRPr="008A084A">
        <w:rPr>
          <w:rStyle w:val="FootnoteReference"/>
          <w:rFonts w:ascii="Cambria" w:hAnsi="Cambria"/>
          <w:sz w:val="20"/>
          <w:szCs w:val="20"/>
        </w:rPr>
        <w:footnoteReference w:id="196"/>
      </w:r>
      <w:r w:rsidRPr="008A084A">
        <w:rPr>
          <w:rFonts w:ascii="Cambria" w:hAnsi="Cambria"/>
          <w:sz w:val="20"/>
          <w:szCs w:val="20"/>
          <w:lang w:val="es-ES"/>
        </w:rPr>
        <w:t>. Se le indicó que reali</w:t>
      </w:r>
      <w:r w:rsidR="00502E96" w:rsidRPr="008A084A">
        <w:rPr>
          <w:rFonts w:ascii="Cambria" w:hAnsi="Cambria"/>
          <w:sz w:val="20"/>
          <w:szCs w:val="20"/>
          <w:lang w:val="es-ES"/>
        </w:rPr>
        <w:t>ce</w:t>
      </w:r>
      <w:r w:rsidRPr="008A084A">
        <w:rPr>
          <w:rFonts w:ascii="Cambria" w:hAnsi="Cambria"/>
          <w:sz w:val="20"/>
          <w:szCs w:val="20"/>
          <w:lang w:val="es-ES"/>
        </w:rPr>
        <w:t xml:space="preserve"> las gestiones pertinentes para realizar un examen de ADN a un cadáver que perman</w:t>
      </w:r>
      <w:r w:rsidR="00A97EBC" w:rsidRPr="008A084A">
        <w:rPr>
          <w:rFonts w:ascii="Cambria" w:hAnsi="Cambria"/>
          <w:sz w:val="20"/>
          <w:szCs w:val="20"/>
          <w:lang w:val="es-ES"/>
        </w:rPr>
        <w:t>e</w:t>
      </w:r>
      <w:r w:rsidRPr="008A084A">
        <w:rPr>
          <w:rFonts w:ascii="Cambria" w:hAnsi="Cambria"/>
          <w:sz w:val="20"/>
          <w:szCs w:val="20"/>
          <w:lang w:val="es-ES"/>
        </w:rPr>
        <w:t>ce en la morgue de la Policía, cuyo costo debería ser asumido por el Hospital Julio Endara</w:t>
      </w:r>
      <w:r w:rsidRPr="008A084A">
        <w:rPr>
          <w:rStyle w:val="FootnoteReference"/>
          <w:rFonts w:ascii="Cambria" w:hAnsi="Cambria"/>
          <w:sz w:val="20"/>
          <w:szCs w:val="20"/>
        </w:rPr>
        <w:footnoteReference w:id="197"/>
      </w:r>
      <w:r w:rsidRPr="008A084A">
        <w:rPr>
          <w:rFonts w:ascii="Cambria" w:hAnsi="Cambria"/>
          <w:sz w:val="20"/>
          <w:szCs w:val="20"/>
          <w:lang w:val="es-ES"/>
        </w:rPr>
        <w:t>. Ello debido a la “total responsabilidad que tiene (el hosp</w:t>
      </w:r>
      <w:r w:rsidR="00910B87" w:rsidRPr="008A084A">
        <w:rPr>
          <w:rFonts w:ascii="Cambria" w:hAnsi="Cambria"/>
          <w:sz w:val="20"/>
          <w:szCs w:val="20"/>
          <w:lang w:val="es-ES"/>
        </w:rPr>
        <w:t xml:space="preserve">ital) sobre este nefasto suceso; que ya lleva un año sin solución ya que la señora Zoila </w:t>
      </w:r>
      <w:r w:rsidR="002125A0" w:rsidRPr="008A084A">
        <w:rPr>
          <w:rFonts w:ascii="Cambria" w:hAnsi="Cambria"/>
          <w:sz w:val="20"/>
          <w:szCs w:val="20"/>
          <w:lang w:val="es-ES"/>
        </w:rPr>
        <w:t>Chimbó</w:t>
      </w:r>
      <w:r w:rsidR="00910B87" w:rsidRPr="008A084A">
        <w:rPr>
          <w:rFonts w:ascii="Cambria" w:hAnsi="Cambria"/>
          <w:sz w:val="20"/>
          <w:szCs w:val="20"/>
          <w:lang w:val="es-ES"/>
        </w:rPr>
        <w:t xml:space="preserve"> Jarro (...) es de muy escasos recursos económicos”</w:t>
      </w:r>
      <w:r w:rsidRPr="008A084A">
        <w:rPr>
          <w:rStyle w:val="FootnoteReference"/>
          <w:rFonts w:ascii="Cambria" w:hAnsi="Cambria"/>
          <w:sz w:val="20"/>
          <w:szCs w:val="20"/>
        </w:rPr>
        <w:footnoteReference w:id="198"/>
      </w:r>
      <w:r w:rsidRPr="008A084A">
        <w:rPr>
          <w:rFonts w:ascii="Cambria" w:hAnsi="Cambria"/>
          <w:sz w:val="20"/>
          <w:szCs w:val="20"/>
          <w:lang w:val="es-ES"/>
        </w:rPr>
        <w:t>.</w:t>
      </w:r>
      <w:r w:rsidR="00910B87" w:rsidRPr="008A084A">
        <w:rPr>
          <w:rFonts w:ascii="Cambria" w:hAnsi="Cambria"/>
          <w:sz w:val="20"/>
          <w:szCs w:val="20"/>
          <w:lang w:val="es-ES"/>
        </w:rPr>
        <w:t xml:space="preserve"> Asimismo, le solicitó que “se sirva impartir las disposiciones pertinentes para que se investigue adecuadamente este caso”</w:t>
      </w:r>
      <w:r w:rsidR="00910B87" w:rsidRPr="008A084A">
        <w:rPr>
          <w:rStyle w:val="FootnoteReference"/>
          <w:rFonts w:ascii="Cambria" w:hAnsi="Cambria"/>
          <w:sz w:val="20"/>
          <w:szCs w:val="20"/>
        </w:rPr>
        <w:footnoteReference w:id="199"/>
      </w:r>
      <w:r w:rsidR="00910B87" w:rsidRPr="008A084A">
        <w:rPr>
          <w:rFonts w:ascii="Cambria" w:hAnsi="Cambria"/>
          <w:sz w:val="20"/>
          <w:szCs w:val="20"/>
          <w:lang w:val="es-ES"/>
        </w:rPr>
        <w:t>.</w:t>
      </w:r>
    </w:p>
    <w:p w:rsidR="00A97EBC" w:rsidRPr="008A084A" w:rsidRDefault="00A97EBC" w:rsidP="00A97EBC">
      <w:pPr>
        <w:pStyle w:val="ColorfulList-Accent11"/>
        <w:rPr>
          <w:rFonts w:ascii="Cambria" w:hAnsi="Cambria"/>
          <w:sz w:val="20"/>
          <w:szCs w:val="20"/>
          <w:lang w:val="es-ES"/>
        </w:rPr>
      </w:pPr>
    </w:p>
    <w:p w:rsidR="0011248A" w:rsidRPr="008A084A" w:rsidRDefault="003562A0" w:rsidP="00A97EBC">
      <w:pPr>
        <w:numPr>
          <w:ilvl w:val="0"/>
          <w:numId w:val="55"/>
        </w:numPr>
        <w:jc w:val="both"/>
        <w:rPr>
          <w:rFonts w:ascii="Cambria" w:hAnsi="Cambria"/>
          <w:sz w:val="20"/>
          <w:szCs w:val="20"/>
          <w:lang w:val="es-ES"/>
        </w:rPr>
      </w:pPr>
      <w:r w:rsidRPr="008A084A">
        <w:rPr>
          <w:rFonts w:ascii="Cambria" w:hAnsi="Cambria"/>
          <w:sz w:val="20"/>
          <w:szCs w:val="20"/>
          <w:lang w:val="es-ES"/>
        </w:rPr>
        <w:lastRenderedPageBreak/>
        <w:t>La CIDH no cuenta con información sobr</w:t>
      </w:r>
      <w:r w:rsidR="0078141F" w:rsidRPr="008A084A">
        <w:rPr>
          <w:rFonts w:ascii="Cambria" w:hAnsi="Cambria"/>
          <w:sz w:val="20"/>
          <w:szCs w:val="20"/>
          <w:lang w:val="es-ES"/>
        </w:rPr>
        <w:t>e</w:t>
      </w:r>
      <w:r w:rsidRPr="008A084A">
        <w:rPr>
          <w:rFonts w:ascii="Cambria" w:hAnsi="Cambria"/>
          <w:sz w:val="20"/>
          <w:szCs w:val="20"/>
          <w:lang w:val="es-ES"/>
        </w:rPr>
        <w:t xml:space="preserve"> diligencias</w:t>
      </w:r>
      <w:r w:rsidR="0078141F" w:rsidRPr="008A084A">
        <w:rPr>
          <w:rFonts w:ascii="Cambria" w:hAnsi="Cambria"/>
          <w:sz w:val="20"/>
          <w:szCs w:val="20"/>
          <w:lang w:val="es-ES"/>
        </w:rPr>
        <w:t xml:space="preserve"> adicionales</w:t>
      </w:r>
      <w:r w:rsidRPr="008A084A">
        <w:rPr>
          <w:rFonts w:ascii="Cambria" w:hAnsi="Cambria"/>
          <w:sz w:val="20"/>
          <w:szCs w:val="20"/>
          <w:lang w:val="es-ES"/>
        </w:rPr>
        <w:t xml:space="preserve"> adoptadas en el marco de esta investigación.</w:t>
      </w:r>
    </w:p>
    <w:p w:rsidR="00F73817" w:rsidRPr="008A084A" w:rsidRDefault="00F73817"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6A0F60" w:rsidRPr="008A084A" w:rsidRDefault="00FC72CE" w:rsidP="00A97EBC">
      <w:pPr>
        <w:ind w:firstLine="720"/>
        <w:jc w:val="both"/>
        <w:rPr>
          <w:rFonts w:ascii="Cambria" w:hAnsi="Cambria"/>
          <w:b/>
          <w:sz w:val="20"/>
          <w:szCs w:val="20"/>
        </w:rPr>
      </w:pPr>
      <w:r w:rsidRPr="008A084A">
        <w:rPr>
          <w:rFonts w:ascii="Cambria" w:hAnsi="Cambria"/>
          <w:b/>
          <w:sz w:val="20"/>
          <w:szCs w:val="20"/>
          <w:lang w:val="es-ES"/>
        </w:rPr>
        <w:t xml:space="preserve">4. </w:t>
      </w:r>
      <w:r w:rsidRPr="008A084A">
        <w:rPr>
          <w:rFonts w:ascii="Cambria" w:hAnsi="Cambria"/>
          <w:b/>
          <w:sz w:val="20"/>
          <w:szCs w:val="20"/>
          <w:lang w:val="es-ES"/>
        </w:rPr>
        <w:tab/>
        <w:t>R</w:t>
      </w:r>
      <w:proofErr w:type="spellStart"/>
      <w:r w:rsidR="006A0F60" w:rsidRPr="008A084A">
        <w:rPr>
          <w:rFonts w:ascii="Cambria" w:hAnsi="Cambria"/>
          <w:b/>
          <w:sz w:val="20"/>
          <w:szCs w:val="20"/>
        </w:rPr>
        <w:t>ecurso</w:t>
      </w:r>
      <w:proofErr w:type="spellEnd"/>
      <w:r w:rsidR="006A0F60" w:rsidRPr="008A084A">
        <w:rPr>
          <w:rFonts w:ascii="Cambria" w:hAnsi="Cambria"/>
          <w:b/>
          <w:sz w:val="20"/>
          <w:szCs w:val="20"/>
        </w:rPr>
        <w:t xml:space="preserve"> de </w:t>
      </w:r>
      <w:proofErr w:type="spellStart"/>
      <w:r w:rsidR="006A0F60" w:rsidRPr="008A084A">
        <w:rPr>
          <w:rFonts w:ascii="Cambria" w:hAnsi="Cambria"/>
          <w:b/>
          <w:sz w:val="20"/>
          <w:szCs w:val="20"/>
        </w:rPr>
        <w:t>hábeas</w:t>
      </w:r>
      <w:proofErr w:type="spellEnd"/>
      <w:r w:rsidR="006A0F60" w:rsidRPr="008A084A">
        <w:rPr>
          <w:rFonts w:ascii="Cambria" w:hAnsi="Cambria"/>
          <w:b/>
          <w:sz w:val="20"/>
          <w:szCs w:val="20"/>
        </w:rPr>
        <w:t xml:space="preserve"> corpus</w:t>
      </w:r>
    </w:p>
    <w:p w:rsidR="006A0F60" w:rsidRPr="008A084A" w:rsidRDefault="006A0F60"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333FA2" w:rsidRPr="008A084A" w:rsidRDefault="00B12795" w:rsidP="00A97EBC">
      <w:pPr>
        <w:numPr>
          <w:ilvl w:val="0"/>
          <w:numId w:val="55"/>
        </w:numPr>
        <w:jc w:val="both"/>
        <w:rPr>
          <w:rFonts w:ascii="Cambria" w:hAnsi="Cambria"/>
          <w:sz w:val="20"/>
          <w:szCs w:val="20"/>
          <w:lang w:val="es-ES"/>
        </w:rPr>
      </w:pPr>
      <w:r w:rsidRPr="008A084A">
        <w:rPr>
          <w:rFonts w:ascii="Cambria" w:hAnsi="Cambria"/>
          <w:sz w:val="20"/>
          <w:szCs w:val="20"/>
          <w:lang w:val="es-ES"/>
        </w:rPr>
        <w:t>El 29 de noviembre de 2004 la INREDH</w:t>
      </w:r>
      <w:r w:rsidR="00E435E7" w:rsidRPr="008A084A">
        <w:rPr>
          <w:rFonts w:ascii="Cambria" w:hAnsi="Cambria"/>
          <w:sz w:val="20"/>
          <w:szCs w:val="20"/>
          <w:lang w:val="es-ES"/>
        </w:rPr>
        <w:t xml:space="preserve"> presentó un hábeas corpus ante el alcalde de Quito a favor del señor Guachalá</w:t>
      </w:r>
      <w:r w:rsidR="00E435E7" w:rsidRPr="008A084A">
        <w:rPr>
          <w:rStyle w:val="FootnoteReference"/>
          <w:rFonts w:ascii="Cambria" w:hAnsi="Cambria"/>
          <w:sz w:val="20"/>
          <w:szCs w:val="20"/>
        </w:rPr>
        <w:footnoteReference w:id="200"/>
      </w:r>
      <w:r w:rsidR="00E435E7" w:rsidRPr="008A084A">
        <w:rPr>
          <w:rFonts w:ascii="Cambria" w:hAnsi="Cambria"/>
          <w:sz w:val="20"/>
          <w:szCs w:val="20"/>
          <w:lang w:val="es-ES"/>
        </w:rPr>
        <w:t>.</w:t>
      </w:r>
      <w:r w:rsidR="00F73817" w:rsidRPr="008A084A">
        <w:rPr>
          <w:rFonts w:ascii="Cambria" w:hAnsi="Cambria"/>
          <w:sz w:val="20"/>
          <w:szCs w:val="20"/>
          <w:lang w:val="es-ES"/>
        </w:rPr>
        <w:t xml:space="preserve"> En su solicitud se indicó que a la fecha el hospital no ha dado información sobre las circunstancias en las cuales el señor Guachalá pudo haber salido de dicha institución</w:t>
      </w:r>
      <w:r w:rsidR="00F73817" w:rsidRPr="008A084A">
        <w:rPr>
          <w:rStyle w:val="FootnoteReference"/>
          <w:rFonts w:ascii="Cambria" w:hAnsi="Cambria"/>
          <w:sz w:val="20"/>
          <w:szCs w:val="20"/>
        </w:rPr>
        <w:footnoteReference w:id="201"/>
      </w:r>
      <w:r w:rsidR="00F73817" w:rsidRPr="008A084A">
        <w:rPr>
          <w:rFonts w:ascii="Cambria" w:hAnsi="Cambria"/>
          <w:sz w:val="20"/>
          <w:szCs w:val="20"/>
          <w:lang w:val="es-ES"/>
        </w:rPr>
        <w:t>. Se indicó que ello constituye una negligencia inadmisible del personal de atención de dicho hospital, el cual es una dependencia del Ministerio de Salud Pública del Ecuador</w:t>
      </w:r>
      <w:r w:rsidR="00F73817" w:rsidRPr="008A084A">
        <w:rPr>
          <w:rStyle w:val="FootnoteReference"/>
          <w:rFonts w:ascii="Cambria" w:hAnsi="Cambria"/>
          <w:sz w:val="20"/>
          <w:szCs w:val="20"/>
        </w:rPr>
        <w:footnoteReference w:id="202"/>
      </w:r>
      <w:r w:rsidR="00F73817" w:rsidRPr="008A084A">
        <w:rPr>
          <w:rFonts w:ascii="Cambria" w:hAnsi="Cambria"/>
          <w:sz w:val="20"/>
          <w:szCs w:val="20"/>
          <w:lang w:val="es-ES"/>
        </w:rPr>
        <w:t>.</w:t>
      </w:r>
      <w:r w:rsidR="003C1841" w:rsidRPr="008A084A">
        <w:rPr>
          <w:rFonts w:ascii="Cambria" w:hAnsi="Cambria"/>
          <w:sz w:val="20"/>
          <w:szCs w:val="20"/>
          <w:lang w:val="es-ES"/>
        </w:rPr>
        <w:t xml:space="preserve"> </w:t>
      </w:r>
      <w:r w:rsidR="00B00408" w:rsidRPr="008A084A">
        <w:rPr>
          <w:rFonts w:ascii="Cambria" w:hAnsi="Cambria"/>
          <w:sz w:val="20"/>
          <w:szCs w:val="20"/>
          <w:lang w:val="es-ES"/>
        </w:rPr>
        <w:t>Asimismo, s</w:t>
      </w:r>
      <w:r w:rsidR="00333FA2" w:rsidRPr="008A084A">
        <w:rPr>
          <w:rFonts w:ascii="Cambria" w:hAnsi="Cambria"/>
          <w:sz w:val="20"/>
          <w:szCs w:val="20"/>
          <w:lang w:val="es-ES"/>
        </w:rPr>
        <w:t>e señaló que la Fiscalía de Pichincha no ha logrado establecer el paradero del señor Guachalá</w:t>
      </w:r>
      <w:r w:rsidR="00333FA2" w:rsidRPr="008A084A">
        <w:rPr>
          <w:rStyle w:val="FootnoteReference"/>
          <w:rFonts w:ascii="Cambria" w:hAnsi="Cambria"/>
          <w:sz w:val="20"/>
          <w:szCs w:val="20"/>
        </w:rPr>
        <w:footnoteReference w:id="203"/>
      </w:r>
      <w:r w:rsidR="00333FA2" w:rsidRPr="008A084A">
        <w:rPr>
          <w:rFonts w:ascii="Cambria" w:hAnsi="Cambria"/>
          <w:sz w:val="20"/>
          <w:szCs w:val="20"/>
          <w:lang w:val="es-ES"/>
        </w:rPr>
        <w:t>.</w:t>
      </w:r>
    </w:p>
    <w:p w:rsidR="003C1841" w:rsidRPr="008A084A" w:rsidRDefault="003C1841"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3C1841" w:rsidRPr="008A084A" w:rsidRDefault="003C1841" w:rsidP="00A97EBC">
      <w:pPr>
        <w:numPr>
          <w:ilvl w:val="0"/>
          <w:numId w:val="55"/>
        </w:numPr>
        <w:jc w:val="both"/>
        <w:rPr>
          <w:rFonts w:ascii="Cambria" w:hAnsi="Cambria"/>
          <w:sz w:val="20"/>
          <w:szCs w:val="20"/>
          <w:lang w:val="es-ES"/>
        </w:rPr>
      </w:pPr>
      <w:r w:rsidRPr="008A084A">
        <w:rPr>
          <w:rFonts w:ascii="Cambria" w:hAnsi="Cambria"/>
          <w:sz w:val="20"/>
          <w:szCs w:val="20"/>
          <w:lang w:val="es-ES"/>
        </w:rPr>
        <w:t>El 14 de diciembre de 20</w:t>
      </w:r>
      <w:r w:rsidR="00F65FA6" w:rsidRPr="008A084A">
        <w:rPr>
          <w:rFonts w:ascii="Cambria" w:hAnsi="Cambria"/>
          <w:sz w:val="20"/>
          <w:szCs w:val="20"/>
          <w:lang w:val="es-ES"/>
        </w:rPr>
        <w:t>04</w:t>
      </w:r>
      <w:r w:rsidRPr="008A084A">
        <w:rPr>
          <w:rFonts w:ascii="Cambria" w:hAnsi="Cambria"/>
          <w:sz w:val="20"/>
          <w:szCs w:val="20"/>
          <w:lang w:val="es-ES"/>
        </w:rPr>
        <w:t xml:space="preserve"> la alcaldía del distrito metropolitano de Quito dispuso que el señor Guachalá sea “conducido a su presencia el 15 de diciembre de 2004, con la correspondiente orden de privación de libertad”</w:t>
      </w:r>
      <w:r w:rsidRPr="008A084A">
        <w:rPr>
          <w:rStyle w:val="FootnoteReference"/>
          <w:rFonts w:ascii="Cambria" w:hAnsi="Cambria"/>
          <w:sz w:val="20"/>
          <w:szCs w:val="20"/>
        </w:rPr>
        <w:footnoteReference w:id="204"/>
      </w:r>
      <w:r w:rsidRPr="008A084A">
        <w:rPr>
          <w:rFonts w:ascii="Cambria" w:hAnsi="Cambria"/>
          <w:sz w:val="20"/>
          <w:szCs w:val="20"/>
          <w:lang w:val="es-ES"/>
        </w:rPr>
        <w:t>.</w:t>
      </w:r>
    </w:p>
    <w:p w:rsidR="003C1841" w:rsidRPr="008A084A" w:rsidRDefault="003C1841"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3C1841" w:rsidRPr="008A084A" w:rsidRDefault="003C1841" w:rsidP="00A97EBC">
      <w:pPr>
        <w:numPr>
          <w:ilvl w:val="0"/>
          <w:numId w:val="55"/>
        </w:numPr>
        <w:jc w:val="both"/>
        <w:rPr>
          <w:rFonts w:ascii="Cambria" w:hAnsi="Cambria"/>
          <w:sz w:val="20"/>
          <w:szCs w:val="20"/>
          <w:lang w:val="es-ES"/>
        </w:rPr>
      </w:pPr>
      <w:r w:rsidRPr="008A084A">
        <w:rPr>
          <w:rFonts w:ascii="Cambria" w:hAnsi="Cambria"/>
          <w:sz w:val="20"/>
          <w:szCs w:val="20"/>
          <w:lang w:val="es-ES"/>
        </w:rPr>
        <w:t xml:space="preserve">Al día siguiente el director del </w:t>
      </w:r>
      <w:r w:rsidR="00A5414A" w:rsidRPr="008A084A">
        <w:rPr>
          <w:rFonts w:ascii="Cambria" w:hAnsi="Cambria"/>
          <w:sz w:val="20"/>
          <w:szCs w:val="20"/>
          <w:lang w:val="es-ES"/>
        </w:rPr>
        <w:t>h</w:t>
      </w:r>
      <w:r w:rsidRPr="008A084A">
        <w:rPr>
          <w:rFonts w:ascii="Cambria" w:hAnsi="Cambria"/>
          <w:sz w:val="20"/>
          <w:szCs w:val="20"/>
          <w:lang w:val="es-ES"/>
        </w:rPr>
        <w:t>ospital envió una comunicación indicando que el señor Guachalá “fue paciente de esa casa de salud hasta el 17 de enero de 2004, fecha en la que abandonó la institución”</w:t>
      </w:r>
      <w:r w:rsidRPr="008A084A">
        <w:rPr>
          <w:rStyle w:val="FootnoteReference"/>
          <w:rFonts w:ascii="Cambria" w:hAnsi="Cambria"/>
          <w:sz w:val="20"/>
          <w:szCs w:val="20"/>
        </w:rPr>
        <w:footnoteReference w:id="205"/>
      </w:r>
      <w:r w:rsidRPr="008A084A">
        <w:rPr>
          <w:rFonts w:ascii="Cambria" w:hAnsi="Cambria"/>
          <w:sz w:val="20"/>
          <w:szCs w:val="20"/>
          <w:lang w:val="es-ES"/>
        </w:rPr>
        <w:t xml:space="preserve">. Indicó que </w:t>
      </w:r>
      <w:r w:rsidR="00560036" w:rsidRPr="008A084A">
        <w:rPr>
          <w:rFonts w:ascii="Cambria" w:hAnsi="Cambria"/>
          <w:sz w:val="20"/>
          <w:szCs w:val="20"/>
          <w:lang w:val="es-ES"/>
        </w:rPr>
        <w:t>se ha</w:t>
      </w:r>
      <w:r w:rsidRPr="008A084A">
        <w:rPr>
          <w:rFonts w:ascii="Cambria" w:hAnsi="Cambria"/>
          <w:sz w:val="20"/>
          <w:szCs w:val="20"/>
          <w:lang w:val="es-ES"/>
        </w:rPr>
        <w:t xml:space="preserve"> intentado localizarlo “pero que siempre está previsto como un riesgo de los pacientes con enfermedades psiquiátricas que son internados</w:t>
      </w:r>
      <w:r w:rsidR="00B90B97" w:rsidRPr="008A084A">
        <w:rPr>
          <w:rFonts w:ascii="Cambria" w:hAnsi="Cambria"/>
          <w:sz w:val="20"/>
          <w:szCs w:val="20"/>
          <w:lang w:val="es-ES"/>
        </w:rPr>
        <w:t>, de lo cual son</w:t>
      </w:r>
      <w:r w:rsidR="009E2800" w:rsidRPr="008A084A">
        <w:rPr>
          <w:rFonts w:ascii="Cambria" w:hAnsi="Cambria"/>
          <w:sz w:val="20"/>
          <w:szCs w:val="20"/>
          <w:lang w:val="es-ES"/>
        </w:rPr>
        <w:t xml:space="preserve"> </w:t>
      </w:r>
      <w:proofErr w:type="spellStart"/>
      <w:r w:rsidR="009E2800" w:rsidRPr="008A084A">
        <w:rPr>
          <w:rFonts w:ascii="Cambria" w:hAnsi="Cambria"/>
          <w:sz w:val="20"/>
          <w:szCs w:val="20"/>
          <w:lang w:val="es-ES"/>
        </w:rPr>
        <w:t>concientes</w:t>
      </w:r>
      <w:proofErr w:type="spellEnd"/>
      <w:r w:rsidR="009E2800" w:rsidRPr="008A084A">
        <w:rPr>
          <w:rFonts w:ascii="Cambria" w:hAnsi="Cambria"/>
          <w:sz w:val="20"/>
          <w:szCs w:val="20"/>
          <w:lang w:val="es-ES"/>
        </w:rPr>
        <w:t xml:space="preserve"> (sic) y conocedores los familiares quienes aceptan las condiciones de internamiento y sus riesgos</w:t>
      </w:r>
      <w:r w:rsidRPr="008A084A">
        <w:rPr>
          <w:rFonts w:ascii="Cambria" w:hAnsi="Cambria"/>
          <w:sz w:val="20"/>
          <w:szCs w:val="20"/>
          <w:lang w:val="es-ES"/>
        </w:rPr>
        <w:t>”</w:t>
      </w:r>
      <w:r w:rsidR="009E2800" w:rsidRPr="008A084A">
        <w:rPr>
          <w:rStyle w:val="FootnoteReference"/>
          <w:rFonts w:ascii="Cambria" w:hAnsi="Cambria"/>
          <w:sz w:val="20"/>
          <w:szCs w:val="20"/>
        </w:rPr>
        <w:footnoteReference w:id="206"/>
      </w:r>
      <w:r w:rsidR="009E2800" w:rsidRPr="008A084A">
        <w:rPr>
          <w:rFonts w:ascii="Cambria" w:hAnsi="Cambria"/>
          <w:sz w:val="20"/>
          <w:szCs w:val="20"/>
          <w:lang w:val="es-ES"/>
        </w:rPr>
        <w:t>.</w:t>
      </w:r>
    </w:p>
    <w:p w:rsidR="009E2800" w:rsidRPr="008A084A" w:rsidRDefault="009E2800"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9E2800" w:rsidRPr="008A084A" w:rsidRDefault="009E2800" w:rsidP="009B2758">
      <w:pPr>
        <w:numPr>
          <w:ilvl w:val="0"/>
          <w:numId w:val="55"/>
        </w:numPr>
        <w:jc w:val="both"/>
        <w:rPr>
          <w:rFonts w:ascii="Cambria" w:hAnsi="Cambria"/>
          <w:sz w:val="20"/>
          <w:szCs w:val="20"/>
          <w:lang w:val="es-ES"/>
        </w:rPr>
      </w:pPr>
      <w:r w:rsidRPr="008A084A">
        <w:rPr>
          <w:rFonts w:ascii="Cambria" w:hAnsi="Cambria"/>
          <w:sz w:val="20"/>
          <w:szCs w:val="20"/>
          <w:lang w:val="es-ES"/>
        </w:rPr>
        <w:t xml:space="preserve">El 16 de diciembre de 2004 la INREDH presentó un </w:t>
      </w:r>
      <w:r w:rsidR="000342A0" w:rsidRPr="008A084A">
        <w:rPr>
          <w:rFonts w:ascii="Cambria" w:hAnsi="Cambria"/>
          <w:sz w:val="20"/>
          <w:szCs w:val="20"/>
          <w:lang w:val="es-ES"/>
        </w:rPr>
        <w:t xml:space="preserve">escrito al alcalde del distrito metropolitano de Quito en donde dejaron constancia </w:t>
      </w:r>
      <w:r w:rsidR="0078141F" w:rsidRPr="008A084A">
        <w:rPr>
          <w:rFonts w:ascii="Cambria" w:hAnsi="Cambria"/>
          <w:sz w:val="20"/>
          <w:szCs w:val="20"/>
          <w:lang w:val="es-ES"/>
        </w:rPr>
        <w:t xml:space="preserve">de haber sido </w:t>
      </w:r>
      <w:r w:rsidR="000342A0" w:rsidRPr="008A084A">
        <w:rPr>
          <w:rFonts w:ascii="Cambria" w:hAnsi="Cambria"/>
          <w:sz w:val="20"/>
          <w:szCs w:val="20"/>
          <w:lang w:val="es-ES"/>
        </w:rPr>
        <w:t>informados de que no habría una audiencia de hábeas corpus</w:t>
      </w:r>
      <w:r w:rsidR="000342A0" w:rsidRPr="008A084A">
        <w:rPr>
          <w:rStyle w:val="FootnoteReference"/>
          <w:rFonts w:ascii="Cambria" w:hAnsi="Cambria"/>
          <w:sz w:val="20"/>
          <w:szCs w:val="20"/>
        </w:rPr>
        <w:footnoteReference w:id="207"/>
      </w:r>
      <w:r w:rsidR="000342A0" w:rsidRPr="008A084A">
        <w:rPr>
          <w:rFonts w:ascii="Cambria" w:hAnsi="Cambria"/>
          <w:sz w:val="20"/>
          <w:szCs w:val="20"/>
          <w:lang w:val="es-ES"/>
        </w:rPr>
        <w:t>. Ello debido a que el señor Guachalá “no iba a ser presentado, ya que no se encontraba en el hospital (...), según la información que se había recabado de esa casa de salud, en base a lo cual se iba a resolver”</w:t>
      </w:r>
      <w:r w:rsidR="000342A0" w:rsidRPr="008A084A">
        <w:rPr>
          <w:rStyle w:val="FootnoteReference"/>
          <w:rFonts w:ascii="Cambria" w:hAnsi="Cambria"/>
          <w:sz w:val="20"/>
          <w:szCs w:val="20"/>
        </w:rPr>
        <w:footnoteReference w:id="208"/>
      </w:r>
      <w:r w:rsidR="000342A0" w:rsidRPr="008A084A">
        <w:rPr>
          <w:rFonts w:ascii="Cambria" w:hAnsi="Cambria"/>
          <w:sz w:val="20"/>
          <w:szCs w:val="20"/>
          <w:lang w:val="es-ES"/>
        </w:rPr>
        <w:t>. Solicitaron al alcalde que considere al momento de resolver que la acción de hábeas corpus es la garantía idónea para hallar a una persona desaparecida</w:t>
      </w:r>
      <w:r w:rsidR="000342A0" w:rsidRPr="008A084A">
        <w:rPr>
          <w:rStyle w:val="FootnoteReference"/>
          <w:rFonts w:ascii="Cambria" w:hAnsi="Cambria"/>
          <w:sz w:val="20"/>
          <w:szCs w:val="20"/>
        </w:rPr>
        <w:footnoteReference w:id="209"/>
      </w:r>
      <w:r w:rsidR="000342A0" w:rsidRPr="008A084A">
        <w:rPr>
          <w:rFonts w:ascii="Cambria" w:hAnsi="Cambria"/>
          <w:sz w:val="20"/>
          <w:szCs w:val="20"/>
          <w:lang w:val="es-ES"/>
        </w:rPr>
        <w:t>.</w:t>
      </w:r>
    </w:p>
    <w:p w:rsidR="000B53FA" w:rsidRPr="008A084A" w:rsidRDefault="000B53FA"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0B53FA" w:rsidRPr="008A084A" w:rsidRDefault="000B53FA" w:rsidP="009B2758">
      <w:pPr>
        <w:numPr>
          <w:ilvl w:val="0"/>
          <w:numId w:val="55"/>
        </w:numPr>
        <w:jc w:val="both"/>
        <w:rPr>
          <w:rFonts w:ascii="Cambria" w:hAnsi="Cambria"/>
          <w:sz w:val="20"/>
          <w:szCs w:val="20"/>
          <w:lang w:val="es-ES"/>
        </w:rPr>
      </w:pPr>
      <w:r w:rsidRPr="008A084A">
        <w:rPr>
          <w:rFonts w:ascii="Cambria" w:hAnsi="Cambria"/>
          <w:sz w:val="20"/>
          <w:szCs w:val="20"/>
          <w:lang w:val="es-ES"/>
        </w:rPr>
        <w:t>El 27 de abril de 2005 la INREDH presentó un escrito al Tribunal Constitucional indicando que no ha</w:t>
      </w:r>
      <w:r w:rsidR="00B111D9" w:rsidRPr="008A084A">
        <w:rPr>
          <w:rFonts w:ascii="Cambria" w:hAnsi="Cambria"/>
          <w:sz w:val="20"/>
          <w:szCs w:val="20"/>
          <w:lang w:val="es-ES"/>
        </w:rPr>
        <w:t>bían ob</w:t>
      </w:r>
      <w:r w:rsidRPr="008A084A">
        <w:rPr>
          <w:rFonts w:ascii="Cambria" w:hAnsi="Cambria"/>
          <w:sz w:val="20"/>
          <w:szCs w:val="20"/>
          <w:lang w:val="es-ES"/>
        </w:rPr>
        <w:t>tenido respuesta del oficio enviado el 16 de diciembre de 2004</w:t>
      </w:r>
      <w:r w:rsidRPr="008A084A">
        <w:rPr>
          <w:rStyle w:val="FootnoteReference"/>
          <w:rFonts w:ascii="Cambria" w:hAnsi="Cambria"/>
          <w:sz w:val="20"/>
          <w:szCs w:val="20"/>
        </w:rPr>
        <w:footnoteReference w:id="210"/>
      </w:r>
      <w:r w:rsidRPr="008A084A">
        <w:rPr>
          <w:rFonts w:ascii="Cambria" w:hAnsi="Cambria"/>
          <w:sz w:val="20"/>
          <w:szCs w:val="20"/>
          <w:lang w:val="es-ES"/>
        </w:rPr>
        <w:t>. Indicaron que el recurso de hábeas corpus no ha sido resuelto a pesar de que han acudido personalmente a la municipalidad para solicitar la tramitación del mismo</w:t>
      </w:r>
      <w:r w:rsidRPr="008A084A">
        <w:rPr>
          <w:rStyle w:val="FootnoteReference"/>
          <w:rFonts w:ascii="Cambria" w:hAnsi="Cambria"/>
          <w:sz w:val="20"/>
          <w:szCs w:val="20"/>
        </w:rPr>
        <w:footnoteReference w:id="211"/>
      </w:r>
      <w:r w:rsidRPr="008A084A">
        <w:rPr>
          <w:rFonts w:ascii="Cambria" w:hAnsi="Cambria"/>
          <w:sz w:val="20"/>
          <w:szCs w:val="20"/>
          <w:lang w:val="es-ES"/>
        </w:rPr>
        <w:t>. Explicaron que en la municipalidad les informaron que el expediente había sido archivado y “que no se emitiría ninguna resolución”</w:t>
      </w:r>
      <w:r w:rsidRPr="008A084A">
        <w:rPr>
          <w:rStyle w:val="FootnoteReference"/>
          <w:rFonts w:ascii="Cambria" w:hAnsi="Cambria"/>
          <w:sz w:val="20"/>
          <w:szCs w:val="20"/>
        </w:rPr>
        <w:footnoteReference w:id="212"/>
      </w:r>
      <w:r w:rsidRPr="008A084A">
        <w:rPr>
          <w:rFonts w:ascii="Cambria" w:hAnsi="Cambria"/>
          <w:sz w:val="20"/>
          <w:szCs w:val="20"/>
          <w:lang w:val="es-ES"/>
        </w:rPr>
        <w:t>.</w:t>
      </w:r>
      <w:r w:rsidR="00A612B5" w:rsidRPr="008A084A">
        <w:rPr>
          <w:rFonts w:ascii="Cambria" w:hAnsi="Cambria"/>
          <w:sz w:val="20"/>
          <w:szCs w:val="20"/>
          <w:lang w:val="es-ES"/>
        </w:rPr>
        <w:t xml:space="preserve"> Señalaron que consideran que ello implicaría que el recurso de hábeas corpus fue denegado por lo que solicitaron al Tribunal Constitucional que se pro</w:t>
      </w:r>
      <w:r w:rsidR="009B2758" w:rsidRPr="008A084A">
        <w:rPr>
          <w:rFonts w:ascii="Cambria" w:hAnsi="Cambria"/>
          <w:sz w:val="20"/>
          <w:szCs w:val="20"/>
          <w:lang w:val="es-ES"/>
        </w:rPr>
        <w:t xml:space="preserve">nuncie sobre </w:t>
      </w:r>
      <w:r w:rsidR="00A612B5" w:rsidRPr="008A084A">
        <w:rPr>
          <w:rFonts w:ascii="Cambria" w:hAnsi="Cambria"/>
          <w:sz w:val="20"/>
          <w:szCs w:val="20"/>
          <w:lang w:val="es-ES"/>
        </w:rPr>
        <w:t>dicha acción</w:t>
      </w:r>
      <w:r w:rsidR="00A612B5" w:rsidRPr="008A084A">
        <w:rPr>
          <w:rStyle w:val="FootnoteReference"/>
          <w:rFonts w:ascii="Cambria" w:hAnsi="Cambria"/>
          <w:sz w:val="20"/>
          <w:szCs w:val="20"/>
        </w:rPr>
        <w:footnoteReference w:id="213"/>
      </w:r>
      <w:r w:rsidR="00A612B5" w:rsidRPr="008A084A">
        <w:rPr>
          <w:rFonts w:ascii="Cambria" w:hAnsi="Cambria"/>
          <w:sz w:val="20"/>
          <w:szCs w:val="20"/>
          <w:lang w:val="es-ES"/>
        </w:rPr>
        <w:t>.</w:t>
      </w:r>
    </w:p>
    <w:p w:rsidR="00A612B5" w:rsidRPr="008A084A" w:rsidRDefault="00A612B5"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0B42EC" w:rsidRPr="008A084A" w:rsidRDefault="00A612B5" w:rsidP="009B2758">
      <w:pPr>
        <w:numPr>
          <w:ilvl w:val="0"/>
          <w:numId w:val="55"/>
        </w:numPr>
        <w:jc w:val="both"/>
        <w:rPr>
          <w:rFonts w:ascii="Cambria" w:hAnsi="Cambria"/>
          <w:sz w:val="20"/>
          <w:szCs w:val="20"/>
          <w:lang w:val="es-ES"/>
        </w:rPr>
      </w:pPr>
      <w:r w:rsidRPr="008A084A">
        <w:rPr>
          <w:rFonts w:ascii="Cambria" w:hAnsi="Cambria"/>
          <w:sz w:val="20"/>
          <w:szCs w:val="20"/>
          <w:lang w:val="es-ES"/>
        </w:rPr>
        <w:t>El 11 de abril de 2006 la Tercera Sala del Tribunal Constitucional avocó conocimiento de la causa</w:t>
      </w:r>
      <w:r w:rsidRPr="008A084A">
        <w:rPr>
          <w:rStyle w:val="FootnoteReference"/>
          <w:rFonts w:ascii="Cambria" w:hAnsi="Cambria"/>
          <w:sz w:val="20"/>
          <w:szCs w:val="20"/>
        </w:rPr>
        <w:footnoteReference w:id="214"/>
      </w:r>
      <w:r w:rsidRPr="008A084A">
        <w:rPr>
          <w:rFonts w:ascii="Cambria" w:hAnsi="Cambria"/>
          <w:sz w:val="20"/>
          <w:szCs w:val="20"/>
          <w:lang w:val="es-ES"/>
        </w:rPr>
        <w:t>. Posteriormente, e</w:t>
      </w:r>
      <w:r w:rsidR="009919E0" w:rsidRPr="008A084A">
        <w:rPr>
          <w:rFonts w:ascii="Cambria" w:hAnsi="Cambria"/>
          <w:sz w:val="20"/>
          <w:szCs w:val="20"/>
          <w:lang w:val="es-ES"/>
        </w:rPr>
        <w:t xml:space="preserve">l 6 de julio de 2006 el Tribunal Constitucional </w:t>
      </w:r>
      <w:r w:rsidR="009B2758" w:rsidRPr="008A084A">
        <w:rPr>
          <w:rFonts w:ascii="Cambria" w:hAnsi="Cambria"/>
          <w:sz w:val="20"/>
          <w:szCs w:val="20"/>
          <w:lang w:val="es-ES"/>
        </w:rPr>
        <w:t xml:space="preserve">emitió una resolución donde </w:t>
      </w:r>
      <w:r w:rsidR="00FB1307" w:rsidRPr="008A084A">
        <w:rPr>
          <w:rFonts w:ascii="Cambria" w:hAnsi="Cambria"/>
          <w:sz w:val="20"/>
          <w:szCs w:val="20"/>
          <w:lang w:val="es-ES"/>
        </w:rPr>
        <w:t xml:space="preserve">se </w:t>
      </w:r>
      <w:r w:rsidR="00FB1307" w:rsidRPr="008A084A">
        <w:rPr>
          <w:rFonts w:ascii="Cambria" w:hAnsi="Cambria"/>
          <w:sz w:val="20"/>
          <w:szCs w:val="20"/>
          <w:lang w:val="es-ES"/>
        </w:rPr>
        <w:lastRenderedPageBreak/>
        <w:t>pronunció sobre el hábeas corpus</w:t>
      </w:r>
      <w:r w:rsidR="00FB1307" w:rsidRPr="008A084A">
        <w:rPr>
          <w:rStyle w:val="FootnoteReference"/>
          <w:rFonts w:ascii="Cambria" w:hAnsi="Cambria"/>
          <w:sz w:val="20"/>
          <w:szCs w:val="20"/>
        </w:rPr>
        <w:footnoteReference w:id="215"/>
      </w:r>
      <w:r w:rsidR="00FB1307" w:rsidRPr="008A084A">
        <w:rPr>
          <w:rFonts w:ascii="Cambria" w:hAnsi="Cambria"/>
          <w:sz w:val="20"/>
          <w:szCs w:val="20"/>
          <w:lang w:val="es-ES"/>
        </w:rPr>
        <w:t>.</w:t>
      </w:r>
      <w:r w:rsidRPr="008A084A">
        <w:rPr>
          <w:rFonts w:ascii="Cambria" w:hAnsi="Cambria"/>
          <w:sz w:val="20"/>
          <w:szCs w:val="20"/>
          <w:lang w:val="es-ES"/>
        </w:rPr>
        <w:t xml:space="preserve"> </w:t>
      </w:r>
      <w:r w:rsidR="006E2EE2" w:rsidRPr="008A084A">
        <w:rPr>
          <w:rFonts w:ascii="Cambria" w:hAnsi="Cambria"/>
          <w:sz w:val="20"/>
          <w:szCs w:val="20"/>
          <w:lang w:val="es-ES"/>
        </w:rPr>
        <w:t xml:space="preserve">En relación con el trámite del recurso ante el alcalde, </w:t>
      </w:r>
      <w:r w:rsidR="00B111D9" w:rsidRPr="008A084A">
        <w:rPr>
          <w:rFonts w:ascii="Cambria" w:hAnsi="Cambria"/>
          <w:sz w:val="20"/>
          <w:szCs w:val="20"/>
          <w:lang w:val="es-ES"/>
        </w:rPr>
        <w:t>e</w:t>
      </w:r>
      <w:r w:rsidRPr="008A084A">
        <w:rPr>
          <w:rFonts w:ascii="Cambria" w:hAnsi="Cambria"/>
          <w:sz w:val="20"/>
          <w:szCs w:val="20"/>
          <w:lang w:val="es-ES"/>
        </w:rPr>
        <w:t>l Tribunal Constitucional sostuvo lo siguiente:</w:t>
      </w:r>
    </w:p>
    <w:p w:rsidR="00A612B5" w:rsidRPr="008A084A" w:rsidRDefault="00A612B5" w:rsidP="002C39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left="0" w:firstLine="0"/>
        <w:jc w:val="both"/>
        <w:rPr>
          <w:rFonts w:ascii="Cambria" w:hAnsi="Cambria"/>
          <w:color w:val="auto"/>
          <w:sz w:val="20"/>
          <w:szCs w:val="20"/>
        </w:rPr>
      </w:pPr>
    </w:p>
    <w:p w:rsidR="00A612B5" w:rsidRPr="008A084A" w:rsidRDefault="006E2EE2" w:rsidP="006E2EE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firstLine="0"/>
        <w:jc w:val="both"/>
        <w:rPr>
          <w:rFonts w:ascii="Cambria" w:hAnsi="Cambria"/>
          <w:color w:val="auto"/>
          <w:sz w:val="20"/>
          <w:szCs w:val="20"/>
        </w:rPr>
      </w:pPr>
      <w:r w:rsidRPr="008A084A">
        <w:rPr>
          <w:rFonts w:ascii="Cambria" w:hAnsi="Cambria"/>
          <w:color w:val="auto"/>
          <w:sz w:val="20"/>
          <w:szCs w:val="20"/>
        </w:rPr>
        <w:t>(...) el alcalde en su calidad de juez constitucional para conocer la garantía del hábeas corpus se encontraba en la obligación de velar por el cumplimiento de la disposición citada, y al no dictar resolución en la causa que se le propuso, ha dejado a la parte en estado de indefensión, situación que debe ser subsanada por el Tribunal Constitucional</w:t>
      </w:r>
      <w:r w:rsidRPr="008A084A">
        <w:rPr>
          <w:rStyle w:val="FootnoteReference"/>
          <w:rFonts w:ascii="Cambria" w:hAnsi="Cambria"/>
          <w:color w:val="auto"/>
          <w:sz w:val="20"/>
          <w:szCs w:val="20"/>
        </w:rPr>
        <w:footnoteReference w:id="216"/>
      </w:r>
      <w:r w:rsidRPr="008A084A">
        <w:rPr>
          <w:rFonts w:ascii="Cambria" w:hAnsi="Cambria"/>
          <w:color w:val="auto"/>
          <w:sz w:val="20"/>
          <w:szCs w:val="20"/>
        </w:rPr>
        <w:t>.</w:t>
      </w:r>
    </w:p>
    <w:p w:rsidR="002C39B8" w:rsidRPr="008A084A" w:rsidRDefault="002C39B8" w:rsidP="00B519E2">
      <w:pPr>
        <w:jc w:val="both"/>
        <w:rPr>
          <w:rFonts w:ascii="Cambria" w:eastAsia="Times New Roman" w:hAnsi="Cambria"/>
          <w:sz w:val="20"/>
          <w:szCs w:val="20"/>
          <w:lang w:val="es-ES"/>
        </w:rPr>
      </w:pPr>
    </w:p>
    <w:p w:rsidR="006E2EE2" w:rsidRPr="008A084A" w:rsidRDefault="00A11F95" w:rsidP="009B2758">
      <w:pPr>
        <w:numPr>
          <w:ilvl w:val="0"/>
          <w:numId w:val="55"/>
        </w:numPr>
        <w:jc w:val="both"/>
        <w:rPr>
          <w:rFonts w:ascii="Cambria" w:eastAsia="Times New Roman" w:hAnsi="Cambria"/>
          <w:sz w:val="20"/>
          <w:szCs w:val="20"/>
          <w:lang w:val="es-ES"/>
        </w:rPr>
      </w:pPr>
      <w:r w:rsidRPr="008A084A">
        <w:rPr>
          <w:rFonts w:ascii="Cambria" w:hAnsi="Cambria"/>
          <w:sz w:val="20"/>
          <w:szCs w:val="20"/>
          <w:lang w:val="es-ES"/>
        </w:rPr>
        <w:t>Respecto</w:t>
      </w:r>
      <w:r w:rsidR="009B2758" w:rsidRPr="008A084A">
        <w:rPr>
          <w:rFonts w:ascii="Cambria" w:eastAsia="Times New Roman" w:hAnsi="Cambria"/>
          <w:sz w:val="20"/>
          <w:szCs w:val="20"/>
          <w:lang w:val="es-ES"/>
        </w:rPr>
        <w:t xml:space="preserve"> de la viabili</w:t>
      </w:r>
      <w:r w:rsidRPr="008A084A">
        <w:rPr>
          <w:rFonts w:ascii="Cambria" w:eastAsia="Times New Roman" w:hAnsi="Cambria"/>
          <w:sz w:val="20"/>
          <w:szCs w:val="20"/>
          <w:lang w:val="es-ES"/>
        </w:rPr>
        <w:t>d</w:t>
      </w:r>
      <w:r w:rsidR="009B2758" w:rsidRPr="008A084A">
        <w:rPr>
          <w:rFonts w:ascii="Cambria" w:eastAsia="Times New Roman" w:hAnsi="Cambria"/>
          <w:sz w:val="20"/>
          <w:szCs w:val="20"/>
          <w:lang w:val="es-ES"/>
        </w:rPr>
        <w:t>ad</w:t>
      </w:r>
      <w:r w:rsidRPr="008A084A">
        <w:rPr>
          <w:rFonts w:ascii="Cambria" w:eastAsia="Times New Roman" w:hAnsi="Cambria"/>
          <w:sz w:val="20"/>
          <w:szCs w:val="20"/>
          <w:lang w:val="es-ES"/>
        </w:rPr>
        <w:t xml:space="preserve"> del hábeas corpus frente a personas con discapacidad institucionalizadas en hospitales, el Tribunal Constitucional señaló lo siguiente:</w:t>
      </w:r>
    </w:p>
    <w:p w:rsidR="00A11F95" w:rsidRPr="008A084A" w:rsidRDefault="00A11F95" w:rsidP="00B519E2">
      <w:pPr>
        <w:jc w:val="both"/>
        <w:rPr>
          <w:rFonts w:ascii="Cambria" w:eastAsia="Times New Roman" w:hAnsi="Cambria"/>
          <w:sz w:val="20"/>
          <w:szCs w:val="20"/>
          <w:lang w:val="es-ES"/>
        </w:rPr>
      </w:pPr>
    </w:p>
    <w:p w:rsidR="00A11F95" w:rsidRPr="008A084A" w:rsidRDefault="00A11F95" w:rsidP="005B3F3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firstLine="0"/>
        <w:jc w:val="both"/>
        <w:rPr>
          <w:rFonts w:ascii="Cambria" w:hAnsi="Cambria"/>
          <w:color w:val="auto"/>
          <w:sz w:val="20"/>
          <w:szCs w:val="20"/>
        </w:rPr>
      </w:pPr>
      <w:r w:rsidRPr="008A084A">
        <w:rPr>
          <w:rFonts w:ascii="Cambria" w:hAnsi="Cambria"/>
          <w:color w:val="auto"/>
          <w:sz w:val="20"/>
          <w:szCs w:val="20"/>
        </w:rPr>
        <w:t>(...)</w:t>
      </w:r>
      <w:r w:rsidR="00506E03" w:rsidRPr="008A084A">
        <w:rPr>
          <w:rFonts w:ascii="Cambria" w:hAnsi="Cambria"/>
          <w:color w:val="auto"/>
          <w:sz w:val="20"/>
          <w:szCs w:val="20"/>
        </w:rPr>
        <w:t xml:space="preserve"> es factible la interposición del hábeas corpus</w:t>
      </w:r>
      <w:r w:rsidR="00541570" w:rsidRPr="008A084A">
        <w:rPr>
          <w:rFonts w:ascii="Cambria" w:hAnsi="Cambria"/>
          <w:color w:val="auto"/>
          <w:sz w:val="20"/>
          <w:szCs w:val="20"/>
        </w:rPr>
        <w:t xml:space="preserve"> contra cualquier forma de privación ilegal de libertad cometida por cualquier institución del Estado (...) en especial (...) contra centros médicos hospitalarios, puesto que existen situaciones en que el internamiento de una persona en uno de ellos podría ser una privación ilegal de la libertad personal, pues no todo internamiento de una persona con discapacidad</w:t>
      </w:r>
      <w:r w:rsidR="006E74ED" w:rsidRPr="008A084A">
        <w:rPr>
          <w:rFonts w:ascii="Cambria" w:hAnsi="Cambria"/>
          <w:color w:val="auto"/>
          <w:sz w:val="20"/>
          <w:szCs w:val="20"/>
        </w:rPr>
        <w:t xml:space="preserve"> mental, como de man</w:t>
      </w:r>
      <w:r w:rsidR="009B2758" w:rsidRPr="008A084A">
        <w:rPr>
          <w:rFonts w:ascii="Cambria" w:hAnsi="Cambria"/>
          <w:color w:val="auto"/>
          <w:sz w:val="20"/>
          <w:szCs w:val="20"/>
        </w:rPr>
        <w:t>era general pero equivocadamente</w:t>
      </w:r>
      <w:r w:rsidR="006E74ED" w:rsidRPr="008A084A">
        <w:rPr>
          <w:rFonts w:ascii="Cambria" w:hAnsi="Cambria"/>
          <w:color w:val="auto"/>
          <w:sz w:val="20"/>
          <w:szCs w:val="20"/>
        </w:rPr>
        <w:t xml:space="preserve"> se cree, está exento del pronunciamiento de su propia voluntad, y existen principios que deben ser respetados para realizar tal internamiento, que en caso de ser violados ocasiona una vulneración directa de la dignidad del perjudicado</w:t>
      </w:r>
      <w:r w:rsidR="006E74ED" w:rsidRPr="008A084A">
        <w:rPr>
          <w:rStyle w:val="FootnoteReference"/>
          <w:rFonts w:ascii="Cambria" w:hAnsi="Cambria"/>
          <w:color w:val="auto"/>
          <w:sz w:val="20"/>
          <w:szCs w:val="20"/>
        </w:rPr>
        <w:footnoteReference w:id="217"/>
      </w:r>
      <w:r w:rsidR="006E74ED" w:rsidRPr="008A084A">
        <w:rPr>
          <w:rFonts w:ascii="Cambria" w:hAnsi="Cambria"/>
          <w:color w:val="auto"/>
          <w:sz w:val="20"/>
          <w:szCs w:val="20"/>
        </w:rPr>
        <w:t>.</w:t>
      </w:r>
    </w:p>
    <w:p w:rsidR="0022054D" w:rsidRPr="008A084A" w:rsidRDefault="0022054D"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5B3F3D" w:rsidRPr="008A084A" w:rsidRDefault="005B3F3D" w:rsidP="009B2758">
      <w:pPr>
        <w:numPr>
          <w:ilvl w:val="0"/>
          <w:numId w:val="55"/>
        </w:numPr>
        <w:jc w:val="both"/>
        <w:rPr>
          <w:rFonts w:ascii="Cambria" w:hAnsi="Cambria"/>
          <w:sz w:val="20"/>
          <w:szCs w:val="20"/>
        </w:rPr>
      </w:pPr>
      <w:r w:rsidRPr="008A084A">
        <w:rPr>
          <w:rFonts w:ascii="Cambria" w:hAnsi="Cambria"/>
          <w:sz w:val="20"/>
          <w:szCs w:val="20"/>
          <w:lang w:val="es-ES"/>
        </w:rPr>
        <w:t>El Tribunal Constitucional resaltó que en el presente asunto, los familiares del señor Guachalá interpusieron otras acciones ante la Defensoría del Pueblo y ante el Ministerio Público, sin resultados favorables.</w:t>
      </w:r>
      <w:r w:rsidR="00AB7A94" w:rsidRPr="008A084A">
        <w:rPr>
          <w:rFonts w:ascii="Cambria" w:hAnsi="Cambria"/>
          <w:sz w:val="20"/>
          <w:szCs w:val="20"/>
          <w:lang w:val="es-ES"/>
        </w:rPr>
        <w:t xml:space="preserve"> </w:t>
      </w:r>
      <w:r w:rsidR="00196BE9" w:rsidRPr="008A084A">
        <w:rPr>
          <w:rFonts w:ascii="Cambria" w:hAnsi="Cambria"/>
          <w:sz w:val="20"/>
          <w:szCs w:val="20"/>
        </w:rPr>
        <w:t>Finalmente, concluyó lo siguiente:</w:t>
      </w:r>
    </w:p>
    <w:p w:rsidR="00AB7A94" w:rsidRPr="008A084A" w:rsidRDefault="00AB7A94"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AB7A94" w:rsidRPr="008A084A" w:rsidRDefault="00AB7A94" w:rsidP="00AB7A9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firstLine="0"/>
        <w:jc w:val="both"/>
        <w:rPr>
          <w:rFonts w:ascii="Cambria" w:hAnsi="Cambria"/>
          <w:color w:val="auto"/>
          <w:sz w:val="20"/>
          <w:szCs w:val="20"/>
        </w:rPr>
      </w:pPr>
      <w:r w:rsidRPr="008A084A">
        <w:rPr>
          <w:rFonts w:ascii="Cambria" w:hAnsi="Cambria"/>
          <w:color w:val="auto"/>
          <w:sz w:val="20"/>
          <w:szCs w:val="20"/>
        </w:rPr>
        <w:t>(...) no es admisible en un Estado (...) que una persona permanezca desaparecida por más de dos años, y menos admisible es que sus órganos no coordinen las acciones adecuadas para dar con el paradero de la persona.</w:t>
      </w:r>
      <w:r w:rsidR="00196BE9" w:rsidRPr="008A084A">
        <w:rPr>
          <w:rFonts w:ascii="Cambria" w:hAnsi="Cambria"/>
          <w:color w:val="auto"/>
          <w:sz w:val="20"/>
          <w:szCs w:val="20"/>
        </w:rPr>
        <w:t xml:space="preserve"> (...)</w:t>
      </w:r>
    </w:p>
    <w:p w:rsidR="00F55DE7" w:rsidRPr="008A084A" w:rsidRDefault="00196BE9" w:rsidP="0093187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firstLine="0"/>
        <w:jc w:val="both"/>
        <w:rPr>
          <w:rFonts w:ascii="Cambria" w:hAnsi="Cambria"/>
          <w:color w:val="auto"/>
          <w:sz w:val="20"/>
          <w:szCs w:val="20"/>
        </w:rPr>
      </w:pPr>
      <w:r w:rsidRPr="008A084A">
        <w:rPr>
          <w:rFonts w:ascii="Cambria" w:hAnsi="Cambria"/>
          <w:color w:val="auto"/>
          <w:sz w:val="20"/>
          <w:szCs w:val="20"/>
        </w:rPr>
        <w:t xml:space="preserve">En definitiva, se trata de dejar una puerta abierta, para que los familiares del desaparecido intenten por esta vía, </w:t>
      </w:r>
      <w:r w:rsidR="00F55DE7" w:rsidRPr="008A084A">
        <w:rPr>
          <w:rFonts w:ascii="Cambria" w:hAnsi="Cambria"/>
          <w:color w:val="auto"/>
          <w:sz w:val="20"/>
          <w:szCs w:val="20"/>
        </w:rPr>
        <w:t>cuando lo consideren oportuno, solucionar definitivamente el problema. De esta forma, la concesión del hábeas corpus, se la puede ubicar no como de efectos inmediatos, por su imposibilidad de producirlos, sino permanentes, indistintamente de su duración en el tiempo, por la justicia que representa poder contar con una instancia estatal más hasta la resolución definitiva de la causa, momento entonces, en que podrá dársela por cerrada</w:t>
      </w:r>
      <w:r w:rsidR="00F55DE7" w:rsidRPr="008A084A">
        <w:rPr>
          <w:rStyle w:val="FootnoteReference"/>
          <w:rFonts w:ascii="Cambria" w:hAnsi="Cambria"/>
          <w:color w:val="auto"/>
          <w:sz w:val="20"/>
          <w:szCs w:val="20"/>
        </w:rPr>
        <w:footnoteReference w:id="218"/>
      </w:r>
      <w:r w:rsidR="00F55DE7" w:rsidRPr="008A084A">
        <w:rPr>
          <w:rFonts w:ascii="Cambria" w:hAnsi="Cambria"/>
          <w:color w:val="auto"/>
          <w:sz w:val="20"/>
          <w:szCs w:val="20"/>
        </w:rPr>
        <w:t>.</w:t>
      </w:r>
    </w:p>
    <w:p w:rsidR="004C7891" w:rsidRPr="008A084A" w:rsidRDefault="004C7891" w:rsidP="0093187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0" w:right="720" w:firstLine="0"/>
        <w:jc w:val="both"/>
        <w:rPr>
          <w:rFonts w:ascii="Cambria" w:hAnsi="Cambria"/>
          <w:color w:val="auto"/>
          <w:sz w:val="20"/>
          <w:szCs w:val="20"/>
        </w:rPr>
      </w:pPr>
    </w:p>
    <w:p w:rsidR="00AF78E3" w:rsidRPr="008A084A" w:rsidRDefault="00931872" w:rsidP="009B2758">
      <w:pPr>
        <w:numPr>
          <w:ilvl w:val="0"/>
          <w:numId w:val="55"/>
        </w:numPr>
        <w:jc w:val="both"/>
        <w:rPr>
          <w:rFonts w:ascii="Cambria" w:hAnsi="Cambria"/>
          <w:sz w:val="20"/>
          <w:szCs w:val="20"/>
          <w:lang w:val="es-ES"/>
        </w:rPr>
      </w:pPr>
      <w:r w:rsidRPr="008A084A">
        <w:rPr>
          <w:rFonts w:ascii="Cambria" w:hAnsi="Cambria"/>
          <w:sz w:val="20"/>
          <w:szCs w:val="20"/>
          <w:lang w:val="es-ES"/>
        </w:rPr>
        <w:t>Los peticionarios informaron que a pesar de esta resolución la Fiscalía no adoptó ninguna medida para localizar el paradero del señor Guachalá</w:t>
      </w:r>
      <w:r w:rsidRPr="008A084A">
        <w:rPr>
          <w:rStyle w:val="FootnoteReference"/>
          <w:rFonts w:ascii="Cambria" w:hAnsi="Cambria"/>
          <w:sz w:val="20"/>
          <w:szCs w:val="20"/>
        </w:rPr>
        <w:footnoteReference w:id="219"/>
      </w:r>
      <w:r w:rsidRPr="008A084A">
        <w:rPr>
          <w:rFonts w:ascii="Cambria" w:hAnsi="Cambria"/>
          <w:sz w:val="20"/>
          <w:szCs w:val="20"/>
          <w:lang w:val="es-ES"/>
        </w:rPr>
        <w:t>.</w:t>
      </w:r>
      <w:r w:rsidR="006C6ACB" w:rsidRPr="008A084A">
        <w:rPr>
          <w:rFonts w:ascii="Cambria" w:hAnsi="Cambria"/>
          <w:sz w:val="20"/>
          <w:szCs w:val="20"/>
          <w:lang w:val="es-ES"/>
        </w:rPr>
        <w:t xml:space="preserve"> </w:t>
      </w:r>
    </w:p>
    <w:p w:rsidR="00AF78E3" w:rsidRDefault="00AF78E3" w:rsidP="00576977">
      <w:pPr>
        <w:ind w:left="720"/>
        <w:jc w:val="both"/>
        <w:rPr>
          <w:rFonts w:ascii="Cambria" w:hAnsi="Cambria"/>
          <w:sz w:val="20"/>
          <w:szCs w:val="20"/>
          <w:lang w:val="es-ES"/>
        </w:rPr>
      </w:pPr>
    </w:p>
    <w:p w:rsidR="00F55DE7" w:rsidRPr="008A084A" w:rsidRDefault="00C22B87" w:rsidP="009B2758">
      <w:pPr>
        <w:numPr>
          <w:ilvl w:val="0"/>
          <w:numId w:val="55"/>
        </w:numPr>
        <w:jc w:val="both"/>
        <w:rPr>
          <w:rFonts w:ascii="Cambria" w:hAnsi="Cambria"/>
          <w:sz w:val="20"/>
          <w:szCs w:val="20"/>
          <w:lang w:val="es-ES"/>
        </w:rPr>
      </w:pPr>
      <w:r w:rsidRPr="008A084A">
        <w:rPr>
          <w:rFonts w:ascii="Cambria" w:hAnsi="Cambria"/>
          <w:sz w:val="20"/>
          <w:szCs w:val="20"/>
          <w:lang w:val="es-ES"/>
        </w:rPr>
        <w:t>Los peticionarios señalaron que después de lo sucedido con el señor Guachalá, otros internos han desaparecido de dicho hospital</w:t>
      </w:r>
      <w:r w:rsidRPr="008A084A">
        <w:rPr>
          <w:rStyle w:val="FootnoteReference"/>
          <w:rFonts w:ascii="Cambria" w:hAnsi="Cambria"/>
          <w:sz w:val="20"/>
          <w:szCs w:val="20"/>
          <w:lang w:val="es-ES"/>
        </w:rPr>
        <w:footnoteReference w:id="220"/>
      </w:r>
      <w:r w:rsidRPr="008A084A">
        <w:rPr>
          <w:rFonts w:ascii="Cambria" w:hAnsi="Cambria"/>
          <w:sz w:val="20"/>
          <w:szCs w:val="20"/>
          <w:lang w:val="es-ES"/>
        </w:rPr>
        <w:t xml:space="preserve">. La CIDH toma nota de un </w:t>
      </w:r>
      <w:r w:rsidR="00085A2B" w:rsidRPr="008A084A">
        <w:rPr>
          <w:rFonts w:ascii="Cambria" w:hAnsi="Cambria"/>
          <w:sz w:val="20"/>
          <w:szCs w:val="20"/>
          <w:lang w:val="es-ES"/>
        </w:rPr>
        <w:t>volante</w:t>
      </w:r>
      <w:r w:rsidRPr="008A084A">
        <w:rPr>
          <w:rFonts w:ascii="Cambria" w:hAnsi="Cambria"/>
          <w:sz w:val="20"/>
          <w:szCs w:val="20"/>
          <w:lang w:val="es-ES"/>
        </w:rPr>
        <w:t xml:space="preserve"> del Ministerio del Interior donde se indica que un interno del hospital, Álvaro Nazareno, desapareció de dicha institución el 14 de marzo de 2011</w:t>
      </w:r>
      <w:r w:rsidRPr="008A084A">
        <w:rPr>
          <w:rStyle w:val="FootnoteReference"/>
          <w:rFonts w:ascii="Cambria" w:hAnsi="Cambria"/>
          <w:sz w:val="20"/>
          <w:szCs w:val="20"/>
          <w:lang w:val="es-ES"/>
        </w:rPr>
        <w:footnoteReference w:id="221"/>
      </w:r>
      <w:r w:rsidRPr="008A084A">
        <w:rPr>
          <w:rFonts w:ascii="Cambria" w:hAnsi="Cambria"/>
          <w:sz w:val="20"/>
          <w:szCs w:val="20"/>
          <w:lang w:val="es-ES"/>
        </w:rPr>
        <w:t>.</w:t>
      </w:r>
    </w:p>
    <w:p w:rsidR="00BD2A19" w:rsidRPr="008A084A" w:rsidRDefault="00BD2A19" w:rsidP="00F666E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516470" w:rsidRPr="008A084A" w:rsidRDefault="00516470" w:rsidP="00330414">
      <w:pPr>
        <w:pStyle w:val="Heading1"/>
        <w:tabs>
          <w:tab w:val="left" w:pos="720"/>
          <w:tab w:val="left" w:pos="1440"/>
        </w:tabs>
        <w:spacing w:before="0"/>
        <w:ind w:left="0" w:firstLine="720"/>
        <w:jc w:val="both"/>
        <w:rPr>
          <w:color w:val="auto"/>
          <w:sz w:val="20"/>
          <w:szCs w:val="20"/>
          <w:lang w:val="es-ES_tradnl"/>
        </w:rPr>
      </w:pPr>
      <w:bookmarkStart w:id="28" w:name="_Toc525547509"/>
      <w:r w:rsidRPr="008A084A">
        <w:rPr>
          <w:color w:val="auto"/>
          <w:sz w:val="20"/>
          <w:szCs w:val="20"/>
          <w:lang w:val="es-ES"/>
        </w:rPr>
        <w:lastRenderedPageBreak/>
        <w:t>ANÁLISIS DE DERECHO</w:t>
      </w:r>
      <w:bookmarkEnd w:id="28"/>
    </w:p>
    <w:p w:rsidR="002371AF" w:rsidRPr="008A084A" w:rsidRDefault="002371AF" w:rsidP="00A16BA4">
      <w:pPr>
        <w:pStyle w:val="Heading2"/>
        <w:spacing w:before="0" w:after="0"/>
        <w:jc w:val="both"/>
        <w:rPr>
          <w:rFonts w:ascii="Cambria" w:hAnsi="Cambria"/>
          <w:i w:val="0"/>
          <w:sz w:val="20"/>
          <w:szCs w:val="20"/>
          <w:lang w:val="es-ES_tradnl"/>
        </w:rPr>
      </w:pPr>
    </w:p>
    <w:p w:rsidR="001518D0" w:rsidRPr="008A084A" w:rsidRDefault="001518D0" w:rsidP="00B329C1">
      <w:pPr>
        <w:pStyle w:val="Heading2"/>
        <w:numPr>
          <w:ilvl w:val="0"/>
          <w:numId w:val="58"/>
        </w:numPr>
        <w:spacing w:before="0" w:after="0"/>
        <w:ind w:left="1440" w:hanging="720"/>
        <w:jc w:val="both"/>
        <w:rPr>
          <w:rFonts w:ascii="Cambria" w:hAnsi="Cambria"/>
          <w:i w:val="0"/>
          <w:sz w:val="20"/>
          <w:szCs w:val="20"/>
          <w:lang w:val="es-CO"/>
        </w:rPr>
      </w:pPr>
      <w:bookmarkStart w:id="29" w:name="_Toc525547510"/>
      <w:r w:rsidRPr="008A084A">
        <w:rPr>
          <w:rFonts w:ascii="Cambria" w:hAnsi="Cambria"/>
          <w:i w:val="0"/>
          <w:sz w:val="20"/>
          <w:szCs w:val="20"/>
          <w:lang w:val="es-ES"/>
        </w:rPr>
        <w:t>Cuesti</w:t>
      </w:r>
      <w:r w:rsidRPr="008A084A">
        <w:rPr>
          <w:rFonts w:ascii="Cambria" w:hAnsi="Cambria"/>
          <w:i w:val="0"/>
          <w:sz w:val="20"/>
          <w:szCs w:val="20"/>
          <w:lang w:val="es-CO"/>
        </w:rPr>
        <w:t>ón previa</w:t>
      </w:r>
      <w:bookmarkEnd w:id="29"/>
    </w:p>
    <w:p w:rsidR="001518D0" w:rsidRPr="008A084A" w:rsidRDefault="001518D0" w:rsidP="001518D0">
      <w:pPr>
        <w:pStyle w:val="Heading2"/>
        <w:spacing w:before="0" w:after="0"/>
        <w:jc w:val="both"/>
        <w:rPr>
          <w:rFonts w:ascii="Cambria" w:hAnsi="Cambria"/>
          <w:i w:val="0"/>
          <w:sz w:val="20"/>
          <w:szCs w:val="20"/>
          <w:lang w:val="es-ES_tradnl"/>
        </w:rPr>
      </w:pPr>
    </w:p>
    <w:p w:rsidR="001518D0" w:rsidRPr="008A084A" w:rsidRDefault="001518D0" w:rsidP="001518D0">
      <w:pPr>
        <w:numPr>
          <w:ilvl w:val="0"/>
          <w:numId w:val="55"/>
        </w:numPr>
        <w:jc w:val="both"/>
        <w:rPr>
          <w:rFonts w:ascii="Cambria" w:hAnsi="Cambria"/>
          <w:sz w:val="20"/>
          <w:szCs w:val="20"/>
          <w:lang w:val="es-ES_tradnl"/>
        </w:rPr>
      </w:pPr>
      <w:r w:rsidRPr="008A084A">
        <w:rPr>
          <w:rFonts w:ascii="Cambria" w:hAnsi="Cambria"/>
          <w:sz w:val="20"/>
          <w:szCs w:val="20"/>
          <w:lang w:val="es-ES"/>
        </w:rPr>
        <w:t>Preliminarmente, la Comisión nota que en su informe de admisibilidad no incluyó expresamente los artículos 13</w:t>
      </w:r>
      <w:r w:rsidR="004905B3" w:rsidRPr="008A084A">
        <w:rPr>
          <w:rFonts w:ascii="Cambria" w:hAnsi="Cambria"/>
          <w:sz w:val="20"/>
          <w:szCs w:val="20"/>
          <w:lang w:val="es-ES"/>
        </w:rPr>
        <w:t>,</w:t>
      </w:r>
      <w:r w:rsidRPr="008A084A">
        <w:rPr>
          <w:rFonts w:ascii="Cambria" w:hAnsi="Cambria"/>
          <w:sz w:val="20"/>
          <w:szCs w:val="20"/>
          <w:lang w:val="es-ES"/>
        </w:rPr>
        <w:t xml:space="preserve"> </w:t>
      </w:r>
      <w:r w:rsidR="004905B3" w:rsidRPr="008A084A">
        <w:rPr>
          <w:rFonts w:ascii="Cambria" w:hAnsi="Cambria"/>
          <w:sz w:val="20"/>
          <w:szCs w:val="20"/>
          <w:lang w:val="es-ES"/>
        </w:rPr>
        <w:t xml:space="preserve">24 </w:t>
      </w:r>
      <w:r w:rsidRPr="008A084A">
        <w:rPr>
          <w:rFonts w:ascii="Cambria" w:hAnsi="Cambria"/>
          <w:sz w:val="20"/>
          <w:szCs w:val="20"/>
          <w:lang w:val="es-ES"/>
        </w:rPr>
        <w:t xml:space="preserve">y 26 de la </w:t>
      </w:r>
      <w:r w:rsidRPr="008A084A">
        <w:rPr>
          <w:rFonts w:ascii="Cambria" w:eastAsia="Times New Roman" w:hAnsi="Cambria" w:cs="Cambria"/>
          <w:sz w:val="20"/>
          <w:szCs w:val="20"/>
          <w:u w:color="000000"/>
          <w:lang w:val="es-ES" w:eastAsia="es-ES"/>
        </w:rPr>
        <w:t>Convención</w:t>
      </w:r>
      <w:r w:rsidRPr="008A084A">
        <w:rPr>
          <w:rFonts w:ascii="Cambria" w:hAnsi="Cambria"/>
          <w:sz w:val="20"/>
          <w:szCs w:val="20"/>
          <w:lang w:val="es-ES"/>
        </w:rPr>
        <w:t xml:space="preserve"> Americana dentro de los derechos que podrían considerarse en la etapa de fondo. Sin embargo, de la totalidad de alegatos y prueba disponible en la etapa de fondo, la CIDH considera pertinente analizar los hechos establecidos también a la luz de los derechos contenidos en dichas disposiciones. La Comisión destaca que tanto</w:t>
      </w:r>
      <w:r w:rsidR="00062177" w:rsidRPr="008A084A">
        <w:rPr>
          <w:rFonts w:ascii="Cambria" w:hAnsi="Cambria"/>
          <w:sz w:val="20"/>
          <w:szCs w:val="20"/>
          <w:lang w:val="es-ES"/>
        </w:rPr>
        <w:t xml:space="preserve"> en el </w:t>
      </w:r>
      <w:r w:rsidRPr="008A084A">
        <w:rPr>
          <w:rFonts w:ascii="Cambria" w:hAnsi="Cambria"/>
          <w:sz w:val="20"/>
          <w:szCs w:val="20"/>
          <w:lang w:val="es-ES"/>
        </w:rPr>
        <w:t xml:space="preserve">procedimiento de admisibilidad como </w:t>
      </w:r>
      <w:r w:rsidR="00062177" w:rsidRPr="008A084A">
        <w:rPr>
          <w:rFonts w:ascii="Cambria" w:hAnsi="Cambria"/>
          <w:sz w:val="20"/>
          <w:szCs w:val="20"/>
          <w:lang w:val="es-ES"/>
        </w:rPr>
        <w:t xml:space="preserve">en </w:t>
      </w:r>
      <w:r w:rsidRPr="008A084A">
        <w:rPr>
          <w:rFonts w:ascii="Cambria" w:hAnsi="Cambria"/>
          <w:sz w:val="20"/>
          <w:szCs w:val="20"/>
          <w:lang w:val="es-ES"/>
        </w:rPr>
        <w:t xml:space="preserve">el de fondo, el Estado conoció los hechos en los cuales se basa la totalidad del análisis que se realiza a continuación. En virtud de lo anterior y en aplicación del principio </w:t>
      </w:r>
      <w:r w:rsidRPr="008A084A">
        <w:rPr>
          <w:rFonts w:ascii="Cambria" w:hAnsi="Cambria"/>
          <w:i/>
          <w:sz w:val="20"/>
          <w:szCs w:val="20"/>
          <w:lang w:val="es-ES"/>
        </w:rPr>
        <w:t>iura novit curia</w:t>
      </w:r>
      <w:r w:rsidRPr="008A084A">
        <w:rPr>
          <w:rFonts w:ascii="Cambria" w:hAnsi="Cambria"/>
          <w:sz w:val="20"/>
          <w:szCs w:val="20"/>
          <w:lang w:val="es-ES"/>
        </w:rPr>
        <w:t>, la Comisión analizará si en el presente caso el Estado incurrió en violación de los artículos 13</w:t>
      </w:r>
      <w:r w:rsidR="00383748" w:rsidRPr="008A084A">
        <w:rPr>
          <w:rFonts w:ascii="Cambria" w:hAnsi="Cambria"/>
          <w:sz w:val="20"/>
          <w:szCs w:val="20"/>
          <w:lang w:val="es-ES"/>
        </w:rPr>
        <w:t>, 24</w:t>
      </w:r>
      <w:r w:rsidRPr="008A084A">
        <w:rPr>
          <w:rFonts w:ascii="Cambria" w:hAnsi="Cambria"/>
          <w:sz w:val="20"/>
          <w:szCs w:val="20"/>
          <w:lang w:val="es-ES"/>
        </w:rPr>
        <w:t xml:space="preserve"> y 26 de la Convención Americana</w:t>
      </w:r>
      <w:r w:rsidRPr="008A084A">
        <w:rPr>
          <w:rStyle w:val="FootnoteReference"/>
          <w:rFonts w:ascii="Cambria" w:hAnsi="Cambria"/>
          <w:sz w:val="20"/>
          <w:szCs w:val="20"/>
          <w:lang w:val="es-ES"/>
        </w:rPr>
        <w:footnoteReference w:id="222"/>
      </w:r>
      <w:r w:rsidRPr="008A084A">
        <w:rPr>
          <w:rFonts w:ascii="Cambria" w:hAnsi="Cambria"/>
          <w:sz w:val="20"/>
          <w:szCs w:val="20"/>
          <w:lang w:val="es-ES"/>
        </w:rPr>
        <w:t>, respecto del consentimiento informado en materia de salud</w:t>
      </w:r>
      <w:r w:rsidR="004905B3" w:rsidRPr="008A084A">
        <w:rPr>
          <w:rFonts w:ascii="Cambria" w:hAnsi="Cambria"/>
          <w:sz w:val="20"/>
          <w:szCs w:val="20"/>
          <w:lang w:val="es-ES"/>
        </w:rPr>
        <w:t>, el principio de igualdad y no discriminación</w:t>
      </w:r>
      <w:r w:rsidRPr="008A084A">
        <w:rPr>
          <w:rFonts w:ascii="Cambria" w:hAnsi="Cambria"/>
          <w:sz w:val="20"/>
          <w:szCs w:val="20"/>
          <w:lang w:val="es-ES"/>
        </w:rPr>
        <w:t xml:space="preserve"> y el derecho a la salud.  </w:t>
      </w:r>
    </w:p>
    <w:p w:rsidR="001518D0" w:rsidRPr="008A084A" w:rsidRDefault="001518D0" w:rsidP="001518D0">
      <w:pPr>
        <w:rPr>
          <w:rFonts w:ascii="Cambria" w:hAnsi="Cambria"/>
          <w:sz w:val="20"/>
          <w:szCs w:val="20"/>
          <w:lang w:val="es-ES_tradnl"/>
        </w:rPr>
      </w:pPr>
    </w:p>
    <w:p w:rsidR="001518D0" w:rsidRPr="008A084A" w:rsidRDefault="00747996" w:rsidP="00B329C1">
      <w:pPr>
        <w:pStyle w:val="Heading2"/>
        <w:numPr>
          <w:ilvl w:val="0"/>
          <w:numId w:val="58"/>
        </w:numPr>
        <w:spacing w:before="0" w:after="0"/>
        <w:ind w:left="1440" w:hanging="720"/>
        <w:jc w:val="both"/>
        <w:rPr>
          <w:rFonts w:ascii="Cambria" w:hAnsi="Cambria"/>
          <w:i w:val="0"/>
          <w:sz w:val="20"/>
          <w:szCs w:val="20"/>
          <w:lang w:val="es-ES"/>
        </w:rPr>
      </w:pPr>
      <w:bookmarkStart w:id="30" w:name="_Toc525547511"/>
      <w:r w:rsidRPr="008A084A">
        <w:rPr>
          <w:rFonts w:ascii="Cambria" w:hAnsi="Cambria"/>
          <w:i w:val="0"/>
          <w:sz w:val="20"/>
          <w:szCs w:val="20"/>
          <w:lang w:val="es-ES"/>
        </w:rPr>
        <w:t>Derechos al reconocimiento de la personalidad jur</w:t>
      </w:r>
      <w:r w:rsidRPr="008A084A">
        <w:rPr>
          <w:rFonts w:ascii="Cambria" w:hAnsi="Cambria"/>
          <w:i w:val="0"/>
          <w:sz w:val="20"/>
          <w:szCs w:val="20"/>
          <w:lang w:val="es-CO"/>
        </w:rPr>
        <w:t>ídica</w:t>
      </w:r>
      <w:r w:rsidR="007813E6" w:rsidRPr="008A084A">
        <w:rPr>
          <w:rStyle w:val="FootnoteReference"/>
          <w:rFonts w:ascii="Cambria" w:hAnsi="Cambria"/>
          <w:i w:val="0"/>
          <w:sz w:val="20"/>
          <w:szCs w:val="20"/>
          <w:lang w:val="es-ES"/>
        </w:rPr>
        <w:footnoteReference w:id="223"/>
      </w:r>
      <w:r w:rsidRPr="008A084A">
        <w:rPr>
          <w:rFonts w:ascii="Cambria" w:hAnsi="Cambria"/>
          <w:i w:val="0"/>
          <w:sz w:val="20"/>
          <w:szCs w:val="20"/>
          <w:lang w:val="es-CO"/>
        </w:rPr>
        <w:t>,</w:t>
      </w:r>
      <w:r w:rsidR="00441C84" w:rsidRPr="008A084A">
        <w:rPr>
          <w:rFonts w:ascii="Cambria" w:hAnsi="Cambria"/>
          <w:i w:val="0"/>
          <w:sz w:val="20"/>
          <w:szCs w:val="20"/>
          <w:lang w:val="es-CO"/>
        </w:rPr>
        <w:t xml:space="preserve"> a la vida</w:t>
      </w:r>
      <w:r w:rsidR="008A084A" w:rsidRPr="008A084A">
        <w:rPr>
          <w:rStyle w:val="FootnoteReference"/>
          <w:rFonts w:ascii="Cambria" w:hAnsi="Cambria"/>
          <w:i w:val="0"/>
          <w:sz w:val="20"/>
          <w:szCs w:val="20"/>
          <w:lang w:val="es-ES"/>
        </w:rPr>
        <w:footnoteReference w:id="224"/>
      </w:r>
      <w:r w:rsidR="00441C84" w:rsidRPr="008A084A">
        <w:rPr>
          <w:rFonts w:ascii="Cambria" w:hAnsi="Cambria"/>
          <w:i w:val="0"/>
          <w:sz w:val="20"/>
          <w:szCs w:val="20"/>
          <w:lang w:val="es-CO"/>
        </w:rPr>
        <w:t>,</w:t>
      </w:r>
      <w:r w:rsidRPr="008A084A">
        <w:rPr>
          <w:rFonts w:ascii="Cambria" w:hAnsi="Cambria"/>
          <w:i w:val="0"/>
          <w:sz w:val="20"/>
          <w:szCs w:val="20"/>
          <w:lang w:val="es-CO"/>
        </w:rPr>
        <w:t xml:space="preserve"> </w:t>
      </w:r>
      <w:r w:rsidR="00BB31CE" w:rsidRPr="008A084A">
        <w:rPr>
          <w:rFonts w:ascii="Cambria" w:hAnsi="Cambria"/>
          <w:i w:val="0"/>
          <w:sz w:val="20"/>
          <w:szCs w:val="20"/>
          <w:lang w:val="es-CO"/>
        </w:rPr>
        <w:t>a la libertad personal</w:t>
      </w:r>
      <w:r w:rsidR="009F3B5F" w:rsidRPr="008A084A">
        <w:rPr>
          <w:rStyle w:val="FootnoteReference"/>
          <w:rFonts w:ascii="Cambria" w:hAnsi="Cambria"/>
          <w:i w:val="0"/>
          <w:sz w:val="20"/>
          <w:szCs w:val="20"/>
          <w:lang w:val="es-ES"/>
        </w:rPr>
        <w:footnoteReference w:id="225"/>
      </w:r>
      <w:r w:rsidR="00BB31CE" w:rsidRPr="008A084A">
        <w:rPr>
          <w:rFonts w:ascii="Cambria" w:hAnsi="Cambria"/>
          <w:i w:val="0"/>
          <w:sz w:val="20"/>
          <w:szCs w:val="20"/>
          <w:lang w:val="es-CO"/>
        </w:rPr>
        <w:t>, a la integridad persona</w:t>
      </w:r>
      <w:r w:rsidR="003F13D8" w:rsidRPr="008A084A">
        <w:rPr>
          <w:rFonts w:ascii="Cambria" w:hAnsi="Cambria"/>
          <w:i w:val="0"/>
          <w:sz w:val="20"/>
          <w:szCs w:val="20"/>
          <w:lang w:val="es-CO"/>
        </w:rPr>
        <w:t>l</w:t>
      </w:r>
      <w:r w:rsidR="003F13D8" w:rsidRPr="008A084A">
        <w:rPr>
          <w:rStyle w:val="FootnoteReference"/>
          <w:rFonts w:ascii="Cambria" w:hAnsi="Cambria"/>
          <w:i w:val="0"/>
          <w:sz w:val="20"/>
          <w:szCs w:val="20"/>
          <w:lang w:val="es-ES"/>
        </w:rPr>
        <w:footnoteReference w:id="226"/>
      </w:r>
      <w:r w:rsidR="00EF5C96" w:rsidRPr="008A084A">
        <w:rPr>
          <w:rFonts w:ascii="Cambria" w:hAnsi="Cambria"/>
          <w:i w:val="0"/>
          <w:sz w:val="20"/>
          <w:szCs w:val="20"/>
          <w:lang w:val="es-CO"/>
        </w:rPr>
        <w:t>,</w:t>
      </w:r>
      <w:r w:rsidR="00BB31CE" w:rsidRPr="008A084A">
        <w:rPr>
          <w:rFonts w:ascii="Cambria" w:hAnsi="Cambria"/>
          <w:i w:val="0"/>
          <w:sz w:val="20"/>
          <w:szCs w:val="20"/>
          <w:lang w:val="es-CO"/>
        </w:rPr>
        <w:t xml:space="preserve"> a la salud</w:t>
      </w:r>
      <w:r w:rsidR="009B1798" w:rsidRPr="008A084A">
        <w:rPr>
          <w:rStyle w:val="FootnoteReference"/>
          <w:rFonts w:ascii="Cambria" w:hAnsi="Cambria"/>
          <w:i w:val="0"/>
          <w:sz w:val="20"/>
          <w:szCs w:val="20"/>
          <w:lang w:val="es-ES"/>
        </w:rPr>
        <w:footnoteReference w:id="227"/>
      </w:r>
      <w:r w:rsidR="009B383B" w:rsidRPr="008A084A">
        <w:rPr>
          <w:rFonts w:ascii="Cambria" w:hAnsi="Cambria"/>
          <w:i w:val="0"/>
          <w:sz w:val="20"/>
          <w:szCs w:val="20"/>
          <w:lang w:val="es-CO"/>
        </w:rPr>
        <w:t xml:space="preserve">, </w:t>
      </w:r>
      <w:r w:rsidR="00EF5C96" w:rsidRPr="008A084A">
        <w:rPr>
          <w:rFonts w:ascii="Cambria" w:hAnsi="Cambria"/>
          <w:i w:val="0"/>
          <w:sz w:val="20"/>
          <w:szCs w:val="20"/>
          <w:lang w:val="es-CO"/>
        </w:rPr>
        <w:t>al acceso a la información</w:t>
      </w:r>
      <w:r w:rsidR="00F02801" w:rsidRPr="008A084A">
        <w:rPr>
          <w:rStyle w:val="FootnoteReference"/>
          <w:rFonts w:ascii="Cambria" w:hAnsi="Cambria"/>
          <w:i w:val="0"/>
          <w:sz w:val="20"/>
          <w:szCs w:val="20"/>
          <w:lang w:val="es-CO"/>
        </w:rPr>
        <w:footnoteReference w:id="228"/>
      </w:r>
      <w:r w:rsidR="005C005B" w:rsidRPr="008A084A">
        <w:rPr>
          <w:rFonts w:ascii="Cambria" w:hAnsi="Cambria"/>
          <w:i w:val="0"/>
          <w:sz w:val="20"/>
          <w:szCs w:val="20"/>
          <w:lang w:val="es-CO"/>
        </w:rPr>
        <w:t>, a la igualdad y no discriminación</w:t>
      </w:r>
      <w:r w:rsidR="000D6D00" w:rsidRPr="008A084A">
        <w:rPr>
          <w:rStyle w:val="FootnoteReference"/>
          <w:rFonts w:ascii="Cambria" w:hAnsi="Cambria"/>
          <w:i w:val="0"/>
          <w:sz w:val="20"/>
          <w:szCs w:val="20"/>
          <w:lang w:val="es-CO"/>
        </w:rPr>
        <w:footnoteReference w:id="229"/>
      </w:r>
      <w:r w:rsidR="009B383B" w:rsidRPr="008A084A">
        <w:rPr>
          <w:rFonts w:ascii="Cambria" w:hAnsi="Cambria"/>
          <w:i w:val="0"/>
          <w:sz w:val="20"/>
          <w:szCs w:val="20"/>
          <w:lang w:val="es-CO"/>
        </w:rPr>
        <w:t xml:space="preserve"> (artículos 3, 4, 5.1, 7.1, 7.3,</w:t>
      </w:r>
      <w:r w:rsidR="00BB31CE" w:rsidRPr="008A084A">
        <w:rPr>
          <w:rFonts w:ascii="Cambria" w:hAnsi="Cambria"/>
          <w:i w:val="0"/>
          <w:sz w:val="20"/>
          <w:szCs w:val="20"/>
          <w:lang w:val="es-CO"/>
        </w:rPr>
        <w:t xml:space="preserve"> </w:t>
      </w:r>
      <w:r w:rsidR="009B383B" w:rsidRPr="008A084A">
        <w:rPr>
          <w:rFonts w:ascii="Cambria" w:hAnsi="Cambria"/>
          <w:i w:val="0"/>
          <w:sz w:val="20"/>
          <w:szCs w:val="20"/>
          <w:lang w:val="es-CO"/>
        </w:rPr>
        <w:t>13.1</w:t>
      </w:r>
      <w:r w:rsidR="005C005B" w:rsidRPr="008A084A">
        <w:rPr>
          <w:rFonts w:ascii="Cambria" w:hAnsi="Cambria"/>
          <w:i w:val="0"/>
          <w:sz w:val="20"/>
          <w:szCs w:val="20"/>
          <w:lang w:val="es-CO"/>
        </w:rPr>
        <w:t>, 24</w:t>
      </w:r>
      <w:r w:rsidR="009B383B" w:rsidRPr="008A084A">
        <w:rPr>
          <w:rFonts w:ascii="Cambria" w:hAnsi="Cambria"/>
          <w:i w:val="0"/>
          <w:sz w:val="20"/>
          <w:szCs w:val="20"/>
          <w:lang w:val="es-CO"/>
        </w:rPr>
        <w:t xml:space="preserve"> y 26 de la Convención Americana)</w:t>
      </w:r>
      <w:bookmarkEnd w:id="30"/>
      <w:r w:rsidR="009B383B" w:rsidRPr="008A084A">
        <w:rPr>
          <w:rFonts w:ascii="Cambria" w:hAnsi="Cambria"/>
          <w:i w:val="0"/>
          <w:sz w:val="20"/>
          <w:szCs w:val="20"/>
          <w:lang w:val="es-CO"/>
        </w:rPr>
        <w:t xml:space="preserve"> </w:t>
      </w:r>
    </w:p>
    <w:p w:rsidR="001518D0" w:rsidRPr="008A084A" w:rsidRDefault="001518D0" w:rsidP="001518D0">
      <w:pPr>
        <w:rPr>
          <w:rFonts w:ascii="Cambria" w:hAnsi="Cambria"/>
          <w:sz w:val="20"/>
          <w:szCs w:val="20"/>
          <w:lang w:val="es-ES"/>
        </w:rPr>
      </w:pPr>
    </w:p>
    <w:p w:rsidR="009B0B10" w:rsidRPr="008A084A" w:rsidRDefault="00FB7A7E" w:rsidP="00FB7A7E">
      <w:pPr>
        <w:pStyle w:val="Heading2"/>
        <w:numPr>
          <w:ilvl w:val="3"/>
          <w:numId w:val="55"/>
        </w:numPr>
        <w:tabs>
          <w:tab w:val="clear" w:pos="2880"/>
          <w:tab w:val="num" w:pos="1440"/>
          <w:tab w:val="left" w:pos="2520"/>
          <w:tab w:val="left" w:pos="2970"/>
        </w:tabs>
        <w:spacing w:before="0" w:after="0"/>
        <w:ind w:left="1440" w:hanging="720"/>
        <w:jc w:val="both"/>
        <w:rPr>
          <w:rFonts w:ascii="Cambria" w:hAnsi="Cambria"/>
          <w:i w:val="0"/>
          <w:sz w:val="20"/>
          <w:szCs w:val="20"/>
          <w:lang w:val="es-ES"/>
        </w:rPr>
      </w:pPr>
      <w:bookmarkStart w:id="31" w:name="_Toc525547512"/>
      <w:r w:rsidRPr="008A084A">
        <w:rPr>
          <w:rFonts w:ascii="Cambria" w:hAnsi="Cambria"/>
          <w:i w:val="0"/>
          <w:sz w:val="20"/>
          <w:szCs w:val="20"/>
          <w:lang w:val="es-ES"/>
        </w:rPr>
        <w:t>Consideraciones generales sobre las obligaciones internacionales de los Estados respecto de las personas con discapacidad</w:t>
      </w:r>
      <w:bookmarkEnd w:id="31"/>
      <w:r w:rsidR="009637D6" w:rsidRPr="008A084A">
        <w:rPr>
          <w:rFonts w:ascii="Cambria" w:hAnsi="Cambria"/>
          <w:i w:val="0"/>
          <w:sz w:val="20"/>
          <w:szCs w:val="20"/>
          <w:lang w:val="es-ES"/>
        </w:rPr>
        <w:t xml:space="preserve"> y el principio de igualdad y no discriminación</w:t>
      </w:r>
    </w:p>
    <w:p w:rsidR="00671C11" w:rsidRDefault="00671C11" w:rsidP="003304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8036B2" w:rsidRPr="008A084A" w:rsidRDefault="00E67945" w:rsidP="00330414">
      <w:pPr>
        <w:numPr>
          <w:ilvl w:val="0"/>
          <w:numId w:val="55"/>
        </w:numPr>
        <w:jc w:val="both"/>
        <w:rPr>
          <w:rFonts w:ascii="Cambria" w:hAnsi="Cambria"/>
          <w:sz w:val="20"/>
          <w:szCs w:val="20"/>
          <w:lang w:val="es-ES"/>
        </w:rPr>
      </w:pPr>
      <w:r w:rsidRPr="008A084A">
        <w:rPr>
          <w:rFonts w:ascii="Cambria" w:hAnsi="Cambria"/>
          <w:sz w:val="20"/>
          <w:szCs w:val="20"/>
          <w:lang w:val="es-ES"/>
        </w:rPr>
        <w:t>Tanto la CIDH como l</w:t>
      </w:r>
      <w:r w:rsidR="004008F4" w:rsidRPr="008A084A">
        <w:rPr>
          <w:rFonts w:ascii="Cambria" w:hAnsi="Cambria"/>
          <w:sz w:val="20"/>
          <w:szCs w:val="20"/>
          <w:lang w:val="es-ES"/>
        </w:rPr>
        <w:t>a Corte Interamericana ha</w:t>
      </w:r>
      <w:r w:rsidR="00A5414A" w:rsidRPr="008A084A">
        <w:rPr>
          <w:rFonts w:ascii="Cambria" w:hAnsi="Cambria"/>
          <w:sz w:val="20"/>
          <w:szCs w:val="20"/>
          <w:lang w:val="es-ES"/>
        </w:rPr>
        <w:t>n</w:t>
      </w:r>
      <w:r w:rsidR="004008F4" w:rsidRPr="008A084A">
        <w:rPr>
          <w:rFonts w:ascii="Cambria" w:hAnsi="Cambria"/>
          <w:sz w:val="20"/>
          <w:szCs w:val="20"/>
          <w:lang w:val="es-ES"/>
        </w:rPr>
        <w:t xml:space="preserve"> destacado que des</w:t>
      </w:r>
      <w:r w:rsidR="008036B2" w:rsidRPr="008A084A">
        <w:rPr>
          <w:rFonts w:ascii="Cambria" w:hAnsi="Cambria"/>
          <w:sz w:val="20"/>
          <w:szCs w:val="20"/>
          <w:lang w:val="es-ES"/>
        </w:rPr>
        <w:t>de los inicios y evolución del sistema i</w:t>
      </w:r>
      <w:r w:rsidR="004008F4" w:rsidRPr="008A084A">
        <w:rPr>
          <w:rFonts w:ascii="Cambria" w:hAnsi="Cambria"/>
          <w:sz w:val="20"/>
          <w:szCs w:val="20"/>
          <w:lang w:val="es-ES"/>
        </w:rPr>
        <w:t>nteramericano</w:t>
      </w:r>
      <w:r w:rsidR="009F2D67" w:rsidRPr="008A084A">
        <w:rPr>
          <w:rFonts w:ascii="Cambria" w:hAnsi="Cambria"/>
          <w:sz w:val="20"/>
          <w:szCs w:val="20"/>
          <w:lang w:val="es-ES"/>
        </w:rPr>
        <w:t>,</w:t>
      </w:r>
      <w:r w:rsidR="004008F4" w:rsidRPr="008A084A">
        <w:rPr>
          <w:rFonts w:ascii="Cambria" w:hAnsi="Cambria"/>
          <w:sz w:val="20"/>
          <w:szCs w:val="20"/>
          <w:lang w:val="es-ES"/>
        </w:rPr>
        <w:t xml:space="preserve"> se han reivindicado los derechos de las personas con discapacidades</w:t>
      </w:r>
      <w:r w:rsidR="004008F4" w:rsidRPr="008A084A">
        <w:rPr>
          <w:rStyle w:val="FootnoteReference"/>
          <w:rFonts w:ascii="Cambria" w:hAnsi="Cambria"/>
          <w:sz w:val="20"/>
          <w:szCs w:val="20"/>
          <w:lang w:val="es-ES"/>
        </w:rPr>
        <w:footnoteReference w:id="230"/>
      </w:r>
      <w:r w:rsidR="004008F4" w:rsidRPr="008A084A">
        <w:rPr>
          <w:rFonts w:ascii="Cambria" w:hAnsi="Cambria"/>
          <w:sz w:val="20"/>
          <w:szCs w:val="20"/>
          <w:lang w:val="es-ES"/>
        </w:rPr>
        <w:t>.</w:t>
      </w:r>
      <w:r w:rsidR="008036B2" w:rsidRPr="008A084A">
        <w:rPr>
          <w:rFonts w:ascii="Cambria" w:hAnsi="Cambria"/>
          <w:sz w:val="20"/>
          <w:szCs w:val="20"/>
          <w:lang w:val="es-ES"/>
        </w:rPr>
        <w:t xml:space="preserve"> </w:t>
      </w:r>
      <w:r w:rsidR="008036B2" w:rsidRPr="008A084A">
        <w:rPr>
          <w:rFonts w:ascii="Cambria" w:hAnsi="Cambria"/>
          <w:sz w:val="20"/>
          <w:szCs w:val="20"/>
          <w:lang w:val="es-MX"/>
        </w:rPr>
        <w:t>Así, l</w:t>
      </w:r>
      <w:r w:rsidR="000C187A" w:rsidRPr="008A084A">
        <w:rPr>
          <w:rFonts w:ascii="Cambria" w:hAnsi="Cambria"/>
          <w:sz w:val="20"/>
          <w:szCs w:val="20"/>
          <w:lang w:val="es-MX"/>
        </w:rPr>
        <w:t>a CIDH ha indicado que toda persona que se encuentre en una situación de vulnerabilidad</w:t>
      </w:r>
      <w:r w:rsidR="008036B2" w:rsidRPr="008A084A">
        <w:rPr>
          <w:rFonts w:ascii="Cambria" w:hAnsi="Cambria"/>
          <w:sz w:val="20"/>
          <w:szCs w:val="20"/>
          <w:lang w:val="es-MX"/>
        </w:rPr>
        <w:t>, como las personas con discapacidad</w:t>
      </w:r>
      <w:r w:rsidR="00AB00C7" w:rsidRPr="008A084A">
        <w:rPr>
          <w:rFonts w:ascii="Cambria" w:hAnsi="Cambria"/>
          <w:sz w:val="20"/>
          <w:szCs w:val="20"/>
          <w:lang w:val="es-MX"/>
        </w:rPr>
        <w:t>,</w:t>
      </w:r>
      <w:r w:rsidR="000C187A" w:rsidRPr="008A084A">
        <w:rPr>
          <w:rFonts w:ascii="Cambria" w:hAnsi="Cambria"/>
          <w:sz w:val="20"/>
          <w:szCs w:val="20"/>
          <w:lang w:val="es-MX"/>
        </w:rPr>
        <w:t xml:space="preserve"> es titular de una protección especial</w:t>
      </w:r>
      <w:r w:rsidR="008036B2" w:rsidRPr="008A084A">
        <w:rPr>
          <w:rStyle w:val="FootnoteReference"/>
          <w:rFonts w:ascii="Cambria" w:hAnsi="Cambria"/>
          <w:sz w:val="20"/>
          <w:szCs w:val="20"/>
          <w:lang w:val="es-ES"/>
        </w:rPr>
        <w:footnoteReference w:id="231"/>
      </w:r>
      <w:r w:rsidR="008036B2" w:rsidRPr="008A084A">
        <w:rPr>
          <w:rFonts w:ascii="Cambria" w:hAnsi="Cambria"/>
          <w:sz w:val="20"/>
          <w:szCs w:val="20"/>
          <w:lang w:val="es-MX"/>
        </w:rPr>
        <w:t>. Ello</w:t>
      </w:r>
      <w:r w:rsidR="000C187A" w:rsidRPr="008A084A">
        <w:rPr>
          <w:rFonts w:ascii="Cambria" w:hAnsi="Cambria"/>
          <w:sz w:val="20"/>
          <w:szCs w:val="20"/>
          <w:lang w:val="es-MX"/>
        </w:rPr>
        <w:t xml:space="preserve"> en razón de los deberes especiales cuyo cumplimiento por parte del Estado es </w:t>
      </w:r>
      <w:r w:rsidR="000C187A" w:rsidRPr="008A084A">
        <w:rPr>
          <w:rFonts w:ascii="Cambria" w:hAnsi="Cambria"/>
          <w:sz w:val="20"/>
          <w:szCs w:val="20"/>
          <w:lang w:val="es-ES"/>
        </w:rPr>
        <w:t>necesario</w:t>
      </w:r>
      <w:r w:rsidR="000C187A" w:rsidRPr="008A084A">
        <w:rPr>
          <w:rFonts w:ascii="Cambria" w:hAnsi="Cambria"/>
          <w:sz w:val="20"/>
          <w:szCs w:val="20"/>
          <w:lang w:val="es-MX"/>
        </w:rPr>
        <w:t xml:space="preserve"> para satisfacer las obligaciones generales de respeto y garantía de los derechos humanos</w:t>
      </w:r>
      <w:r w:rsidR="000C187A" w:rsidRPr="008A084A">
        <w:rPr>
          <w:rStyle w:val="FootnoteReference"/>
          <w:rFonts w:ascii="Cambria" w:hAnsi="Cambria"/>
          <w:sz w:val="20"/>
          <w:szCs w:val="20"/>
          <w:lang w:val="es-ES"/>
        </w:rPr>
        <w:footnoteReference w:id="232"/>
      </w:r>
      <w:r w:rsidR="000C187A" w:rsidRPr="008A084A">
        <w:rPr>
          <w:rFonts w:ascii="Cambria" w:hAnsi="Cambria"/>
          <w:sz w:val="20"/>
          <w:szCs w:val="20"/>
          <w:lang w:val="es-MX"/>
        </w:rPr>
        <w:t xml:space="preserve">. </w:t>
      </w:r>
    </w:p>
    <w:p w:rsidR="008036B2" w:rsidRPr="008A084A" w:rsidRDefault="008036B2" w:rsidP="00FF1817">
      <w:pPr>
        <w:pStyle w:val="ColorfulList-Accent11"/>
        <w:rPr>
          <w:rFonts w:ascii="Cambria" w:hAnsi="Cambria"/>
          <w:sz w:val="20"/>
          <w:szCs w:val="20"/>
          <w:lang w:val="es-MX"/>
        </w:rPr>
      </w:pPr>
    </w:p>
    <w:p w:rsidR="000C187A" w:rsidRPr="008A084A" w:rsidRDefault="000C187A" w:rsidP="00FF1817">
      <w:pPr>
        <w:numPr>
          <w:ilvl w:val="0"/>
          <w:numId w:val="55"/>
        </w:numPr>
        <w:jc w:val="both"/>
        <w:rPr>
          <w:rFonts w:ascii="Cambria" w:hAnsi="Cambria"/>
          <w:sz w:val="20"/>
          <w:szCs w:val="20"/>
          <w:lang w:val="es-MX"/>
        </w:rPr>
      </w:pPr>
      <w:r w:rsidRPr="008A084A">
        <w:rPr>
          <w:rFonts w:ascii="Cambria" w:hAnsi="Cambria"/>
          <w:sz w:val="20"/>
          <w:szCs w:val="20"/>
          <w:lang w:val="es-MX"/>
        </w:rPr>
        <w:t>Por su parte, la Corte ha indicado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Pr="008A084A">
        <w:rPr>
          <w:rStyle w:val="FootnoteReference"/>
          <w:rFonts w:ascii="Cambria" w:hAnsi="Cambria"/>
          <w:sz w:val="20"/>
          <w:szCs w:val="20"/>
          <w:lang w:val="es-MX"/>
        </w:rPr>
        <w:footnoteReference w:id="233"/>
      </w:r>
      <w:r w:rsidRPr="008A084A">
        <w:rPr>
          <w:rFonts w:ascii="Cambria" w:hAnsi="Cambria"/>
          <w:sz w:val="20"/>
          <w:szCs w:val="20"/>
          <w:lang w:val="es-MX"/>
        </w:rPr>
        <w:t>.</w:t>
      </w:r>
    </w:p>
    <w:p w:rsidR="000C187A" w:rsidRPr="008A084A" w:rsidRDefault="000C187A" w:rsidP="00FF1817">
      <w:pPr>
        <w:pStyle w:val="ColorfulList-Accent11"/>
        <w:rPr>
          <w:rFonts w:ascii="Cambria" w:hAnsi="Cambria"/>
          <w:sz w:val="20"/>
          <w:szCs w:val="20"/>
          <w:lang w:val="es-MX"/>
        </w:rPr>
      </w:pPr>
    </w:p>
    <w:p w:rsidR="000C187A" w:rsidRPr="008A084A" w:rsidRDefault="000C187A" w:rsidP="00FF1817">
      <w:pPr>
        <w:numPr>
          <w:ilvl w:val="0"/>
          <w:numId w:val="55"/>
        </w:numPr>
        <w:jc w:val="both"/>
        <w:rPr>
          <w:rFonts w:ascii="Cambria" w:hAnsi="Cambria"/>
          <w:sz w:val="20"/>
          <w:szCs w:val="20"/>
          <w:lang w:val="es-ES"/>
        </w:rPr>
      </w:pPr>
      <w:r w:rsidRPr="008A084A">
        <w:rPr>
          <w:rFonts w:ascii="Cambria" w:hAnsi="Cambria"/>
          <w:sz w:val="20"/>
          <w:szCs w:val="20"/>
          <w:lang w:val="es-ES"/>
        </w:rPr>
        <w:t>En este sentido, es obligación de los Estados propender por la inclusión de las personas con discapacidad por medio de la igualdad de condiciones, oportunidades y participación en tod</w:t>
      </w:r>
      <w:r w:rsidR="00F17D0D" w:rsidRPr="008A084A">
        <w:rPr>
          <w:rFonts w:ascii="Cambria" w:hAnsi="Cambria"/>
          <w:sz w:val="20"/>
          <w:szCs w:val="20"/>
          <w:lang w:val="es-ES"/>
        </w:rPr>
        <w:t>as las esferas de la sociedad</w:t>
      </w:r>
      <w:r w:rsidR="00F17D0D" w:rsidRPr="008A084A">
        <w:rPr>
          <w:rStyle w:val="FootnoteReference"/>
          <w:rFonts w:ascii="Cambria" w:hAnsi="Cambria"/>
          <w:sz w:val="20"/>
          <w:szCs w:val="20"/>
          <w:lang w:val="es-ES"/>
        </w:rPr>
        <w:footnoteReference w:id="234"/>
      </w:r>
      <w:r w:rsidR="00F17D0D" w:rsidRPr="008A084A">
        <w:rPr>
          <w:rFonts w:ascii="Cambria" w:hAnsi="Cambria"/>
          <w:sz w:val="20"/>
          <w:szCs w:val="20"/>
          <w:lang w:val="es-ES"/>
        </w:rPr>
        <w:t xml:space="preserve">. Ello a efectos de </w:t>
      </w:r>
      <w:r w:rsidRPr="008A084A">
        <w:rPr>
          <w:rFonts w:ascii="Cambria" w:hAnsi="Cambria"/>
          <w:sz w:val="20"/>
          <w:szCs w:val="20"/>
          <w:lang w:val="es-ES"/>
        </w:rPr>
        <w:t>garantizar que las limitaciones normativas o de facto</w:t>
      </w:r>
      <w:r w:rsidR="00AB00C7" w:rsidRPr="008A084A">
        <w:rPr>
          <w:rFonts w:ascii="Cambria" w:hAnsi="Cambria"/>
          <w:sz w:val="20"/>
          <w:szCs w:val="20"/>
          <w:lang w:val="es-ES"/>
        </w:rPr>
        <w:t xml:space="preserve"> que perpetúan o profundizan dicha vulnerabilidad y exclusión, </w:t>
      </w:r>
      <w:r w:rsidRPr="008A084A">
        <w:rPr>
          <w:rFonts w:ascii="Cambria" w:hAnsi="Cambria"/>
          <w:sz w:val="20"/>
          <w:szCs w:val="20"/>
          <w:lang w:val="es-ES"/>
        </w:rPr>
        <w:t>sean desmantelada</w:t>
      </w:r>
      <w:r w:rsidR="00F17D0D" w:rsidRPr="008A084A">
        <w:rPr>
          <w:rFonts w:ascii="Cambria" w:hAnsi="Cambria"/>
          <w:sz w:val="20"/>
          <w:szCs w:val="20"/>
          <w:lang w:val="es-ES"/>
        </w:rPr>
        <w:t>s</w:t>
      </w:r>
      <w:r w:rsidR="00F17D0D" w:rsidRPr="008A084A">
        <w:rPr>
          <w:rStyle w:val="FootnoteReference"/>
          <w:rFonts w:ascii="Cambria" w:hAnsi="Cambria"/>
          <w:sz w:val="20"/>
          <w:szCs w:val="20"/>
          <w:lang w:val="es-ES"/>
        </w:rPr>
        <w:footnoteReference w:id="235"/>
      </w:r>
      <w:r w:rsidRPr="008A084A">
        <w:rPr>
          <w:rFonts w:ascii="Cambria" w:hAnsi="Cambria"/>
          <w:sz w:val="20"/>
          <w:szCs w:val="20"/>
          <w:lang w:val="es-ES"/>
        </w:rPr>
        <w:t xml:space="preserve">. Por tanto, </w:t>
      </w:r>
      <w:r w:rsidR="0092272F" w:rsidRPr="008A084A">
        <w:rPr>
          <w:rFonts w:ascii="Cambria" w:hAnsi="Cambria"/>
          <w:sz w:val="20"/>
          <w:szCs w:val="20"/>
          <w:lang w:val="es-ES"/>
        </w:rPr>
        <w:t>e</w:t>
      </w:r>
      <w:r w:rsidRPr="008A084A">
        <w:rPr>
          <w:rFonts w:ascii="Cambria" w:hAnsi="Cambria"/>
          <w:sz w:val="20"/>
          <w:szCs w:val="20"/>
          <w:lang w:val="es-ES"/>
        </w:rPr>
        <w:t>s necesario que los Estados promuevan prácticas de inclusión social y adopten medidas de diferenciación positiva para remover dichas barreras</w:t>
      </w:r>
      <w:r w:rsidR="00F17D0D" w:rsidRPr="008A084A">
        <w:rPr>
          <w:rStyle w:val="FootnoteReference"/>
          <w:rFonts w:ascii="Cambria" w:hAnsi="Cambria"/>
          <w:sz w:val="20"/>
          <w:szCs w:val="20"/>
          <w:lang w:val="es-ES"/>
        </w:rPr>
        <w:footnoteReference w:id="236"/>
      </w:r>
      <w:r w:rsidRPr="008A084A">
        <w:rPr>
          <w:rFonts w:ascii="Cambria" w:hAnsi="Cambria"/>
          <w:sz w:val="20"/>
          <w:szCs w:val="20"/>
          <w:lang w:val="es-ES"/>
        </w:rPr>
        <w:t>.</w:t>
      </w:r>
    </w:p>
    <w:p w:rsidR="000C187A" w:rsidRPr="008A084A" w:rsidRDefault="000C187A" w:rsidP="00FF1817">
      <w:pPr>
        <w:jc w:val="both"/>
        <w:rPr>
          <w:rFonts w:ascii="Cambria" w:hAnsi="Cambria"/>
          <w:sz w:val="20"/>
          <w:szCs w:val="20"/>
          <w:lang w:val="es-ES"/>
        </w:rPr>
      </w:pPr>
    </w:p>
    <w:p w:rsidR="00BD6114" w:rsidRPr="008A084A" w:rsidRDefault="00BD6114" w:rsidP="00FF1817">
      <w:pPr>
        <w:numPr>
          <w:ilvl w:val="0"/>
          <w:numId w:val="55"/>
        </w:numPr>
        <w:jc w:val="both"/>
        <w:rPr>
          <w:rFonts w:ascii="Cambria" w:hAnsi="Cambria"/>
          <w:sz w:val="20"/>
          <w:szCs w:val="20"/>
          <w:lang w:val="es-ES"/>
        </w:rPr>
      </w:pPr>
      <w:r w:rsidRPr="008A084A">
        <w:rPr>
          <w:rFonts w:ascii="Cambria" w:hAnsi="Cambria"/>
          <w:sz w:val="20"/>
          <w:szCs w:val="20"/>
          <w:lang w:val="es-ES"/>
        </w:rPr>
        <w:t>La Convención Interamericana para la Eliminación de todas las Formas de Discriminación contra las Personas con Discapacidad (en adelante “</w:t>
      </w:r>
      <w:r w:rsidR="001D2CDD" w:rsidRPr="008A084A">
        <w:rPr>
          <w:rFonts w:ascii="Cambria" w:hAnsi="Cambria"/>
          <w:sz w:val="20"/>
          <w:szCs w:val="20"/>
          <w:lang w:val="es-ES"/>
        </w:rPr>
        <w:t xml:space="preserve">la </w:t>
      </w:r>
      <w:r w:rsidRPr="008A084A">
        <w:rPr>
          <w:rFonts w:ascii="Cambria" w:hAnsi="Cambria"/>
          <w:sz w:val="20"/>
          <w:szCs w:val="20"/>
          <w:lang w:val="es-ES"/>
        </w:rPr>
        <w:t>CIADDIS”) es el primer instrumento internacional de derechos humanos específicamente dedicado a personas con discapacidad</w:t>
      </w:r>
      <w:r w:rsidR="0092272F" w:rsidRPr="008A084A">
        <w:rPr>
          <w:rFonts w:ascii="Cambria" w:hAnsi="Cambria"/>
          <w:sz w:val="20"/>
          <w:szCs w:val="20"/>
          <w:lang w:val="es-ES"/>
        </w:rPr>
        <w:t xml:space="preserve">. La CIDH toma nota de que </w:t>
      </w:r>
      <w:r w:rsidR="009A0B31" w:rsidRPr="008A084A">
        <w:rPr>
          <w:rFonts w:ascii="Cambria" w:hAnsi="Cambria"/>
          <w:sz w:val="20"/>
          <w:szCs w:val="20"/>
          <w:lang w:val="es-ES"/>
        </w:rPr>
        <w:t>Ecuador ratificó dicho tratado el 18 de marzo de 2004</w:t>
      </w:r>
      <w:r w:rsidR="009A0B31" w:rsidRPr="008A084A">
        <w:rPr>
          <w:rStyle w:val="FootnoteReference"/>
          <w:rFonts w:ascii="Cambria" w:hAnsi="Cambria"/>
          <w:sz w:val="20"/>
          <w:szCs w:val="20"/>
          <w:lang w:val="es-ES"/>
        </w:rPr>
        <w:footnoteReference w:id="237"/>
      </w:r>
      <w:r w:rsidR="009A0B31" w:rsidRPr="008A084A">
        <w:rPr>
          <w:rFonts w:ascii="Cambria" w:hAnsi="Cambria"/>
          <w:sz w:val="20"/>
          <w:szCs w:val="20"/>
          <w:lang w:val="es-ES"/>
        </w:rPr>
        <w:t>.</w:t>
      </w:r>
    </w:p>
    <w:p w:rsidR="009A0B31" w:rsidRPr="008A084A" w:rsidRDefault="009A0B31" w:rsidP="00FF1817">
      <w:pPr>
        <w:pStyle w:val="ColorfulList-Accent11"/>
        <w:rPr>
          <w:rFonts w:ascii="Cambria" w:hAnsi="Cambria"/>
          <w:sz w:val="20"/>
          <w:szCs w:val="20"/>
          <w:lang w:val="es-ES"/>
        </w:rPr>
      </w:pPr>
    </w:p>
    <w:p w:rsidR="004905B3" w:rsidRPr="008A084A" w:rsidRDefault="009A0B31" w:rsidP="004905B3">
      <w:pPr>
        <w:numPr>
          <w:ilvl w:val="0"/>
          <w:numId w:val="55"/>
        </w:numPr>
        <w:jc w:val="both"/>
        <w:rPr>
          <w:rFonts w:ascii="Cambria" w:hAnsi="Cambria"/>
          <w:sz w:val="20"/>
          <w:szCs w:val="20"/>
          <w:lang w:val="es-ES"/>
        </w:rPr>
      </w:pPr>
      <w:r w:rsidRPr="008A084A">
        <w:rPr>
          <w:rFonts w:ascii="Cambria" w:hAnsi="Cambria"/>
          <w:sz w:val="20"/>
          <w:szCs w:val="20"/>
          <w:lang w:val="es-ES"/>
        </w:rPr>
        <w:t>Por otra parte, el 3 de mayo de 2008 entró en vigor, en el sistema universal, la Convención sobre los Derechos de las Personas con Dis</w:t>
      </w:r>
      <w:r w:rsidR="00900D13" w:rsidRPr="008A084A">
        <w:rPr>
          <w:rFonts w:ascii="Cambria" w:hAnsi="Cambria"/>
          <w:sz w:val="20"/>
          <w:szCs w:val="20"/>
          <w:lang w:val="es-ES"/>
        </w:rPr>
        <w:t>capacidad (en adelante “</w:t>
      </w:r>
      <w:r w:rsidR="00283C1A" w:rsidRPr="008A084A">
        <w:rPr>
          <w:rFonts w:ascii="Cambria" w:hAnsi="Cambria"/>
          <w:sz w:val="20"/>
          <w:szCs w:val="20"/>
          <w:lang w:val="es-ES"/>
        </w:rPr>
        <w:t xml:space="preserve">la </w:t>
      </w:r>
      <w:r w:rsidR="00900D13" w:rsidRPr="008A084A">
        <w:rPr>
          <w:rFonts w:ascii="Cambria" w:hAnsi="Cambria"/>
          <w:sz w:val="20"/>
          <w:szCs w:val="20"/>
          <w:lang w:val="es-ES"/>
        </w:rPr>
        <w:t xml:space="preserve">CDPD”), </w:t>
      </w:r>
      <w:r w:rsidRPr="008A084A">
        <w:rPr>
          <w:rFonts w:ascii="Cambria" w:hAnsi="Cambria"/>
          <w:sz w:val="20"/>
          <w:szCs w:val="20"/>
          <w:lang w:val="es-ES"/>
        </w:rPr>
        <w:t>que establece los siguientes principios rectores en la materia : i) el respeto de la dignidad inherente, la autonomía individual, incluida la libertad de tomar las propias decisiones, y la independencia de las personas; ii) la no discriminación; iii) la participación e inclusión plenas y efectivas en la sociedad; iv) el respeto por la diferencia y la aceptación de las personas con discapacidad como parte de la diversidad y la condición humanas; v) la igualdad de oportunidades; vi) la accesibilidad; vii) la igualdad entre el hombre y la mujer</w:t>
      </w:r>
      <w:r w:rsidR="00283C1A" w:rsidRPr="008A084A">
        <w:rPr>
          <w:rFonts w:ascii="Cambria" w:hAnsi="Cambria"/>
          <w:sz w:val="20"/>
          <w:szCs w:val="20"/>
          <w:lang w:val="es-ES"/>
        </w:rPr>
        <w:t>;</w:t>
      </w:r>
      <w:r w:rsidRPr="008A084A">
        <w:rPr>
          <w:rFonts w:ascii="Cambria" w:hAnsi="Cambria"/>
          <w:sz w:val="20"/>
          <w:szCs w:val="20"/>
          <w:lang w:val="es-ES"/>
        </w:rPr>
        <w:t xml:space="preserve"> y viii) el respeto a la evolución de las facultades de los niños y las niñas con discapacidad y de su derecho a preservar su identidad. </w:t>
      </w:r>
      <w:r w:rsidR="0092272F" w:rsidRPr="008A084A">
        <w:rPr>
          <w:rFonts w:ascii="Cambria" w:hAnsi="Cambria"/>
          <w:sz w:val="20"/>
          <w:szCs w:val="20"/>
          <w:lang w:val="es-ES"/>
        </w:rPr>
        <w:t xml:space="preserve">La Comisión toma nota de que </w:t>
      </w:r>
      <w:r w:rsidRPr="008A084A">
        <w:rPr>
          <w:rFonts w:ascii="Cambria" w:hAnsi="Cambria"/>
          <w:sz w:val="20"/>
          <w:szCs w:val="20"/>
          <w:lang w:val="es-ES"/>
        </w:rPr>
        <w:t>Ecuador ratificó esta Convención el 3 de abril de 2008</w:t>
      </w:r>
      <w:r w:rsidR="00794EF6" w:rsidRPr="008A084A">
        <w:rPr>
          <w:rStyle w:val="FootnoteReference"/>
          <w:rFonts w:ascii="Cambria" w:hAnsi="Cambria"/>
          <w:sz w:val="20"/>
          <w:szCs w:val="20"/>
        </w:rPr>
        <w:footnoteReference w:id="238"/>
      </w:r>
      <w:r w:rsidRPr="008A084A">
        <w:rPr>
          <w:rFonts w:ascii="Cambria" w:hAnsi="Cambria"/>
          <w:sz w:val="20"/>
          <w:szCs w:val="20"/>
          <w:lang w:val="es-ES"/>
        </w:rPr>
        <w:t>.</w:t>
      </w:r>
    </w:p>
    <w:p w:rsidR="004905B3" w:rsidRPr="008A084A" w:rsidRDefault="004905B3" w:rsidP="004905B3">
      <w:pPr>
        <w:pStyle w:val="ListParagraph"/>
        <w:rPr>
          <w:rFonts w:ascii="Cambria" w:hAnsi="Cambria"/>
          <w:sz w:val="20"/>
          <w:szCs w:val="20"/>
          <w:lang w:val="es-ES"/>
        </w:rPr>
      </w:pPr>
    </w:p>
    <w:p w:rsidR="00900D13" w:rsidRPr="008A084A" w:rsidRDefault="00900D13" w:rsidP="004905B3">
      <w:pPr>
        <w:numPr>
          <w:ilvl w:val="0"/>
          <w:numId w:val="55"/>
        </w:numPr>
        <w:jc w:val="both"/>
        <w:rPr>
          <w:rFonts w:ascii="Cambria" w:hAnsi="Cambria"/>
          <w:sz w:val="20"/>
          <w:szCs w:val="20"/>
          <w:lang w:val="es-ES"/>
        </w:rPr>
      </w:pPr>
      <w:r w:rsidRPr="008A084A">
        <w:rPr>
          <w:rFonts w:ascii="Cambria" w:hAnsi="Cambria"/>
          <w:sz w:val="20"/>
          <w:szCs w:val="20"/>
          <w:lang w:val="es-ES"/>
        </w:rPr>
        <w:t xml:space="preserve">La CIDH remarca que la CDPD </w:t>
      </w:r>
      <w:r w:rsidR="00602747" w:rsidRPr="008A084A">
        <w:rPr>
          <w:rFonts w:ascii="Cambria" w:hAnsi="Cambria"/>
          <w:sz w:val="20"/>
          <w:szCs w:val="20"/>
          <w:lang w:val="es-ES"/>
        </w:rPr>
        <w:t>implic</w:t>
      </w:r>
      <w:r w:rsidR="00602747" w:rsidRPr="008A084A">
        <w:rPr>
          <w:rFonts w:ascii="Cambria" w:hAnsi="Cambria"/>
          <w:sz w:val="20"/>
          <w:szCs w:val="20"/>
          <w:lang w:val="es-CO"/>
        </w:rPr>
        <w:t xml:space="preserve">ó un cambio de paradigma fundamental para la adecuada comprensión de los derechos de las personas con discapacidad, en cuando a su entendimiento como sujetos de derechos y no como objetos de protección. Además, resulta de crucial relevancia pues </w:t>
      </w:r>
      <w:r w:rsidRPr="008A084A">
        <w:rPr>
          <w:rFonts w:ascii="Cambria" w:hAnsi="Cambria"/>
          <w:sz w:val="20"/>
          <w:szCs w:val="20"/>
          <w:lang w:val="es-ES"/>
        </w:rPr>
        <w:t>adopta un enfoque social para abordar la discapacidad. Ello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w:t>
      </w:r>
      <w:r w:rsidRPr="008A084A">
        <w:rPr>
          <w:rStyle w:val="FootnoteReference"/>
          <w:rFonts w:ascii="Cambria" w:hAnsi="Cambria"/>
          <w:sz w:val="20"/>
          <w:szCs w:val="20"/>
        </w:rPr>
        <w:footnoteReference w:id="239"/>
      </w:r>
      <w:r w:rsidRPr="008A084A">
        <w:rPr>
          <w:rFonts w:ascii="Cambria" w:hAnsi="Cambria"/>
          <w:sz w:val="20"/>
          <w:szCs w:val="20"/>
          <w:lang w:val="es-ES"/>
        </w:rPr>
        <w:t>. Los tipos de límites o barreras que comúnmente encuentran las personas con diversidad funcional en la sociedad son, entre otras, barreras físicas o arquitectónicas, comunicativas, actitudinales o socioeconómicas</w:t>
      </w:r>
      <w:r w:rsidRPr="008A084A">
        <w:rPr>
          <w:rStyle w:val="FootnoteReference"/>
          <w:rFonts w:ascii="Cambria" w:hAnsi="Cambria"/>
          <w:sz w:val="20"/>
          <w:szCs w:val="20"/>
          <w:lang w:val="es-ES"/>
        </w:rPr>
        <w:footnoteReference w:id="240"/>
      </w:r>
      <w:r w:rsidRPr="008A084A">
        <w:rPr>
          <w:rFonts w:ascii="Cambria" w:hAnsi="Cambria"/>
          <w:sz w:val="20"/>
          <w:szCs w:val="20"/>
          <w:lang w:val="es-ES"/>
        </w:rPr>
        <w:t>.</w:t>
      </w:r>
      <w:r w:rsidR="00225513" w:rsidRPr="008A084A">
        <w:rPr>
          <w:rFonts w:ascii="Cambria" w:hAnsi="Cambria"/>
          <w:sz w:val="20"/>
          <w:szCs w:val="20"/>
          <w:lang w:val="es-ES"/>
        </w:rPr>
        <w:t xml:space="preserve"> </w:t>
      </w:r>
    </w:p>
    <w:p w:rsidR="005C005B" w:rsidRPr="008A084A" w:rsidRDefault="005C005B" w:rsidP="00A16BA4">
      <w:pPr>
        <w:pStyle w:val="ListParagraph"/>
        <w:rPr>
          <w:rFonts w:ascii="Cambria" w:hAnsi="Cambria"/>
          <w:sz w:val="20"/>
          <w:szCs w:val="20"/>
          <w:lang w:val="es-ES"/>
        </w:rPr>
      </w:pPr>
    </w:p>
    <w:p w:rsidR="003B0498" w:rsidRPr="008A084A" w:rsidRDefault="009D0824" w:rsidP="00A16BA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Cambria" w:hAnsi="Cambria"/>
          <w:color w:val="auto"/>
          <w:sz w:val="20"/>
          <w:szCs w:val="20"/>
        </w:rPr>
      </w:pPr>
      <w:r w:rsidRPr="008A084A">
        <w:rPr>
          <w:rFonts w:ascii="Cambria" w:hAnsi="Cambria"/>
          <w:color w:val="auto"/>
          <w:sz w:val="20"/>
          <w:szCs w:val="20"/>
          <w:lang w:val="es-ES"/>
        </w:rPr>
        <w:t>Finalmente</w:t>
      </w:r>
      <w:r w:rsidR="009637D6" w:rsidRPr="008A084A">
        <w:rPr>
          <w:rFonts w:ascii="Cambria" w:hAnsi="Cambria"/>
          <w:color w:val="auto"/>
          <w:sz w:val="20"/>
          <w:szCs w:val="20"/>
          <w:lang w:val="es-ES"/>
        </w:rPr>
        <w:t>,</w:t>
      </w:r>
      <w:r w:rsidRPr="008A084A">
        <w:rPr>
          <w:rFonts w:ascii="Cambria" w:hAnsi="Cambria"/>
          <w:color w:val="auto"/>
          <w:sz w:val="20"/>
          <w:szCs w:val="20"/>
          <w:lang w:val="es-ES"/>
        </w:rPr>
        <w:t xml:space="preserve"> en relación al principio de igualdad y no discriminación el sistema interamericano no sólo recoge una noción formal de igualdad, limitada a exigir criterios de distinción objetivos y razonables y, por lo tanto, a prohibir diferencias de trato irrazonables, caprichosas o arbitrarias, sino que avanza hacia un concepto de igualdad material o estructural que parte del reconocimiento de que ciertos sectores de la población requieren la adopción de medidas afirmativas de equiparación. Ello implica la </w:t>
      </w:r>
      <w:r w:rsidRPr="008A084A">
        <w:rPr>
          <w:rFonts w:ascii="Cambria" w:hAnsi="Cambria"/>
          <w:color w:val="auto"/>
          <w:sz w:val="20"/>
          <w:szCs w:val="20"/>
          <w:lang w:val="es-ES"/>
        </w:rPr>
        <w:lastRenderedPageBreak/>
        <w:t>necesidad de trato diferenciado cuando, debido a las circunstancias que afectan a un grupo desventajado, la igualdad de trato suponga suspender o limitar el acceso a un servicio, bien o el ejercicio de un derecho</w:t>
      </w:r>
      <w:r w:rsidR="009637D6" w:rsidRPr="008A084A">
        <w:rPr>
          <w:rStyle w:val="FootnoteReference"/>
          <w:rFonts w:ascii="Cambria" w:hAnsi="Cambria"/>
          <w:color w:val="auto"/>
          <w:sz w:val="20"/>
          <w:szCs w:val="20"/>
          <w:lang w:val="es-ES"/>
        </w:rPr>
        <w:footnoteReference w:id="241"/>
      </w:r>
      <w:r w:rsidR="009637D6" w:rsidRPr="008A084A">
        <w:rPr>
          <w:rFonts w:ascii="Cambria" w:hAnsi="Cambria"/>
          <w:color w:val="auto"/>
          <w:sz w:val="20"/>
          <w:szCs w:val="20"/>
          <w:lang w:val="es-ES"/>
        </w:rPr>
        <w:t xml:space="preserve">. </w:t>
      </w:r>
      <w:r w:rsidR="0026749B" w:rsidRPr="008A084A">
        <w:rPr>
          <w:rFonts w:ascii="Cambria" w:hAnsi="Cambria"/>
          <w:color w:val="auto"/>
          <w:sz w:val="20"/>
          <w:szCs w:val="20"/>
          <w:lang w:val="es-ES"/>
        </w:rPr>
        <w:t xml:space="preserve"> </w:t>
      </w:r>
      <w:r w:rsidR="003B0498" w:rsidRPr="008A084A">
        <w:rPr>
          <w:rFonts w:ascii="Cambria" w:hAnsi="Cambria"/>
          <w:color w:val="auto"/>
          <w:sz w:val="20"/>
          <w:szCs w:val="20"/>
          <w:lang w:val="es-ES"/>
        </w:rPr>
        <w:t xml:space="preserve">De la misma forma, </w:t>
      </w:r>
      <w:r w:rsidR="00C95B66" w:rsidRPr="008A084A">
        <w:rPr>
          <w:rFonts w:ascii="Cambria" w:hAnsi="Cambria"/>
          <w:color w:val="auto"/>
          <w:sz w:val="20"/>
          <w:szCs w:val="20"/>
          <w:lang w:val="es-ES"/>
        </w:rPr>
        <w:t xml:space="preserve">teniendo en cuenta la situación de pobreza del señor Guachalá y su familia, </w:t>
      </w:r>
      <w:r w:rsidR="003B0498" w:rsidRPr="008A084A">
        <w:rPr>
          <w:rFonts w:ascii="Cambria" w:hAnsi="Cambria"/>
          <w:color w:val="auto"/>
          <w:sz w:val="20"/>
          <w:szCs w:val="20"/>
          <w:lang w:val="es-ES"/>
        </w:rPr>
        <w:t xml:space="preserve">la CIDH </w:t>
      </w:r>
      <w:r w:rsidR="00C95B66" w:rsidRPr="008A084A">
        <w:rPr>
          <w:rFonts w:ascii="Cambria" w:hAnsi="Cambria"/>
          <w:color w:val="auto"/>
          <w:sz w:val="20"/>
          <w:szCs w:val="20"/>
          <w:lang w:val="es-ES"/>
        </w:rPr>
        <w:t xml:space="preserve">recuerda </w:t>
      </w:r>
      <w:r w:rsidR="003B0498" w:rsidRPr="008A084A">
        <w:rPr>
          <w:rFonts w:ascii="Cambria" w:hAnsi="Cambria"/>
          <w:color w:val="auto"/>
          <w:sz w:val="20"/>
          <w:szCs w:val="20"/>
          <w:lang w:val="es-ES"/>
        </w:rPr>
        <w:t>que tener una discapacidad aumenta la probabilidad de estar en situación de pobreza, debido a que la discriminación que se deriva de vivir con esta condición puede conllevar a la exclusión social, la marginación, la falta de estudios</w:t>
      </w:r>
      <w:r w:rsidR="00C95B66" w:rsidRPr="008A084A">
        <w:rPr>
          <w:rFonts w:ascii="Cambria" w:hAnsi="Cambria"/>
          <w:color w:val="auto"/>
          <w:sz w:val="20"/>
          <w:szCs w:val="20"/>
          <w:lang w:val="es-ES"/>
        </w:rPr>
        <w:t xml:space="preserve"> y</w:t>
      </w:r>
      <w:r w:rsidR="003B0498" w:rsidRPr="008A084A">
        <w:rPr>
          <w:rFonts w:ascii="Cambria" w:hAnsi="Cambria"/>
          <w:color w:val="auto"/>
          <w:sz w:val="20"/>
          <w:szCs w:val="20"/>
          <w:lang w:val="es-ES"/>
        </w:rPr>
        <w:t xml:space="preserve"> el desempleo</w:t>
      </w:r>
      <w:r w:rsidR="003B0498" w:rsidRPr="008A084A">
        <w:rPr>
          <w:rStyle w:val="FootnoteReference"/>
          <w:rFonts w:ascii="Cambria" w:hAnsi="Cambria"/>
          <w:color w:val="auto"/>
          <w:sz w:val="20"/>
          <w:szCs w:val="20"/>
          <w:lang w:val="es-ES"/>
        </w:rPr>
        <w:footnoteReference w:id="242"/>
      </w:r>
      <w:r w:rsidR="003B0498" w:rsidRPr="008A084A">
        <w:rPr>
          <w:rFonts w:ascii="Cambria" w:hAnsi="Cambria"/>
          <w:color w:val="auto"/>
          <w:sz w:val="20"/>
          <w:szCs w:val="20"/>
          <w:lang w:val="es-ES"/>
        </w:rPr>
        <w:t>.</w:t>
      </w:r>
    </w:p>
    <w:p w:rsidR="003B0498" w:rsidRPr="008A084A" w:rsidRDefault="003B0498" w:rsidP="00A16BA4">
      <w:pPr>
        <w:pStyle w:val="ListParagraph"/>
        <w:rPr>
          <w:rFonts w:ascii="Cambria" w:hAnsi="Cambria"/>
          <w:sz w:val="20"/>
          <w:szCs w:val="20"/>
          <w:lang w:val="es-ES"/>
        </w:rPr>
      </w:pPr>
    </w:p>
    <w:p w:rsidR="005C005B" w:rsidRPr="008A084A" w:rsidRDefault="00C95B66" w:rsidP="00A16BA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Cambria" w:hAnsi="Cambria"/>
          <w:color w:val="auto"/>
          <w:sz w:val="20"/>
          <w:szCs w:val="20"/>
        </w:rPr>
      </w:pPr>
      <w:r w:rsidRPr="008A084A">
        <w:rPr>
          <w:rFonts w:ascii="Cambria" w:hAnsi="Cambria"/>
          <w:color w:val="auto"/>
          <w:sz w:val="20"/>
          <w:szCs w:val="20"/>
          <w:lang w:val="es-ES"/>
        </w:rPr>
        <w:t>De este modo, l</w:t>
      </w:r>
      <w:r w:rsidR="004905B3" w:rsidRPr="008A084A">
        <w:rPr>
          <w:rFonts w:ascii="Cambria" w:hAnsi="Cambria"/>
          <w:color w:val="auto"/>
          <w:sz w:val="20"/>
          <w:szCs w:val="20"/>
          <w:lang w:val="es-ES"/>
        </w:rPr>
        <w:t xml:space="preserve">os órganos del sistema interamericano han hecho hincapié en el deber de los Estados de adoptar medidas para asegurar la igualdad real entre las personas y combatir la discriminación histórica </w:t>
      </w:r>
      <w:r w:rsidR="00383748" w:rsidRPr="008A084A">
        <w:rPr>
          <w:rFonts w:ascii="Cambria" w:hAnsi="Cambria"/>
          <w:color w:val="auto"/>
          <w:sz w:val="20"/>
          <w:szCs w:val="20"/>
          <w:lang w:val="es-ES"/>
        </w:rPr>
        <w:t xml:space="preserve">o </w:t>
      </w:r>
      <w:r w:rsidR="00383748" w:rsidRPr="008A084A">
        <w:rPr>
          <w:rFonts w:ascii="Cambria" w:hAnsi="Cambria"/>
          <w:i/>
          <w:color w:val="auto"/>
          <w:sz w:val="20"/>
          <w:szCs w:val="20"/>
          <w:lang w:val="es-ES"/>
        </w:rPr>
        <w:t>de facto</w:t>
      </w:r>
      <w:r w:rsidR="00383748" w:rsidRPr="008A084A">
        <w:rPr>
          <w:rFonts w:ascii="Cambria" w:hAnsi="Cambria"/>
          <w:color w:val="auto"/>
          <w:sz w:val="20"/>
          <w:szCs w:val="20"/>
          <w:lang w:val="es-ES"/>
        </w:rPr>
        <w:t xml:space="preserve"> </w:t>
      </w:r>
      <w:r w:rsidR="004905B3" w:rsidRPr="008A084A">
        <w:rPr>
          <w:rFonts w:ascii="Cambria" w:hAnsi="Cambria"/>
          <w:color w:val="auto"/>
          <w:sz w:val="20"/>
          <w:szCs w:val="20"/>
          <w:lang w:val="es-ES"/>
        </w:rPr>
        <w:t>ejercida en contra de una variedad de grupos sociales</w:t>
      </w:r>
      <w:r w:rsidR="00383748" w:rsidRPr="008A084A">
        <w:rPr>
          <w:rFonts w:ascii="Cambria" w:hAnsi="Cambria"/>
          <w:color w:val="auto"/>
          <w:sz w:val="20"/>
          <w:szCs w:val="20"/>
          <w:lang w:val="es-ES"/>
        </w:rPr>
        <w:t xml:space="preserve">. </w:t>
      </w:r>
      <w:r w:rsidRPr="008A084A">
        <w:rPr>
          <w:rFonts w:ascii="Cambria" w:hAnsi="Cambria"/>
          <w:color w:val="auto"/>
          <w:sz w:val="20"/>
          <w:szCs w:val="20"/>
          <w:lang w:val="es-ES"/>
        </w:rPr>
        <w:t>La Comisión ha señalado que la implementación de medidas positivas son necesarias para garantizar el ejercicio de los derechos de personas vinculadas a grupos que sufren desigualdades estructurales o han sido víctima de procesos históricos de exclusión</w:t>
      </w:r>
      <w:r w:rsidRPr="008A084A">
        <w:rPr>
          <w:rStyle w:val="FootnoteReference"/>
          <w:rFonts w:ascii="Cambria" w:hAnsi="Cambria"/>
          <w:color w:val="auto"/>
          <w:sz w:val="20"/>
          <w:szCs w:val="20"/>
        </w:rPr>
        <w:footnoteReference w:id="243"/>
      </w:r>
      <w:r w:rsidRPr="008A084A">
        <w:rPr>
          <w:rFonts w:ascii="Cambria" w:hAnsi="Cambria"/>
          <w:color w:val="auto"/>
          <w:sz w:val="20"/>
          <w:szCs w:val="20"/>
          <w:lang w:val="es-ES"/>
        </w:rPr>
        <w:t>, como son las personas con alguna discapacidad mental</w:t>
      </w:r>
      <w:r w:rsidRPr="008A084A">
        <w:rPr>
          <w:rFonts w:ascii="Cambria" w:hAnsi="Cambria"/>
          <w:color w:val="auto"/>
          <w:sz w:val="20"/>
          <w:szCs w:val="20"/>
        </w:rPr>
        <w:t xml:space="preserve">. En la misma línea, la </w:t>
      </w:r>
      <w:r w:rsidRPr="008A084A">
        <w:rPr>
          <w:rFonts w:ascii="Cambria" w:hAnsi="Cambria"/>
          <w:color w:val="auto"/>
          <w:sz w:val="20"/>
          <w:szCs w:val="20"/>
          <w:lang w:val="es-AR"/>
        </w:rPr>
        <w:t xml:space="preserve">Corte ha establecido que los Estados están obligados a adoptar medidas positivas para revertir o </w:t>
      </w:r>
      <w:r w:rsidRPr="008A084A">
        <w:rPr>
          <w:rFonts w:ascii="Cambria" w:hAnsi="Cambria"/>
          <w:color w:val="auto"/>
          <w:sz w:val="20"/>
          <w:szCs w:val="20"/>
          <w:lang w:val="es-ES"/>
        </w:rPr>
        <w:t>cambiar</w:t>
      </w:r>
      <w:r w:rsidRPr="008A084A">
        <w:rPr>
          <w:rFonts w:ascii="Cambria" w:hAnsi="Cambria"/>
          <w:color w:val="auto"/>
          <w:sz w:val="20"/>
          <w:szCs w:val="20"/>
          <w:lang w:val="es-AR"/>
        </w:rPr>
        <w:t xml:space="preserve">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Pr="008A084A">
        <w:rPr>
          <w:rStyle w:val="FootnoteReference"/>
          <w:rFonts w:ascii="Cambria" w:hAnsi="Cambria"/>
          <w:color w:val="auto"/>
          <w:sz w:val="20"/>
          <w:szCs w:val="20"/>
          <w:lang w:val="es-AR"/>
        </w:rPr>
        <w:footnoteReference w:id="244"/>
      </w:r>
      <w:r w:rsidRPr="008A084A">
        <w:rPr>
          <w:rFonts w:ascii="Cambria" w:hAnsi="Cambria"/>
          <w:color w:val="auto"/>
          <w:sz w:val="20"/>
          <w:szCs w:val="20"/>
          <w:lang w:val="es-AR"/>
        </w:rPr>
        <w:t>.</w:t>
      </w:r>
    </w:p>
    <w:p w:rsidR="00900D13" w:rsidRPr="008A084A" w:rsidRDefault="00900D13" w:rsidP="00FF1817">
      <w:pPr>
        <w:pStyle w:val="ColorfulList-Accent11"/>
        <w:ind w:left="0"/>
        <w:rPr>
          <w:rFonts w:ascii="Cambria" w:hAnsi="Cambria"/>
          <w:sz w:val="20"/>
          <w:szCs w:val="20"/>
          <w:lang w:val="es-ES"/>
        </w:rPr>
      </w:pPr>
    </w:p>
    <w:p w:rsidR="002254CC" w:rsidRPr="008A084A" w:rsidRDefault="008230B7" w:rsidP="00FF1817">
      <w:pPr>
        <w:numPr>
          <w:ilvl w:val="0"/>
          <w:numId w:val="55"/>
        </w:numPr>
        <w:jc w:val="both"/>
        <w:rPr>
          <w:rFonts w:ascii="Cambria" w:hAnsi="Cambria"/>
          <w:sz w:val="20"/>
          <w:szCs w:val="20"/>
          <w:lang w:val="es-ES"/>
        </w:rPr>
      </w:pPr>
      <w:r w:rsidRPr="008A084A">
        <w:rPr>
          <w:rFonts w:ascii="Cambria" w:hAnsi="Cambria"/>
          <w:sz w:val="20"/>
          <w:szCs w:val="20"/>
          <w:lang w:val="es-ES"/>
        </w:rPr>
        <w:t>L</w:t>
      </w:r>
      <w:r w:rsidR="00900D13" w:rsidRPr="008A084A">
        <w:rPr>
          <w:rFonts w:ascii="Cambria" w:hAnsi="Cambria"/>
          <w:sz w:val="20"/>
          <w:szCs w:val="20"/>
          <w:lang w:val="es-ES"/>
        </w:rPr>
        <w:t>a</w:t>
      </w:r>
      <w:r w:rsidR="00862A67" w:rsidRPr="008A084A">
        <w:rPr>
          <w:rFonts w:ascii="Cambria" w:hAnsi="Cambria"/>
          <w:sz w:val="20"/>
          <w:szCs w:val="20"/>
          <w:lang w:val="es-ES"/>
        </w:rPr>
        <w:t xml:space="preserve"> Comisión resalta la importancia de la CDPD como instrumento</w:t>
      </w:r>
      <w:r w:rsidRPr="008A084A">
        <w:rPr>
          <w:rFonts w:ascii="Cambria" w:hAnsi="Cambria"/>
          <w:sz w:val="20"/>
          <w:szCs w:val="20"/>
          <w:lang w:val="es-ES"/>
        </w:rPr>
        <w:t xml:space="preserve"> específico que contribuye a la adecuada</w:t>
      </w:r>
      <w:r w:rsidR="008929D8" w:rsidRPr="008A084A">
        <w:rPr>
          <w:rFonts w:ascii="Cambria" w:hAnsi="Cambria"/>
          <w:sz w:val="20"/>
          <w:szCs w:val="20"/>
          <w:lang w:val="es-ES"/>
        </w:rPr>
        <w:t xml:space="preserve"> y más amplia</w:t>
      </w:r>
      <w:r w:rsidRPr="008A084A">
        <w:rPr>
          <w:rFonts w:ascii="Cambria" w:hAnsi="Cambria"/>
          <w:sz w:val="20"/>
          <w:szCs w:val="20"/>
          <w:lang w:val="es-ES"/>
        </w:rPr>
        <w:t xml:space="preserve"> interpretación de la </w:t>
      </w:r>
      <w:r w:rsidR="00862A67" w:rsidRPr="008A084A">
        <w:rPr>
          <w:rFonts w:ascii="Cambria" w:hAnsi="Cambria"/>
          <w:sz w:val="20"/>
          <w:szCs w:val="20"/>
          <w:lang w:val="es-ES"/>
        </w:rPr>
        <w:t>Convención Americana</w:t>
      </w:r>
      <w:r w:rsidRPr="008A084A">
        <w:rPr>
          <w:rFonts w:ascii="Cambria" w:hAnsi="Cambria"/>
          <w:sz w:val="20"/>
          <w:szCs w:val="20"/>
          <w:lang w:val="es-ES"/>
        </w:rPr>
        <w:t xml:space="preserve"> en casos de personas con discapacidad</w:t>
      </w:r>
      <w:r w:rsidR="00862A67" w:rsidRPr="008A084A">
        <w:rPr>
          <w:rFonts w:ascii="Cambria" w:hAnsi="Cambria"/>
          <w:sz w:val="20"/>
          <w:szCs w:val="20"/>
          <w:lang w:val="es-ES"/>
        </w:rPr>
        <w:t xml:space="preserve">. </w:t>
      </w:r>
      <w:r w:rsidR="00F664CD" w:rsidRPr="008A084A">
        <w:rPr>
          <w:rFonts w:ascii="Cambria" w:hAnsi="Cambria"/>
          <w:sz w:val="20"/>
          <w:szCs w:val="20"/>
          <w:lang w:val="es-ES"/>
        </w:rPr>
        <w:t>Tal como señaló el Alto Comisionado de Naciones Unidas para los Derechos Humanos, la CDPD clarifica las obligaciones de respetar y asegurar el disfrute de derechos por parte de las personas con discapacidad</w:t>
      </w:r>
      <w:r w:rsidR="00F664CD" w:rsidRPr="008A084A">
        <w:rPr>
          <w:rStyle w:val="FootnoteReference"/>
          <w:rFonts w:ascii="Cambria" w:hAnsi="Cambria"/>
          <w:sz w:val="20"/>
          <w:szCs w:val="20"/>
          <w:lang w:val="es-ES"/>
        </w:rPr>
        <w:footnoteReference w:id="245"/>
      </w:r>
      <w:r w:rsidR="00F664CD" w:rsidRPr="008A084A">
        <w:rPr>
          <w:rFonts w:ascii="Cambria" w:hAnsi="Cambria"/>
          <w:sz w:val="20"/>
          <w:szCs w:val="20"/>
          <w:lang w:val="es-ES"/>
        </w:rPr>
        <w:t>.</w:t>
      </w:r>
      <w:r w:rsidR="00E807F0" w:rsidRPr="008A084A">
        <w:rPr>
          <w:rFonts w:ascii="Cambria" w:hAnsi="Cambria"/>
          <w:sz w:val="20"/>
          <w:szCs w:val="20"/>
          <w:lang w:val="es-ES"/>
        </w:rPr>
        <w:t xml:space="preserve"> </w:t>
      </w:r>
    </w:p>
    <w:p w:rsidR="00862A67" w:rsidRPr="008A084A" w:rsidRDefault="00862A67"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2340"/>
        </w:tabs>
        <w:autoSpaceDE w:val="0"/>
        <w:autoSpaceDN w:val="0"/>
        <w:adjustRightInd w:val="0"/>
        <w:ind w:left="0" w:firstLine="0"/>
        <w:jc w:val="both"/>
        <w:rPr>
          <w:rFonts w:ascii="Cambria" w:hAnsi="Cambria"/>
          <w:color w:val="auto"/>
          <w:sz w:val="20"/>
          <w:szCs w:val="20"/>
          <w:lang w:val="es-ES"/>
        </w:rPr>
      </w:pPr>
    </w:p>
    <w:p w:rsidR="002254CC" w:rsidRPr="008A084A" w:rsidRDefault="00E9277B" w:rsidP="00BB377F">
      <w:pPr>
        <w:pStyle w:val="Heading2"/>
        <w:tabs>
          <w:tab w:val="left" w:pos="720"/>
          <w:tab w:val="left" w:pos="1440"/>
        </w:tabs>
        <w:spacing w:before="0" w:after="0"/>
        <w:jc w:val="both"/>
        <w:rPr>
          <w:rFonts w:ascii="Cambria" w:hAnsi="Cambria"/>
          <w:i w:val="0"/>
          <w:sz w:val="20"/>
          <w:szCs w:val="20"/>
          <w:lang w:val="es-ES"/>
        </w:rPr>
      </w:pPr>
      <w:r w:rsidRPr="008A084A">
        <w:rPr>
          <w:rFonts w:ascii="Cambria" w:hAnsi="Cambria"/>
          <w:i w:val="0"/>
          <w:sz w:val="20"/>
          <w:szCs w:val="20"/>
          <w:lang w:val="es-ES"/>
        </w:rPr>
        <w:tab/>
      </w:r>
      <w:bookmarkStart w:id="32" w:name="_Toc525547513"/>
      <w:r w:rsidRPr="008A084A">
        <w:rPr>
          <w:rFonts w:ascii="Cambria" w:hAnsi="Cambria"/>
          <w:i w:val="0"/>
          <w:sz w:val="20"/>
          <w:szCs w:val="20"/>
          <w:lang w:val="es-ES"/>
        </w:rPr>
        <w:t>2.</w:t>
      </w:r>
      <w:r w:rsidRPr="008A084A">
        <w:rPr>
          <w:rFonts w:ascii="Cambria" w:hAnsi="Cambria"/>
          <w:i w:val="0"/>
          <w:sz w:val="20"/>
          <w:szCs w:val="20"/>
          <w:lang w:val="es-ES"/>
        </w:rPr>
        <w:tab/>
      </w:r>
      <w:r w:rsidR="00BB377F" w:rsidRPr="008A084A">
        <w:rPr>
          <w:rFonts w:ascii="Cambria" w:hAnsi="Cambria"/>
          <w:i w:val="0"/>
          <w:sz w:val="20"/>
          <w:szCs w:val="20"/>
          <w:lang w:val="es-ES"/>
        </w:rPr>
        <w:t>Sobre la institucionalización de personas en centros de salud mental</w:t>
      </w:r>
      <w:bookmarkEnd w:id="32"/>
    </w:p>
    <w:p w:rsidR="00BB377F" w:rsidRPr="008A084A" w:rsidRDefault="00BB377F" w:rsidP="00BB377F">
      <w:pPr>
        <w:rPr>
          <w:rFonts w:ascii="Cambria" w:hAnsi="Cambria"/>
          <w:sz w:val="20"/>
          <w:szCs w:val="20"/>
          <w:lang w:val="es-ES"/>
        </w:rPr>
      </w:pPr>
    </w:p>
    <w:p w:rsidR="00FF1817" w:rsidRPr="008A084A" w:rsidRDefault="0021540E" w:rsidP="00FF1817">
      <w:pPr>
        <w:numPr>
          <w:ilvl w:val="0"/>
          <w:numId w:val="55"/>
        </w:numPr>
        <w:jc w:val="both"/>
        <w:rPr>
          <w:rFonts w:ascii="Cambria" w:hAnsi="Cambria"/>
          <w:sz w:val="20"/>
          <w:szCs w:val="20"/>
          <w:lang w:val="es-ES"/>
        </w:rPr>
      </w:pPr>
      <w:r w:rsidRPr="008A084A">
        <w:rPr>
          <w:rFonts w:ascii="Cambria" w:hAnsi="Cambria"/>
          <w:sz w:val="20"/>
          <w:szCs w:val="20"/>
          <w:lang w:val="es-ES"/>
        </w:rPr>
        <w:t xml:space="preserve">La Comisión </w:t>
      </w:r>
      <w:r w:rsidR="00FF1817" w:rsidRPr="008A084A">
        <w:rPr>
          <w:rFonts w:ascii="Cambria" w:hAnsi="Cambria"/>
          <w:sz w:val="20"/>
          <w:szCs w:val="20"/>
          <w:lang w:val="es-ES"/>
        </w:rPr>
        <w:t>resalta</w:t>
      </w:r>
      <w:r w:rsidRPr="008A084A">
        <w:rPr>
          <w:rFonts w:ascii="Cambria" w:hAnsi="Cambria"/>
          <w:sz w:val="20"/>
          <w:szCs w:val="20"/>
          <w:lang w:val="es-ES"/>
        </w:rPr>
        <w:t xml:space="preserve"> que l</w:t>
      </w:r>
      <w:r w:rsidR="002C4ABE" w:rsidRPr="008A084A">
        <w:rPr>
          <w:rFonts w:ascii="Cambria" w:hAnsi="Cambria"/>
          <w:sz w:val="20"/>
          <w:szCs w:val="20"/>
          <w:lang w:val="es-ES"/>
        </w:rPr>
        <w:t xml:space="preserve">a institucionalización de </w:t>
      </w:r>
      <w:r w:rsidR="00575466" w:rsidRPr="008A084A">
        <w:rPr>
          <w:rFonts w:ascii="Cambria" w:hAnsi="Cambria"/>
          <w:sz w:val="20"/>
          <w:szCs w:val="20"/>
          <w:lang w:val="es-ES"/>
        </w:rPr>
        <w:t xml:space="preserve">personas en centros de salud mental </w:t>
      </w:r>
      <w:r w:rsidR="00FF1817" w:rsidRPr="008A084A">
        <w:rPr>
          <w:rFonts w:ascii="Cambria" w:hAnsi="Cambria"/>
          <w:sz w:val="20"/>
          <w:szCs w:val="20"/>
          <w:lang w:val="es-ES"/>
        </w:rPr>
        <w:t xml:space="preserve">es una problemática </w:t>
      </w:r>
      <w:r w:rsidR="007C76B9" w:rsidRPr="008A084A">
        <w:rPr>
          <w:rFonts w:ascii="Cambria" w:hAnsi="Cambria"/>
          <w:sz w:val="20"/>
          <w:szCs w:val="20"/>
          <w:lang w:val="es-ES"/>
        </w:rPr>
        <w:t>tanto regional como universal</w:t>
      </w:r>
      <w:r w:rsidR="00FF1817" w:rsidRPr="008A084A">
        <w:rPr>
          <w:rFonts w:ascii="Cambria" w:hAnsi="Cambria"/>
          <w:sz w:val="20"/>
          <w:szCs w:val="20"/>
          <w:lang w:val="es-ES"/>
        </w:rPr>
        <w:t xml:space="preserve">. Dicha situación ha sido analizada </w:t>
      </w:r>
      <w:r w:rsidR="00122727" w:rsidRPr="008A084A">
        <w:rPr>
          <w:rFonts w:ascii="Cambria" w:hAnsi="Cambria"/>
          <w:sz w:val="20"/>
          <w:szCs w:val="20"/>
          <w:lang w:val="es-ES"/>
        </w:rPr>
        <w:t xml:space="preserve">constantemente </w:t>
      </w:r>
      <w:r w:rsidR="00FF1817" w:rsidRPr="008A084A">
        <w:rPr>
          <w:rFonts w:ascii="Cambria" w:hAnsi="Cambria"/>
          <w:sz w:val="20"/>
          <w:szCs w:val="20"/>
          <w:lang w:val="es-ES"/>
        </w:rPr>
        <w:t xml:space="preserve">por el Comité de Naciones Unidas de los </w:t>
      </w:r>
      <w:r w:rsidR="00C519AE" w:rsidRPr="008A084A">
        <w:rPr>
          <w:rFonts w:ascii="Cambria" w:hAnsi="Cambria"/>
          <w:sz w:val="20"/>
          <w:szCs w:val="20"/>
          <w:lang w:val="es-ES"/>
        </w:rPr>
        <w:t>D</w:t>
      </w:r>
      <w:r w:rsidR="00FF1817" w:rsidRPr="008A084A">
        <w:rPr>
          <w:rFonts w:ascii="Cambria" w:hAnsi="Cambria"/>
          <w:sz w:val="20"/>
          <w:szCs w:val="20"/>
          <w:lang w:val="es-ES"/>
        </w:rPr>
        <w:t xml:space="preserve">erechos de las </w:t>
      </w:r>
      <w:r w:rsidR="00C519AE" w:rsidRPr="008A084A">
        <w:rPr>
          <w:rFonts w:ascii="Cambria" w:hAnsi="Cambria"/>
          <w:sz w:val="20"/>
          <w:szCs w:val="20"/>
          <w:lang w:val="es-ES"/>
        </w:rPr>
        <w:t>P</w:t>
      </w:r>
      <w:r w:rsidR="00FF1817" w:rsidRPr="008A084A">
        <w:rPr>
          <w:rFonts w:ascii="Cambria" w:hAnsi="Cambria"/>
          <w:sz w:val="20"/>
          <w:szCs w:val="20"/>
          <w:lang w:val="es-ES"/>
        </w:rPr>
        <w:t xml:space="preserve">ersonas con </w:t>
      </w:r>
      <w:r w:rsidR="00C519AE" w:rsidRPr="008A084A">
        <w:rPr>
          <w:rFonts w:ascii="Cambria" w:hAnsi="Cambria"/>
          <w:sz w:val="20"/>
          <w:szCs w:val="20"/>
          <w:lang w:val="es-ES"/>
        </w:rPr>
        <w:t>D</w:t>
      </w:r>
      <w:r w:rsidR="00FF1817" w:rsidRPr="008A084A">
        <w:rPr>
          <w:rFonts w:ascii="Cambria" w:hAnsi="Cambria"/>
          <w:sz w:val="20"/>
          <w:szCs w:val="20"/>
          <w:lang w:val="es-ES"/>
        </w:rPr>
        <w:t xml:space="preserve">iscapacidad (en adelante </w:t>
      </w:r>
      <w:r w:rsidR="004302FF" w:rsidRPr="008A084A">
        <w:rPr>
          <w:rFonts w:ascii="Cambria" w:hAnsi="Cambria"/>
          <w:sz w:val="20"/>
          <w:szCs w:val="20"/>
          <w:lang w:val="es-ES"/>
        </w:rPr>
        <w:t xml:space="preserve">“el </w:t>
      </w:r>
      <w:r w:rsidR="00FF1817" w:rsidRPr="008A084A">
        <w:rPr>
          <w:rFonts w:ascii="Cambria" w:hAnsi="Cambria"/>
          <w:sz w:val="20"/>
          <w:szCs w:val="20"/>
          <w:lang w:val="es-ES"/>
        </w:rPr>
        <w:t>Comité CDPD</w:t>
      </w:r>
      <w:r w:rsidR="004302FF" w:rsidRPr="008A084A">
        <w:rPr>
          <w:rFonts w:ascii="Cambria" w:hAnsi="Cambria"/>
          <w:sz w:val="20"/>
          <w:szCs w:val="20"/>
          <w:lang w:val="es-ES"/>
        </w:rPr>
        <w:t>”</w:t>
      </w:r>
      <w:r w:rsidR="00FF1817" w:rsidRPr="008A084A">
        <w:rPr>
          <w:rFonts w:ascii="Cambria" w:hAnsi="Cambria"/>
          <w:sz w:val="20"/>
          <w:szCs w:val="20"/>
          <w:lang w:val="es-ES"/>
        </w:rPr>
        <w:t>)</w:t>
      </w:r>
      <w:r w:rsidR="00201C3C" w:rsidRPr="008A084A">
        <w:rPr>
          <w:rFonts w:ascii="Cambria" w:hAnsi="Cambria"/>
          <w:sz w:val="20"/>
          <w:szCs w:val="20"/>
          <w:lang w:val="es-ES"/>
        </w:rPr>
        <w:t xml:space="preserve"> al considerar que la institucionalización afecta diversos derechos de las personas con discapacidad. </w:t>
      </w:r>
      <w:r w:rsidR="008E67AD" w:rsidRPr="008A084A">
        <w:rPr>
          <w:rFonts w:ascii="Cambria" w:hAnsi="Cambria"/>
          <w:sz w:val="20"/>
          <w:szCs w:val="20"/>
          <w:lang w:val="es-ES"/>
        </w:rPr>
        <w:t xml:space="preserve">En lo relevante para el análisis del presente caso, la Comisión formulará consideraciones sobre los derechos al reconocimiento de la personalidad jurídica, a la libertad personal, a la integridad personal y a la salud. </w:t>
      </w:r>
    </w:p>
    <w:p w:rsidR="00671C11" w:rsidRDefault="00671C11" w:rsidP="00BB0B93">
      <w:pPr>
        <w:jc w:val="both"/>
        <w:rPr>
          <w:rFonts w:ascii="Cambria" w:hAnsi="Cambria"/>
          <w:sz w:val="20"/>
          <w:szCs w:val="20"/>
          <w:lang w:val="es-ES"/>
        </w:rPr>
      </w:pPr>
    </w:p>
    <w:p w:rsidR="00BB377F" w:rsidRPr="008A084A" w:rsidRDefault="008C07D1" w:rsidP="00B329C1">
      <w:pPr>
        <w:numPr>
          <w:ilvl w:val="1"/>
          <w:numId w:val="60"/>
        </w:numPr>
        <w:tabs>
          <w:tab w:val="left" w:pos="1440"/>
        </w:tabs>
        <w:ind w:left="1440" w:hanging="720"/>
        <w:jc w:val="both"/>
        <w:rPr>
          <w:rFonts w:ascii="Cambria" w:hAnsi="Cambria"/>
          <w:b/>
          <w:sz w:val="20"/>
          <w:szCs w:val="20"/>
          <w:lang w:val="es-ES"/>
        </w:rPr>
      </w:pPr>
      <w:r w:rsidRPr="008A084A">
        <w:rPr>
          <w:rFonts w:ascii="Cambria" w:hAnsi="Cambria"/>
          <w:b/>
          <w:sz w:val="20"/>
          <w:szCs w:val="20"/>
          <w:lang w:val="es-ES"/>
        </w:rPr>
        <w:t>Consideraciones sobre el d</w:t>
      </w:r>
      <w:r w:rsidR="00BF391C" w:rsidRPr="008A084A">
        <w:rPr>
          <w:rFonts w:ascii="Cambria" w:hAnsi="Cambria"/>
          <w:b/>
          <w:sz w:val="20"/>
          <w:szCs w:val="20"/>
          <w:lang w:val="es-ES"/>
        </w:rPr>
        <w:t>erecho al r</w:t>
      </w:r>
      <w:r w:rsidR="00201C3C" w:rsidRPr="008A084A">
        <w:rPr>
          <w:rFonts w:ascii="Cambria" w:hAnsi="Cambria"/>
          <w:b/>
          <w:sz w:val="20"/>
          <w:szCs w:val="20"/>
          <w:lang w:val="es-ES"/>
        </w:rPr>
        <w:t>econocimiento de la personalidad jurídica y la capacidad jurídica</w:t>
      </w:r>
    </w:p>
    <w:p w:rsidR="00201C3C" w:rsidRPr="008A084A" w:rsidRDefault="00201C3C" w:rsidP="00201C3C">
      <w:pPr>
        <w:jc w:val="both"/>
        <w:rPr>
          <w:rFonts w:ascii="Cambria" w:hAnsi="Cambria"/>
          <w:b/>
          <w:sz w:val="20"/>
          <w:szCs w:val="20"/>
          <w:lang w:val="es-ES"/>
        </w:rPr>
      </w:pPr>
    </w:p>
    <w:p w:rsidR="00201C3C" w:rsidRPr="008A084A" w:rsidRDefault="00201C3C" w:rsidP="00FF1817">
      <w:pPr>
        <w:numPr>
          <w:ilvl w:val="0"/>
          <w:numId w:val="55"/>
        </w:numPr>
        <w:jc w:val="both"/>
        <w:rPr>
          <w:rFonts w:ascii="Cambria" w:hAnsi="Cambria"/>
          <w:sz w:val="20"/>
          <w:szCs w:val="20"/>
          <w:lang w:val="es-ES"/>
        </w:rPr>
      </w:pPr>
      <w:r w:rsidRPr="008A084A">
        <w:rPr>
          <w:rFonts w:ascii="Cambria" w:hAnsi="Cambria"/>
          <w:sz w:val="20"/>
          <w:szCs w:val="20"/>
          <w:lang w:val="es-ES"/>
        </w:rPr>
        <w:t xml:space="preserve">La Corte </w:t>
      </w:r>
      <w:r w:rsidR="00B368E3" w:rsidRPr="008A084A">
        <w:rPr>
          <w:rFonts w:ascii="Cambria" w:hAnsi="Cambria"/>
          <w:sz w:val="20"/>
          <w:szCs w:val="20"/>
          <w:lang w:val="es-ES"/>
        </w:rPr>
        <w:t>ha</w:t>
      </w:r>
      <w:r w:rsidRPr="008A084A">
        <w:rPr>
          <w:rFonts w:ascii="Cambria" w:hAnsi="Cambria"/>
          <w:sz w:val="20"/>
          <w:szCs w:val="20"/>
          <w:lang w:val="es-ES"/>
        </w:rPr>
        <w:t xml:space="preserve"> sostenido que el derecho al reconocimiento de la personalidad jurídica implica la capacidad de ser titular de derechos (capacidad de goce) y de deberes</w:t>
      </w:r>
      <w:r w:rsidRPr="008A084A">
        <w:rPr>
          <w:rStyle w:val="FootnoteReference"/>
          <w:rFonts w:ascii="Cambria" w:hAnsi="Cambria"/>
          <w:sz w:val="20"/>
          <w:szCs w:val="20"/>
          <w:lang w:val="es-ES"/>
        </w:rPr>
        <w:footnoteReference w:id="246"/>
      </w:r>
      <w:r w:rsidRPr="008A084A">
        <w:rPr>
          <w:rFonts w:ascii="Cambria" w:hAnsi="Cambria"/>
          <w:sz w:val="20"/>
          <w:szCs w:val="20"/>
          <w:lang w:val="es-ES"/>
        </w:rPr>
        <w:t>. Asimismo, la Corte explicó que la titularidad de derechos implica lo siguiente:</w:t>
      </w:r>
    </w:p>
    <w:p w:rsidR="00201C3C" w:rsidRPr="008A084A" w:rsidRDefault="00201C3C" w:rsidP="00201C3C">
      <w:pPr>
        <w:ind w:left="720"/>
        <w:jc w:val="both"/>
        <w:rPr>
          <w:rFonts w:ascii="Cambria" w:hAnsi="Cambria"/>
          <w:sz w:val="20"/>
          <w:szCs w:val="20"/>
          <w:lang w:val="es-ES"/>
        </w:rPr>
      </w:pPr>
    </w:p>
    <w:p w:rsidR="00201C3C" w:rsidRPr="008A084A" w:rsidRDefault="00BF391C" w:rsidP="00201C3C">
      <w:pPr>
        <w:ind w:left="720" w:right="720"/>
        <w:jc w:val="both"/>
        <w:rPr>
          <w:rFonts w:ascii="Cambria" w:hAnsi="Cambria"/>
          <w:sz w:val="20"/>
          <w:szCs w:val="20"/>
          <w:lang w:val="es-ES"/>
        </w:rPr>
      </w:pPr>
      <w:r w:rsidRPr="008A084A">
        <w:rPr>
          <w:rFonts w:ascii="Cambria" w:hAnsi="Cambria"/>
          <w:sz w:val="20"/>
          <w:szCs w:val="20"/>
          <w:lang w:val="es-ES"/>
        </w:rPr>
        <w:t>(…)</w:t>
      </w:r>
      <w:r w:rsidR="00201C3C" w:rsidRPr="008A084A">
        <w:rPr>
          <w:rFonts w:ascii="Cambria" w:hAnsi="Cambria"/>
          <w:sz w:val="20"/>
          <w:szCs w:val="20"/>
          <w:lang w:val="es-ES"/>
        </w:rPr>
        <w:t xml:space="preserve"> la persona</w:t>
      </w:r>
      <w:r w:rsidRPr="008A084A">
        <w:rPr>
          <w:rFonts w:ascii="Cambria" w:hAnsi="Cambria"/>
          <w:sz w:val="20"/>
          <w:szCs w:val="20"/>
          <w:lang w:val="es-ES"/>
        </w:rPr>
        <w:t xml:space="preserve"> [cuando llega a la mayoría de edad]</w:t>
      </w:r>
      <w:r w:rsidR="00201C3C" w:rsidRPr="008A084A">
        <w:rPr>
          <w:rFonts w:ascii="Cambria" w:hAnsi="Cambria"/>
          <w:sz w:val="20"/>
          <w:szCs w:val="20"/>
          <w:lang w:val="es-ES"/>
        </w:rPr>
        <w:t xml:space="preserve"> puede ejercitar en forma personal y directa sus derechos subjetivos, así como asumir plenamente obligaciones jurídicas y realizar otros actos de na</w:t>
      </w:r>
      <w:r w:rsidRPr="008A084A">
        <w:rPr>
          <w:rFonts w:ascii="Cambria" w:hAnsi="Cambria"/>
          <w:sz w:val="20"/>
          <w:szCs w:val="20"/>
          <w:lang w:val="es-ES"/>
        </w:rPr>
        <w:t>turaleza personal o patrimonial</w:t>
      </w:r>
      <w:r w:rsidR="00201C3C" w:rsidRPr="008A084A">
        <w:rPr>
          <w:rStyle w:val="FootnoteReference"/>
          <w:rFonts w:ascii="Cambria" w:hAnsi="Cambria"/>
          <w:sz w:val="20"/>
          <w:szCs w:val="20"/>
          <w:lang w:val="es-ES"/>
        </w:rPr>
        <w:footnoteReference w:id="247"/>
      </w:r>
      <w:r w:rsidR="00201C3C" w:rsidRPr="008A084A">
        <w:rPr>
          <w:rFonts w:ascii="Cambria" w:hAnsi="Cambria"/>
          <w:sz w:val="20"/>
          <w:szCs w:val="20"/>
          <w:lang w:val="es-ES"/>
        </w:rPr>
        <w:t>.</w:t>
      </w:r>
    </w:p>
    <w:p w:rsidR="00201C3C" w:rsidRPr="008A084A" w:rsidRDefault="00201C3C" w:rsidP="00201C3C">
      <w:pPr>
        <w:ind w:left="720"/>
        <w:jc w:val="both"/>
        <w:rPr>
          <w:rFonts w:ascii="Cambria" w:hAnsi="Cambria"/>
          <w:sz w:val="20"/>
          <w:szCs w:val="20"/>
          <w:lang w:val="es-ES"/>
        </w:rPr>
      </w:pPr>
    </w:p>
    <w:p w:rsidR="00B368E3" w:rsidRPr="008A084A" w:rsidRDefault="00BF391C" w:rsidP="001170AA">
      <w:pPr>
        <w:numPr>
          <w:ilvl w:val="0"/>
          <w:numId w:val="55"/>
        </w:numPr>
        <w:jc w:val="both"/>
        <w:rPr>
          <w:rFonts w:ascii="Cambria" w:hAnsi="Cambria"/>
          <w:sz w:val="20"/>
          <w:szCs w:val="20"/>
          <w:lang w:val="es-ES"/>
        </w:rPr>
      </w:pPr>
      <w:r w:rsidRPr="008A084A">
        <w:rPr>
          <w:rFonts w:ascii="Cambria" w:hAnsi="Cambria"/>
          <w:sz w:val="20"/>
          <w:szCs w:val="20"/>
          <w:lang w:val="es-ES"/>
        </w:rPr>
        <w:lastRenderedPageBreak/>
        <w:t>De esta forma, la Comisión considera que el derecho al reconocimiento de la personalidad jurídica</w:t>
      </w:r>
      <w:r w:rsidR="001170AA" w:rsidRPr="008A084A">
        <w:rPr>
          <w:rFonts w:ascii="Cambria" w:hAnsi="Cambria"/>
          <w:sz w:val="20"/>
          <w:szCs w:val="20"/>
          <w:lang w:val="es-ES"/>
        </w:rPr>
        <w:t xml:space="preserve"> </w:t>
      </w:r>
      <w:r w:rsidR="00B368E3" w:rsidRPr="008A084A">
        <w:rPr>
          <w:rFonts w:ascii="Cambria" w:hAnsi="Cambria"/>
          <w:sz w:val="20"/>
          <w:szCs w:val="20"/>
          <w:lang w:val="es-ES"/>
        </w:rPr>
        <w:t xml:space="preserve">tiene como uno de sus componentes a </w:t>
      </w:r>
      <w:r w:rsidR="001170AA" w:rsidRPr="008A084A">
        <w:rPr>
          <w:rFonts w:ascii="Cambria" w:hAnsi="Cambria"/>
          <w:sz w:val="20"/>
          <w:szCs w:val="20"/>
          <w:lang w:val="es-ES"/>
        </w:rPr>
        <w:t>la capacidad jurídica</w:t>
      </w:r>
      <w:r w:rsidR="00B368E3" w:rsidRPr="008A084A">
        <w:rPr>
          <w:rFonts w:ascii="Cambria" w:hAnsi="Cambria"/>
          <w:sz w:val="20"/>
          <w:szCs w:val="20"/>
          <w:lang w:val="es-ES"/>
        </w:rPr>
        <w:t>, es decir, el derecho de cada persona para tomar decisiones y crear, modificar o extinguir relaciones jurídicas</w:t>
      </w:r>
      <w:r w:rsidR="001170AA" w:rsidRPr="008A084A">
        <w:rPr>
          <w:rFonts w:ascii="Cambria" w:hAnsi="Cambria"/>
          <w:sz w:val="20"/>
          <w:szCs w:val="20"/>
          <w:lang w:val="es-ES"/>
        </w:rPr>
        <w:t xml:space="preserve">. </w:t>
      </w:r>
      <w:r w:rsidR="00B368E3" w:rsidRPr="008A084A">
        <w:rPr>
          <w:rFonts w:ascii="Cambria" w:hAnsi="Cambria"/>
          <w:sz w:val="20"/>
          <w:szCs w:val="20"/>
          <w:lang w:val="es-ES"/>
        </w:rPr>
        <w:t>El propio Comité CDPD ha sostenido que el derecho a la capacidad jurídica, establecido en el artículo 12 de la CDPD, se encuentra recogido en el artículo 3 de la Convención Americana</w:t>
      </w:r>
      <w:r w:rsidR="00B368E3" w:rsidRPr="008A084A">
        <w:rPr>
          <w:rStyle w:val="FootnoteReference"/>
          <w:rFonts w:ascii="Cambria" w:hAnsi="Cambria"/>
          <w:sz w:val="20"/>
          <w:szCs w:val="20"/>
        </w:rPr>
        <w:footnoteReference w:id="248"/>
      </w:r>
      <w:r w:rsidR="00B368E3" w:rsidRPr="008A084A">
        <w:rPr>
          <w:rFonts w:ascii="Cambria" w:hAnsi="Cambria"/>
          <w:sz w:val="20"/>
          <w:szCs w:val="20"/>
          <w:lang w:val="es-ES"/>
        </w:rPr>
        <w:t>.</w:t>
      </w:r>
    </w:p>
    <w:p w:rsidR="00B368E3" w:rsidRPr="008A084A" w:rsidRDefault="00B368E3" w:rsidP="00B368E3">
      <w:pPr>
        <w:ind w:left="720"/>
        <w:jc w:val="both"/>
        <w:rPr>
          <w:rFonts w:ascii="Cambria" w:hAnsi="Cambria"/>
          <w:sz w:val="20"/>
          <w:szCs w:val="20"/>
          <w:lang w:val="es-ES"/>
        </w:rPr>
      </w:pPr>
    </w:p>
    <w:p w:rsidR="00E41247" w:rsidRPr="008A084A" w:rsidRDefault="00B368E3" w:rsidP="00916994">
      <w:pPr>
        <w:numPr>
          <w:ilvl w:val="0"/>
          <w:numId w:val="55"/>
        </w:numPr>
        <w:jc w:val="both"/>
        <w:rPr>
          <w:rFonts w:ascii="Cambria" w:hAnsi="Cambria"/>
          <w:sz w:val="20"/>
          <w:szCs w:val="20"/>
          <w:lang w:val="es-ES"/>
        </w:rPr>
      </w:pPr>
      <w:r w:rsidRPr="008A084A">
        <w:rPr>
          <w:rFonts w:ascii="Cambria" w:hAnsi="Cambria"/>
          <w:sz w:val="20"/>
          <w:szCs w:val="20"/>
          <w:lang w:val="es-ES"/>
        </w:rPr>
        <w:t>En relación con el contenido del derecho a</w:t>
      </w:r>
      <w:r w:rsidR="001170AA" w:rsidRPr="008A084A">
        <w:rPr>
          <w:rFonts w:ascii="Cambria" w:hAnsi="Cambria"/>
          <w:sz w:val="20"/>
          <w:szCs w:val="20"/>
          <w:lang w:val="es-ES"/>
        </w:rPr>
        <w:t xml:space="preserve"> la capacidad jurídica,</w:t>
      </w:r>
      <w:r w:rsidRPr="008A084A">
        <w:rPr>
          <w:rFonts w:ascii="Cambria" w:hAnsi="Cambria"/>
          <w:sz w:val="20"/>
          <w:szCs w:val="20"/>
          <w:lang w:val="es-ES"/>
        </w:rPr>
        <w:t xml:space="preserve"> el Comité CDPD ha señalado que</w:t>
      </w:r>
      <w:r w:rsidR="001170AA" w:rsidRPr="008A084A">
        <w:rPr>
          <w:rFonts w:ascii="Cambria" w:hAnsi="Cambria"/>
          <w:sz w:val="20"/>
          <w:szCs w:val="20"/>
          <w:lang w:val="es-ES"/>
        </w:rPr>
        <w:t xml:space="preserve"> </w:t>
      </w:r>
      <w:r w:rsidRPr="008A084A">
        <w:rPr>
          <w:rFonts w:ascii="Cambria" w:hAnsi="Cambria"/>
          <w:sz w:val="20"/>
          <w:szCs w:val="20"/>
          <w:lang w:val="es-ES"/>
        </w:rPr>
        <w:t>es</w:t>
      </w:r>
      <w:r w:rsidR="001170AA" w:rsidRPr="008A084A">
        <w:rPr>
          <w:rFonts w:ascii="Cambria" w:hAnsi="Cambria"/>
          <w:sz w:val="20"/>
          <w:szCs w:val="20"/>
          <w:lang w:val="es-ES"/>
        </w:rPr>
        <w:t xml:space="preserve"> </w:t>
      </w:r>
      <w:r w:rsidR="00A11620" w:rsidRPr="008A084A">
        <w:rPr>
          <w:rFonts w:ascii="Cambria" w:hAnsi="Cambria"/>
          <w:sz w:val="20"/>
          <w:szCs w:val="20"/>
          <w:lang w:val="es-ES"/>
        </w:rPr>
        <w:t>un atributo universal inherente a todas las personas en razón de su condición humana y debe mantenerse para las personas con discapacidad en igualdad de condiciones con las demás</w:t>
      </w:r>
      <w:r w:rsidR="00A11620" w:rsidRPr="008A084A">
        <w:rPr>
          <w:rStyle w:val="FootnoteReference"/>
          <w:rFonts w:ascii="Cambria" w:hAnsi="Cambria"/>
          <w:sz w:val="20"/>
          <w:szCs w:val="20"/>
        </w:rPr>
        <w:footnoteReference w:id="249"/>
      </w:r>
      <w:r w:rsidR="00A11620" w:rsidRPr="008A084A">
        <w:rPr>
          <w:rFonts w:ascii="Cambria" w:hAnsi="Cambria"/>
          <w:sz w:val="20"/>
          <w:szCs w:val="20"/>
          <w:lang w:val="es-ES"/>
        </w:rPr>
        <w:t>. Al respecto, e</w:t>
      </w:r>
      <w:r w:rsidR="002254CC" w:rsidRPr="008A084A">
        <w:rPr>
          <w:rFonts w:ascii="Cambria" w:hAnsi="Cambria"/>
          <w:sz w:val="20"/>
          <w:szCs w:val="20"/>
          <w:lang w:val="es-ES"/>
        </w:rPr>
        <w:t>l Comité CDPD</w:t>
      </w:r>
      <w:r w:rsidR="000F0053" w:rsidRPr="008A084A">
        <w:rPr>
          <w:rFonts w:ascii="Cambria" w:hAnsi="Cambria"/>
          <w:sz w:val="20"/>
          <w:szCs w:val="20"/>
          <w:lang w:val="es-ES"/>
        </w:rPr>
        <w:t xml:space="preserve"> ha señalado que con arreglo al derecho internacional de los derechos humanos no hay ninguna circunstancia que permita privar a una persona del derecho al reconocimiento como tal ante la ley, o que permita limitar ese derecho</w:t>
      </w:r>
      <w:r w:rsidR="00E807F0" w:rsidRPr="008A084A">
        <w:rPr>
          <w:rStyle w:val="FootnoteReference"/>
          <w:rFonts w:ascii="Cambria" w:hAnsi="Cambria"/>
          <w:sz w:val="20"/>
          <w:szCs w:val="20"/>
        </w:rPr>
        <w:footnoteReference w:id="250"/>
      </w:r>
      <w:r w:rsidR="00E807F0" w:rsidRPr="008A084A">
        <w:rPr>
          <w:rFonts w:ascii="Cambria" w:hAnsi="Cambria"/>
          <w:sz w:val="20"/>
          <w:szCs w:val="20"/>
          <w:lang w:val="es-ES"/>
        </w:rPr>
        <w:t xml:space="preserve">. </w:t>
      </w:r>
    </w:p>
    <w:p w:rsidR="00E41247" w:rsidRPr="008A084A" w:rsidRDefault="00E41247" w:rsidP="00E41247">
      <w:pPr>
        <w:pStyle w:val="ColorfulList-Accent11"/>
        <w:rPr>
          <w:rFonts w:ascii="Cambria" w:hAnsi="Cambria"/>
          <w:sz w:val="20"/>
          <w:szCs w:val="20"/>
          <w:lang w:val="es-ES"/>
        </w:rPr>
      </w:pPr>
    </w:p>
    <w:p w:rsidR="00E41247" w:rsidRPr="008A084A" w:rsidRDefault="00916994" w:rsidP="00E41247">
      <w:pPr>
        <w:numPr>
          <w:ilvl w:val="0"/>
          <w:numId w:val="55"/>
        </w:numPr>
        <w:jc w:val="both"/>
        <w:rPr>
          <w:rFonts w:ascii="Cambria" w:hAnsi="Cambria"/>
          <w:sz w:val="20"/>
          <w:szCs w:val="20"/>
          <w:lang w:val="es-ES"/>
        </w:rPr>
      </w:pPr>
      <w:r w:rsidRPr="008A084A">
        <w:rPr>
          <w:rFonts w:ascii="Cambria" w:hAnsi="Cambria"/>
          <w:sz w:val="20"/>
          <w:szCs w:val="20"/>
          <w:lang w:val="es-ES"/>
        </w:rPr>
        <w:t>En ese sentido, “el hecho de que una persona tenga una discapacidad o una deficiencia no debe ser nunca motivo para negarle la capacidad jurídica”</w:t>
      </w:r>
      <w:r w:rsidRPr="008A084A">
        <w:rPr>
          <w:rStyle w:val="FootnoteReference"/>
          <w:rFonts w:ascii="Cambria" w:hAnsi="Cambria"/>
          <w:sz w:val="20"/>
          <w:szCs w:val="20"/>
        </w:rPr>
        <w:footnoteReference w:id="251"/>
      </w:r>
      <w:r w:rsidRPr="008A084A">
        <w:rPr>
          <w:rFonts w:ascii="Cambria" w:hAnsi="Cambria"/>
          <w:sz w:val="20"/>
          <w:szCs w:val="20"/>
          <w:lang w:val="es-ES"/>
        </w:rPr>
        <w:t>.</w:t>
      </w:r>
      <w:r w:rsidR="00E41247" w:rsidRPr="008A084A">
        <w:rPr>
          <w:rFonts w:ascii="Cambria" w:hAnsi="Cambria"/>
          <w:sz w:val="20"/>
          <w:szCs w:val="20"/>
          <w:lang w:val="es-ES"/>
        </w:rPr>
        <w:t xml:space="preserve"> El Comité CDPD ha sostenido que la CDPD “deja en claro que el ‘desequilibrio mental’ y otras denominaciones discriminatorias no son razones legítimas para denegar la capacidad jurídica (ni la capacidad legal ni la legitimación para actuar)”</w:t>
      </w:r>
      <w:r w:rsidR="00E41247" w:rsidRPr="008A084A">
        <w:rPr>
          <w:rStyle w:val="FootnoteReference"/>
          <w:rFonts w:ascii="Cambria" w:hAnsi="Cambria"/>
          <w:sz w:val="20"/>
          <w:szCs w:val="20"/>
        </w:rPr>
        <w:footnoteReference w:id="252"/>
      </w:r>
      <w:r w:rsidR="00E41247" w:rsidRPr="008A084A">
        <w:rPr>
          <w:rFonts w:ascii="Cambria" w:hAnsi="Cambria"/>
          <w:sz w:val="20"/>
          <w:szCs w:val="20"/>
          <w:lang w:val="es-ES"/>
        </w:rPr>
        <w:t>.</w:t>
      </w:r>
    </w:p>
    <w:p w:rsidR="00A11620" w:rsidRPr="008A084A" w:rsidRDefault="00A11620" w:rsidP="00916994">
      <w:pPr>
        <w:pStyle w:val="ColorfulList-Accent11"/>
        <w:ind w:left="0"/>
        <w:rPr>
          <w:rFonts w:ascii="Cambria" w:hAnsi="Cambria"/>
          <w:sz w:val="20"/>
          <w:szCs w:val="20"/>
          <w:lang w:val="es-ES"/>
        </w:rPr>
      </w:pPr>
    </w:p>
    <w:p w:rsidR="00E807F0" w:rsidRPr="008A084A" w:rsidRDefault="001170AA" w:rsidP="001170AA">
      <w:pPr>
        <w:numPr>
          <w:ilvl w:val="0"/>
          <w:numId w:val="55"/>
        </w:numPr>
        <w:jc w:val="both"/>
        <w:rPr>
          <w:rFonts w:ascii="Cambria" w:hAnsi="Cambria"/>
          <w:sz w:val="20"/>
          <w:szCs w:val="20"/>
          <w:lang w:val="es-ES"/>
        </w:rPr>
      </w:pPr>
      <w:r w:rsidRPr="008A084A">
        <w:rPr>
          <w:rFonts w:ascii="Cambria" w:hAnsi="Cambria"/>
          <w:sz w:val="20"/>
          <w:szCs w:val="20"/>
          <w:lang w:val="es-ES"/>
        </w:rPr>
        <w:t xml:space="preserve">Ello implica para los Estados la obligación de </w:t>
      </w:r>
      <w:r w:rsidR="00E807F0" w:rsidRPr="008A084A">
        <w:rPr>
          <w:rFonts w:ascii="Cambria" w:hAnsi="Cambria"/>
          <w:sz w:val="20"/>
          <w:szCs w:val="20"/>
          <w:lang w:val="es-ES"/>
        </w:rPr>
        <w:t>asegurar que el derecho a la capacidad jurídica de las personas con discapacidad no esté limitado de modo distinto al de las demás personas</w:t>
      </w:r>
      <w:r w:rsidR="00E807F0" w:rsidRPr="008A084A">
        <w:rPr>
          <w:rStyle w:val="FootnoteReference"/>
          <w:rFonts w:ascii="Cambria" w:hAnsi="Cambria"/>
          <w:sz w:val="20"/>
          <w:szCs w:val="20"/>
        </w:rPr>
        <w:footnoteReference w:id="253"/>
      </w:r>
      <w:r w:rsidR="00E807F0" w:rsidRPr="008A084A">
        <w:rPr>
          <w:rFonts w:ascii="Cambria" w:hAnsi="Cambria"/>
          <w:sz w:val="20"/>
          <w:szCs w:val="20"/>
          <w:lang w:val="es-ES"/>
        </w:rPr>
        <w:t xml:space="preserve">. </w:t>
      </w:r>
      <w:r w:rsidR="00916994" w:rsidRPr="008A084A">
        <w:rPr>
          <w:rFonts w:ascii="Cambria" w:hAnsi="Cambria"/>
          <w:sz w:val="20"/>
          <w:szCs w:val="20"/>
          <w:lang w:val="es-ES"/>
        </w:rPr>
        <w:t>Es así como</w:t>
      </w:r>
      <w:r w:rsidR="00E807F0" w:rsidRPr="008A084A">
        <w:rPr>
          <w:rFonts w:ascii="Cambria" w:hAnsi="Cambria"/>
          <w:sz w:val="20"/>
          <w:szCs w:val="20"/>
          <w:lang w:val="es-ES"/>
        </w:rPr>
        <w:t xml:space="preserve"> los regímenes a nivel interno basados en la sustitución en la adopción de decisiones, como la tutela, la curaduría o las leyes sobre la salud mental que permiten el tratamiento forzoso, deben ser abolidos</w:t>
      </w:r>
      <w:r w:rsidR="00E807F0" w:rsidRPr="008A084A">
        <w:rPr>
          <w:rStyle w:val="FootnoteReference"/>
          <w:rFonts w:ascii="Cambria" w:hAnsi="Cambria"/>
          <w:sz w:val="20"/>
          <w:szCs w:val="20"/>
        </w:rPr>
        <w:footnoteReference w:id="254"/>
      </w:r>
      <w:r w:rsidR="00E807F0" w:rsidRPr="008A084A">
        <w:rPr>
          <w:rFonts w:ascii="Cambria" w:hAnsi="Cambria"/>
          <w:sz w:val="20"/>
          <w:szCs w:val="20"/>
          <w:lang w:val="es-ES"/>
        </w:rPr>
        <w:t xml:space="preserve">. </w:t>
      </w:r>
    </w:p>
    <w:p w:rsidR="00916994" w:rsidRPr="008A084A" w:rsidRDefault="00916994" w:rsidP="00916994">
      <w:pPr>
        <w:pStyle w:val="ColorfulList-Accent11"/>
        <w:rPr>
          <w:rFonts w:ascii="Cambria" w:hAnsi="Cambria"/>
          <w:sz w:val="20"/>
          <w:szCs w:val="20"/>
          <w:lang w:val="es-ES"/>
        </w:rPr>
      </w:pPr>
    </w:p>
    <w:p w:rsidR="00E81057" w:rsidRPr="008A084A" w:rsidRDefault="00916994" w:rsidP="00916994">
      <w:pPr>
        <w:numPr>
          <w:ilvl w:val="0"/>
          <w:numId w:val="55"/>
        </w:numPr>
        <w:jc w:val="both"/>
        <w:rPr>
          <w:rFonts w:ascii="Cambria" w:hAnsi="Cambria"/>
          <w:sz w:val="20"/>
          <w:szCs w:val="20"/>
          <w:lang w:val="es-ES"/>
        </w:rPr>
      </w:pPr>
      <w:r w:rsidRPr="008A084A">
        <w:rPr>
          <w:rFonts w:ascii="Cambria" w:hAnsi="Cambria"/>
          <w:sz w:val="20"/>
          <w:szCs w:val="20"/>
          <w:lang w:val="es-ES"/>
        </w:rPr>
        <w:t>El Comité CDPD ha sostenido enfáticamente que los regímenes basados en la adopción de decisiones sustitutiva</w:t>
      </w:r>
      <w:r w:rsidR="00422551" w:rsidRPr="008A084A">
        <w:rPr>
          <w:rFonts w:ascii="Cambria" w:hAnsi="Cambria"/>
          <w:sz w:val="20"/>
          <w:szCs w:val="20"/>
          <w:lang w:val="es-ES"/>
        </w:rPr>
        <w:t>s</w:t>
      </w:r>
      <w:r w:rsidRPr="008A084A">
        <w:rPr>
          <w:rFonts w:ascii="Cambria" w:hAnsi="Cambria"/>
          <w:sz w:val="20"/>
          <w:szCs w:val="20"/>
          <w:lang w:val="es-ES"/>
        </w:rPr>
        <w:t xml:space="preserve"> y la negación de la capacidad jurídica han afectado y siguen afectando de manera desproporcionada a las personas con discapacidad, especialmente aquellas con discapacidad cognitiva o psicosocial</w:t>
      </w:r>
      <w:r w:rsidRPr="008A084A">
        <w:rPr>
          <w:rStyle w:val="FootnoteReference"/>
          <w:rFonts w:ascii="Cambria" w:hAnsi="Cambria"/>
          <w:sz w:val="20"/>
          <w:szCs w:val="20"/>
        </w:rPr>
        <w:footnoteReference w:id="255"/>
      </w:r>
      <w:r w:rsidRPr="008A084A">
        <w:rPr>
          <w:rFonts w:ascii="Cambria" w:hAnsi="Cambria"/>
          <w:sz w:val="20"/>
          <w:szCs w:val="20"/>
          <w:lang w:val="es-ES"/>
        </w:rPr>
        <w:t xml:space="preserve">. </w:t>
      </w:r>
      <w:r w:rsidR="00E81057" w:rsidRPr="008A084A">
        <w:rPr>
          <w:rFonts w:ascii="Cambria" w:hAnsi="Cambria"/>
          <w:sz w:val="20"/>
          <w:szCs w:val="20"/>
          <w:lang w:val="es-ES"/>
        </w:rPr>
        <w:t>Ello en tanto en muchos Estados se mantiene una concepción médica de las personas con discapacidad al considerarlas como objetos de derecho y que no pueden decidir por sí mismas para tomar sus decisiones. La entonces Alta Comisionada de la ONU para los derechos humanos identificó que bajo dicha concepción, se designan a tutores, curadores o representantes de las personas con discapacidad mentales quienes en muchas ocasiones  abusaban de su posición de autoridad</w:t>
      </w:r>
      <w:r w:rsidR="00E81057" w:rsidRPr="008A084A">
        <w:rPr>
          <w:rStyle w:val="FootnoteReference"/>
          <w:rFonts w:ascii="Cambria" w:hAnsi="Cambria"/>
          <w:sz w:val="20"/>
          <w:szCs w:val="20"/>
          <w:lang w:val="es-ES"/>
        </w:rPr>
        <w:footnoteReference w:id="256"/>
      </w:r>
      <w:r w:rsidR="00E81057" w:rsidRPr="008A084A">
        <w:rPr>
          <w:rFonts w:ascii="Cambria" w:hAnsi="Cambria"/>
          <w:sz w:val="20"/>
          <w:szCs w:val="20"/>
          <w:lang w:val="es-ES"/>
        </w:rPr>
        <w:t>.</w:t>
      </w:r>
    </w:p>
    <w:p w:rsidR="00E81057" w:rsidRPr="008A084A" w:rsidRDefault="00E81057" w:rsidP="00E81057">
      <w:pPr>
        <w:pStyle w:val="ColorfulList-Accent11"/>
        <w:rPr>
          <w:rFonts w:ascii="Cambria" w:hAnsi="Cambria"/>
          <w:sz w:val="20"/>
          <w:szCs w:val="20"/>
          <w:lang w:val="es-ES"/>
        </w:rPr>
      </w:pPr>
    </w:p>
    <w:p w:rsidR="00B612DF" w:rsidRPr="008A084A" w:rsidRDefault="00B612DF" w:rsidP="00B612DF">
      <w:pPr>
        <w:numPr>
          <w:ilvl w:val="0"/>
          <w:numId w:val="55"/>
        </w:numPr>
        <w:jc w:val="both"/>
        <w:rPr>
          <w:rFonts w:ascii="Cambria" w:hAnsi="Cambria"/>
          <w:sz w:val="20"/>
          <w:szCs w:val="20"/>
          <w:lang w:val="es-ES"/>
        </w:rPr>
      </w:pPr>
      <w:r w:rsidRPr="008A084A">
        <w:rPr>
          <w:rFonts w:ascii="Cambria" w:hAnsi="Cambria"/>
          <w:sz w:val="20"/>
          <w:szCs w:val="20"/>
          <w:lang w:val="es-ES"/>
        </w:rPr>
        <w:t>El Comité CDPD ha sostenido que el modelo de apoyo para la adopción de decisiones de la persona con discapacidad deben tomar en cuenta lo siguientes elementos:</w:t>
      </w:r>
    </w:p>
    <w:p w:rsidR="00B612DF" w:rsidRPr="008A084A" w:rsidRDefault="00B612DF" w:rsidP="00B612DF">
      <w:pPr>
        <w:ind w:left="720"/>
        <w:jc w:val="both"/>
        <w:rPr>
          <w:rFonts w:ascii="Cambria" w:hAnsi="Cambria"/>
          <w:sz w:val="20"/>
          <w:szCs w:val="20"/>
          <w:lang w:val="es-ES"/>
        </w:rPr>
      </w:pPr>
    </w:p>
    <w:p w:rsidR="00B612DF" w:rsidRPr="008A084A" w:rsidRDefault="00B612DF" w:rsidP="00B612DF">
      <w:pPr>
        <w:ind w:left="720" w:right="720"/>
        <w:jc w:val="both"/>
        <w:rPr>
          <w:rFonts w:ascii="Cambria" w:hAnsi="Cambria"/>
          <w:sz w:val="20"/>
          <w:szCs w:val="20"/>
          <w:lang w:val="es-ES"/>
        </w:rPr>
      </w:pPr>
      <w:r w:rsidRPr="008A084A">
        <w:rPr>
          <w:rFonts w:ascii="Cambria" w:hAnsi="Cambria"/>
          <w:sz w:val="20"/>
          <w:szCs w:val="20"/>
          <w:lang w:val="es-ES"/>
        </w:rPr>
        <w:t xml:space="preserve">Los Estados tienen la obligación de proporcionar a las personas con discapacidad acceso al apoyo que sea preciso para el ejercicio de su capacidad jurídica. Los Estados partes no deben negar a las personas con discapacidad su capacidad jurídica, sino que deben proporcionarles acceso al apoyo que necesiten para tomar decisiones que tengan efectos jurídicos. (…) </w:t>
      </w:r>
    </w:p>
    <w:p w:rsidR="002B259B" w:rsidRPr="008A084A" w:rsidRDefault="002B259B" w:rsidP="00B612DF">
      <w:pPr>
        <w:ind w:left="720" w:right="720"/>
        <w:jc w:val="both"/>
        <w:rPr>
          <w:rFonts w:ascii="Cambria" w:hAnsi="Cambria"/>
          <w:sz w:val="20"/>
          <w:szCs w:val="20"/>
          <w:lang w:val="es-ES"/>
        </w:rPr>
      </w:pPr>
    </w:p>
    <w:p w:rsidR="00B612DF" w:rsidRPr="008A084A" w:rsidRDefault="00B612DF" w:rsidP="00B612DF">
      <w:pPr>
        <w:ind w:left="720" w:right="720"/>
        <w:jc w:val="both"/>
        <w:rPr>
          <w:rFonts w:ascii="Cambria" w:hAnsi="Cambria"/>
          <w:sz w:val="20"/>
          <w:szCs w:val="20"/>
          <w:lang w:val="es-ES"/>
        </w:rPr>
      </w:pPr>
      <w:r w:rsidRPr="008A084A">
        <w:rPr>
          <w:rFonts w:ascii="Cambria" w:hAnsi="Cambria"/>
          <w:sz w:val="20"/>
          <w:szCs w:val="20"/>
          <w:lang w:val="es-ES"/>
        </w:rPr>
        <w:t>El apoyo en el ejercicio de la capacidad jurídica debe respetar los derechos, la voluntad y las preferencias de las personas con discapacidad y nunca debe consistir en decidir por ellas. (…)</w:t>
      </w:r>
    </w:p>
    <w:p w:rsidR="00B612DF" w:rsidRPr="008A084A" w:rsidRDefault="00B612DF" w:rsidP="00B612DF">
      <w:pPr>
        <w:ind w:left="720" w:right="720"/>
        <w:jc w:val="both"/>
        <w:rPr>
          <w:rFonts w:ascii="Cambria" w:hAnsi="Cambria"/>
          <w:sz w:val="20"/>
          <w:szCs w:val="20"/>
          <w:lang w:val="es-ES"/>
        </w:rPr>
      </w:pPr>
      <w:r w:rsidRPr="008A084A">
        <w:rPr>
          <w:rFonts w:ascii="Cambria" w:hAnsi="Cambria"/>
          <w:sz w:val="20"/>
          <w:szCs w:val="20"/>
          <w:lang w:val="es-ES"/>
        </w:rPr>
        <w:t>Los apoyos deben contar con salvaguardas. El objetivo principal de esas salvaguardias debe ser garantizar el respeto de los derechos, la voluntad y las preferencias de la persona. Para lograrlo, las salvaguardias deben proporcionar protección contra los abusos, en igualdad de condiciones con las demás personas</w:t>
      </w:r>
      <w:r w:rsidRPr="008A084A">
        <w:rPr>
          <w:rStyle w:val="FootnoteReference"/>
          <w:rFonts w:ascii="Cambria" w:hAnsi="Cambria"/>
          <w:sz w:val="20"/>
          <w:szCs w:val="20"/>
        </w:rPr>
        <w:footnoteReference w:id="257"/>
      </w:r>
      <w:r w:rsidRPr="008A084A">
        <w:rPr>
          <w:rFonts w:ascii="Cambria" w:hAnsi="Cambria"/>
          <w:sz w:val="20"/>
          <w:szCs w:val="20"/>
          <w:lang w:val="es-ES"/>
        </w:rPr>
        <w:t>.</w:t>
      </w:r>
    </w:p>
    <w:p w:rsidR="00B612DF" w:rsidRPr="008A084A" w:rsidRDefault="00B612DF" w:rsidP="00E81057">
      <w:pPr>
        <w:pStyle w:val="ColorfulList-Accent11"/>
        <w:rPr>
          <w:rFonts w:ascii="Cambria" w:hAnsi="Cambria"/>
          <w:sz w:val="20"/>
          <w:szCs w:val="20"/>
          <w:lang w:val="es-ES"/>
        </w:rPr>
      </w:pPr>
    </w:p>
    <w:p w:rsidR="00D52C22" w:rsidRPr="008A084A" w:rsidRDefault="00D52C22" w:rsidP="00D52C22">
      <w:pPr>
        <w:numPr>
          <w:ilvl w:val="0"/>
          <w:numId w:val="55"/>
        </w:numPr>
        <w:jc w:val="both"/>
        <w:rPr>
          <w:rFonts w:ascii="Cambria" w:hAnsi="Cambria"/>
          <w:sz w:val="20"/>
          <w:szCs w:val="20"/>
          <w:lang w:val="es-ES"/>
        </w:rPr>
      </w:pPr>
      <w:r w:rsidRPr="008A084A">
        <w:rPr>
          <w:rFonts w:ascii="Cambria" w:hAnsi="Cambria"/>
          <w:sz w:val="20"/>
          <w:szCs w:val="20"/>
          <w:lang w:val="es-ES"/>
        </w:rPr>
        <w:t>Por lo señalado, los Estados deben examinar las leyes que regulan la guarda y la tutela y tomar medidas para elaborar leyes y políticas por las que se reemplacen los regímenes basados en la sustitución en la adopción de decisiones por un apoyo para la adopción de decisiones que respete la autonomía, la voluntad y las preferencias de la persona</w:t>
      </w:r>
      <w:r w:rsidRPr="008A084A">
        <w:rPr>
          <w:rStyle w:val="FootnoteReference"/>
          <w:rFonts w:ascii="Cambria" w:hAnsi="Cambria"/>
          <w:sz w:val="20"/>
          <w:szCs w:val="20"/>
        </w:rPr>
        <w:footnoteReference w:id="258"/>
      </w:r>
      <w:r w:rsidRPr="008A084A">
        <w:rPr>
          <w:rFonts w:ascii="Cambria" w:hAnsi="Cambria"/>
          <w:sz w:val="20"/>
          <w:szCs w:val="20"/>
          <w:lang w:val="es-ES"/>
        </w:rPr>
        <w:t xml:space="preserve">. </w:t>
      </w:r>
    </w:p>
    <w:p w:rsidR="00D52C22" w:rsidRPr="008A084A" w:rsidRDefault="00D52C22" w:rsidP="00D52C22">
      <w:pPr>
        <w:ind w:right="720"/>
        <w:jc w:val="both"/>
        <w:rPr>
          <w:rFonts w:ascii="Cambria" w:hAnsi="Cambria"/>
          <w:sz w:val="20"/>
          <w:szCs w:val="20"/>
          <w:lang w:val="es-ES"/>
        </w:rPr>
      </w:pPr>
    </w:p>
    <w:p w:rsidR="00D52C22" w:rsidRPr="008A084A" w:rsidRDefault="00D52C22" w:rsidP="00D52C22">
      <w:pPr>
        <w:numPr>
          <w:ilvl w:val="0"/>
          <w:numId w:val="55"/>
        </w:numPr>
        <w:jc w:val="both"/>
        <w:rPr>
          <w:rFonts w:ascii="Cambria" w:hAnsi="Cambria"/>
          <w:sz w:val="20"/>
          <w:szCs w:val="20"/>
          <w:lang w:val="es-ES"/>
        </w:rPr>
      </w:pPr>
      <w:r w:rsidRPr="008A084A">
        <w:rPr>
          <w:rFonts w:ascii="Cambria" w:hAnsi="Cambria"/>
          <w:sz w:val="20"/>
          <w:szCs w:val="20"/>
          <w:lang w:val="es-ES"/>
        </w:rPr>
        <w:t>Por su parte, la Corte Europea ha resaltado que los Estados deben proveer a las personas con discapacidad de recursos que permitan cuestionar cualquier limitación a su derecho a la capacidad jurídica</w:t>
      </w:r>
      <w:r w:rsidRPr="008A084A">
        <w:rPr>
          <w:rStyle w:val="FootnoteReference"/>
          <w:rFonts w:ascii="Cambria" w:hAnsi="Cambria"/>
          <w:sz w:val="20"/>
          <w:szCs w:val="20"/>
          <w:lang w:val="es-ES"/>
        </w:rPr>
        <w:footnoteReference w:id="259"/>
      </w:r>
      <w:r w:rsidRPr="008A084A">
        <w:rPr>
          <w:rFonts w:ascii="Cambria" w:hAnsi="Cambria"/>
          <w:sz w:val="20"/>
          <w:szCs w:val="20"/>
          <w:lang w:val="es-ES"/>
        </w:rPr>
        <w:t>.</w:t>
      </w:r>
    </w:p>
    <w:p w:rsidR="00D52C22" w:rsidRPr="008A084A" w:rsidRDefault="00D52C22" w:rsidP="00E81057">
      <w:pPr>
        <w:pStyle w:val="ColorfulList-Accent11"/>
        <w:rPr>
          <w:rFonts w:ascii="Cambria" w:hAnsi="Cambria"/>
          <w:sz w:val="20"/>
          <w:szCs w:val="20"/>
          <w:lang w:val="es-ES"/>
        </w:rPr>
      </w:pPr>
    </w:p>
    <w:p w:rsidR="00916994" w:rsidRPr="008A084A" w:rsidRDefault="00916994" w:rsidP="00916994">
      <w:pPr>
        <w:numPr>
          <w:ilvl w:val="0"/>
          <w:numId w:val="55"/>
        </w:numPr>
        <w:jc w:val="both"/>
        <w:rPr>
          <w:rFonts w:ascii="Cambria" w:hAnsi="Cambria"/>
          <w:sz w:val="20"/>
          <w:szCs w:val="20"/>
          <w:lang w:val="es-ES"/>
        </w:rPr>
      </w:pPr>
      <w:r w:rsidRPr="008A084A">
        <w:rPr>
          <w:rFonts w:ascii="Cambria" w:hAnsi="Cambria"/>
          <w:sz w:val="20"/>
          <w:szCs w:val="20"/>
          <w:lang w:val="es-ES"/>
        </w:rPr>
        <w:t xml:space="preserve">Dentro de las vulneraciones que se pueden </w:t>
      </w:r>
      <w:r w:rsidR="00E41247" w:rsidRPr="008A084A">
        <w:rPr>
          <w:rFonts w:ascii="Cambria" w:hAnsi="Cambria"/>
          <w:sz w:val="20"/>
          <w:szCs w:val="20"/>
          <w:lang w:val="es-ES"/>
        </w:rPr>
        <w:t xml:space="preserve">presentar la CIDH resalta la institucionalización en instituciones </w:t>
      </w:r>
      <w:r w:rsidR="00BF0A9E" w:rsidRPr="008A084A">
        <w:rPr>
          <w:rFonts w:ascii="Cambria" w:hAnsi="Cambria"/>
          <w:sz w:val="20"/>
          <w:szCs w:val="20"/>
          <w:lang w:val="es-ES"/>
        </w:rPr>
        <w:t>psiquiátricas a personas que tienen un trastorno o condición en salud mental</w:t>
      </w:r>
      <w:r w:rsidR="00E41247" w:rsidRPr="008A084A">
        <w:rPr>
          <w:rFonts w:ascii="Cambria" w:hAnsi="Cambria"/>
          <w:sz w:val="20"/>
          <w:szCs w:val="20"/>
          <w:lang w:val="es-ES"/>
        </w:rPr>
        <w:t xml:space="preserve"> sin su consentimiento, el tratamiento médico forzado y la imposibilidad de vivir una vida en comunidad.</w:t>
      </w:r>
      <w:r w:rsidR="00BF0A9E" w:rsidRPr="008A084A">
        <w:rPr>
          <w:rFonts w:ascii="Cambria" w:hAnsi="Cambria"/>
          <w:sz w:val="20"/>
          <w:szCs w:val="20"/>
          <w:lang w:val="es-ES"/>
        </w:rPr>
        <w:t xml:space="preserve"> En estas situaciones, la propia institucionalización puede resultar siendo el condicionante para que un trastorno</w:t>
      </w:r>
      <w:r w:rsidR="0019050C" w:rsidRPr="008A084A">
        <w:rPr>
          <w:rFonts w:ascii="Cambria" w:hAnsi="Cambria"/>
          <w:sz w:val="20"/>
          <w:szCs w:val="20"/>
          <w:lang w:val="es-ES"/>
        </w:rPr>
        <w:t xml:space="preserve"> o condición en salud</w:t>
      </w:r>
      <w:r w:rsidR="00BF0A9E" w:rsidRPr="008A084A">
        <w:rPr>
          <w:rFonts w:ascii="Cambria" w:hAnsi="Cambria"/>
          <w:sz w:val="20"/>
          <w:szCs w:val="20"/>
          <w:lang w:val="es-ES"/>
        </w:rPr>
        <w:t xml:space="preserve"> mental se termine convirtiendo en una discapacidad, justamente por constituir la barrera en los términos del enfoque social ya referido. </w:t>
      </w:r>
    </w:p>
    <w:p w:rsidR="00916994" w:rsidRPr="008A084A" w:rsidRDefault="00916994" w:rsidP="00D52C22">
      <w:pPr>
        <w:jc w:val="both"/>
        <w:rPr>
          <w:rFonts w:ascii="Cambria" w:hAnsi="Cambria"/>
          <w:sz w:val="20"/>
          <w:szCs w:val="20"/>
          <w:lang w:val="es-ES"/>
        </w:rPr>
      </w:pPr>
    </w:p>
    <w:p w:rsidR="00E41247" w:rsidRPr="008A084A" w:rsidRDefault="00ED75F3" w:rsidP="00B329C1">
      <w:pPr>
        <w:numPr>
          <w:ilvl w:val="1"/>
          <w:numId w:val="60"/>
        </w:numPr>
        <w:ind w:left="1440" w:hanging="720"/>
        <w:jc w:val="both"/>
        <w:rPr>
          <w:rFonts w:ascii="Cambria" w:hAnsi="Cambria"/>
          <w:b/>
          <w:sz w:val="20"/>
          <w:szCs w:val="20"/>
          <w:lang w:val="es-ES"/>
        </w:rPr>
      </w:pPr>
      <w:r w:rsidRPr="008A084A">
        <w:rPr>
          <w:rFonts w:ascii="Cambria" w:hAnsi="Cambria"/>
          <w:b/>
          <w:sz w:val="20"/>
          <w:szCs w:val="20"/>
          <w:lang w:val="es-ES"/>
        </w:rPr>
        <w:t xml:space="preserve">Consideraciones generales sobre la institucionalización y el derecho a la </w:t>
      </w:r>
      <w:r w:rsidR="00E41247" w:rsidRPr="008A084A">
        <w:rPr>
          <w:rFonts w:ascii="Cambria" w:hAnsi="Cambria"/>
          <w:b/>
          <w:sz w:val="20"/>
          <w:szCs w:val="20"/>
          <w:lang w:val="es-ES"/>
        </w:rPr>
        <w:t xml:space="preserve">libertad personal </w:t>
      </w:r>
    </w:p>
    <w:p w:rsidR="007E4162" w:rsidRPr="008A084A" w:rsidRDefault="007E4162" w:rsidP="00EF5C96">
      <w:pPr>
        <w:jc w:val="both"/>
        <w:rPr>
          <w:rFonts w:ascii="Cambria" w:hAnsi="Cambria"/>
          <w:sz w:val="20"/>
          <w:szCs w:val="20"/>
          <w:lang w:val="es-ES"/>
        </w:rPr>
      </w:pPr>
    </w:p>
    <w:p w:rsidR="00E807F0" w:rsidRPr="008A084A" w:rsidRDefault="007E4162" w:rsidP="007E4162">
      <w:pPr>
        <w:numPr>
          <w:ilvl w:val="0"/>
          <w:numId w:val="55"/>
        </w:numPr>
        <w:jc w:val="both"/>
        <w:rPr>
          <w:rFonts w:ascii="Cambria" w:hAnsi="Cambria"/>
          <w:sz w:val="20"/>
          <w:szCs w:val="20"/>
          <w:lang w:val="es-ES"/>
        </w:rPr>
      </w:pPr>
      <w:r w:rsidRPr="008A084A">
        <w:rPr>
          <w:rFonts w:ascii="Cambria" w:hAnsi="Cambria"/>
          <w:sz w:val="20"/>
          <w:szCs w:val="20"/>
          <w:lang w:val="es-ES"/>
        </w:rPr>
        <w:t>El derecho a la libertad personal, establecido en el artículo 7 de la Convención Americana diferencia dos regulaciones, una general y otra específica</w:t>
      </w:r>
      <w:r w:rsidR="003F75AF" w:rsidRPr="008A084A">
        <w:rPr>
          <w:rStyle w:val="FootnoteReference"/>
          <w:rFonts w:ascii="Cambria" w:hAnsi="Cambria"/>
          <w:sz w:val="20"/>
          <w:szCs w:val="20"/>
          <w:lang w:val="es-ES"/>
        </w:rPr>
        <w:footnoteReference w:id="260"/>
      </w:r>
      <w:r w:rsidRPr="008A084A">
        <w:rPr>
          <w:rFonts w:ascii="Cambria" w:hAnsi="Cambria"/>
          <w:sz w:val="20"/>
          <w:szCs w:val="20"/>
          <w:lang w:val="es-ES"/>
        </w:rPr>
        <w:t xml:space="preserve">. </w:t>
      </w:r>
      <w:r w:rsidR="003F75AF" w:rsidRPr="008A084A">
        <w:rPr>
          <w:rFonts w:ascii="Cambria" w:hAnsi="Cambria"/>
          <w:sz w:val="20"/>
          <w:szCs w:val="20"/>
          <w:lang w:val="es-ES"/>
        </w:rPr>
        <w:t>Mientras que la general se encuentra en el artículo 7.1, la parte específica se compone de una serie de garantías que protegen el derecho a no ser privado de la libertad de manera ilega</w:t>
      </w:r>
      <w:r w:rsidR="00D26D3B" w:rsidRPr="008A084A">
        <w:rPr>
          <w:rFonts w:ascii="Cambria" w:hAnsi="Cambria"/>
          <w:sz w:val="20"/>
          <w:szCs w:val="20"/>
          <w:lang w:val="es-ES"/>
        </w:rPr>
        <w:t>l</w:t>
      </w:r>
      <w:r w:rsidR="003F75AF" w:rsidRPr="008A084A">
        <w:rPr>
          <w:rFonts w:ascii="Cambria" w:hAnsi="Cambria"/>
          <w:sz w:val="20"/>
          <w:szCs w:val="20"/>
          <w:lang w:val="es-ES"/>
        </w:rPr>
        <w:t xml:space="preserve"> </w:t>
      </w:r>
      <w:r w:rsidRPr="008A084A">
        <w:rPr>
          <w:rFonts w:ascii="Cambria" w:hAnsi="Cambria"/>
          <w:sz w:val="20"/>
          <w:szCs w:val="20"/>
          <w:lang w:val="es-ES"/>
        </w:rPr>
        <w:t>(artículo 7.2) o en forma arbitraria (artículo 7.3), a conocer las razones de la detención y los cargos formulados en contra de la persona detenida (artículo 7.4), al control judicial de la privación de libertad (artículo 7.5) y a impugnar la legalidad de la detención (artículo 7.6)</w:t>
      </w:r>
      <w:r w:rsidR="00A9235C" w:rsidRPr="008A084A">
        <w:rPr>
          <w:rStyle w:val="FootnoteReference"/>
          <w:rFonts w:ascii="Cambria" w:hAnsi="Cambria"/>
          <w:sz w:val="20"/>
          <w:szCs w:val="20"/>
          <w:lang w:val="es-ES"/>
        </w:rPr>
        <w:footnoteReference w:id="261"/>
      </w:r>
      <w:r w:rsidRPr="008A084A">
        <w:rPr>
          <w:rFonts w:ascii="Cambria" w:hAnsi="Cambria"/>
          <w:sz w:val="20"/>
          <w:szCs w:val="20"/>
          <w:lang w:val="es-ES"/>
        </w:rPr>
        <w:t>.</w:t>
      </w:r>
      <w:r w:rsidR="003F75AF" w:rsidRPr="008A084A">
        <w:rPr>
          <w:rFonts w:ascii="Cambria" w:hAnsi="Cambria"/>
          <w:sz w:val="20"/>
          <w:szCs w:val="20"/>
          <w:lang w:val="es-ES"/>
        </w:rPr>
        <w:t xml:space="preserve"> Cualquier violación de los numerales 2 al 7 del artículo 7 de la Convención acarreará necesariamente la violación del artículo 7.1 de la misma</w:t>
      </w:r>
      <w:r w:rsidR="00A9235C" w:rsidRPr="008A084A">
        <w:rPr>
          <w:rStyle w:val="FootnoteReference"/>
          <w:rFonts w:ascii="Cambria" w:hAnsi="Cambria"/>
          <w:sz w:val="20"/>
          <w:szCs w:val="20"/>
          <w:lang w:val="es-ES"/>
        </w:rPr>
        <w:footnoteReference w:id="262"/>
      </w:r>
      <w:r w:rsidR="003F75AF" w:rsidRPr="008A084A">
        <w:rPr>
          <w:rFonts w:ascii="Cambria" w:hAnsi="Cambria"/>
          <w:sz w:val="20"/>
          <w:szCs w:val="20"/>
          <w:lang w:val="es-ES"/>
        </w:rPr>
        <w:t>.</w:t>
      </w:r>
    </w:p>
    <w:p w:rsidR="00CE4228" w:rsidRPr="008A084A" w:rsidRDefault="00CE4228" w:rsidP="00CE4228">
      <w:pPr>
        <w:ind w:left="720"/>
        <w:jc w:val="both"/>
        <w:rPr>
          <w:rFonts w:ascii="Cambria" w:hAnsi="Cambria"/>
          <w:sz w:val="20"/>
          <w:szCs w:val="20"/>
          <w:lang w:val="es-ES"/>
        </w:rPr>
      </w:pPr>
    </w:p>
    <w:p w:rsidR="00CE4228" w:rsidRPr="008A084A" w:rsidRDefault="00CE4228" w:rsidP="00CE4228">
      <w:pPr>
        <w:numPr>
          <w:ilvl w:val="0"/>
          <w:numId w:val="55"/>
        </w:numPr>
        <w:jc w:val="both"/>
        <w:rPr>
          <w:rFonts w:ascii="Cambria" w:hAnsi="Cambria"/>
          <w:sz w:val="20"/>
          <w:szCs w:val="20"/>
          <w:lang w:val="es-CO"/>
        </w:rPr>
      </w:pPr>
      <w:r w:rsidRPr="008A084A">
        <w:rPr>
          <w:rFonts w:ascii="Cambria" w:hAnsi="Cambria"/>
          <w:sz w:val="20"/>
          <w:szCs w:val="20"/>
          <w:lang w:val="es-MX"/>
        </w:rPr>
        <w:t>En su reciente Informe sobre la Situaci</w:t>
      </w:r>
      <w:r w:rsidRPr="008A084A">
        <w:rPr>
          <w:rFonts w:ascii="Cambria" w:hAnsi="Cambria"/>
          <w:sz w:val="20"/>
          <w:szCs w:val="20"/>
          <w:lang w:val="es-CO"/>
        </w:rPr>
        <w:t>ón de los Derechos Humanos en Guatemala, la CIDH indicó:</w:t>
      </w:r>
    </w:p>
    <w:p w:rsidR="00393310" w:rsidRPr="008A084A" w:rsidRDefault="00393310" w:rsidP="00CE4228">
      <w:pPr>
        <w:pBdr>
          <w:top w:val="none" w:sz="0" w:space="0" w:color="auto"/>
          <w:left w:val="none" w:sz="0" w:space="0" w:color="auto"/>
          <w:bottom w:val="none" w:sz="0" w:space="0" w:color="auto"/>
          <w:right w:val="none" w:sz="0" w:space="0" w:color="auto"/>
          <w:between w:val="none" w:sz="0" w:space="0" w:color="auto"/>
          <w:bar w:val="none" w:sz="0" w:color="auto"/>
        </w:pBdr>
        <w:spacing w:before="240" w:after="10"/>
        <w:ind w:left="720" w:right="720"/>
        <w:jc w:val="both"/>
        <w:rPr>
          <w:rFonts w:ascii="Cambria" w:hAnsi="Cambria"/>
          <w:sz w:val="20"/>
          <w:szCs w:val="20"/>
          <w:lang w:val="es-MX"/>
        </w:rPr>
      </w:pPr>
      <w:r w:rsidRPr="008A084A">
        <w:rPr>
          <w:rFonts w:ascii="Cambria" w:hAnsi="Cambria"/>
          <w:sz w:val="20"/>
          <w:szCs w:val="20"/>
          <w:lang w:val="es-MX"/>
        </w:rPr>
        <w:t xml:space="preserve">El derecho de las personas con discapacidad a vivir de forma independiente y a ser incluidas en la comunidad, de acuerdo con el Comité de la CDPD, involucra por una parte, que dichas personas deben contar con todos los medios necesarios que les permita </w:t>
      </w:r>
      <w:r w:rsidRPr="008A084A">
        <w:rPr>
          <w:rFonts w:ascii="Cambria" w:hAnsi="Cambria"/>
          <w:sz w:val="20"/>
          <w:szCs w:val="20"/>
          <w:lang w:val="es-ES"/>
        </w:rPr>
        <w:t xml:space="preserve">tener control y </w:t>
      </w:r>
      <w:r w:rsidRPr="008A084A">
        <w:rPr>
          <w:rFonts w:ascii="Cambria" w:hAnsi="Cambria"/>
          <w:sz w:val="20"/>
          <w:szCs w:val="20"/>
          <w:lang w:val="es-ES"/>
        </w:rPr>
        <w:lastRenderedPageBreak/>
        <w:t>tomar decisiones respecto de su propia vida</w:t>
      </w:r>
      <w:r w:rsidRPr="008A084A">
        <w:rPr>
          <w:rFonts w:ascii="Cambria" w:hAnsi="Cambria"/>
          <w:sz w:val="20"/>
          <w:szCs w:val="20"/>
          <w:vertAlign w:val="superscript"/>
          <w:lang w:val="es-ES"/>
        </w:rPr>
        <w:footnoteReference w:id="263"/>
      </w:r>
      <w:r w:rsidRPr="008A084A">
        <w:rPr>
          <w:rFonts w:ascii="Cambria" w:hAnsi="Cambria"/>
          <w:sz w:val="20"/>
          <w:szCs w:val="20"/>
          <w:lang w:val="es-ES"/>
        </w:rPr>
        <w:t>. Por otra parte, este derecho se relaciona con la participación e inclusión plenas de las personas con discapacidad en la sociedad, a través del desarrollo de ambientes inclusivos</w:t>
      </w:r>
      <w:r w:rsidRPr="008A084A">
        <w:rPr>
          <w:rFonts w:ascii="Cambria" w:hAnsi="Cambria"/>
          <w:sz w:val="20"/>
          <w:szCs w:val="20"/>
          <w:vertAlign w:val="superscript"/>
          <w:lang w:val="es-ES"/>
        </w:rPr>
        <w:footnoteReference w:id="264"/>
      </w:r>
      <w:r w:rsidRPr="008A084A">
        <w:rPr>
          <w:rFonts w:ascii="Cambria" w:hAnsi="Cambria"/>
          <w:sz w:val="20"/>
          <w:szCs w:val="20"/>
          <w:lang w:val="es-ES"/>
        </w:rPr>
        <w:t>. En sí, la garantía de este derecho involucra que la vida de las personas con discapacidad se desarrolle fuera de cualquier institución residencial, debido a que por su naturaleza, las imposiciones que derivan del régimen de institucionalización, ocasionan que estas personas pierdan su autonomía y posibilidad de tomar decisiones sobre su vida</w:t>
      </w:r>
      <w:r w:rsidRPr="008A084A">
        <w:rPr>
          <w:rFonts w:ascii="Cambria" w:hAnsi="Cambria"/>
          <w:sz w:val="20"/>
          <w:szCs w:val="20"/>
          <w:vertAlign w:val="superscript"/>
          <w:lang w:val="es-ES"/>
        </w:rPr>
        <w:footnoteReference w:id="265"/>
      </w:r>
      <w:r w:rsidRPr="008A084A">
        <w:rPr>
          <w:rFonts w:ascii="Cambria" w:hAnsi="Cambria"/>
          <w:sz w:val="20"/>
          <w:szCs w:val="20"/>
          <w:lang w:val="es-ES"/>
        </w:rPr>
        <w:t xml:space="preserve">. </w:t>
      </w:r>
      <w:r w:rsidRPr="008A084A">
        <w:rPr>
          <w:rFonts w:ascii="Cambria" w:hAnsi="Cambria"/>
          <w:sz w:val="20"/>
          <w:szCs w:val="20"/>
          <w:lang w:val="es-ES_tradnl"/>
        </w:rPr>
        <w:t xml:space="preserve">Ante la falta de alternativas en la comunidad, las instituciones segregan a las personas con discapacidad de la comunidad, al convertirse en la única opción para que las personas con discapacidad puedan recibir la atención y servicios que necesitan. Al respecto, el Comité de la CDPD ha establecido que el internamiento involuntario por motivo de discapacidad, </w:t>
      </w:r>
      <w:r w:rsidRPr="008A084A">
        <w:rPr>
          <w:rFonts w:ascii="Cambria" w:hAnsi="Cambria"/>
          <w:sz w:val="20"/>
          <w:szCs w:val="20"/>
          <w:lang w:val="es-ES"/>
        </w:rPr>
        <w:t xml:space="preserve">es frecuentemente causado o agravado por la falta de apoyos específicos, y conlleva </w:t>
      </w:r>
      <w:r w:rsidRPr="008A084A">
        <w:rPr>
          <w:rFonts w:ascii="Cambria" w:hAnsi="Cambria"/>
          <w:sz w:val="20"/>
          <w:szCs w:val="20"/>
          <w:lang w:val="es-MX"/>
        </w:rPr>
        <w:t>a una privación arbitraria de la libertad</w:t>
      </w:r>
      <w:r w:rsidRPr="008A084A">
        <w:rPr>
          <w:rFonts w:ascii="Cambria" w:hAnsi="Cambria"/>
          <w:sz w:val="20"/>
          <w:szCs w:val="20"/>
          <w:vertAlign w:val="superscript"/>
          <w:lang w:val="es-ES_tradnl"/>
        </w:rPr>
        <w:footnoteReference w:id="266"/>
      </w:r>
      <w:r w:rsidRPr="008A084A">
        <w:rPr>
          <w:rFonts w:ascii="Cambria" w:hAnsi="Cambria"/>
          <w:sz w:val="20"/>
          <w:szCs w:val="20"/>
          <w:lang w:val="es-MX"/>
        </w:rPr>
        <w:t>. Considerando lo anterior, l</w:t>
      </w:r>
      <w:r w:rsidRPr="008A084A">
        <w:rPr>
          <w:rFonts w:ascii="Cambria" w:hAnsi="Cambria"/>
          <w:sz w:val="20"/>
          <w:szCs w:val="20"/>
          <w:lang w:val="es-ES_tradnl"/>
        </w:rPr>
        <w:t>a CIDH considera que la falta de apoyos y servicios en la comunidad para las personas con discapacidad y sus familias, incentivan la institucionalización, y en consecuencia, vulneran el derecho a vivir en la comunidad de las personas que viven con esta condición de vida</w:t>
      </w:r>
      <w:r w:rsidR="00CE4228" w:rsidRPr="008A084A">
        <w:rPr>
          <w:rStyle w:val="FootnoteReference"/>
          <w:rFonts w:ascii="Cambria" w:hAnsi="Cambria"/>
          <w:sz w:val="20"/>
          <w:szCs w:val="20"/>
          <w:lang w:val="es-ES_tradnl"/>
        </w:rPr>
        <w:footnoteReference w:id="267"/>
      </w:r>
      <w:r w:rsidRPr="008A084A">
        <w:rPr>
          <w:rFonts w:ascii="Cambria" w:hAnsi="Cambria"/>
          <w:sz w:val="20"/>
          <w:szCs w:val="20"/>
          <w:lang w:val="es-ES_tradnl"/>
        </w:rPr>
        <w:t>.</w:t>
      </w:r>
    </w:p>
    <w:p w:rsidR="00393310" w:rsidRPr="008A084A" w:rsidRDefault="00393310" w:rsidP="00CE4228">
      <w:pPr>
        <w:pStyle w:val="ColorfulList-Accent11"/>
        <w:ind w:left="0"/>
        <w:rPr>
          <w:rFonts w:ascii="Cambria" w:hAnsi="Cambria"/>
          <w:sz w:val="20"/>
          <w:szCs w:val="20"/>
          <w:lang w:val="es-ES"/>
        </w:rPr>
      </w:pPr>
    </w:p>
    <w:p w:rsidR="00560036" w:rsidRPr="008A084A" w:rsidRDefault="00A37649" w:rsidP="00560036">
      <w:pPr>
        <w:numPr>
          <w:ilvl w:val="0"/>
          <w:numId w:val="55"/>
        </w:numPr>
        <w:jc w:val="both"/>
        <w:rPr>
          <w:rFonts w:ascii="Cambria" w:hAnsi="Cambria"/>
          <w:sz w:val="20"/>
          <w:szCs w:val="20"/>
          <w:lang w:val="es-ES"/>
        </w:rPr>
      </w:pPr>
      <w:r w:rsidRPr="008A084A">
        <w:rPr>
          <w:rFonts w:ascii="Cambria" w:hAnsi="Cambria"/>
          <w:sz w:val="20"/>
          <w:szCs w:val="20"/>
          <w:lang w:val="es-ES"/>
        </w:rPr>
        <w:t>El Comité CDPD ha indicado que la negación de la capacidad jurídica a las personas con discapacidad y su privación de libertad en instituciones contra su voluntad, sin su consentimiento o con el consentimiento del sustituto en la adopción de decisiones, es una práctica que “constituye una privación arbitraria de la libertad</w:t>
      </w:r>
      <w:r w:rsidRPr="008A084A">
        <w:rPr>
          <w:rStyle w:val="FootnoteReference"/>
          <w:rFonts w:ascii="Cambria" w:hAnsi="Cambria"/>
          <w:sz w:val="20"/>
          <w:szCs w:val="20"/>
        </w:rPr>
        <w:footnoteReference w:id="268"/>
      </w:r>
      <w:r w:rsidRPr="008A084A">
        <w:rPr>
          <w:rFonts w:ascii="Cambria" w:hAnsi="Cambria"/>
          <w:sz w:val="20"/>
          <w:szCs w:val="20"/>
          <w:lang w:val="es-ES"/>
        </w:rPr>
        <w:t xml:space="preserve">”. </w:t>
      </w:r>
      <w:r w:rsidR="00560036" w:rsidRPr="008A084A">
        <w:rPr>
          <w:rFonts w:ascii="Cambria" w:hAnsi="Cambria"/>
          <w:sz w:val="20"/>
          <w:szCs w:val="20"/>
          <w:lang w:val="es-ES"/>
        </w:rPr>
        <w:t>La Corte Europea también ha sostenido que la institucionalización de personas con discapacidad en centros de salud mental puede afectar su derecho a la libertad personal, en particular cuando ésta se realiza sin su consentimiento o en contra de su voluntad</w:t>
      </w:r>
      <w:r w:rsidR="00560036" w:rsidRPr="008A084A">
        <w:rPr>
          <w:rStyle w:val="FootnoteReference"/>
          <w:rFonts w:ascii="Cambria" w:hAnsi="Cambria"/>
          <w:sz w:val="20"/>
          <w:szCs w:val="20"/>
          <w:lang w:val="es-ES"/>
        </w:rPr>
        <w:footnoteReference w:id="269"/>
      </w:r>
      <w:r w:rsidR="00560036" w:rsidRPr="008A084A">
        <w:rPr>
          <w:rFonts w:ascii="Cambria" w:hAnsi="Cambria"/>
          <w:sz w:val="20"/>
          <w:szCs w:val="20"/>
          <w:lang w:val="es-ES"/>
        </w:rPr>
        <w:t xml:space="preserve">. </w:t>
      </w:r>
    </w:p>
    <w:p w:rsidR="00560036" w:rsidRPr="008A084A" w:rsidRDefault="00560036" w:rsidP="00560036">
      <w:pPr>
        <w:ind w:left="720"/>
        <w:jc w:val="both"/>
        <w:rPr>
          <w:rFonts w:ascii="Cambria" w:hAnsi="Cambria"/>
          <w:sz w:val="20"/>
          <w:szCs w:val="20"/>
          <w:lang w:val="es-ES"/>
        </w:rPr>
      </w:pPr>
    </w:p>
    <w:p w:rsidR="003F648A" w:rsidRPr="008A084A" w:rsidRDefault="00BD1C4B" w:rsidP="00560036">
      <w:pPr>
        <w:numPr>
          <w:ilvl w:val="0"/>
          <w:numId w:val="55"/>
        </w:numPr>
        <w:jc w:val="both"/>
        <w:rPr>
          <w:rFonts w:ascii="Cambria" w:hAnsi="Cambria"/>
          <w:sz w:val="20"/>
          <w:szCs w:val="20"/>
          <w:lang w:val="es-ES"/>
        </w:rPr>
      </w:pPr>
      <w:r w:rsidRPr="008A084A">
        <w:rPr>
          <w:rFonts w:ascii="Cambria" w:hAnsi="Cambria"/>
          <w:sz w:val="20"/>
          <w:szCs w:val="20"/>
          <w:lang w:val="es-ES"/>
        </w:rPr>
        <w:t>El Comité CDPD ha identificado en sus diversas observaciones sobre los Estados miembros de la CDPD que la segregación de las personas con discapacidad en instituciones sigue siendo un problema generalizado</w:t>
      </w:r>
      <w:r w:rsidR="00560036" w:rsidRPr="008A084A">
        <w:rPr>
          <w:rStyle w:val="FootnoteReference"/>
          <w:rFonts w:ascii="Cambria" w:hAnsi="Cambria"/>
          <w:sz w:val="20"/>
          <w:szCs w:val="20"/>
        </w:rPr>
        <w:footnoteReference w:id="270"/>
      </w:r>
      <w:r w:rsidR="00560036" w:rsidRPr="008A084A">
        <w:rPr>
          <w:rFonts w:ascii="Cambria" w:hAnsi="Cambria"/>
          <w:sz w:val="20"/>
          <w:szCs w:val="20"/>
          <w:lang w:val="es-ES"/>
        </w:rPr>
        <w:t>. Ello</w:t>
      </w:r>
      <w:r w:rsidRPr="008A084A">
        <w:rPr>
          <w:rFonts w:ascii="Cambria" w:hAnsi="Cambria"/>
          <w:sz w:val="20"/>
          <w:szCs w:val="20"/>
          <w:lang w:val="es-ES"/>
        </w:rPr>
        <w:t xml:space="preserve"> se ve agravado por la frecuente negación de la capacidad jurídica a las personas con discapacidad, que permite que sean otros quienes otorguen su consentimiento para internarlos en</w:t>
      </w:r>
      <w:r w:rsidR="00673A64" w:rsidRPr="008A084A">
        <w:rPr>
          <w:rFonts w:ascii="Cambria" w:hAnsi="Cambria"/>
          <w:sz w:val="20"/>
          <w:szCs w:val="20"/>
          <w:lang w:val="es-ES"/>
        </w:rPr>
        <w:t xml:space="preserve"> instituciones</w:t>
      </w:r>
      <w:r w:rsidRPr="008A084A">
        <w:rPr>
          <w:rStyle w:val="FootnoteReference"/>
          <w:rFonts w:ascii="Cambria" w:hAnsi="Cambria"/>
          <w:sz w:val="20"/>
          <w:szCs w:val="20"/>
        </w:rPr>
        <w:footnoteReference w:id="271"/>
      </w:r>
      <w:r w:rsidRPr="008A084A">
        <w:rPr>
          <w:rFonts w:ascii="Cambria" w:hAnsi="Cambria"/>
          <w:sz w:val="20"/>
          <w:szCs w:val="20"/>
          <w:lang w:val="es-ES"/>
        </w:rPr>
        <w:t>.</w:t>
      </w:r>
      <w:r w:rsidR="002A742E" w:rsidRPr="008A084A">
        <w:rPr>
          <w:rFonts w:ascii="Cambria" w:hAnsi="Cambria"/>
          <w:sz w:val="20"/>
          <w:szCs w:val="20"/>
          <w:lang w:val="es-ES"/>
        </w:rPr>
        <w:t xml:space="preserve"> </w:t>
      </w:r>
    </w:p>
    <w:p w:rsidR="003F648A" w:rsidRPr="008A084A" w:rsidRDefault="003F648A" w:rsidP="003F648A">
      <w:pPr>
        <w:ind w:left="720"/>
        <w:jc w:val="both"/>
        <w:rPr>
          <w:rFonts w:ascii="Cambria" w:hAnsi="Cambria"/>
          <w:sz w:val="20"/>
          <w:szCs w:val="20"/>
          <w:lang w:val="es-ES"/>
        </w:rPr>
      </w:pPr>
    </w:p>
    <w:p w:rsidR="00BD1C4B" w:rsidRPr="008A084A" w:rsidRDefault="002A742E" w:rsidP="00FF1817">
      <w:pPr>
        <w:numPr>
          <w:ilvl w:val="0"/>
          <w:numId w:val="55"/>
        </w:numPr>
        <w:jc w:val="both"/>
        <w:rPr>
          <w:rFonts w:ascii="Cambria" w:hAnsi="Cambria"/>
          <w:sz w:val="20"/>
          <w:szCs w:val="20"/>
          <w:lang w:val="es-ES"/>
        </w:rPr>
      </w:pPr>
      <w:r w:rsidRPr="008A084A">
        <w:rPr>
          <w:rFonts w:ascii="Cambria" w:hAnsi="Cambria"/>
          <w:sz w:val="20"/>
          <w:szCs w:val="20"/>
          <w:lang w:val="es-ES"/>
        </w:rPr>
        <w:t>El Comité CDPD ha sostenido que en ningún caso los Estados deben permitir que se institucionalice a una persona con base en la presencia real o percibida de una discapacidad psicosocial</w:t>
      </w:r>
      <w:r w:rsidRPr="008A084A">
        <w:rPr>
          <w:rStyle w:val="FootnoteReference"/>
          <w:rFonts w:ascii="Cambria" w:hAnsi="Cambria"/>
          <w:sz w:val="20"/>
          <w:szCs w:val="20"/>
          <w:lang w:val="es-ES"/>
        </w:rPr>
        <w:footnoteReference w:id="272"/>
      </w:r>
      <w:r w:rsidRPr="008A084A">
        <w:rPr>
          <w:rFonts w:ascii="Cambria" w:hAnsi="Cambria"/>
          <w:sz w:val="20"/>
          <w:szCs w:val="20"/>
          <w:lang w:val="es-ES"/>
        </w:rPr>
        <w:t xml:space="preserve"> o bajo el supuesto de “constituir un peligro para ella misma o para los demás”</w:t>
      </w:r>
      <w:r w:rsidRPr="008A084A">
        <w:rPr>
          <w:rStyle w:val="FootnoteReference"/>
          <w:rFonts w:ascii="Cambria" w:hAnsi="Cambria"/>
          <w:sz w:val="20"/>
          <w:szCs w:val="20"/>
        </w:rPr>
        <w:footnoteReference w:id="273"/>
      </w:r>
      <w:r w:rsidRPr="008A084A">
        <w:rPr>
          <w:rFonts w:ascii="Cambria" w:hAnsi="Cambria"/>
          <w:sz w:val="20"/>
          <w:szCs w:val="20"/>
          <w:lang w:val="es-ES"/>
        </w:rPr>
        <w:t>.</w:t>
      </w:r>
      <w:r w:rsidR="003F648A" w:rsidRPr="008A084A">
        <w:rPr>
          <w:rFonts w:ascii="Cambria" w:hAnsi="Cambria"/>
          <w:sz w:val="20"/>
          <w:szCs w:val="20"/>
          <w:lang w:val="es-ES"/>
        </w:rPr>
        <w:t xml:space="preserve"> Por su parte, la Corte Europea ha declarado la vulneración del derecho a la libertad personal </w:t>
      </w:r>
      <w:r w:rsidR="004F65E4" w:rsidRPr="008A084A">
        <w:rPr>
          <w:rFonts w:ascii="Cambria" w:hAnsi="Cambria"/>
          <w:sz w:val="20"/>
          <w:szCs w:val="20"/>
          <w:lang w:val="es-ES"/>
        </w:rPr>
        <w:t>cuando</w:t>
      </w:r>
      <w:r w:rsidR="003F648A" w:rsidRPr="008A084A">
        <w:rPr>
          <w:rFonts w:ascii="Cambria" w:hAnsi="Cambria"/>
          <w:sz w:val="20"/>
          <w:szCs w:val="20"/>
          <w:lang w:val="es-ES"/>
        </w:rPr>
        <w:t xml:space="preserve"> una persona con discapacidad psicosocial fue institucionalizada en un centro de salud mental sin su consentimiento</w:t>
      </w:r>
      <w:r w:rsidR="003F648A" w:rsidRPr="008A084A">
        <w:rPr>
          <w:rStyle w:val="FootnoteReference"/>
          <w:rFonts w:ascii="Cambria" w:hAnsi="Cambria"/>
          <w:sz w:val="20"/>
          <w:szCs w:val="20"/>
          <w:lang w:val="es-ES"/>
        </w:rPr>
        <w:footnoteReference w:id="274"/>
      </w:r>
      <w:r w:rsidR="003F648A" w:rsidRPr="008A084A">
        <w:rPr>
          <w:rFonts w:ascii="Cambria" w:hAnsi="Cambria"/>
          <w:sz w:val="20"/>
          <w:szCs w:val="20"/>
          <w:lang w:val="es-ES"/>
        </w:rPr>
        <w:t xml:space="preserve">. </w:t>
      </w:r>
    </w:p>
    <w:p w:rsidR="00BD1C4B" w:rsidRPr="008A084A" w:rsidRDefault="00BD1C4B" w:rsidP="00BD1C4B">
      <w:pPr>
        <w:ind w:left="720"/>
        <w:jc w:val="both"/>
        <w:rPr>
          <w:rFonts w:ascii="Cambria" w:hAnsi="Cambria"/>
          <w:sz w:val="20"/>
          <w:szCs w:val="20"/>
          <w:lang w:val="es-ES"/>
        </w:rPr>
      </w:pPr>
    </w:p>
    <w:p w:rsidR="00725174" w:rsidRPr="008A084A" w:rsidRDefault="001D12F0" w:rsidP="00725174">
      <w:pPr>
        <w:numPr>
          <w:ilvl w:val="0"/>
          <w:numId w:val="55"/>
        </w:numPr>
        <w:jc w:val="both"/>
        <w:rPr>
          <w:rFonts w:ascii="Cambria" w:hAnsi="Cambria"/>
          <w:sz w:val="20"/>
          <w:szCs w:val="20"/>
          <w:lang w:val="es-ES"/>
        </w:rPr>
      </w:pPr>
      <w:r w:rsidRPr="008A084A">
        <w:rPr>
          <w:rFonts w:ascii="Cambria" w:hAnsi="Cambria"/>
          <w:sz w:val="20"/>
          <w:szCs w:val="20"/>
          <w:lang w:val="es-ES"/>
        </w:rPr>
        <w:t xml:space="preserve">Frente a esta situación, el Comité CDPD </w:t>
      </w:r>
      <w:r w:rsidR="00725174" w:rsidRPr="008A084A">
        <w:rPr>
          <w:rFonts w:ascii="Cambria" w:hAnsi="Cambria"/>
          <w:sz w:val="20"/>
          <w:szCs w:val="20"/>
          <w:lang w:val="es-ES"/>
        </w:rPr>
        <w:t>ha sostenido que l</w:t>
      </w:r>
      <w:r w:rsidRPr="008A084A">
        <w:rPr>
          <w:rFonts w:ascii="Cambria" w:hAnsi="Cambria"/>
          <w:sz w:val="20"/>
          <w:szCs w:val="20"/>
          <w:lang w:val="es-ES"/>
        </w:rPr>
        <w:t xml:space="preserve">os Estados deben eliminar </w:t>
      </w:r>
      <w:r w:rsidR="00725174" w:rsidRPr="008A084A">
        <w:rPr>
          <w:rFonts w:ascii="Cambria" w:hAnsi="Cambria"/>
          <w:sz w:val="20"/>
          <w:szCs w:val="20"/>
          <w:lang w:val="es-ES"/>
        </w:rPr>
        <w:t>dichas</w:t>
      </w:r>
      <w:r w:rsidRPr="008A084A">
        <w:rPr>
          <w:rFonts w:ascii="Cambria" w:hAnsi="Cambria"/>
          <w:sz w:val="20"/>
          <w:szCs w:val="20"/>
          <w:lang w:val="es-ES"/>
        </w:rPr>
        <w:t xml:space="preserve"> prácticas y establecer un mecanismo para examinar los casos en que se haya internado a personas con discapacidad en un entorno institucional sin su consentimiento expreso</w:t>
      </w:r>
      <w:r w:rsidRPr="008A084A">
        <w:rPr>
          <w:rStyle w:val="FootnoteReference"/>
          <w:rFonts w:ascii="Cambria" w:hAnsi="Cambria"/>
          <w:sz w:val="20"/>
          <w:szCs w:val="20"/>
        </w:rPr>
        <w:footnoteReference w:id="275"/>
      </w:r>
      <w:r w:rsidRPr="008A084A">
        <w:rPr>
          <w:rFonts w:ascii="Cambria" w:hAnsi="Cambria"/>
          <w:sz w:val="20"/>
          <w:szCs w:val="20"/>
          <w:lang w:val="es-ES"/>
        </w:rPr>
        <w:t>.</w:t>
      </w:r>
      <w:r w:rsidR="00725174" w:rsidRPr="008A084A">
        <w:rPr>
          <w:rFonts w:ascii="Cambria" w:hAnsi="Cambria"/>
          <w:sz w:val="20"/>
          <w:szCs w:val="20"/>
          <w:lang w:val="es-ES"/>
        </w:rPr>
        <w:t xml:space="preserve"> Asimismo, los Estados deben proceder a la desinstitucionalización, y todas las personas con discapacidad deben recobrar la capacidad jurídica, con los apoyos correspondientes, y poder elegir dónde y con quién vivir</w:t>
      </w:r>
      <w:r w:rsidR="00725174" w:rsidRPr="008A084A">
        <w:rPr>
          <w:rStyle w:val="FootnoteReference"/>
          <w:rFonts w:ascii="Cambria" w:hAnsi="Cambria"/>
          <w:sz w:val="20"/>
          <w:szCs w:val="20"/>
        </w:rPr>
        <w:footnoteReference w:id="276"/>
      </w:r>
      <w:r w:rsidR="00725174" w:rsidRPr="008A084A">
        <w:rPr>
          <w:rFonts w:ascii="Cambria" w:hAnsi="Cambria"/>
          <w:sz w:val="20"/>
          <w:szCs w:val="20"/>
          <w:lang w:val="es-ES"/>
        </w:rPr>
        <w:t>. Los deberes del Estado en este punto se vinculan con el derecho a vivir de forma independiente y a ser incluido en la comunidad, establecido en el artículo 19 de la CDPD.</w:t>
      </w:r>
      <w:r w:rsidR="00890912" w:rsidRPr="008A084A">
        <w:rPr>
          <w:rFonts w:ascii="Cambria" w:hAnsi="Cambria"/>
          <w:sz w:val="20"/>
          <w:szCs w:val="20"/>
          <w:lang w:val="es-ES"/>
        </w:rPr>
        <w:t xml:space="preserve"> La institucionalización de una persona en un centro de salud mental puede constituir un obstáculo para tal objetivo fundamental y, como se ha indicado, constituir una privación de libertad arbitraria en los términos de la Convención</w:t>
      </w:r>
      <w:r w:rsidR="007F1F5F" w:rsidRPr="008A084A">
        <w:rPr>
          <w:rFonts w:ascii="Cambria" w:hAnsi="Cambria"/>
          <w:sz w:val="20"/>
          <w:szCs w:val="20"/>
          <w:lang w:val="es-ES"/>
        </w:rPr>
        <w:t xml:space="preserve"> Americana</w:t>
      </w:r>
      <w:r w:rsidR="00C238DE" w:rsidRPr="008A084A">
        <w:rPr>
          <w:rFonts w:ascii="Cambria" w:hAnsi="Cambria"/>
          <w:sz w:val="20"/>
          <w:szCs w:val="20"/>
          <w:lang w:val="es-ES"/>
        </w:rPr>
        <w:t xml:space="preserve">. Un elemento de la arbitrariedad de dicha privación de libertad, tiene lugar cuando la misma tiene lugar en incumplimiento de los estándares sobre consentimiento informado que se refieren más adelante. Cabe destacar en este punto que </w:t>
      </w:r>
      <w:r w:rsidR="000316D4" w:rsidRPr="008A084A">
        <w:rPr>
          <w:rFonts w:ascii="Cambria" w:hAnsi="Cambria"/>
          <w:sz w:val="20"/>
          <w:szCs w:val="20"/>
          <w:lang w:val="es-ES"/>
        </w:rPr>
        <w:t>en casos de personas con discapacidad mental el consentimiento no se configura con el brindado por un tutor o familiar. En todo caso, como se analiza más adelante, cualquier excepción a la obligación de obtener el consentimiento informado debe basarse en una situación concreta y excepcional de emergencia en el caso particular, situación que en ningún caso puede configurarse por el sólo hecho de tener una discapacidad mental. En este sentido, en un caso como el presente existe una relación directa entre el derecho al consentimiento informado con los alcances que se precisarán a continuación, y la arbitrariedad de una privación de libertad en una institución de salud mental en incumplimiento de dicho derecho.</w:t>
      </w:r>
    </w:p>
    <w:p w:rsidR="003F648A" w:rsidRPr="008A084A" w:rsidRDefault="003F648A" w:rsidP="003F648A">
      <w:pPr>
        <w:pStyle w:val="ColorfulList-Accent11"/>
        <w:rPr>
          <w:rFonts w:ascii="Cambria" w:hAnsi="Cambria"/>
          <w:sz w:val="20"/>
          <w:szCs w:val="20"/>
          <w:lang w:val="es-ES"/>
        </w:rPr>
      </w:pPr>
    </w:p>
    <w:p w:rsidR="003F648A" w:rsidRPr="008A084A" w:rsidRDefault="003F648A" w:rsidP="003F648A">
      <w:pPr>
        <w:numPr>
          <w:ilvl w:val="0"/>
          <w:numId w:val="55"/>
        </w:numPr>
        <w:jc w:val="both"/>
        <w:rPr>
          <w:rFonts w:ascii="Cambria" w:hAnsi="Cambria"/>
          <w:sz w:val="20"/>
          <w:szCs w:val="20"/>
          <w:lang w:val="es-ES"/>
        </w:rPr>
      </w:pPr>
      <w:r w:rsidRPr="008A084A">
        <w:rPr>
          <w:rFonts w:ascii="Cambria" w:hAnsi="Cambria"/>
          <w:sz w:val="20"/>
          <w:szCs w:val="20"/>
          <w:lang w:val="es-ES"/>
        </w:rPr>
        <w:t>Adicionalmente, la Corte Europea ha indicado que los Estados deben contar con recursos adecuados y efectivos a efectos de que las personas con discapacidad institucionalizadas pueden cuestionar su restricción de la libertad</w:t>
      </w:r>
      <w:r w:rsidRPr="008A084A">
        <w:rPr>
          <w:rStyle w:val="FootnoteReference"/>
          <w:rFonts w:ascii="Cambria" w:hAnsi="Cambria"/>
          <w:sz w:val="20"/>
          <w:szCs w:val="20"/>
          <w:lang w:val="es-ES"/>
        </w:rPr>
        <w:footnoteReference w:id="277"/>
      </w:r>
      <w:r w:rsidRPr="008A084A">
        <w:rPr>
          <w:rFonts w:ascii="Cambria" w:hAnsi="Cambria"/>
          <w:sz w:val="20"/>
          <w:szCs w:val="20"/>
          <w:lang w:val="es-ES"/>
        </w:rPr>
        <w:t>. Asimismo, la Corte Europea recalcó el deber de los Estados de realizar de oficio revisiones periódicas judiciales en casos de institucionalización</w:t>
      </w:r>
      <w:r w:rsidRPr="008A084A">
        <w:rPr>
          <w:rStyle w:val="FootnoteReference"/>
          <w:rFonts w:ascii="Cambria" w:hAnsi="Cambria"/>
          <w:sz w:val="20"/>
          <w:szCs w:val="20"/>
          <w:lang w:val="es-ES"/>
        </w:rPr>
        <w:footnoteReference w:id="278"/>
      </w:r>
      <w:r w:rsidRPr="008A084A">
        <w:rPr>
          <w:rFonts w:ascii="Cambria" w:hAnsi="Cambria"/>
          <w:sz w:val="20"/>
          <w:szCs w:val="20"/>
          <w:lang w:val="es-ES"/>
        </w:rPr>
        <w:t>.</w:t>
      </w:r>
    </w:p>
    <w:p w:rsidR="001D12F0" w:rsidRPr="008A084A" w:rsidRDefault="001D12F0" w:rsidP="003F13D8">
      <w:pPr>
        <w:ind w:left="720"/>
        <w:jc w:val="both"/>
        <w:rPr>
          <w:rFonts w:ascii="Cambria" w:hAnsi="Cambria"/>
          <w:sz w:val="20"/>
          <w:szCs w:val="20"/>
          <w:lang w:val="es-ES"/>
        </w:rPr>
      </w:pPr>
    </w:p>
    <w:p w:rsidR="00BD1C4B" w:rsidRPr="008A084A" w:rsidRDefault="007F1F5F" w:rsidP="00B329C1">
      <w:pPr>
        <w:numPr>
          <w:ilvl w:val="1"/>
          <w:numId w:val="60"/>
        </w:numPr>
        <w:ind w:left="1440" w:hanging="720"/>
        <w:jc w:val="both"/>
        <w:rPr>
          <w:rFonts w:ascii="Cambria" w:hAnsi="Cambria"/>
          <w:b/>
          <w:sz w:val="20"/>
          <w:szCs w:val="20"/>
          <w:lang w:val="es-ES"/>
        </w:rPr>
      </w:pPr>
      <w:r w:rsidRPr="008A084A">
        <w:rPr>
          <w:rFonts w:ascii="Cambria" w:hAnsi="Cambria"/>
          <w:b/>
          <w:sz w:val="20"/>
          <w:szCs w:val="20"/>
          <w:lang w:val="es-ES"/>
        </w:rPr>
        <w:t>Consideraciones generales sobre la institucionalización y el d</w:t>
      </w:r>
      <w:r w:rsidR="00725174" w:rsidRPr="008A084A">
        <w:rPr>
          <w:rFonts w:ascii="Cambria" w:hAnsi="Cambria"/>
          <w:b/>
          <w:sz w:val="20"/>
          <w:szCs w:val="20"/>
          <w:lang w:val="es-ES"/>
        </w:rPr>
        <w:t xml:space="preserve">erecho a la integridad personal </w:t>
      </w:r>
    </w:p>
    <w:p w:rsidR="00B55C8A" w:rsidRPr="008A084A" w:rsidRDefault="00B55C8A" w:rsidP="00FF1817">
      <w:pPr>
        <w:jc w:val="both"/>
        <w:rPr>
          <w:rFonts w:ascii="Cambria" w:hAnsi="Cambria"/>
          <w:sz w:val="20"/>
          <w:szCs w:val="20"/>
          <w:lang w:val="es-ES"/>
        </w:rPr>
      </w:pPr>
    </w:p>
    <w:p w:rsidR="00FC5555" w:rsidRPr="008A084A" w:rsidRDefault="002C4346" w:rsidP="002C4346">
      <w:pPr>
        <w:numPr>
          <w:ilvl w:val="0"/>
          <w:numId w:val="55"/>
        </w:numPr>
        <w:jc w:val="both"/>
        <w:rPr>
          <w:rFonts w:ascii="Cambria" w:hAnsi="Cambria" w:cs="Verdana"/>
          <w:sz w:val="20"/>
          <w:szCs w:val="20"/>
          <w:lang w:val="es-ES" w:eastAsia="es-ES_tradnl"/>
        </w:rPr>
      </w:pPr>
      <w:r w:rsidRPr="008A084A">
        <w:rPr>
          <w:rFonts w:ascii="Cambria" w:hAnsi="Cambria" w:cs="Verdana"/>
          <w:sz w:val="20"/>
          <w:szCs w:val="20"/>
          <w:lang w:val="es-ES" w:eastAsia="es-ES_tradnl"/>
        </w:rPr>
        <w:t>En cuanto al derecho a la integridad personal, la Corte ha señalado que Estados tienen el deber de adoptar las medidas necesarias tendientes a hacer frente a las amenazas a la integridad física de las personas</w:t>
      </w:r>
      <w:r w:rsidRPr="008A084A">
        <w:rPr>
          <w:rStyle w:val="FootnoteReference"/>
          <w:rFonts w:ascii="Cambria" w:hAnsi="Cambria"/>
          <w:sz w:val="20"/>
          <w:szCs w:val="20"/>
          <w:lang w:val="es-ES" w:eastAsia="es-ES_tradnl"/>
        </w:rPr>
        <w:footnoteReference w:id="279"/>
      </w:r>
      <w:r w:rsidRPr="008A084A">
        <w:rPr>
          <w:rFonts w:ascii="Cambria" w:hAnsi="Cambria" w:cs="Verdana"/>
          <w:sz w:val="20"/>
          <w:szCs w:val="20"/>
          <w:lang w:val="es-ES" w:eastAsia="es-ES_tradnl"/>
        </w:rPr>
        <w:t xml:space="preserve">. </w:t>
      </w:r>
      <w:r w:rsidR="006722DC" w:rsidRPr="008A084A">
        <w:rPr>
          <w:rFonts w:ascii="Cambria" w:hAnsi="Cambria" w:cs="Verdana"/>
          <w:sz w:val="20"/>
          <w:szCs w:val="20"/>
          <w:lang w:val="es-ES" w:eastAsia="es-ES_tradnl"/>
        </w:rPr>
        <w:t>La CIDH resalta que, en casos de personas privadas de libertad, como las personas institucionalizadas</w:t>
      </w:r>
      <w:r w:rsidR="00B4508F" w:rsidRPr="008A084A">
        <w:rPr>
          <w:rFonts w:ascii="Cambria" w:hAnsi="Cambria" w:cs="Verdana"/>
          <w:sz w:val="20"/>
          <w:szCs w:val="20"/>
          <w:lang w:val="es-ES" w:eastAsia="es-ES_tradnl"/>
        </w:rPr>
        <w:t xml:space="preserve"> en centros de salud mental</w:t>
      </w:r>
      <w:r w:rsidR="006722DC" w:rsidRPr="008A084A">
        <w:rPr>
          <w:rFonts w:ascii="Cambria" w:hAnsi="Cambria" w:cs="Verdana"/>
          <w:sz w:val="20"/>
          <w:szCs w:val="20"/>
          <w:lang w:val="es-ES" w:eastAsia="es-ES_tradnl"/>
        </w:rPr>
        <w:t>, los Estados</w:t>
      </w:r>
      <w:r w:rsidR="00D311E2" w:rsidRPr="008A084A">
        <w:rPr>
          <w:rFonts w:ascii="Cambria" w:hAnsi="Cambria" w:cs="Verdana"/>
          <w:sz w:val="20"/>
          <w:szCs w:val="20"/>
          <w:lang w:val="es-ES" w:eastAsia="es-ES_tradnl"/>
        </w:rPr>
        <w:t xml:space="preserve"> tienen una obligación reforzada de</w:t>
      </w:r>
      <w:r w:rsidR="006722DC" w:rsidRPr="008A084A">
        <w:rPr>
          <w:rFonts w:ascii="Cambria" w:hAnsi="Cambria" w:cs="Verdana"/>
          <w:sz w:val="20"/>
          <w:szCs w:val="20"/>
          <w:lang w:val="es-ES" w:eastAsia="es-ES_tradnl"/>
        </w:rPr>
        <w:t xml:space="preserve"> garantizar su integridad personal debido a que se encuentran bajo su custodia. </w:t>
      </w:r>
    </w:p>
    <w:p w:rsidR="00FC5555" w:rsidRPr="008A084A" w:rsidRDefault="00FC5555" w:rsidP="00FC5555">
      <w:pPr>
        <w:ind w:left="720"/>
        <w:jc w:val="both"/>
        <w:rPr>
          <w:rFonts w:ascii="Cambria" w:hAnsi="Cambria" w:cs="Verdana"/>
          <w:sz w:val="20"/>
          <w:szCs w:val="20"/>
          <w:lang w:val="es-ES" w:eastAsia="es-ES_tradnl"/>
        </w:rPr>
      </w:pPr>
    </w:p>
    <w:p w:rsidR="006722DC" w:rsidRPr="008A084A" w:rsidRDefault="00FC5555" w:rsidP="004A2DEB">
      <w:pPr>
        <w:numPr>
          <w:ilvl w:val="0"/>
          <w:numId w:val="55"/>
        </w:numPr>
        <w:jc w:val="both"/>
        <w:rPr>
          <w:rFonts w:ascii="Cambria" w:hAnsi="Cambria" w:cs="Verdana"/>
          <w:sz w:val="20"/>
          <w:szCs w:val="20"/>
          <w:lang w:val="es-ES" w:eastAsia="es-ES_tradnl"/>
        </w:rPr>
      </w:pPr>
      <w:r w:rsidRPr="008A084A">
        <w:rPr>
          <w:rFonts w:ascii="Cambria" w:hAnsi="Cambria" w:cs="Verdana"/>
          <w:sz w:val="20"/>
          <w:szCs w:val="20"/>
          <w:lang w:val="es-ES" w:eastAsia="es-ES_tradnl"/>
        </w:rPr>
        <w:t xml:space="preserve">Sobre este punto, la Corte Interamericana ha indicado que se debe tomar en cuenta </w:t>
      </w:r>
      <w:r w:rsidRPr="008A084A">
        <w:rPr>
          <w:rFonts w:ascii="Cambria" w:hAnsi="Cambria"/>
          <w:sz w:val="20"/>
          <w:szCs w:val="20"/>
          <w:lang w:val="es-ES"/>
        </w:rPr>
        <w:t xml:space="preserve">la posición especial de garante que asume el Estado con respecto a personas que se encuentran bajo su custodia o cuidado, como las personas </w:t>
      </w:r>
      <w:r w:rsidR="001A7F7A" w:rsidRPr="008A084A">
        <w:rPr>
          <w:rFonts w:ascii="Cambria" w:hAnsi="Cambria"/>
          <w:sz w:val="20"/>
          <w:szCs w:val="20"/>
          <w:lang w:val="es-ES"/>
        </w:rPr>
        <w:t xml:space="preserve">institucionalizadas </w:t>
      </w:r>
      <w:r w:rsidRPr="008A084A">
        <w:rPr>
          <w:rFonts w:ascii="Cambria" w:hAnsi="Cambria"/>
          <w:sz w:val="20"/>
          <w:szCs w:val="20"/>
          <w:lang w:val="es-ES"/>
        </w:rPr>
        <w:t>en centros de salud mental, a quienes el Estado tiene la obligación positiva de proveer las condiciones necesarias para desarrollar una vida digna</w:t>
      </w:r>
      <w:r w:rsidRPr="008A084A">
        <w:rPr>
          <w:rStyle w:val="FootnoteReference"/>
          <w:rFonts w:ascii="Cambria" w:hAnsi="Cambria"/>
          <w:sz w:val="20"/>
          <w:szCs w:val="20"/>
          <w:lang w:val="es-ES"/>
        </w:rPr>
        <w:footnoteReference w:id="280"/>
      </w:r>
      <w:r w:rsidRPr="008A084A">
        <w:rPr>
          <w:rFonts w:ascii="Cambria" w:hAnsi="Cambria"/>
          <w:sz w:val="20"/>
          <w:szCs w:val="20"/>
          <w:lang w:val="es-ES"/>
        </w:rPr>
        <w:t>.</w:t>
      </w:r>
      <w:r w:rsidRPr="008A084A">
        <w:rPr>
          <w:rFonts w:ascii="Cambria" w:hAnsi="Cambria" w:cs="Verdana"/>
          <w:sz w:val="20"/>
          <w:szCs w:val="20"/>
          <w:lang w:val="es-ES" w:eastAsia="es-ES_tradnl"/>
        </w:rPr>
        <w:t xml:space="preserve">  </w:t>
      </w:r>
      <w:r w:rsidR="006722DC" w:rsidRPr="008A084A">
        <w:rPr>
          <w:rFonts w:ascii="Cambria" w:hAnsi="Cambria" w:cs="Verdana"/>
          <w:sz w:val="20"/>
          <w:szCs w:val="20"/>
          <w:lang w:val="es-ES" w:eastAsia="es-ES_tradnl"/>
        </w:rPr>
        <w:t>En el mismo sentido, la Corte Europea ha sostenido que los Estados, al ser responsables de los centros de salud mental públicos, deben adoptar las medidas necesarias para que las condiciones de dichos centros sean adecuadas</w:t>
      </w:r>
      <w:r w:rsidR="006722DC" w:rsidRPr="008A084A">
        <w:rPr>
          <w:rStyle w:val="FootnoteReference"/>
          <w:rFonts w:ascii="Cambria" w:hAnsi="Cambria"/>
          <w:sz w:val="20"/>
          <w:szCs w:val="20"/>
          <w:lang w:val="es-ES"/>
        </w:rPr>
        <w:footnoteReference w:id="281"/>
      </w:r>
      <w:r w:rsidR="006722DC" w:rsidRPr="008A084A">
        <w:rPr>
          <w:rFonts w:ascii="Cambria" w:hAnsi="Cambria" w:cs="Verdana"/>
          <w:sz w:val="20"/>
          <w:szCs w:val="20"/>
          <w:lang w:val="es-ES" w:eastAsia="es-ES_tradnl"/>
        </w:rPr>
        <w:t xml:space="preserve">. </w:t>
      </w:r>
      <w:r w:rsidR="004A2DEB" w:rsidRPr="008A084A">
        <w:rPr>
          <w:rFonts w:ascii="Cambria" w:hAnsi="Cambria" w:cs="Verdana"/>
          <w:sz w:val="20"/>
          <w:szCs w:val="20"/>
          <w:lang w:val="es-ES" w:eastAsia="es-ES_tradnl"/>
        </w:rPr>
        <w:t>De esta forma, el personal de los centros de salud mental deben adoptar todas las medidas necesarias para proteger la vida e integridad de las personas con discapacidad institucionalizadas</w:t>
      </w:r>
      <w:r w:rsidR="004A2DEB" w:rsidRPr="008A084A">
        <w:rPr>
          <w:rStyle w:val="FootnoteReference"/>
          <w:rFonts w:ascii="Cambria" w:hAnsi="Cambria"/>
          <w:sz w:val="20"/>
          <w:szCs w:val="20"/>
          <w:lang w:val="es-ES"/>
        </w:rPr>
        <w:footnoteReference w:id="282"/>
      </w:r>
      <w:r w:rsidR="008C28BB" w:rsidRPr="008A084A">
        <w:rPr>
          <w:rFonts w:ascii="Cambria" w:hAnsi="Cambria" w:cs="Verdana"/>
          <w:sz w:val="20"/>
          <w:szCs w:val="20"/>
          <w:lang w:val="es-ES" w:eastAsia="es-ES_tradnl"/>
        </w:rPr>
        <w:t>, siendo igualmente aplicable el car</w:t>
      </w:r>
      <w:r w:rsidR="008C28BB" w:rsidRPr="008A084A">
        <w:rPr>
          <w:rFonts w:ascii="Cambria" w:hAnsi="Cambria" w:cs="Verdana"/>
          <w:sz w:val="20"/>
          <w:szCs w:val="20"/>
          <w:lang w:val="es-CO" w:eastAsia="es-ES_tradnl"/>
        </w:rPr>
        <w:t xml:space="preserve">ácter reforzado de las </w:t>
      </w:r>
      <w:r w:rsidR="004D2C59" w:rsidRPr="008A084A">
        <w:rPr>
          <w:rFonts w:ascii="Cambria" w:hAnsi="Cambria" w:cs="Verdana"/>
          <w:sz w:val="20"/>
          <w:szCs w:val="20"/>
          <w:lang w:val="es-CO" w:eastAsia="es-ES_tradnl"/>
        </w:rPr>
        <w:t xml:space="preserve">obligaciones del Estado como consecuencia de su posición especial de garante de los derechos de las personas bajo su custodia. </w:t>
      </w:r>
    </w:p>
    <w:p w:rsidR="0088785C" w:rsidRPr="008A084A" w:rsidRDefault="0088785C" w:rsidP="0088785C">
      <w:pPr>
        <w:rPr>
          <w:rFonts w:ascii="Cambria" w:hAnsi="Cambria" w:cs="Verdana"/>
          <w:sz w:val="20"/>
          <w:szCs w:val="20"/>
          <w:lang w:val="es-ES" w:eastAsia="es-ES_tradnl"/>
        </w:rPr>
      </w:pPr>
    </w:p>
    <w:p w:rsidR="0088785C" w:rsidRPr="008A084A" w:rsidRDefault="0088785C" w:rsidP="0088785C">
      <w:pPr>
        <w:numPr>
          <w:ilvl w:val="0"/>
          <w:numId w:val="55"/>
        </w:numPr>
        <w:jc w:val="both"/>
        <w:rPr>
          <w:rFonts w:ascii="Cambria" w:hAnsi="Cambria" w:cs="Verdana"/>
          <w:sz w:val="20"/>
          <w:szCs w:val="20"/>
          <w:lang w:val="es-ES" w:eastAsia="es-ES_tradnl"/>
        </w:rPr>
      </w:pPr>
      <w:r w:rsidRPr="008A084A">
        <w:rPr>
          <w:rFonts w:ascii="Cambria" w:hAnsi="Cambria" w:cs="Verdana"/>
          <w:sz w:val="20"/>
          <w:szCs w:val="20"/>
          <w:lang w:val="es-ES" w:eastAsia="es-ES_tradnl"/>
        </w:rPr>
        <w:t xml:space="preserve">En el caso </w:t>
      </w:r>
      <w:r w:rsidRPr="008A084A">
        <w:rPr>
          <w:rFonts w:ascii="Cambria" w:hAnsi="Cambria" w:cs="Verdana"/>
          <w:i/>
          <w:sz w:val="20"/>
          <w:szCs w:val="20"/>
          <w:lang w:val="es-ES" w:eastAsia="es-ES_tradnl"/>
        </w:rPr>
        <w:t xml:space="preserve">Ximenes </w:t>
      </w:r>
      <w:r w:rsidRPr="008A084A">
        <w:rPr>
          <w:rFonts w:ascii="Cambria" w:hAnsi="Cambria" w:cs="Verdana"/>
          <w:sz w:val="20"/>
          <w:szCs w:val="20"/>
          <w:lang w:val="es-ES" w:eastAsia="es-ES_tradnl"/>
        </w:rPr>
        <w:t>Lopes</w:t>
      </w:r>
      <w:r w:rsidRPr="008A084A">
        <w:rPr>
          <w:rFonts w:ascii="Cambria" w:hAnsi="Cambria" w:cs="Verdana"/>
          <w:i/>
          <w:sz w:val="20"/>
          <w:szCs w:val="20"/>
          <w:lang w:val="es-ES" w:eastAsia="es-ES_tradnl"/>
        </w:rPr>
        <w:t xml:space="preserve"> vs. Brasil, </w:t>
      </w:r>
      <w:r w:rsidRPr="008A084A">
        <w:rPr>
          <w:rFonts w:ascii="Cambria" w:hAnsi="Cambria" w:cs="Verdana"/>
          <w:sz w:val="20"/>
          <w:szCs w:val="20"/>
          <w:lang w:val="es-ES" w:eastAsia="es-ES_tradnl"/>
        </w:rPr>
        <w:t>la Corte indicó lo siguiente sobre los riesgos particulares a que se enfrentan las personas con discapacidad mental institucionalizadas:</w:t>
      </w:r>
    </w:p>
    <w:p w:rsidR="0088785C" w:rsidRPr="008A084A" w:rsidRDefault="0088785C" w:rsidP="0088785C">
      <w:pPr>
        <w:rPr>
          <w:rFonts w:ascii="Cambria" w:hAnsi="Cambria" w:cs="Verdana"/>
          <w:sz w:val="20"/>
          <w:szCs w:val="20"/>
          <w:lang w:val="es-ES" w:eastAsia="es-ES_tradnl"/>
        </w:rPr>
      </w:pPr>
    </w:p>
    <w:p w:rsidR="0088785C" w:rsidRPr="008A084A" w:rsidRDefault="0088785C" w:rsidP="0088785C">
      <w:pPr>
        <w:ind w:left="720" w:right="720"/>
        <w:jc w:val="both"/>
        <w:rPr>
          <w:rFonts w:ascii="Cambria" w:hAnsi="Cambria"/>
          <w:bCs/>
          <w:sz w:val="20"/>
          <w:szCs w:val="20"/>
          <w:lang w:val="es-ES_tradnl"/>
        </w:rPr>
      </w:pPr>
      <w:r w:rsidRPr="008A084A">
        <w:rPr>
          <w:rFonts w:ascii="Cambria" w:hAnsi="Cambria"/>
          <w:sz w:val="20"/>
          <w:szCs w:val="20"/>
          <w:lang w:val="es-ES_tradnl"/>
        </w:rPr>
        <w:t>Con relación a la salvaguarda de la vida y la integridad personal, es necesario considerar que las personas con discapacidad que viven o son sometidas a tratamientos en instituciones psiquiátricas, son particularmente vulnerables a la tortura u otras formas de trato cruel, inhumano o degradante.  L</w:t>
      </w:r>
      <w:r w:rsidRPr="008A084A">
        <w:rPr>
          <w:rFonts w:ascii="Cambria" w:hAnsi="Cambria"/>
          <w:bCs/>
          <w:sz w:val="20"/>
          <w:szCs w:val="20"/>
          <w:lang w:val="es-ES_tradnl"/>
        </w:rPr>
        <w:t>a vulnerabilidad intrínseca de las personas con discapacidades mentales es agravada por el alto grado de intimidad que caracteriza los tratamientos de las enfermedades psiquiátricas, que torna a esas personas más susceptibles a tratos abusivos cuando son sometidos a internación</w:t>
      </w:r>
      <w:r w:rsidRPr="008A084A">
        <w:rPr>
          <w:rFonts w:ascii="Cambria" w:hAnsi="Cambria"/>
          <w:sz w:val="20"/>
          <w:szCs w:val="20"/>
          <w:lang w:val="es-ES_tradnl"/>
        </w:rPr>
        <w:t>.</w:t>
      </w:r>
      <w:r w:rsidRPr="008A084A">
        <w:rPr>
          <w:rFonts w:ascii="Cambria" w:hAnsi="Cambria"/>
          <w:bCs/>
          <w:sz w:val="20"/>
          <w:szCs w:val="20"/>
          <w:lang w:val="es-ES_tradnl"/>
        </w:rPr>
        <w:t xml:space="preserve"> </w:t>
      </w:r>
    </w:p>
    <w:p w:rsidR="0088785C" w:rsidRPr="008A084A" w:rsidRDefault="0088785C" w:rsidP="0088785C">
      <w:pPr>
        <w:ind w:left="720" w:right="720"/>
        <w:jc w:val="both"/>
        <w:rPr>
          <w:rFonts w:ascii="Cambria" w:hAnsi="Cambria"/>
          <w:sz w:val="20"/>
          <w:szCs w:val="20"/>
          <w:lang w:val="es-ES_tradnl"/>
        </w:rPr>
      </w:pPr>
    </w:p>
    <w:p w:rsidR="0088785C" w:rsidRPr="008A084A" w:rsidRDefault="0088785C" w:rsidP="0088785C">
      <w:pPr>
        <w:ind w:left="720" w:right="720"/>
        <w:jc w:val="both"/>
        <w:rPr>
          <w:rFonts w:ascii="Cambria" w:hAnsi="Cambria"/>
          <w:sz w:val="20"/>
          <w:szCs w:val="20"/>
          <w:lang w:val="es-ES_tradnl"/>
        </w:rPr>
      </w:pPr>
      <w:r w:rsidRPr="008A084A">
        <w:rPr>
          <w:rFonts w:ascii="Cambria" w:hAnsi="Cambria"/>
          <w:bCs/>
          <w:sz w:val="20"/>
          <w:szCs w:val="20"/>
          <w:lang w:val="es-ES_tradnl"/>
        </w:rPr>
        <w:t xml:space="preserve">En los entornos institucionales, ya sea en hospitales públicos o privados, el personal médico encargado del cuidado de los pacientes, </w:t>
      </w:r>
      <w:r w:rsidRPr="008A084A">
        <w:rPr>
          <w:rFonts w:ascii="Cambria" w:hAnsi="Cambria"/>
          <w:sz w:val="20"/>
          <w:szCs w:val="20"/>
          <w:lang w:val="es-ES_tradnl"/>
        </w:rPr>
        <w:t>ejerce un fuerte control o dominio sobre las personas que se encuentran sujetas a su custodia.  Este desequilibrio intrínseco de poder entre una persona internada y las personas que tienen la autoridad, se multiplica muchas veces en las instituciones psiquiátricas.  La tortura y otras formas de trato cruel, inhumano o degradante, cuando infligidas a esas personas afectan su integridad psíquica, física y moral, suponen una afrenta para su dignidad y restringen gravemente su autonomía, lo cual podría tener como consecuencia agravar la enfermedad.</w:t>
      </w:r>
    </w:p>
    <w:p w:rsidR="0088785C" w:rsidRPr="008A084A" w:rsidRDefault="0088785C" w:rsidP="0088785C">
      <w:pPr>
        <w:ind w:left="720" w:right="720"/>
        <w:jc w:val="both"/>
        <w:rPr>
          <w:rFonts w:ascii="Cambria" w:hAnsi="Cambria"/>
          <w:sz w:val="20"/>
          <w:szCs w:val="20"/>
          <w:lang w:val="es-ES_tradnl"/>
        </w:rPr>
      </w:pPr>
    </w:p>
    <w:p w:rsidR="000D263E" w:rsidRPr="008A084A" w:rsidRDefault="0088785C" w:rsidP="008B27B0">
      <w:pPr>
        <w:ind w:left="720" w:right="720"/>
        <w:jc w:val="both"/>
        <w:rPr>
          <w:rFonts w:ascii="Cambria" w:hAnsi="Cambria"/>
          <w:sz w:val="20"/>
          <w:szCs w:val="20"/>
          <w:lang w:val="es-ES_tradnl"/>
        </w:rPr>
      </w:pPr>
      <w:r w:rsidRPr="008A084A">
        <w:rPr>
          <w:rFonts w:ascii="Cambria" w:hAnsi="Cambria"/>
          <w:sz w:val="20"/>
          <w:szCs w:val="20"/>
          <w:lang w:val="es-ES_tradnl"/>
        </w:rPr>
        <w:t>Todas las anteriores cir</w:t>
      </w:r>
      <w:r w:rsidR="008B27B0" w:rsidRPr="008A084A">
        <w:rPr>
          <w:rFonts w:ascii="Cambria" w:hAnsi="Cambria"/>
          <w:sz w:val="20"/>
          <w:szCs w:val="20"/>
          <w:lang w:val="es-ES_tradnl"/>
        </w:rPr>
        <w:t>c</w:t>
      </w:r>
      <w:r w:rsidRPr="008A084A">
        <w:rPr>
          <w:rFonts w:ascii="Cambria" w:hAnsi="Cambria"/>
          <w:sz w:val="20"/>
          <w:szCs w:val="20"/>
          <w:lang w:val="es-ES_tradnl"/>
        </w:rPr>
        <w:t>unstancias exigen que se ejerza una estricta vigilancia sobre dichos establecimientos. Los Estados tienen el deber de supervisar y garantizar que en toda institución psiquiátrica, pública o privada, sea preservado el derecho de los pacientes de recibir un tratamiento digno, humano y profesional, y de ser protegidos contra la explotación, el abuso y la degradación</w:t>
      </w:r>
      <w:r w:rsidR="008B27B0" w:rsidRPr="008A084A">
        <w:rPr>
          <w:rStyle w:val="FootnoteReference"/>
          <w:rFonts w:ascii="Cambria" w:hAnsi="Cambria"/>
          <w:sz w:val="20"/>
          <w:szCs w:val="20"/>
          <w:lang w:val="es-ES"/>
        </w:rPr>
        <w:footnoteReference w:id="283"/>
      </w:r>
      <w:r w:rsidRPr="008A084A">
        <w:rPr>
          <w:rFonts w:ascii="Cambria" w:hAnsi="Cambria"/>
          <w:sz w:val="20"/>
          <w:szCs w:val="20"/>
          <w:lang w:val="es-ES_tradnl"/>
        </w:rPr>
        <w:t>.</w:t>
      </w:r>
    </w:p>
    <w:p w:rsidR="000D263E" w:rsidRPr="008A084A" w:rsidRDefault="000D263E" w:rsidP="000109F5">
      <w:pPr>
        <w:rPr>
          <w:rFonts w:ascii="Cambria" w:hAnsi="Cambria" w:cs="Verdana"/>
          <w:sz w:val="20"/>
          <w:szCs w:val="20"/>
          <w:lang w:val="es-ES" w:eastAsia="es-ES_tradnl"/>
        </w:rPr>
      </w:pPr>
    </w:p>
    <w:p w:rsidR="00984F78" w:rsidRPr="008A084A" w:rsidRDefault="00984F78" w:rsidP="00C870E4">
      <w:pPr>
        <w:ind w:left="1440" w:hanging="720"/>
        <w:jc w:val="both"/>
        <w:rPr>
          <w:rFonts w:ascii="Cambria" w:hAnsi="Cambria" w:cs="Verdana"/>
          <w:b/>
          <w:sz w:val="20"/>
          <w:szCs w:val="20"/>
          <w:lang w:val="es-ES" w:eastAsia="es-ES_tradnl"/>
        </w:rPr>
      </w:pPr>
      <w:r w:rsidRPr="008A084A">
        <w:rPr>
          <w:rFonts w:ascii="Cambria" w:hAnsi="Cambria" w:cs="Verdana"/>
          <w:b/>
          <w:sz w:val="20"/>
          <w:szCs w:val="20"/>
          <w:lang w:val="es-ES" w:eastAsia="es-ES_tradnl"/>
        </w:rPr>
        <w:t>2.4</w:t>
      </w:r>
      <w:r w:rsidR="00C870E4" w:rsidRPr="008A084A">
        <w:rPr>
          <w:rFonts w:ascii="Cambria" w:hAnsi="Cambria" w:cs="Verdana"/>
          <w:b/>
          <w:sz w:val="20"/>
          <w:szCs w:val="20"/>
          <w:lang w:val="es-ES" w:eastAsia="es-ES_tradnl"/>
        </w:rPr>
        <w:tab/>
      </w:r>
      <w:r w:rsidR="00786C7E" w:rsidRPr="008A084A">
        <w:rPr>
          <w:rFonts w:ascii="Cambria" w:hAnsi="Cambria" w:cs="Verdana"/>
          <w:b/>
          <w:sz w:val="20"/>
          <w:szCs w:val="20"/>
          <w:lang w:val="es-ES" w:eastAsia="es-ES_tradnl"/>
        </w:rPr>
        <w:t>Consideraciones generales sobre el derecho a la salud y al consentimiento informado en materia de salud</w:t>
      </w:r>
    </w:p>
    <w:p w:rsidR="00775B1B" w:rsidRPr="008A084A" w:rsidRDefault="00775B1B" w:rsidP="003304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243876" w:rsidRPr="008A084A" w:rsidRDefault="00243876" w:rsidP="00243876">
      <w:pPr>
        <w:numPr>
          <w:ilvl w:val="0"/>
          <w:numId w:val="55"/>
        </w:numPr>
        <w:jc w:val="both"/>
        <w:rPr>
          <w:rFonts w:ascii="Cambria" w:hAnsi="Cambria" w:cs="Verdana"/>
          <w:sz w:val="20"/>
          <w:szCs w:val="20"/>
          <w:lang w:val="es-ES" w:eastAsia="es-ES_tradnl"/>
        </w:rPr>
      </w:pPr>
      <w:r w:rsidRPr="008A084A">
        <w:rPr>
          <w:rFonts w:ascii="Cambria" w:hAnsi="Cambria" w:cs="Verdana"/>
          <w:sz w:val="20"/>
          <w:szCs w:val="20"/>
          <w:lang w:val="es-ES" w:eastAsia="es-ES_tradnl"/>
        </w:rPr>
        <w:t>Tanto la CIDH como la Corte se han pronunciado sobre la relación existente entre los derechos a la integridad personal y el derecho a la salud</w:t>
      </w:r>
      <w:r w:rsidRPr="008A084A">
        <w:rPr>
          <w:rStyle w:val="FootnoteReference"/>
          <w:rFonts w:ascii="Cambria" w:hAnsi="Cambria" w:cs="Verdana"/>
          <w:sz w:val="20"/>
          <w:szCs w:val="20"/>
          <w:lang w:val="es-ES" w:eastAsia="es-ES_tradnl"/>
        </w:rPr>
        <w:footnoteReference w:id="284"/>
      </w:r>
      <w:r w:rsidRPr="008A084A">
        <w:rPr>
          <w:rFonts w:ascii="Cambria" w:hAnsi="Cambria" w:cs="Verdana"/>
          <w:sz w:val="20"/>
          <w:szCs w:val="20"/>
          <w:lang w:val="es-ES" w:eastAsia="es-ES_tradnl"/>
        </w:rPr>
        <w:t xml:space="preserve">. </w:t>
      </w:r>
      <w:r w:rsidRPr="008A084A">
        <w:rPr>
          <w:rFonts w:ascii="Cambria" w:hAnsi="Cambria"/>
          <w:sz w:val="20"/>
          <w:szCs w:val="20"/>
          <w:lang w:val="es-ES"/>
        </w:rPr>
        <w:t>La Corte Interamericana ha interpretado en reiteradas oportunidades que el derecho a la integridad personal se halla directa e inmediatamente vinculado con la atención a la salud humana</w:t>
      </w:r>
      <w:r w:rsidRPr="008A084A">
        <w:rPr>
          <w:rStyle w:val="FootnoteReference"/>
          <w:rFonts w:ascii="Cambria" w:hAnsi="Cambria"/>
          <w:sz w:val="20"/>
          <w:szCs w:val="20"/>
          <w:lang w:val="es-ES"/>
        </w:rPr>
        <w:footnoteReference w:id="285"/>
      </w:r>
      <w:r w:rsidRPr="008A084A">
        <w:rPr>
          <w:rFonts w:ascii="Cambria" w:hAnsi="Cambria"/>
          <w:sz w:val="20"/>
          <w:szCs w:val="20"/>
          <w:lang w:val="es-ES"/>
        </w:rPr>
        <w:t xml:space="preserve"> </w:t>
      </w:r>
      <w:r w:rsidRPr="008A084A">
        <w:rPr>
          <w:rStyle w:val="FootnoteReference"/>
          <w:rFonts w:ascii="Cambria" w:hAnsi="Cambria"/>
          <w:sz w:val="20"/>
          <w:szCs w:val="20"/>
          <w:lang w:val="es-ES"/>
        </w:rPr>
        <w:t xml:space="preserve"> </w:t>
      </w:r>
      <w:r w:rsidRPr="008A084A">
        <w:rPr>
          <w:rFonts w:ascii="Cambria" w:hAnsi="Cambria"/>
          <w:sz w:val="20"/>
          <w:szCs w:val="20"/>
          <w:lang w:val="es-ES"/>
        </w:rPr>
        <w:t>y que “la falta de atención médica adecuada” puede conllevar a su vulneración</w:t>
      </w:r>
      <w:r w:rsidRPr="008A084A">
        <w:rPr>
          <w:rStyle w:val="FootnoteReference"/>
          <w:rFonts w:ascii="Cambria" w:hAnsi="Cambria" w:cs="Verdana"/>
          <w:sz w:val="20"/>
          <w:szCs w:val="20"/>
          <w:lang w:val="es-ES"/>
        </w:rPr>
        <w:footnoteReference w:id="286"/>
      </w:r>
      <w:r w:rsidRPr="008A084A">
        <w:rPr>
          <w:rFonts w:ascii="Cambria" w:hAnsi="Cambria"/>
          <w:sz w:val="20"/>
          <w:szCs w:val="20"/>
          <w:lang w:val="es-ES"/>
        </w:rPr>
        <w:t>. La Comisión considera que esta intrínseca relación constituye una manifestación de la interdependencia e indivisibilidad existente entre los derechos civiles y políticos y los económicos, sociales y culturales. En palabras de la Corte, ambos grupos de derechos deben ser “entendidos integralmente como derechos humanos, sin jerarquía entre sí y exigibles en todos los casos ante aquellas autoridades que resulten competentes para ello</w:t>
      </w:r>
      <w:r w:rsidRPr="008A084A">
        <w:rPr>
          <w:rStyle w:val="FootnoteReference"/>
          <w:rFonts w:ascii="Cambria" w:hAnsi="Cambria"/>
          <w:sz w:val="20"/>
          <w:szCs w:val="20"/>
          <w:lang w:val="es-ES"/>
        </w:rPr>
        <w:footnoteReference w:id="287"/>
      </w:r>
      <w:r w:rsidRPr="008A084A">
        <w:rPr>
          <w:rFonts w:ascii="Cambria" w:hAnsi="Cambria"/>
          <w:sz w:val="20"/>
          <w:szCs w:val="20"/>
          <w:lang w:val="es-ES"/>
        </w:rPr>
        <w:t>.</w:t>
      </w:r>
    </w:p>
    <w:p w:rsidR="00243876" w:rsidRPr="008A084A" w:rsidRDefault="00243876" w:rsidP="00243876">
      <w:pPr>
        <w:jc w:val="both"/>
        <w:rPr>
          <w:rFonts w:ascii="Cambria" w:hAnsi="Cambria" w:cs="Verdana"/>
          <w:sz w:val="20"/>
          <w:szCs w:val="20"/>
          <w:lang w:val="es-ES" w:eastAsia="es-ES_tradnl"/>
        </w:rPr>
      </w:pPr>
    </w:p>
    <w:p w:rsidR="00C94536" w:rsidRPr="008A084A" w:rsidRDefault="00C94536" w:rsidP="00C94536">
      <w:pPr>
        <w:numPr>
          <w:ilvl w:val="0"/>
          <w:numId w:val="55"/>
        </w:numPr>
        <w:jc w:val="both"/>
        <w:rPr>
          <w:rFonts w:ascii="Cambria" w:hAnsi="Cambria"/>
          <w:sz w:val="20"/>
          <w:szCs w:val="20"/>
          <w:lang w:val="es-MX"/>
        </w:rPr>
      </w:pPr>
      <w:r w:rsidRPr="008A084A">
        <w:rPr>
          <w:rFonts w:ascii="Cambria" w:hAnsi="Cambria"/>
          <w:sz w:val="20"/>
          <w:szCs w:val="20"/>
          <w:lang w:val="es-MX"/>
        </w:rPr>
        <w:t xml:space="preserve">El </w:t>
      </w:r>
      <w:r w:rsidRPr="008A084A">
        <w:rPr>
          <w:rFonts w:ascii="Cambria" w:hAnsi="Cambria"/>
          <w:sz w:val="20"/>
          <w:szCs w:val="20"/>
          <w:lang w:val="es-CO"/>
        </w:rPr>
        <w:t>artículo</w:t>
      </w:r>
      <w:r w:rsidRPr="008A084A">
        <w:rPr>
          <w:rFonts w:ascii="Cambria" w:hAnsi="Cambria"/>
          <w:sz w:val="20"/>
          <w:szCs w:val="20"/>
          <w:lang w:val="es-MX"/>
        </w:rPr>
        <w:t xml:space="preserve"> 26 de la Convención Americana establece una obligación en cabeza de los Estados partes, de </w:t>
      </w:r>
      <w:r w:rsidRPr="008A084A">
        <w:rPr>
          <w:rFonts w:ascii="Cambria" w:hAnsi="Cambria"/>
          <w:sz w:val="20"/>
          <w:szCs w:val="20"/>
          <w:lang w:val="es-AR"/>
        </w:rPr>
        <w:t>procurar</w:t>
      </w:r>
      <w:r w:rsidRPr="008A084A">
        <w:rPr>
          <w:rFonts w:ascii="Cambria" w:hAnsi="Cambria"/>
          <w:sz w:val="20"/>
          <w:szCs w:val="20"/>
          <w:lang w:val="es-MX"/>
        </w:rPr>
        <w:t xml:space="preserve"> el desarrollo progresivo de los derechos que dicha norma contiene.  Aunque </w:t>
      </w:r>
      <w:r w:rsidRPr="008A084A">
        <w:rPr>
          <w:rFonts w:ascii="Cambria" w:hAnsi="Cambria" w:cs="Arial"/>
          <w:snapToGrid w:val="0"/>
          <w:sz w:val="20"/>
          <w:szCs w:val="20"/>
          <w:lang w:val="es-CO"/>
        </w:rPr>
        <w:t xml:space="preserve">ambos </w:t>
      </w:r>
      <w:r w:rsidRPr="008A084A">
        <w:rPr>
          <w:rFonts w:ascii="Cambria" w:hAnsi="Cambria" w:cs="Arial"/>
          <w:snapToGrid w:val="0"/>
          <w:sz w:val="20"/>
          <w:szCs w:val="20"/>
          <w:lang w:val="es-CO"/>
        </w:rPr>
        <w:lastRenderedPageBreak/>
        <w:t xml:space="preserve">órganos </w:t>
      </w:r>
      <w:r w:rsidRPr="008A084A">
        <w:rPr>
          <w:rFonts w:ascii="Cambria" w:hAnsi="Cambria"/>
          <w:sz w:val="20"/>
          <w:szCs w:val="20"/>
          <w:lang w:val="es-ES"/>
        </w:rPr>
        <w:t>del</w:t>
      </w:r>
      <w:r w:rsidRPr="008A084A">
        <w:rPr>
          <w:rFonts w:ascii="Cambria" w:hAnsi="Cambria" w:cs="Arial"/>
          <w:snapToGrid w:val="0"/>
          <w:sz w:val="20"/>
          <w:szCs w:val="20"/>
          <w:lang w:val="es-CO"/>
        </w:rPr>
        <w:t xml:space="preserve"> sistema interamericano</w:t>
      </w:r>
      <w:r w:rsidRPr="008A084A">
        <w:rPr>
          <w:rStyle w:val="FootnoteReference"/>
          <w:rFonts w:ascii="Cambria" w:hAnsi="Cambria" w:cs="Arial"/>
          <w:snapToGrid w:val="0"/>
          <w:sz w:val="20"/>
          <w:szCs w:val="20"/>
          <w:lang w:val="es-CO"/>
        </w:rPr>
        <w:footnoteReference w:id="288"/>
      </w:r>
      <w:r w:rsidRPr="008A084A">
        <w:rPr>
          <w:rFonts w:ascii="Cambria" w:hAnsi="Cambria" w:cs="Arial"/>
          <w:snapToGrid w:val="0"/>
          <w:sz w:val="20"/>
          <w:szCs w:val="20"/>
          <w:lang w:val="es-CO"/>
        </w:rPr>
        <w:t xml:space="preserve"> han reafirmado su competencia para pronunciarse sobre posibles violaciones del artículo 26 </w:t>
      </w:r>
      <w:r w:rsidRPr="008A084A">
        <w:rPr>
          <w:rFonts w:ascii="Cambria" w:eastAsia="Batang" w:hAnsi="Cambria"/>
          <w:sz w:val="20"/>
          <w:szCs w:val="20"/>
          <w:bdr w:val="none" w:sz="0" w:space="0" w:color="auto"/>
          <w:lang w:val="es-UY"/>
        </w:rPr>
        <w:t>de</w:t>
      </w:r>
      <w:r w:rsidRPr="008A084A">
        <w:rPr>
          <w:rFonts w:ascii="Cambria" w:hAnsi="Cambria" w:cs="Arial"/>
          <w:snapToGrid w:val="0"/>
          <w:sz w:val="20"/>
          <w:szCs w:val="20"/>
          <w:lang w:val="es-CO"/>
        </w:rPr>
        <w:t xml:space="preserve"> la Convención Americana en el marco del sistema de peticiones y casos individuales, </w:t>
      </w:r>
      <w:r w:rsidRPr="008A084A">
        <w:rPr>
          <w:rFonts w:ascii="Cambria" w:hAnsi="Cambria"/>
          <w:sz w:val="20"/>
          <w:szCs w:val="20"/>
          <w:lang w:val="es-MX"/>
        </w:rPr>
        <w:t xml:space="preserve">esta disposición había sido materia de poco desarrollo en la jurisprudencia del sistema interamericano relativa a casos contenciosos. </w:t>
      </w:r>
    </w:p>
    <w:p w:rsidR="00C94536" w:rsidRPr="008A084A" w:rsidRDefault="00C94536" w:rsidP="00C94536">
      <w:pPr>
        <w:ind w:firstLine="720"/>
        <w:jc w:val="both"/>
        <w:rPr>
          <w:rFonts w:ascii="Cambria" w:hAnsi="Cambria"/>
          <w:sz w:val="20"/>
          <w:szCs w:val="20"/>
          <w:lang w:val="es-MX"/>
        </w:rPr>
      </w:pPr>
    </w:p>
    <w:p w:rsidR="00C94536" w:rsidRPr="008A084A" w:rsidRDefault="00C94536" w:rsidP="00C94536">
      <w:pPr>
        <w:numPr>
          <w:ilvl w:val="0"/>
          <w:numId w:val="55"/>
        </w:numPr>
        <w:jc w:val="both"/>
        <w:rPr>
          <w:rFonts w:ascii="Cambria" w:hAnsi="Cambria" w:cs="Arial"/>
          <w:snapToGrid w:val="0"/>
          <w:sz w:val="20"/>
          <w:szCs w:val="20"/>
          <w:lang w:val="es-CO"/>
        </w:rPr>
      </w:pPr>
      <w:r w:rsidRPr="008A084A">
        <w:rPr>
          <w:rFonts w:ascii="Cambria" w:hAnsi="Cambria" w:cs="Arial"/>
          <w:snapToGrid w:val="0"/>
          <w:sz w:val="20"/>
          <w:szCs w:val="20"/>
          <w:lang w:val="es-CO"/>
        </w:rPr>
        <w:t xml:space="preserve">La </w:t>
      </w:r>
      <w:r w:rsidRPr="008A084A">
        <w:rPr>
          <w:rFonts w:ascii="Cambria" w:hAnsi="Cambria"/>
          <w:sz w:val="20"/>
          <w:szCs w:val="20"/>
          <w:lang w:val="es-ES"/>
        </w:rPr>
        <w:t>Comisión</w:t>
      </w:r>
      <w:r w:rsidRPr="008A084A">
        <w:rPr>
          <w:rFonts w:ascii="Cambria" w:hAnsi="Cambria" w:cs="Arial"/>
          <w:snapToGrid w:val="0"/>
          <w:sz w:val="20"/>
          <w:szCs w:val="20"/>
          <w:lang w:val="es-CO"/>
        </w:rPr>
        <w:t xml:space="preserve"> reconoce que la interpretación del artículo 26 de la Convención y la determinación concreta de su </w:t>
      </w:r>
      <w:r w:rsidRPr="008A084A">
        <w:rPr>
          <w:rFonts w:ascii="Cambria" w:hAnsi="Cambria"/>
          <w:sz w:val="20"/>
          <w:szCs w:val="20"/>
          <w:lang w:val="es-MX"/>
        </w:rPr>
        <w:t>alcance</w:t>
      </w:r>
      <w:r w:rsidRPr="008A084A">
        <w:rPr>
          <w:rFonts w:ascii="Cambria" w:hAnsi="Cambria" w:cs="Arial"/>
          <w:snapToGrid w:val="0"/>
          <w:sz w:val="20"/>
          <w:szCs w:val="20"/>
          <w:lang w:val="es-CO"/>
        </w:rPr>
        <w:t xml:space="preserve"> y contenido puede revestir ciertas complejidades interpretativas. En ese sentido, </w:t>
      </w:r>
      <w:r w:rsidRPr="008A084A">
        <w:rPr>
          <w:rFonts w:ascii="Cambria" w:hAnsi="Cambria"/>
          <w:sz w:val="20"/>
          <w:szCs w:val="20"/>
          <w:lang w:val="es-MX"/>
        </w:rPr>
        <w:t xml:space="preserve">la Comisión considera necesario desarrollar algunos de sus pronunciamientos anteriores al respecto, específicamente, en cuanto a la que considera una metodología adecuada de análisis que toma en cuenta el texto de la norma, pero lo interpreta de manera consistente con los desarrollos que en la materia se han efectuado a nivel internacional y que resultan de gran utilidad para desentrañar su alcance y contenido. </w:t>
      </w:r>
    </w:p>
    <w:p w:rsidR="00C94536" w:rsidRPr="008A084A" w:rsidRDefault="00C94536" w:rsidP="00C945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rsidR="00C94536" w:rsidRPr="008A084A" w:rsidRDefault="00C94536" w:rsidP="00C94536">
      <w:pPr>
        <w:numPr>
          <w:ilvl w:val="0"/>
          <w:numId w:val="55"/>
        </w:numPr>
        <w:jc w:val="both"/>
        <w:rPr>
          <w:rFonts w:ascii="Cambria" w:hAnsi="Cambria"/>
          <w:sz w:val="20"/>
          <w:szCs w:val="20"/>
          <w:lang w:val="es-MX"/>
        </w:rPr>
      </w:pPr>
      <w:r w:rsidRPr="008A084A">
        <w:rPr>
          <w:rFonts w:ascii="Cambria" w:hAnsi="Cambria"/>
          <w:sz w:val="20"/>
          <w:szCs w:val="20"/>
          <w:lang w:val="es-MX"/>
        </w:rPr>
        <w:t xml:space="preserve">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w:t>
      </w:r>
      <w:r w:rsidRPr="008A084A">
        <w:rPr>
          <w:rFonts w:ascii="Cambria" w:hAnsi="Cambria" w:cs="Arial"/>
          <w:snapToGrid w:val="0"/>
          <w:sz w:val="20"/>
          <w:szCs w:val="20"/>
          <w:lang w:val="es-CO"/>
        </w:rPr>
        <w:t>contenidas</w:t>
      </w:r>
      <w:r w:rsidRPr="008A084A">
        <w:rPr>
          <w:rFonts w:ascii="Cambria" w:hAnsi="Cambria"/>
          <w:sz w:val="20"/>
          <w:szCs w:val="20"/>
          <w:lang w:val="es-MX"/>
        </w:rPr>
        <w:t xml:space="preserve">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w:t>
      </w:r>
    </w:p>
    <w:p w:rsidR="00C94536" w:rsidRPr="008A084A" w:rsidRDefault="00C94536" w:rsidP="00C94536">
      <w:pPr>
        <w:ind w:firstLine="720"/>
        <w:jc w:val="both"/>
        <w:rPr>
          <w:rFonts w:ascii="Cambria" w:hAnsi="Cambria"/>
          <w:sz w:val="20"/>
          <w:szCs w:val="20"/>
          <w:lang w:val="es-MX"/>
        </w:rPr>
      </w:pPr>
    </w:p>
    <w:p w:rsidR="00C94536" w:rsidRPr="008A084A" w:rsidRDefault="00C94536" w:rsidP="00C94536">
      <w:pPr>
        <w:numPr>
          <w:ilvl w:val="0"/>
          <w:numId w:val="55"/>
        </w:numPr>
        <w:jc w:val="both"/>
        <w:rPr>
          <w:rFonts w:ascii="Cambria" w:hAnsi="Cambria"/>
          <w:sz w:val="20"/>
          <w:szCs w:val="20"/>
          <w:lang w:val="es-MX"/>
        </w:rPr>
      </w:pPr>
      <w:r w:rsidRPr="008A084A">
        <w:rPr>
          <w:rFonts w:ascii="Cambria" w:hAnsi="Cambria"/>
          <w:sz w:val="20"/>
          <w:szCs w:val="20"/>
          <w:lang w:val="es-MX"/>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alcance de las obligaciones exigibles al Estado bajo los artículos 1.1, 2 y 26 de la Convención, así como los contenidos del derecho de que se trate, como se efectuará más adelante. </w:t>
      </w:r>
    </w:p>
    <w:p w:rsidR="00C94536" w:rsidRPr="008A084A" w:rsidRDefault="00C94536" w:rsidP="00C9453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olor w:val="auto"/>
          <w:sz w:val="20"/>
          <w:szCs w:val="20"/>
          <w:lang w:val="es-MX"/>
        </w:rPr>
      </w:pPr>
    </w:p>
    <w:p w:rsidR="00C94536" w:rsidRPr="008A084A" w:rsidRDefault="00C94536" w:rsidP="00C94536">
      <w:pPr>
        <w:numPr>
          <w:ilvl w:val="0"/>
          <w:numId w:val="55"/>
        </w:numPr>
        <w:jc w:val="both"/>
        <w:rPr>
          <w:rFonts w:ascii="Cambria" w:hAnsi="Cambria"/>
          <w:sz w:val="20"/>
          <w:szCs w:val="20"/>
          <w:lang w:val="es-MX"/>
        </w:rPr>
      </w:pPr>
      <w:r w:rsidRPr="008A084A">
        <w:rPr>
          <w:rFonts w:ascii="Cambria" w:hAnsi="Cambria"/>
          <w:sz w:val="20"/>
          <w:szCs w:val="20"/>
          <w:lang w:val="es-MX"/>
        </w:rPr>
        <w:t>Para establecer los criterios que permitan derivar derechos específicos de la Carta de la OEA, determinar su contenido y las obligaciones de los Estados en relación con ellos, es que el artículo 29 de la CADH adquiere relevancia en tanto que establece los parámetros de las reglas generales de interpretación de dicho tratado. En ese sentido, de acuerdo con dicho artículo la interpretación de las disposiciones de la CADH no podrán limitar ni suprimir derechos reconocidos por la normativa interna de los Estados o por cualquier otro tratado del que este sea parte, ni excluir los efectos de la Declaración Americana sobre Derechos y Deberes del Hombre u otros actos internacionales de la misma naturaleza. La disposición recepta así el principio “pro persona” en el sistema interamericano y ofrece una herramienta clave para la efectiva protección de todos los derechos humanos reconocidos en las Constituciones de los Estados Parte, como en los instrumentos interamericanos o universales de derechos humanos ratificados por los mismos.</w:t>
      </w:r>
    </w:p>
    <w:p w:rsidR="00C94536" w:rsidRPr="008A084A" w:rsidRDefault="00C94536" w:rsidP="00C94536">
      <w:pPr>
        <w:pStyle w:val="Listavistosa-nfasis11"/>
        <w:ind w:left="0" w:firstLine="720"/>
        <w:jc w:val="both"/>
        <w:rPr>
          <w:rFonts w:ascii="Cambria" w:hAnsi="Cambria"/>
          <w:sz w:val="20"/>
          <w:szCs w:val="20"/>
          <w:lang w:val="es-MX"/>
        </w:rPr>
      </w:pPr>
    </w:p>
    <w:p w:rsidR="00C94536" w:rsidRPr="008A084A" w:rsidRDefault="00C94536" w:rsidP="00C94536">
      <w:pPr>
        <w:numPr>
          <w:ilvl w:val="0"/>
          <w:numId w:val="55"/>
        </w:numPr>
        <w:jc w:val="both"/>
        <w:rPr>
          <w:rFonts w:ascii="Cambria" w:hAnsi="Cambria"/>
          <w:sz w:val="20"/>
          <w:szCs w:val="20"/>
          <w:lang w:val="es-MX"/>
        </w:rPr>
      </w:pPr>
      <w:r w:rsidRPr="008A084A">
        <w:rPr>
          <w:rFonts w:ascii="Cambria" w:hAnsi="Cambria"/>
          <w:sz w:val="20"/>
          <w:szCs w:val="20"/>
          <w:lang w:val="es-MX"/>
        </w:rPr>
        <w:t xml:space="preserve">A partir de la interpretación integral, que el artículo 26 requiere a la luz de las disposiciones del artículo 29, la Comisión considera pertinente referirse a las obligaciones que se desprenden del artículo 26 de la Convención Americana y que pueden ser materia de pronunciamiento por parte de los órganos del sistema interamericano en el marco de casos contenciosos.  </w:t>
      </w:r>
      <w:r w:rsidRPr="008A084A">
        <w:rPr>
          <w:rFonts w:ascii="Cambria" w:hAnsi="Cambria"/>
          <w:sz w:val="20"/>
          <w:szCs w:val="20"/>
          <w:lang w:val="es-AR"/>
        </w:rPr>
        <w:t xml:space="preserve">Al respecto, para el caso específico, la Comisión considera que en la interpretación del artículo 26 de la Convención Americana se debe tener en cuenta el </w:t>
      </w:r>
      <w:r w:rsidRPr="008A084A">
        <w:rPr>
          <w:rFonts w:ascii="Cambria" w:eastAsia="Batang" w:hAnsi="Cambria"/>
          <w:sz w:val="20"/>
          <w:szCs w:val="20"/>
          <w:lang w:val="es-UY"/>
        </w:rPr>
        <w:t>Protocolo adicional a la Convención Americana en materia de Derechos Económicos, Sociales y Culturales o “</w:t>
      </w:r>
      <w:r w:rsidRPr="008A084A">
        <w:rPr>
          <w:rFonts w:ascii="Cambria" w:hAnsi="Cambria"/>
          <w:sz w:val="20"/>
          <w:szCs w:val="20"/>
          <w:lang w:val="es-MX"/>
        </w:rPr>
        <w:t>Protocolo</w:t>
      </w:r>
      <w:r w:rsidRPr="008A084A">
        <w:rPr>
          <w:rFonts w:ascii="Cambria" w:hAnsi="Cambria"/>
          <w:sz w:val="20"/>
          <w:szCs w:val="20"/>
          <w:lang w:val="es-AR"/>
        </w:rPr>
        <w:t xml:space="preserve"> de San Salvado</w:t>
      </w:r>
      <w:bookmarkStart w:id="33" w:name="_ftnref43"/>
      <w:r w:rsidRPr="008A084A">
        <w:rPr>
          <w:rFonts w:ascii="Cambria" w:hAnsi="Cambria"/>
          <w:sz w:val="20"/>
          <w:szCs w:val="20"/>
          <w:lang w:val="es-AR"/>
        </w:rPr>
        <w:t>r</w:t>
      </w:r>
      <w:bookmarkEnd w:id="33"/>
      <w:r w:rsidRPr="008A084A">
        <w:rPr>
          <w:rFonts w:ascii="Cambria" w:hAnsi="Cambria"/>
          <w:sz w:val="20"/>
          <w:szCs w:val="20"/>
          <w:lang w:val="es-AR"/>
        </w:rPr>
        <w:t>”</w:t>
      </w:r>
      <w:r w:rsidRPr="008A084A">
        <w:rPr>
          <w:rStyle w:val="FootnoteReference"/>
          <w:rFonts w:ascii="Cambria" w:hAnsi="Cambria"/>
          <w:sz w:val="20"/>
          <w:szCs w:val="20"/>
          <w:lang w:val="es-AR"/>
        </w:rPr>
        <w:footnoteReference w:id="289"/>
      </w:r>
      <w:r w:rsidRPr="008A084A">
        <w:rPr>
          <w:rFonts w:ascii="Cambria" w:hAnsi="Cambria"/>
          <w:sz w:val="20"/>
          <w:szCs w:val="20"/>
          <w:lang w:val="es-AR"/>
        </w:rPr>
        <w:t xml:space="preserve"> pues permite determinar el alcance de la obligación estatal en materia de desarrollo progresivo del derecho en análisis. En su artículo 1, el Protocolo establece que los Estados partes </w:t>
      </w:r>
      <w:r w:rsidRPr="008A084A">
        <w:rPr>
          <w:rFonts w:ascii="Cambria" w:hAnsi="Cambria"/>
          <w:sz w:val="20"/>
          <w:szCs w:val="20"/>
          <w:lang w:val="es-AR"/>
        </w:rPr>
        <w:lastRenderedPageBreak/>
        <w:t>se comprometen a adoptar las medidas necesarias, hasta el máximo de los recursos disponibles y tomando en cuenta su grado de desarrollo, a fin de lograr progresivamente la plena efectividad de los derechos que se reconocen en el instrumento</w:t>
      </w:r>
      <w:r w:rsidRPr="008A084A">
        <w:rPr>
          <w:rStyle w:val="FootnoteReference"/>
          <w:rFonts w:ascii="Cambria" w:hAnsi="Cambria"/>
          <w:sz w:val="20"/>
          <w:szCs w:val="20"/>
          <w:lang w:val="es-AR"/>
        </w:rPr>
        <w:footnoteReference w:id="290"/>
      </w:r>
      <w:r w:rsidRPr="008A084A">
        <w:rPr>
          <w:rFonts w:ascii="Cambria" w:hAnsi="Cambria"/>
          <w:sz w:val="20"/>
          <w:szCs w:val="20"/>
          <w:lang w:val="es-AR"/>
        </w:rPr>
        <w:t>.</w:t>
      </w:r>
    </w:p>
    <w:p w:rsidR="00C94536" w:rsidRPr="008A084A" w:rsidRDefault="00C94536" w:rsidP="00C94536">
      <w:pPr>
        <w:ind w:firstLine="720"/>
        <w:jc w:val="both"/>
        <w:rPr>
          <w:rFonts w:ascii="Cambria" w:hAnsi="Cambria"/>
          <w:sz w:val="20"/>
          <w:szCs w:val="20"/>
          <w:lang w:val="es-MX"/>
        </w:rPr>
      </w:pPr>
    </w:p>
    <w:p w:rsidR="00DE5D98" w:rsidRPr="008A084A" w:rsidRDefault="00C94536" w:rsidP="00A16BA4">
      <w:pPr>
        <w:numPr>
          <w:ilvl w:val="0"/>
          <w:numId w:val="55"/>
        </w:numPr>
        <w:jc w:val="both"/>
        <w:rPr>
          <w:rFonts w:ascii="Cambria" w:hAnsi="Cambria"/>
          <w:sz w:val="20"/>
          <w:szCs w:val="20"/>
          <w:lang w:val="es-PE"/>
        </w:rPr>
      </w:pPr>
      <w:r w:rsidRPr="008A084A">
        <w:rPr>
          <w:rFonts w:ascii="Cambria" w:hAnsi="Cambria"/>
          <w:sz w:val="20"/>
          <w:szCs w:val="20"/>
          <w:lang w:val="es-AR"/>
        </w:rPr>
        <w:t>Por su parte, el Pacto Internacional de Derechos Económicos, Sociales y Culturales</w:t>
      </w:r>
      <w:r w:rsidRPr="008A084A">
        <w:rPr>
          <w:rStyle w:val="FootnoteReference"/>
          <w:rFonts w:ascii="Cambria" w:hAnsi="Cambria"/>
          <w:sz w:val="20"/>
          <w:szCs w:val="20"/>
          <w:lang w:val="es-AR"/>
        </w:rPr>
        <w:footnoteReference w:id="291"/>
      </w:r>
      <w:r w:rsidRPr="008A084A">
        <w:rPr>
          <w:rFonts w:ascii="Cambria" w:hAnsi="Cambria"/>
          <w:sz w:val="20"/>
          <w:szCs w:val="20"/>
          <w:lang w:val="es-AR"/>
        </w:rPr>
        <w:t xml:space="preserve"> contempla en su artículo 2.1</w:t>
      </w:r>
      <w:r w:rsidRPr="008A084A">
        <w:rPr>
          <w:rStyle w:val="FootnoteReference"/>
          <w:rFonts w:ascii="Cambria" w:hAnsi="Cambria"/>
          <w:sz w:val="20"/>
          <w:szCs w:val="20"/>
          <w:lang w:val="es-AR"/>
        </w:rPr>
        <w:footnoteReference w:id="292"/>
      </w:r>
      <w:r w:rsidRPr="008A084A">
        <w:rPr>
          <w:rFonts w:ascii="Cambria" w:hAnsi="Cambria"/>
          <w:sz w:val="20"/>
          <w:szCs w:val="20"/>
          <w:lang w:val="es-AR"/>
        </w:rPr>
        <w:t xml:space="preserve"> disposiciones similares a las del artículo 26 de la Convención Americana y a las del artículo 1 del Protocolo de San Salvador.</w:t>
      </w:r>
      <w:r w:rsidRPr="008A084A">
        <w:rPr>
          <w:rFonts w:ascii="Cambria" w:hAnsi="Cambria"/>
          <w:sz w:val="20"/>
          <w:szCs w:val="20"/>
          <w:lang w:val="es-ES"/>
        </w:rPr>
        <w:t> </w:t>
      </w:r>
      <w:r w:rsidRPr="008A084A">
        <w:rPr>
          <w:rFonts w:ascii="Cambria" w:hAnsi="Cambria"/>
          <w:sz w:val="20"/>
          <w:szCs w:val="20"/>
          <w:lang w:val="es-AR"/>
        </w:rPr>
        <w:t>La Comisión ya ha acudido a los pronunciamientos del Comité de Derechos Económicos, Sociales y Culturales, en cuanto a la noción de progresividad y al alcance de las obligaciones que se desprenden de la misma</w:t>
      </w:r>
      <w:r w:rsidRPr="008A084A">
        <w:rPr>
          <w:rStyle w:val="FootnoteReference"/>
          <w:rFonts w:ascii="Cambria" w:hAnsi="Cambria"/>
          <w:sz w:val="20"/>
          <w:szCs w:val="20"/>
          <w:lang w:val="es-AR"/>
        </w:rPr>
        <w:footnoteReference w:id="293"/>
      </w:r>
      <w:r w:rsidRPr="008A084A">
        <w:rPr>
          <w:rFonts w:ascii="Cambria" w:hAnsi="Cambria"/>
          <w:sz w:val="20"/>
          <w:szCs w:val="20"/>
          <w:lang w:val="es-AR"/>
        </w:rPr>
        <w:t xml:space="preserve">. </w:t>
      </w:r>
      <w:r w:rsidR="00A16BA4" w:rsidRPr="008A084A">
        <w:rPr>
          <w:rFonts w:ascii="Cambria" w:hAnsi="Cambria"/>
          <w:sz w:val="20"/>
          <w:szCs w:val="20"/>
          <w:lang w:val="es-AR"/>
        </w:rPr>
        <w:t>A</w:t>
      </w:r>
      <w:r w:rsidR="00DE5D98" w:rsidRPr="008A084A">
        <w:rPr>
          <w:rFonts w:ascii="Cambria" w:hAnsi="Cambria"/>
          <w:sz w:val="20"/>
          <w:szCs w:val="20"/>
          <w:lang w:val="es-AR"/>
        </w:rPr>
        <w:t>sí subraya que dicho concepto no priva de todo contenido significativo a las obligaciones del Estado; por el contrario, se le debe interpretar a la luz del objetivo general del tratado con miras a la plena efectividad de los derechos involucrados</w:t>
      </w:r>
      <w:r w:rsidR="00DE5D98" w:rsidRPr="008A084A">
        <w:rPr>
          <w:rStyle w:val="FootnoteReference"/>
          <w:rFonts w:ascii="Cambria" w:hAnsi="Cambria"/>
          <w:sz w:val="20"/>
          <w:szCs w:val="20"/>
          <w:lang w:val="es-ES_tradnl"/>
        </w:rPr>
        <w:footnoteReference w:id="294"/>
      </w:r>
      <w:r w:rsidR="00DE5D98" w:rsidRPr="008A084A">
        <w:rPr>
          <w:rFonts w:ascii="Cambria" w:hAnsi="Cambria"/>
          <w:sz w:val="20"/>
          <w:szCs w:val="20"/>
          <w:lang w:val="es-ES_tradnl"/>
        </w:rPr>
        <w:t>.</w:t>
      </w:r>
    </w:p>
    <w:p w:rsidR="00C94536" w:rsidRPr="008A084A" w:rsidRDefault="00C94536" w:rsidP="00C209D9">
      <w:pPr>
        <w:jc w:val="both"/>
        <w:rPr>
          <w:rFonts w:ascii="Cambria" w:hAnsi="Cambria"/>
          <w:sz w:val="20"/>
          <w:szCs w:val="20"/>
          <w:lang w:val="es-PE"/>
        </w:rPr>
      </w:pPr>
    </w:p>
    <w:p w:rsidR="00C94536" w:rsidRPr="008A084A" w:rsidRDefault="00C94536" w:rsidP="00C94536">
      <w:pPr>
        <w:numPr>
          <w:ilvl w:val="0"/>
          <w:numId w:val="55"/>
        </w:numPr>
        <w:jc w:val="both"/>
        <w:rPr>
          <w:rFonts w:ascii="Cambria" w:hAnsi="Cambria" w:cs="Arial"/>
          <w:snapToGrid w:val="0"/>
          <w:sz w:val="20"/>
          <w:szCs w:val="20"/>
          <w:lang w:val="es-CO"/>
        </w:rPr>
      </w:pPr>
      <w:r w:rsidRPr="008A084A">
        <w:rPr>
          <w:rFonts w:ascii="Cambria" w:hAnsi="Cambria" w:cs="Arial"/>
          <w:snapToGrid w:val="0"/>
          <w:sz w:val="20"/>
          <w:szCs w:val="20"/>
          <w:lang w:val="es-CO"/>
        </w:rPr>
        <w:t xml:space="preserve">A la luz de lo anteriormente descrito puede </w:t>
      </w:r>
      <w:r w:rsidRPr="008A084A">
        <w:rPr>
          <w:rFonts w:ascii="Cambria" w:hAnsi="Cambria"/>
          <w:sz w:val="20"/>
          <w:szCs w:val="20"/>
          <w:lang w:val="es-AR"/>
        </w:rPr>
        <w:t>afirmarse</w:t>
      </w:r>
      <w:r w:rsidRPr="008A084A">
        <w:rPr>
          <w:rFonts w:ascii="Cambria" w:hAnsi="Cambria" w:cs="Arial"/>
          <w:snapToGrid w:val="0"/>
          <w:sz w:val="20"/>
          <w:szCs w:val="20"/>
          <w:lang w:val="es-CO"/>
        </w:rPr>
        <w:t xml:space="preserve"> que la Comisión entiende que el artículo 26 de la Convención Americana impone diversas obligaciones a los Estados que no se limitan a una prohibición de </w:t>
      </w:r>
      <w:r w:rsidRPr="008A084A">
        <w:rPr>
          <w:rFonts w:ascii="Cambria" w:hAnsi="Cambria"/>
          <w:sz w:val="20"/>
          <w:szCs w:val="20"/>
          <w:lang w:val="es-AR"/>
        </w:rPr>
        <w:t>regresividad</w:t>
      </w:r>
      <w:r w:rsidRPr="008A084A">
        <w:rPr>
          <w:rFonts w:ascii="Cambria" w:hAnsi="Cambria" w:cs="Arial"/>
          <w:snapToGrid w:val="0"/>
          <w:sz w:val="20"/>
          <w:szCs w:val="20"/>
          <w:lang w:val="es-CO"/>
        </w:rPr>
        <w:t xml:space="preserve">,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w:t>
      </w:r>
      <w:r w:rsidRPr="008A084A">
        <w:rPr>
          <w:rFonts w:ascii="Cambria" w:hAnsi="Cambria" w:cs="Helvetica"/>
          <w:sz w:val="20"/>
          <w:szCs w:val="20"/>
          <w:lang w:val="es-CO" w:bidi="en-US"/>
        </w:rPr>
        <w:t>lograr</w:t>
      </w:r>
      <w:r w:rsidRPr="008A084A">
        <w:rPr>
          <w:rFonts w:ascii="Cambria" w:hAnsi="Cambria"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rsidR="00C94536" w:rsidRPr="008A084A" w:rsidRDefault="00C94536" w:rsidP="00C945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rsidR="00C94536" w:rsidRPr="008A084A" w:rsidRDefault="00C94536" w:rsidP="00C94536">
      <w:pPr>
        <w:numPr>
          <w:ilvl w:val="0"/>
          <w:numId w:val="55"/>
        </w:numPr>
        <w:jc w:val="both"/>
        <w:rPr>
          <w:rFonts w:ascii="Cambria" w:hAnsi="Cambria" w:cs="Arial"/>
          <w:snapToGrid w:val="0"/>
          <w:sz w:val="20"/>
          <w:szCs w:val="20"/>
          <w:lang w:val="es-CO"/>
        </w:rPr>
      </w:pPr>
      <w:r w:rsidRPr="008A084A">
        <w:rPr>
          <w:rFonts w:ascii="Cambria" w:hAnsi="Cambria" w:cs="Arial"/>
          <w:snapToGrid w:val="0"/>
          <w:sz w:val="20"/>
          <w:szCs w:val="20"/>
          <w:lang w:val="es-CO"/>
        </w:rPr>
        <w:t>En relación con los componentes exigibles e inmediatos de la obligación de dar pasos o adoptar medidas, el Comité DESC ha indicado, por ejemplo, que la</w:t>
      </w:r>
      <w:r w:rsidRPr="008A084A">
        <w:rPr>
          <w:rFonts w:ascii="Cambria" w:hAnsi="Cambria"/>
          <w:sz w:val="20"/>
          <w:szCs w:val="20"/>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8A084A">
        <w:rPr>
          <w:rFonts w:ascii="Cambria" w:hAnsi="Cambria" w:cs="Arial"/>
          <w:sz w:val="20"/>
          <w:szCs w:val="20"/>
          <w:shd w:val="clear" w:color="auto" w:fill="FFFFFF"/>
          <w:lang w:val="es-PE"/>
        </w:rPr>
        <w:t>deliberadas, concretas y orientadas lo más claramente posible a su cumplimiento. El Estado además tiene obligaciones básicas que deben satisfacer niveles esenciales de tales derechos, las cuales no están sujetas al desarrollo progresivo sino que son de carácter inmediato</w:t>
      </w:r>
      <w:r w:rsidRPr="008A084A">
        <w:rPr>
          <w:rStyle w:val="FootnoteReference"/>
          <w:rFonts w:ascii="Cambria" w:hAnsi="Cambria" w:cs="Arial"/>
          <w:snapToGrid w:val="0"/>
          <w:sz w:val="20"/>
          <w:szCs w:val="20"/>
          <w:lang w:val="es-CO"/>
        </w:rPr>
        <w:footnoteReference w:id="295"/>
      </w:r>
      <w:r w:rsidRPr="008A084A">
        <w:rPr>
          <w:rFonts w:ascii="Cambria" w:hAnsi="Cambria" w:cs="Arial"/>
          <w:sz w:val="20"/>
          <w:szCs w:val="20"/>
          <w:shd w:val="clear" w:color="auto" w:fill="FFFFFF"/>
          <w:lang w:val="es-PE"/>
        </w:rPr>
        <w:t>.</w:t>
      </w:r>
    </w:p>
    <w:p w:rsidR="00C94536" w:rsidRPr="008A084A" w:rsidRDefault="00C94536" w:rsidP="00C94536">
      <w:pPr>
        <w:jc w:val="both"/>
        <w:rPr>
          <w:rFonts w:ascii="Cambria" w:hAnsi="Cambria" w:cs="Arial"/>
          <w:snapToGrid w:val="0"/>
          <w:sz w:val="20"/>
          <w:szCs w:val="20"/>
          <w:lang w:val="es-CO"/>
        </w:rPr>
      </w:pPr>
    </w:p>
    <w:p w:rsidR="00C94536" w:rsidRPr="008A084A" w:rsidRDefault="00C94536" w:rsidP="00C94536">
      <w:pPr>
        <w:numPr>
          <w:ilvl w:val="0"/>
          <w:numId w:val="55"/>
        </w:numPr>
        <w:jc w:val="both"/>
        <w:rPr>
          <w:rFonts w:ascii="Cambria" w:hAnsi="Cambria"/>
          <w:sz w:val="20"/>
          <w:szCs w:val="20"/>
          <w:lang w:val="es-ES"/>
        </w:rPr>
      </w:pPr>
      <w:r w:rsidRPr="008A084A">
        <w:rPr>
          <w:rFonts w:ascii="Cambria" w:hAnsi="Cambria"/>
          <w:sz w:val="20"/>
          <w:szCs w:val="20"/>
          <w:lang w:val="es-CO"/>
        </w:rPr>
        <w:t xml:space="preserve">Puntualmente en cuanto al derecho a la salud, respecto del primer nivel de análisis, </w:t>
      </w:r>
      <w:r w:rsidRPr="008A084A">
        <w:rPr>
          <w:rFonts w:ascii="Cambria" w:hAnsi="Cambria"/>
          <w:sz w:val="20"/>
          <w:szCs w:val="20"/>
          <w:lang w:val="es-ES"/>
        </w:rPr>
        <w:t xml:space="preserve">el artículo 45 de la Carta de la OEA lo consagra. El artículo 34 i) del mismo instrumento también subraya el rol </w:t>
      </w:r>
      <w:r w:rsidRPr="008A084A">
        <w:rPr>
          <w:rFonts w:ascii="Cambria" w:hAnsi="Cambria" w:cs="Arial"/>
          <w:snapToGrid w:val="0"/>
          <w:sz w:val="20"/>
          <w:szCs w:val="20"/>
          <w:lang w:val="es-CO"/>
        </w:rPr>
        <w:t>del</w:t>
      </w:r>
      <w:r w:rsidRPr="008A084A">
        <w:rPr>
          <w:rFonts w:ascii="Cambria" w:hAnsi="Cambria"/>
          <w:sz w:val="20"/>
          <w:szCs w:val="20"/>
          <w:lang w:val="es-ES"/>
        </w:rPr>
        <w:t xml:space="preserve"> Estado en la “defensa del potencial humano mediante la extensión y aplicación de los modernos conocimientos de la ciencia médica”, subrayando con ello la importancia de la garantía de la salud para el desarrollo integral de la persona.  Asimismo, el artículo XI de la Declaración Americana establece que “toda persona tiene derecho a que su salud sea preservada por medidas sanitarias y sociales, relativas a la alimentación, el vestido, la vivienda y la asistencia médica, correspondientes al nivel que permitan los recursos públicos y los de la comunidad”. Por su parte, el artículo 10 del Protocolo de San Salvador, señala </w:t>
      </w:r>
      <w:r w:rsidRPr="008A084A">
        <w:rPr>
          <w:rFonts w:ascii="Cambria" w:hAnsi="Cambria"/>
          <w:sz w:val="20"/>
          <w:szCs w:val="20"/>
          <w:lang w:val="es-ES"/>
        </w:rPr>
        <w:lastRenderedPageBreak/>
        <w:t xml:space="preserve">que </w:t>
      </w:r>
      <w:r w:rsidRPr="008A084A">
        <w:rPr>
          <w:rFonts w:ascii="Cambria" w:hAnsi="Cambria"/>
          <w:sz w:val="20"/>
          <w:szCs w:val="20"/>
          <w:lang w:val="es-PE"/>
        </w:rPr>
        <w:t>toda persona tiene derecho a la salud, entendida como el disfrute del más alto nivel de bienestar físico, mental y social, e indica que la salud es un bien público.</w:t>
      </w:r>
    </w:p>
    <w:p w:rsidR="00C94536" w:rsidRPr="008A084A" w:rsidRDefault="00C94536" w:rsidP="00C94536">
      <w:pPr>
        <w:ind w:firstLine="720"/>
        <w:jc w:val="both"/>
        <w:rPr>
          <w:rFonts w:ascii="Cambria" w:eastAsia="Batang" w:hAnsi="Cambria"/>
          <w:sz w:val="20"/>
          <w:szCs w:val="20"/>
          <w:lang w:val="es-UY"/>
        </w:rPr>
      </w:pPr>
    </w:p>
    <w:p w:rsidR="00C94536" w:rsidRPr="008A084A" w:rsidRDefault="00C94536" w:rsidP="00C94536">
      <w:pPr>
        <w:numPr>
          <w:ilvl w:val="0"/>
          <w:numId w:val="55"/>
        </w:numPr>
        <w:jc w:val="both"/>
        <w:rPr>
          <w:rFonts w:ascii="Cambria" w:hAnsi="Cambria"/>
          <w:b/>
          <w:sz w:val="20"/>
          <w:szCs w:val="20"/>
          <w:lang w:val="es-ES"/>
        </w:rPr>
      </w:pPr>
      <w:r w:rsidRPr="008A084A">
        <w:rPr>
          <w:rFonts w:ascii="Cambria" w:hAnsi="Cambria"/>
          <w:sz w:val="20"/>
          <w:szCs w:val="20"/>
          <w:lang w:val="es-AR"/>
        </w:rPr>
        <w:t>La Corte Interamericana ha indicado que “</w:t>
      </w:r>
      <w:r w:rsidRPr="008A084A">
        <w:rPr>
          <w:rFonts w:ascii="Cambria" w:hAnsi="Cambria"/>
          <w:sz w:val="20"/>
          <w:szCs w:val="20"/>
          <w:lang w:val="es-ES"/>
        </w:rPr>
        <w:t xml:space="preserve">la Declaración [Americana] contiene y define aquellos derechos humanos esenciales a los que la Carta se refiere, de manera que no se puede interpretar y aplicar la Carta de la </w:t>
      </w:r>
      <w:r w:rsidRPr="008A084A">
        <w:rPr>
          <w:rFonts w:ascii="Cambria" w:hAnsi="Cambria"/>
          <w:sz w:val="20"/>
          <w:szCs w:val="20"/>
          <w:lang w:val="es-PE"/>
        </w:rPr>
        <w:t>Organización</w:t>
      </w:r>
      <w:r w:rsidRPr="008A084A">
        <w:rPr>
          <w:rFonts w:ascii="Cambria" w:hAnsi="Cambria"/>
          <w:sz w:val="20"/>
          <w:szCs w:val="20"/>
          <w:lang w:val="es-ES"/>
        </w:rPr>
        <w:t xml:space="preserve"> en materia de derechos humanos, sin integrar las normas pertinentes de ella con las </w:t>
      </w:r>
      <w:r w:rsidRPr="008A084A">
        <w:rPr>
          <w:rFonts w:ascii="Cambria" w:hAnsi="Cambria"/>
          <w:sz w:val="20"/>
          <w:szCs w:val="20"/>
          <w:lang w:val="es-CO"/>
        </w:rPr>
        <w:t>correspondientes</w:t>
      </w:r>
      <w:r w:rsidRPr="008A084A">
        <w:rPr>
          <w:rFonts w:ascii="Cambria" w:hAnsi="Cambria"/>
          <w:sz w:val="20"/>
          <w:szCs w:val="20"/>
          <w:lang w:val="es-ES"/>
        </w:rPr>
        <w:t xml:space="preserve"> disposiciones de la Declaración, como resulta de la práctica seguida por los órganos de la OEA”. Así, la Declaración Americana representa uno de los instrumentos relevantes para la identificación de los derechos económicos, sociales y culturales a los que alude el artículo 26 de la Convención CADH. Como ya se ha indicado, recurrir a otros instrumentos internacionales puede ser necesario para señalar la derivación de un derecho a partir de una medida u objetivo de política pública incluidas en una norma de carácter económico, social, cultural, educativo o científico de la Carta de la OEA</w:t>
      </w:r>
      <w:r w:rsidRPr="008A084A">
        <w:rPr>
          <w:rStyle w:val="FootnoteReference"/>
          <w:rFonts w:ascii="Cambria" w:hAnsi="Cambria"/>
          <w:sz w:val="20"/>
          <w:szCs w:val="20"/>
          <w:lang w:val="es-ES"/>
        </w:rPr>
        <w:footnoteReference w:id="296"/>
      </w:r>
      <w:r w:rsidRPr="008A084A">
        <w:rPr>
          <w:rFonts w:ascii="Cambria" w:hAnsi="Cambria"/>
          <w:sz w:val="20"/>
          <w:szCs w:val="20"/>
          <w:lang w:val="es-ES"/>
        </w:rPr>
        <w:t xml:space="preserve">. </w:t>
      </w:r>
    </w:p>
    <w:p w:rsidR="00C94536" w:rsidRPr="008A084A" w:rsidRDefault="00C94536" w:rsidP="00C94536">
      <w:pPr>
        <w:jc w:val="both"/>
        <w:rPr>
          <w:rFonts w:ascii="Cambria" w:eastAsia="Batang" w:hAnsi="Cambria"/>
          <w:sz w:val="20"/>
          <w:szCs w:val="20"/>
          <w:lang w:val="es-ES"/>
        </w:rPr>
      </w:pPr>
    </w:p>
    <w:p w:rsidR="006E5CBF" w:rsidRPr="008A084A" w:rsidRDefault="00C94536" w:rsidP="00A16BA4">
      <w:pPr>
        <w:numPr>
          <w:ilvl w:val="0"/>
          <w:numId w:val="55"/>
        </w:numPr>
        <w:jc w:val="both"/>
        <w:rPr>
          <w:rFonts w:ascii="Cambria" w:eastAsia="Batang" w:hAnsi="Cambria"/>
          <w:sz w:val="20"/>
          <w:szCs w:val="20"/>
          <w:lang w:val="es-UY"/>
        </w:rPr>
      </w:pPr>
      <w:r w:rsidRPr="008A084A">
        <w:rPr>
          <w:rFonts w:ascii="Cambria" w:eastAsia="Batang" w:hAnsi="Cambria"/>
          <w:sz w:val="20"/>
          <w:szCs w:val="20"/>
          <w:lang w:val="es-UY"/>
        </w:rPr>
        <w:t xml:space="preserve">De lo anterior, la Comisión considera claro que el derecho a la salud constituye una de las normas </w:t>
      </w:r>
      <w:r w:rsidRPr="008A084A">
        <w:rPr>
          <w:rFonts w:ascii="Cambria" w:hAnsi="Cambria"/>
          <w:sz w:val="20"/>
          <w:szCs w:val="20"/>
          <w:lang w:val="es-AR"/>
        </w:rPr>
        <w:t>económicas</w:t>
      </w:r>
      <w:r w:rsidRPr="008A084A">
        <w:rPr>
          <w:rFonts w:ascii="Cambria" w:eastAsia="Batang" w:hAnsi="Cambria"/>
          <w:sz w:val="20"/>
          <w:szCs w:val="20"/>
          <w:lang w:val="es-UY"/>
        </w:rPr>
        <w:t xml:space="preserve"> y sociales mencionadas en el artículo 26 de la Convención y, en ese sentido, los Estados partes se encuentran en la obligación de procurar el desarrollo progresivo del mismo, así como de respetar, garantizar y adoptar las medidas necesarias para hacer efectivo tal derecho.</w:t>
      </w:r>
    </w:p>
    <w:p w:rsidR="006E5CBF" w:rsidRPr="008A084A" w:rsidRDefault="006E5CBF" w:rsidP="00A16BA4">
      <w:pPr>
        <w:ind w:left="720"/>
        <w:jc w:val="both"/>
        <w:rPr>
          <w:rFonts w:ascii="Cambria" w:eastAsia="Batang" w:hAnsi="Cambria"/>
          <w:sz w:val="20"/>
          <w:szCs w:val="20"/>
          <w:lang w:val="es-UY"/>
        </w:rPr>
      </w:pPr>
    </w:p>
    <w:p w:rsidR="00E96766" w:rsidRPr="008A084A" w:rsidRDefault="00C94536" w:rsidP="00A16BA4">
      <w:pPr>
        <w:numPr>
          <w:ilvl w:val="0"/>
          <w:numId w:val="55"/>
        </w:numPr>
        <w:jc w:val="both"/>
        <w:rPr>
          <w:rFonts w:ascii="Cambria" w:hAnsi="Cambria"/>
          <w:sz w:val="20"/>
          <w:szCs w:val="20"/>
          <w:lang w:val="es-ES"/>
        </w:rPr>
      </w:pPr>
      <w:r w:rsidRPr="008A084A">
        <w:rPr>
          <w:rFonts w:ascii="Cambria" w:eastAsia="Batang" w:hAnsi="Cambria"/>
          <w:sz w:val="20"/>
          <w:szCs w:val="20"/>
          <w:lang w:val="es-UY"/>
        </w:rPr>
        <w:t xml:space="preserve">Sobre los contenidos del derecho a la salud, </w:t>
      </w:r>
      <w:r w:rsidRPr="008A084A">
        <w:rPr>
          <w:rFonts w:ascii="Cambria" w:hAnsi="Cambria"/>
          <w:sz w:val="20"/>
          <w:szCs w:val="20"/>
          <w:lang w:val="es-ES"/>
        </w:rPr>
        <w:t xml:space="preserve">el Comité de Derechos Económicos, Sociales y Culturales ha señalado que </w:t>
      </w:r>
      <w:r w:rsidRPr="008A084A">
        <w:rPr>
          <w:rFonts w:ascii="Cambria" w:hAnsi="Cambria"/>
          <w:sz w:val="20"/>
          <w:szCs w:val="20"/>
          <w:bdr w:val="none" w:sz="0" w:space="0" w:color="auto"/>
          <w:lang w:val="es-ES"/>
        </w:rPr>
        <w:t>todos</w:t>
      </w:r>
      <w:r w:rsidRPr="008A084A">
        <w:rPr>
          <w:rFonts w:ascii="Cambria" w:hAnsi="Cambria"/>
          <w:sz w:val="20"/>
          <w:szCs w:val="20"/>
          <w:lang w:val="es-ES"/>
        </w:rPr>
        <w:t xml:space="preserve"> los servicios, bienes e instalaciones de salud deben cumplir con requisitos de disponibilidad, accesibilidad, aceptabilidad y calidad</w:t>
      </w:r>
      <w:r w:rsidR="005D64E4" w:rsidRPr="008A084A">
        <w:rPr>
          <w:rStyle w:val="FootnoteReference"/>
          <w:rFonts w:ascii="Cambria" w:hAnsi="Cambria"/>
          <w:sz w:val="20"/>
          <w:szCs w:val="20"/>
          <w:lang w:val="es-ES"/>
        </w:rPr>
        <w:footnoteReference w:id="297"/>
      </w:r>
      <w:r w:rsidR="005D64E4" w:rsidRPr="008A084A">
        <w:rPr>
          <w:rFonts w:ascii="Cambria" w:hAnsi="Cambria"/>
          <w:sz w:val="20"/>
          <w:szCs w:val="20"/>
          <w:lang w:val="es-ES"/>
        </w:rPr>
        <w:t xml:space="preserve">. </w:t>
      </w:r>
      <w:r w:rsidR="00E96766" w:rsidRPr="008A084A">
        <w:rPr>
          <w:rFonts w:ascii="Cambria" w:hAnsi="Cambria"/>
          <w:sz w:val="20"/>
          <w:szCs w:val="20"/>
          <w:lang w:val="es-ES"/>
        </w:rPr>
        <w:t>Tanto la Comisión como la Corte han tomado en cuenta estos conceptos y los han incorporado al análisis de diversos casos</w:t>
      </w:r>
      <w:r w:rsidR="00E96766" w:rsidRPr="008A084A">
        <w:rPr>
          <w:rStyle w:val="FootnoteReference"/>
          <w:rFonts w:ascii="Cambria" w:hAnsi="Cambria"/>
          <w:sz w:val="20"/>
          <w:szCs w:val="20"/>
          <w:lang w:val="es-ES"/>
        </w:rPr>
        <w:footnoteReference w:id="298"/>
      </w:r>
      <w:r w:rsidR="00E96766" w:rsidRPr="008A084A">
        <w:rPr>
          <w:rFonts w:ascii="Cambria" w:hAnsi="Cambria"/>
          <w:sz w:val="20"/>
          <w:szCs w:val="20"/>
          <w:lang w:val="es-ES"/>
        </w:rPr>
        <w:t>. En ese marco, y teniendo en cuenta los hechos antes descritos, para la CIDH los Estados deben asegurar la disponibilidad de establecimientos y servicios adecuados de salud mental, los cuales deben encontrarse integrados a los servicios generales de salud, limitando el enfoque de atención psiquiátrica segregada, centralizada y de larga duración</w:t>
      </w:r>
      <w:r w:rsidR="00E96766" w:rsidRPr="008A084A">
        <w:rPr>
          <w:rStyle w:val="FootnoteReference"/>
          <w:rFonts w:ascii="Cambria" w:hAnsi="Cambria"/>
          <w:sz w:val="20"/>
          <w:szCs w:val="20"/>
          <w:lang w:val="es-ES"/>
        </w:rPr>
        <w:footnoteReference w:id="299"/>
      </w:r>
      <w:r w:rsidR="00E96766" w:rsidRPr="008A084A">
        <w:rPr>
          <w:rFonts w:ascii="Cambria" w:hAnsi="Cambria"/>
          <w:sz w:val="20"/>
          <w:szCs w:val="20"/>
          <w:lang w:val="es-ES"/>
        </w:rPr>
        <w:t>.</w:t>
      </w:r>
    </w:p>
    <w:p w:rsidR="00E96766" w:rsidRPr="008A084A" w:rsidRDefault="00E96766" w:rsidP="00A16BA4">
      <w:pPr>
        <w:ind w:left="720"/>
        <w:jc w:val="both"/>
        <w:rPr>
          <w:rFonts w:ascii="Cambria" w:hAnsi="Cambria"/>
          <w:sz w:val="20"/>
          <w:szCs w:val="20"/>
          <w:lang w:val="es-ES"/>
        </w:rPr>
      </w:pPr>
    </w:p>
    <w:p w:rsidR="00C94536" w:rsidRPr="008A084A" w:rsidRDefault="00E96766" w:rsidP="00A16BA4">
      <w:pPr>
        <w:numPr>
          <w:ilvl w:val="0"/>
          <w:numId w:val="55"/>
        </w:numPr>
        <w:jc w:val="both"/>
        <w:rPr>
          <w:rFonts w:ascii="Cambria" w:hAnsi="Cambria"/>
          <w:sz w:val="20"/>
          <w:szCs w:val="20"/>
          <w:lang w:val="es-ES"/>
        </w:rPr>
      </w:pPr>
      <w:r w:rsidRPr="008A084A">
        <w:rPr>
          <w:rFonts w:ascii="Cambria" w:hAnsi="Cambria"/>
          <w:sz w:val="20"/>
          <w:szCs w:val="20"/>
          <w:lang w:val="es-ES"/>
        </w:rPr>
        <w:t xml:space="preserve">Al respecto, el Relator de Naciones Unidas </w:t>
      </w:r>
      <w:r w:rsidRPr="008A084A">
        <w:rPr>
          <w:rFonts w:ascii="Cambria" w:eastAsia="Times New Roman" w:hAnsi="Cambria" w:cs="Cambria"/>
          <w:sz w:val="20"/>
          <w:szCs w:val="20"/>
          <w:u w:color="000000"/>
          <w:lang w:val="es-ES" w:eastAsia="es-ES"/>
        </w:rPr>
        <w:t xml:space="preserve">sobre el derecho de toda persona al disfrute del más alto nivel posible de salud física y mental, </w:t>
      </w:r>
      <w:r w:rsidRPr="008A084A">
        <w:rPr>
          <w:rFonts w:ascii="Cambria" w:hAnsi="Cambria"/>
          <w:sz w:val="20"/>
          <w:szCs w:val="20"/>
          <w:lang w:val="es-ES"/>
        </w:rPr>
        <w:t>Dainius Pūras, recientemente ha indicado respecto de los servicios de salud mental que: “</w:t>
      </w:r>
      <w:r w:rsidRPr="008A084A">
        <w:rPr>
          <w:rFonts w:ascii="Cambria" w:hAnsi="Cambria"/>
          <w:sz w:val="20"/>
          <w:szCs w:val="20"/>
          <w:lang w:val="es-PE"/>
        </w:rPr>
        <w:t>La dependencia excesiva de las intervenciones farmacológicas, los enfoques coercitivos y los tratamientos en régimen de internamiento es incompatible con el principio de no hacer daño, así como con los derechos humanos. Se debería prestar asistencia sistemáticamente para la creación de capacidad en materia de derechos humanos entre los profesionales de la salud mental”</w:t>
      </w:r>
      <w:r w:rsidRPr="008A084A">
        <w:rPr>
          <w:rStyle w:val="FootnoteReference"/>
          <w:rFonts w:ascii="Cambria" w:hAnsi="Cambria"/>
          <w:sz w:val="20"/>
          <w:szCs w:val="20"/>
          <w:lang w:val="es-ES"/>
        </w:rPr>
        <w:footnoteReference w:id="300"/>
      </w:r>
      <w:r w:rsidRPr="008A084A">
        <w:rPr>
          <w:rFonts w:ascii="Cambria" w:hAnsi="Cambria"/>
          <w:sz w:val="20"/>
          <w:szCs w:val="20"/>
          <w:lang w:val="es-PE"/>
        </w:rPr>
        <w:t>.</w:t>
      </w:r>
      <w:r w:rsidRPr="008A084A">
        <w:rPr>
          <w:rFonts w:ascii="Cambria" w:hAnsi="Cambria"/>
          <w:sz w:val="20"/>
          <w:szCs w:val="20"/>
          <w:lang w:val="es-ES"/>
        </w:rPr>
        <w:t xml:space="preserve"> En ese sentido, para la CIDH los Estados a través de sus sistemas de salud deben empoderar a</w:t>
      </w:r>
      <w:r w:rsidRPr="008A084A">
        <w:rPr>
          <w:rFonts w:ascii="Cambria" w:hAnsi="Cambria"/>
          <w:sz w:val="20"/>
          <w:szCs w:val="20"/>
          <w:lang w:val="es-PE"/>
        </w:rPr>
        <w:t xml:space="preserve"> las personas con necesidades particulares de salud mental, en el que se priorice la defensa de sus propios intereses, se busque un mayor control e independencia sobre su salud, se promueva su inclusión en la comunidad, y ofrezca tratamientos basados en sus derechos y apoyo psicosocial que los protejan de prácticas médicas nocivas que contribuyen a su exclusión o maltrato.</w:t>
      </w:r>
    </w:p>
    <w:p w:rsidR="00243876" w:rsidRPr="008A084A" w:rsidRDefault="00243876" w:rsidP="00A16BA4">
      <w:pPr>
        <w:ind w:right="720"/>
        <w:jc w:val="both"/>
        <w:rPr>
          <w:rFonts w:ascii="Cambria" w:hAnsi="Cambria"/>
          <w:sz w:val="20"/>
          <w:szCs w:val="20"/>
          <w:lang w:val="es-ES"/>
        </w:rPr>
      </w:pPr>
    </w:p>
    <w:p w:rsidR="00FD7742" w:rsidRPr="008A084A" w:rsidRDefault="00C209D9" w:rsidP="00FD7742">
      <w:pPr>
        <w:numPr>
          <w:ilvl w:val="0"/>
          <w:numId w:val="55"/>
        </w:numPr>
        <w:jc w:val="both"/>
        <w:rPr>
          <w:rFonts w:ascii="Cambria" w:eastAsia="Times New Roman" w:hAnsi="Cambria" w:cs="Cambria"/>
          <w:b/>
          <w:sz w:val="20"/>
          <w:szCs w:val="20"/>
          <w:u w:color="000000"/>
          <w:lang w:val="es-MX" w:eastAsia="es-ES"/>
        </w:rPr>
      </w:pPr>
      <w:r w:rsidRPr="008A084A">
        <w:rPr>
          <w:rFonts w:ascii="Cambria" w:eastAsia="Times New Roman" w:hAnsi="Cambria" w:cs="Cambria"/>
          <w:sz w:val="20"/>
          <w:szCs w:val="20"/>
          <w:u w:color="000000"/>
          <w:lang w:val="es-US" w:eastAsia="es-ES"/>
        </w:rPr>
        <w:t>Asimismo, l</w:t>
      </w:r>
      <w:r w:rsidR="00FD7742" w:rsidRPr="008A084A">
        <w:rPr>
          <w:rFonts w:ascii="Cambria" w:eastAsia="Times New Roman" w:hAnsi="Cambria" w:cs="Cambria"/>
          <w:sz w:val="20"/>
          <w:szCs w:val="20"/>
          <w:u w:color="000000"/>
          <w:lang w:val="es-US" w:eastAsia="es-ES"/>
        </w:rPr>
        <w:t xml:space="preserve">a CIDH </w:t>
      </w:r>
      <w:r w:rsidR="00FD7742" w:rsidRPr="008A084A">
        <w:rPr>
          <w:rFonts w:ascii="Cambria" w:eastAsia="Times New Roman" w:hAnsi="Cambria" w:cs="Cambria"/>
          <w:sz w:val="20"/>
          <w:szCs w:val="20"/>
          <w:u w:color="000000"/>
          <w:lang w:val="es-ES" w:eastAsia="es-ES"/>
        </w:rPr>
        <w:t xml:space="preserve">ha reconocido que </w:t>
      </w:r>
      <w:r w:rsidR="00FD7742" w:rsidRPr="008A084A">
        <w:rPr>
          <w:rFonts w:ascii="Cambria" w:eastAsia="Times New Roman" w:hAnsi="Cambria" w:cs="Cambria"/>
          <w:sz w:val="20"/>
          <w:szCs w:val="20"/>
          <w:u w:color="000000"/>
          <w:lang w:val="es-US" w:eastAsia="es-ES"/>
        </w:rPr>
        <w:t>el derecho de acceso a la información – que a su vez se encuentra comprendido bajo el artículo 13 de la Convención Americana</w:t>
      </w:r>
      <w:r w:rsidR="00FD7742" w:rsidRPr="008A084A">
        <w:rPr>
          <w:rStyle w:val="FootnoteReference"/>
          <w:rFonts w:ascii="Cambria" w:hAnsi="Cambria"/>
          <w:sz w:val="20"/>
          <w:szCs w:val="20"/>
        </w:rPr>
        <w:footnoteReference w:id="301"/>
      </w:r>
      <w:r w:rsidR="00FD7742" w:rsidRPr="008A084A">
        <w:rPr>
          <w:rFonts w:ascii="Cambria" w:eastAsia="Times New Roman" w:hAnsi="Cambria" w:cs="Cambria"/>
          <w:sz w:val="20"/>
          <w:szCs w:val="20"/>
          <w:u w:color="000000"/>
          <w:lang w:val="es-US" w:eastAsia="es-ES"/>
        </w:rPr>
        <w:t xml:space="preserve"> – es </w:t>
      </w:r>
      <w:r w:rsidR="00FD7742" w:rsidRPr="008A084A">
        <w:rPr>
          <w:rFonts w:ascii="Cambria" w:eastAsia="Times New Roman" w:hAnsi="Cambria" w:cs="Cambria"/>
          <w:sz w:val="20"/>
          <w:szCs w:val="20"/>
          <w:u w:color="000000"/>
          <w:lang w:val="es-ES" w:eastAsia="es-ES"/>
        </w:rPr>
        <w:t xml:space="preserve">un elemento </w:t>
      </w:r>
      <w:r w:rsidR="00FD7742" w:rsidRPr="008A084A">
        <w:rPr>
          <w:rFonts w:ascii="Cambria" w:eastAsia="Times New Roman" w:hAnsi="Cambria" w:cs="Cambria"/>
          <w:sz w:val="20"/>
          <w:szCs w:val="20"/>
          <w:u w:color="000000"/>
          <w:lang w:val="es-US" w:eastAsia="es-ES"/>
        </w:rPr>
        <w:t xml:space="preserve">indispensable </w:t>
      </w:r>
      <w:r w:rsidR="00FD7742" w:rsidRPr="008A084A">
        <w:rPr>
          <w:rFonts w:ascii="Cambria" w:eastAsia="Times New Roman" w:hAnsi="Cambria" w:cs="Cambria"/>
          <w:sz w:val="20"/>
          <w:szCs w:val="20"/>
          <w:u w:color="000000"/>
          <w:lang w:val="es-US" w:eastAsia="es-ES"/>
        </w:rPr>
        <w:lastRenderedPageBreak/>
        <w:t xml:space="preserve">para que las personas puedan estar </w:t>
      </w:r>
      <w:r w:rsidR="00FD7742" w:rsidRPr="008A084A">
        <w:rPr>
          <w:rFonts w:ascii="Cambria" w:eastAsia="Times New Roman" w:hAnsi="Cambria" w:cs="Cambria"/>
          <w:sz w:val="20"/>
          <w:szCs w:val="20"/>
          <w:u w:color="000000"/>
          <w:lang w:val="es-ES" w:eastAsia="es-ES"/>
        </w:rPr>
        <w:t>en</w:t>
      </w:r>
      <w:r w:rsidR="00FD7742" w:rsidRPr="008A084A">
        <w:rPr>
          <w:rFonts w:ascii="Cambria" w:eastAsia="Times New Roman" w:hAnsi="Cambria" w:cs="Cambria"/>
          <w:sz w:val="20"/>
          <w:szCs w:val="20"/>
          <w:u w:color="000000"/>
          <w:lang w:val="es-US" w:eastAsia="es-ES"/>
        </w:rPr>
        <w:t xml:space="preserve"> condiciones de tomar decisiones libres y fundamentadas respecto de aspectos íntimos de su salud, cuerpo y personalidad</w:t>
      </w:r>
      <w:r w:rsidR="00FD7742" w:rsidRPr="008A084A">
        <w:rPr>
          <w:rFonts w:ascii="Cambria" w:eastAsia="Times New Roman" w:hAnsi="Cambria" w:cs="Cambria"/>
          <w:sz w:val="20"/>
          <w:szCs w:val="20"/>
          <w:u w:color="000000"/>
          <w:vertAlign w:val="superscript"/>
          <w:lang w:val="es-ES" w:eastAsia="es-ES"/>
        </w:rPr>
        <w:footnoteReference w:id="302"/>
      </w:r>
      <w:r w:rsidR="00FD7742" w:rsidRPr="008A084A">
        <w:rPr>
          <w:rFonts w:ascii="Cambria" w:eastAsia="Times New Roman" w:hAnsi="Cambria" w:cs="Cambria"/>
          <w:sz w:val="20"/>
          <w:szCs w:val="20"/>
          <w:u w:color="000000"/>
          <w:lang w:val="es-US" w:eastAsia="es-ES"/>
        </w:rPr>
        <w:t xml:space="preserve">, incluyendo decisiones sobre </w:t>
      </w:r>
      <w:r w:rsidR="00FD7742" w:rsidRPr="008A084A">
        <w:rPr>
          <w:rFonts w:ascii="Cambria" w:eastAsia="Times New Roman" w:hAnsi="Cambria" w:cs="Cambria"/>
          <w:sz w:val="20"/>
          <w:szCs w:val="20"/>
          <w:u w:color="000000"/>
          <w:lang w:val="es-ES" w:eastAsia="es-ES"/>
        </w:rPr>
        <w:t>la aplicación de procedimientos o tratamientos médicos. En este sentido, se ha referido de forma particular al consentimiento informado como un principio ético de respeto a la autonomía de las personas, que requiere que éstas comprendan las distintas opciones de tratamiento a su disposición y sean involucradas en la atención de su salud</w:t>
      </w:r>
      <w:r w:rsidR="00FD7742" w:rsidRPr="008A084A">
        <w:rPr>
          <w:rFonts w:ascii="Cambria" w:eastAsia="Times New Roman" w:hAnsi="Cambria" w:cs="Cambria"/>
          <w:sz w:val="20"/>
          <w:szCs w:val="20"/>
          <w:u w:color="000000"/>
          <w:vertAlign w:val="superscript"/>
          <w:lang w:val="es-ES" w:eastAsia="es-ES"/>
        </w:rPr>
        <w:footnoteReference w:id="303"/>
      </w:r>
      <w:r w:rsidR="00FD7742" w:rsidRPr="008A084A">
        <w:rPr>
          <w:rFonts w:ascii="Cambria" w:eastAsia="Times New Roman" w:hAnsi="Cambria" w:cs="Cambria"/>
          <w:sz w:val="20"/>
          <w:szCs w:val="20"/>
          <w:u w:color="000000"/>
          <w:lang w:val="es-ES" w:eastAsia="es-ES"/>
        </w:rPr>
        <w:t xml:space="preserve">. </w:t>
      </w:r>
    </w:p>
    <w:p w:rsidR="00FD7742" w:rsidRPr="008A084A" w:rsidRDefault="00FD7742" w:rsidP="00FD7742">
      <w:pPr>
        <w:ind w:left="567"/>
        <w:jc w:val="both"/>
        <w:rPr>
          <w:rFonts w:ascii="Cambria" w:eastAsia="Times New Roman" w:hAnsi="Cambria" w:cs="Cambria"/>
          <w:b/>
          <w:sz w:val="20"/>
          <w:szCs w:val="20"/>
          <w:u w:color="000000"/>
          <w:lang w:val="es-MX" w:eastAsia="es-ES"/>
        </w:rPr>
      </w:pPr>
    </w:p>
    <w:p w:rsidR="00FD7742" w:rsidRPr="008A084A" w:rsidRDefault="00FD7742" w:rsidP="00FD7742">
      <w:pPr>
        <w:numPr>
          <w:ilvl w:val="0"/>
          <w:numId w:val="55"/>
        </w:numPr>
        <w:jc w:val="both"/>
        <w:rPr>
          <w:rFonts w:ascii="Cambria" w:hAnsi="Cambria"/>
          <w:sz w:val="20"/>
          <w:szCs w:val="20"/>
          <w:lang w:val="es-CO"/>
        </w:rPr>
      </w:pPr>
      <w:r w:rsidRPr="008A084A">
        <w:rPr>
          <w:rFonts w:ascii="Cambria" w:hAnsi="Cambria"/>
          <w:sz w:val="20"/>
          <w:szCs w:val="20"/>
          <w:lang w:val="es-ES"/>
        </w:rPr>
        <w:t xml:space="preserve">La Corte Europea asimismo ha señalado que el cumplimiento de la obligación positiva del Estado de garantizar </w:t>
      </w:r>
      <w:r w:rsidRPr="008A084A">
        <w:rPr>
          <w:rFonts w:ascii="Cambria" w:eastAsia="Times New Roman" w:hAnsi="Cambria" w:cs="Cambria"/>
          <w:sz w:val="20"/>
          <w:szCs w:val="20"/>
          <w:u w:color="000000"/>
          <w:lang w:val="es-ES" w:eastAsia="es-ES"/>
        </w:rPr>
        <w:t>efectivamente</w:t>
      </w:r>
      <w:r w:rsidRPr="008A084A">
        <w:rPr>
          <w:rFonts w:ascii="Cambria" w:hAnsi="Cambria"/>
          <w:sz w:val="20"/>
          <w:szCs w:val="20"/>
          <w:lang w:val="es-ES"/>
        </w:rPr>
        <w:t xml:space="preserve"> a sus ciudadanos el derecho a la integridad física y psicológica puede requerir, a su vez, la adopción de normativa en materia de acceso a la información sobre la salud de un individuo</w:t>
      </w:r>
      <w:r w:rsidRPr="008A084A">
        <w:rPr>
          <w:rStyle w:val="FootnoteReference"/>
          <w:rFonts w:ascii="Cambria" w:hAnsi="Cambria"/>
          <w:sz w:val="20"/>
          <w:szCs w:val="20"/>
          <w:lang w:val="es-ES"/>
        </w:rPr>
        <w:footnoteReference w:id="304"/>
      </w:r>
      <w:r w:rsidRPr="008A084A">
        <w:rPr>
          <w:rFonts w:ascii="Cambria" w:hAnsi="Cambria"/>
          <w:sz w:val="20"/>
          <w:szCs w:val="20"/>
          <w:lang w:val="es-ES"/>
        </w:rPr>
        <w:t>.</w:t>
      </w:r>
    </w:p>
    <w:p w:rsidR="00FD7742" w:rsidRPr="008A084A" w:rsidRDefault="00FD7742" w:rsidP="00FD7742">
      <w:pPr>
        <w:jc w:val="both"/>
        <w:rPr>
          <w:rFonts w:ascii="Cambria" w:hAnsi="Cambria"/>
          <w:sz w:val="20"/>
          <w:szCs w:val="20"/>
          <w:lang w:val="es-CO"/>
        </w:rPr>
      </w:pPr>
    </w:p>
    <w:p w:rsidR="00FD7742" w:rsidRPr="008A084A" w:rsidRDefault="00FD7742" w:rsidP="00FD7742">
      <w:pPr>
        <w:numPr>
          <w:ilvl w:val="0"/>
          <w:numId w:val="55"/>
        </w:numPr>
        <w:jc w:val="both"/>
        <w:rPr>
          <w:rFonts w:ascii="Cambria" w:eastAsia="Times New Roman" w:hAnsi="Cambria" w:cs="Cambria"/>
          <w:b/>
          <w:sz w:val="20"/>
          <w:szCs w:val="20"/>
          <w:u w:color="000000"/>
          <w:lang w:val="es-MX" w:eastAsia="es-ES"/>
        </w:rPr>
      </w:pPr>
      <w:r w:rsidRPr="008A084A">
        <w:rPr>
          <w:rFonts w:ascii="Cambria" w:eastAsia="Times New Roman" w:hAnsi="Cambria" w:cs="Cambria"/>
          <w:sz w:val="20"/>
          <w:szCs w:val="20"/>
          <w:u w:color="000000"/>
          <w:lang w:val="es-ES" w:eastAsia="es-ES"/>
        </w:rPr>
        <w:t>La comunidad internacional ha reconocido el consentimiento informado</w:t>
      </w:r>
      <w:r w:rsidRPr="008A084A">
        <w:rPr>
          <w:rFonts w:ascii="Cambria" w:eastAsia="Times New Roman" w:hAnsi="Cambria" w:cs="Cambria"/>
          <w:sz w:val="20"/>
          <w:szCs w:val="20"/>
          <w:u w:color="000000"/>
          <w:vertAlign w:val="superscript"/>
          <w:lang w:val="es-ES" w:eastAsia="es-ES"/>
        </w:rPr>
        <w:footnoteReference w:id="305"/>
      </w:r>
      <w:r w:rsidRPr="008A084A">
        <w:rPr>
          <w:rFonts w:ascii="Cambria" w:eastAsia="Times New Roman" w:hAnsi="Cambria" w:cs="Cambria"/>
          <w:sz w:val="20"/>
          <w:szCs w:val="20"/>
          <w:u w:color="000000"/>
          <w:lang w:val="es-ES" w:eastAsia="es-ES"/>
        </w:rPr>
        <w:t xml:space="preserve"> como un proceso activo y continuo que persigue asegurar que ningún tratamiento sea realizado sin el acuerdo de la persona a quien se le va a </w:t>
      </w:r>
      <w:r w:rsidRPr="008A084A">
        <w:rPr>
          <w:rFonts w:ascii="Cambria" w:eastAsia="Times New Roman" w:hAnsi="Cambria" w:cs="Cambria"/>
          <w:sz w:val="20"/>
          <w:szCs w:val="20"/>
          <w:u w:color="000000"/>
          <w:lang w:val="es-US" w:eastAsia="es-ES"/>
        </w:rPr>
        <w:t>practicar</w:t>
      </w:r>
      <w:r w:rsidRPr="008A084A">
        <w:rPr>
          <w:rFonts w:ascii="Cambria" w:eastAsia="Times New Roman" w:hAnsi="Cambria" w:cs="Cambria"/>
          <w:sz w:val="20"/>
          <w:szCs w:val="20"/>
          <w:u w:color="000000"/>
          <w:lang w:val="es-ES" w:eastAsia="es-ES"/>
        </w:rPr>
        <w:t xml:space="preserve"> y sin haber sido debidamente informada de sus efectos, riesgos y consecuencias</w:t>
      </w:r>
      <w:r w:rsidRPr="008A084A">
        <w:rPr>
          <w:rFonts w:ascii="Cambria" w:eastAsia="Times New Roman" w:hAnsi="Cambria" w:cs="Cambria"/>
          <w:sz w:val="20"/>
          <w:szCs w:val="20"/>
          <w:u w:color="000000"/>
          <w:vertAlign w:val="superscript"/>
          <w:lang w:val="es-ES" w:eastAsia="es-ES"/>
        </w:rPr>
        <w:footnoteReference w:id="306"/>
      </w:r>
      <w:r w:rsidRPr="008A084A">
        <w:rPr>
          <w:rFonts w:ascii="Cambria" w:eastAsia="Times New Roman" w:hAnsi="Cambria" w:cs="Cambria"/>
          <w:sz w:val="20"/>
          <w:szCs w:val="20"/>
          <w:u w:color="000000"/>
          <w:lang w:val="es-ES" w:eastAsia="es-ES"/>
        </w:rPr>
        <w:t>. La CIDH ha precisado que el consentimiento informado es un proceso apropiado de divulgación de toda la información necesaria para que un paciente pueda tomar libremente la decisión de otorgar o (negar) su consentimiento para un tratamiento o intervención médica. Este proceso procura asegurar que las personas vean sus derechos humanos plenamente respetados en el ámbito de la salud, y puedan llevar a cabo elecciones verdaderamente libres</w:t>
      </w:r>
      <w:r w:rsidRPr="008A084A">
        <w:rPr>
          <w:rFonts w:ascii="Cambria" w:eastAsia="Times New Roman" w:hAnsi="Cambria" w:cs="Cambria"/>
          <w:sz w:val="20"/>
          <w:szCs w:val="20"/>
          <w:u w:color="000000"/>
          <w:vertAlign w:val="superscript"/>
          <w:lang w:val="es-ES" w:eastAsia="es-ES"/>
        </w:rPr>
        <w:footnoteReference w:id="307"/>
      </w:r>
      <w:r w:rsidRPr="008A084A">
        <w:rPr>
          <w:rFonts w:ascii="Cambria" w:eastAsia="Times New Roman" w:hAnsi="Cambria" w:cs="Cambria"/>
          <w:sz w:val="20"/>
          <w:szCs w:val="20"/>
          <w:u w:color="000000"/>
          <w:lang w:val="es-ES" w:eastAsia="es-ES"/>
        </w:rPr>
        <w:t>.</w:t>
      </w:r>
      <w:r w:rsidR="00C209D9" w:rsidRPr="008A084A">
        <w:rPr>
          <w:rFonts w:ascii="Cambria" w:eastAsia="Times New Roman" w:hAnsi="Cambria" w:cs="Cambria"/>
          <w:sz w:val="20"/>
          <w:szCs w:val="20"/>
          <w:u w:color="000000"/>
          <w:lang w:val="es-ES" w:eastAsia="es-ES"/>
        </w:rPr>
        <w:t xml:space="preserve"> </w:t>
      </w:r>
    </w:p>
    <w:p w:rsidR="00FD7742" w:rsidRPr="008A084A" w:rsidRDefault="00FD7742" w:rsidP="00FD7742">
      <w:pPr>
        <w:pStyle w:val="ListParagraph"/>
        <w:rPr>
          <w:rFonts w:ascii="Cambria" w:eastAsia="Times New Roman" w:hAnsi="Cambria" w:cs="Cambria"/>
          <w:sz w:val="20"/>
          <w:szCs w:val="20"/>
          <w:u w:color="000000"/>
          <w:lang w:val="es-ES" w:eastAsia="es-ES"/>
        </w:rPr>
      </w:pPr>
    </w:p>
    <w:p w:rsidR="00FD7742" w:rsidRPr="008A084A" w:rsidRDefault="00FD7742" w:rsidP="00FD7742">
      <w:pPr>
        <w:numPr>
          <w:ilvl w:val="0"/>
          <w:numId w:val="55"/>
        </w:numPr>
        <w:jc w:val="both"/>
        <w:rPr>
          <w:rFonts w:ascii="Cambria" w:eastAsia="Times New Roman" w:hAnsi="Cambria" w:cs="Cambria"/>
          <w:b/>
          <w:sz w:val="20"/>
          <w:szCs w:val="20"/>
          <w:u w:color="000000"/>
          <w:lang w:val="es-MX" w:eastAsia="es-ES"/>
        </w:rPr>
      </w:pPr>
      <w:r w:rsidRPr="008A084A">
        <w:rPr>
          <w:rFonts w:ascii="Cambria" w:eastAsia="Times New Roman" w:hAnsi="Cambria" w:cs="Cambria"/>
          <w:sz w:val="20"/>
          <w:szCs w:val="20"/>
          <w:u w:color="000000"/>
          <w:lang w:val="es-ES" w:eastAsia="es-ES"/>
        </w:rPr>
        <w:t xml:space="preserve">Al respecto, el Relator Especial sobre el derecho de toda persona al disfrute del más alto nivel posible de salud física y mental, </w:t>
      </w:r>
      <w:proofErr w:type="spellStart"/>
      <w:r w:rsidRPr="008A084A">
        <w:rPr>
          <w:rFonts w:ascii="Cambria" w:eastAsia="Times New Roman" w:hAnsi="Cambria" w:cs="Cambria"/>
          <w:sz w:val="20"/>
          <w:szCs w:val="20"/>
          <w:u w:color="000000"/>
          <w:lang w:val="es-ES" w:eastAsia="es-ES"/>
        </w:rPr>
        <w:t>Anand</w:t>
      </w:r>
      <w:proofErr w:type="spellEnd"/>
      <w:r w:rsidRPr="008A084A">
        <w:rPr>
          <w:rFonts w:ascii="Cambria" w:eastAsia="Times New Roman" w:hAnsi="Cambria" w:cs="Cambria"/>
          <w:sz w:val="20"/>
          <w:szCs w:val="20"/>
          <w:u w:color="000000"/>
          <w:lang w:val="es-ES" w:eastAsia="es-ES"/>
        </w:rPr>
        <w:t xml:space="preserve"> </w:t>
      </w:r>
      <w:proofErr w:type="spellStart"/>
      <w:r w:rsidRPr="008A084A">
        <w:rPr>
          <w:rFonts w:ascii="Cambria" w:eastAsia="Times New Roman" w:hAnsi="Cambria" w:cs="Cambria"/>
          <w:sz w:val="20"/>
          <w:szCs w:val="20"/>
          <w:u w:color="000000"/>
          <w:lang w:val="es-ES" w:eastAsia="es-ES"/>
        </w:rPr>
        <w:t>Grover</w:t>
      </w:r>
      <w:proofErr w:type="spellEnd"/>
      <w:r w:rsidRPr="008A084A">
        <w:rPr>
          <w:rFonts w:ascii="Cambria" w:eastAsia="Times New Roman" w:hAnsi="Cambria" w:cs="Cambria"/>
          <w:sz w:val="20"/>
          <w:szCs w:val="20"/>
          <w:u w:color="000000"/>
          <w:lang w:val="es-ES" w:eastAsia="es-ES"/>
        </w:rPr>
        <w:t>, indicó que “el consentimiento informado no es la mera aceptación de una intervención médica, sino una decisión voluntaria y suficientemente informada que protege el derecho del paciente a participar en la adopción de las decisiones médicas y atribuye a los proveedores de servicios de salud deberes y obligaciones conexos”</w:t>
      </w:r>
      <w:r w:rsidRPr="008A084A">
        <w:rPr>
          <w:rFonts w:ascii="Cambria" w:eastAsia="Times New Roman" w:hAnsi="Cambria" w:cs="Cambria"/>
          <w:sz w:val="20"/>
          <w:szCs w:val="20"/>
          <w:u w:color="000000"/>
          <w:vertAlign w:val="superscript"/>
          <w:lang w:val="es-ES" w:eastAsia="es-ES"/>
        </w:rPr>
        <w:footnoteReference w:id="308"/>
      </w:r>
      <w:r w:rsidRPr="008A084A">
        <w:rPr>
          <w:rFonts w:ascii="Cambria" w:eastAsia="Times New Roman" w:hAnsi="Cambria" w:cs="Cambria"/>
          <w:sz w:val="20"/>
          <w:szCs w:val="20"/>
          <w:u w:color="000000"/>
          <w:lang w:val="es-ES" w:eastAsia="es-ES"/>
        </w:rPr>
        <w:t xml:space="preserve">. </w:t>
      </w:r>
    </w:p>
    <w:p w:rsidR="00FD7742" w:rsidRPr="008A084A" w:rsidRDefault="00FD7742" w:rsidP="00FD7742">
      <w:pPr>
        <w:pStyle w:val="ListParagraph"/>
        <w:rPr>
          <w:rFonts w:ascii="Cambria" w:eastAsia="Times New Roman" w:hAnsi="Cambria" w:cs="Cambria"/>
          <w:sz w:val="20"/>
          <w:szCs w:val="20"/>
          <w:u w:color="000000"/>
          <w:lang w:val="es-ES" w:eastAsia="es-ES"/>
        </w:rPr>
      </w:pPr>
    </w:p>
    <w:p w:rsidR="00FD7742" w:rsidRPr="008A084A" w:rsidRDefault="00FD7742" w:rsidP="00FD7742">
      <w:pPr>
        <w:numPr>
          <w:ilvl w:val="0"/>
          <w:numId w:val="55"/>
        </w:numPr>
        <w:jc w:val="both"/>
        <w:rPr>
          <w:rFonts w:ascii="Cambria" w:eastAsia="Times New Roman" w:hAnsi="Cambria" w:cs="Cambria"/>
          <w:b/>
          <w:sz w:val="20"/>
          <w:szCs w:val="20"/>
          <w:u w:color="000000"/>
          <w:lang w:val="es-MX" w:eastAsia="es-ES"/>
        </w:rPr>
      </w:pPr>
      <w:r w:rsidRPr="008A084A">
        <w:rPr>
          <w:rFonts w:ascii="Cambria" w:eastAsia="Times New Roman" w:hAnsi="Cambria" w:cs="Cambria"/>
          <w:sz w:val="20"/>
          <w:szCs w:val="20"/>
          <w:u w:color="000000"/>
          <w:lang w:val="es-ES" w:eastAsia="es-ES"/>
        </w:rPr>
        <w:lastRenderedPageBreak/>
        <w:t>La Convención Europea sobre Derechos Humanos y Biomedicina</w:t>
      </w:r>
      <w:r w:rsidRPr="008A084A">
        <w:rPr>
          <w:rFonts w:ascii="Cambria" w:eastAsia="Times New Roman" w:hAnsi="Cambria" w:cs="Cambria"/>
          <w:sz w:val="20"/>
          <w:szCs w:val="20"/>
          <w:u w:color="000000"/>
          <w:vertAlign w:val="superscript"/>
          <w:lang w:val="es-ES" w:eastAsia="es-ES"/>
        </w:rPr>
        <w:footnoteReference w:id="309"/>
      </w:r>
      <w:r w:rsidRPr="008A084A">
        <w:rPr>
          <w:rFonts w:ascii="Cambria" w:eastAsia="Times New Roman" w:hAnsi="Cambria" w:cs="Cambria"/>
          <w:sz w:val="20"/>
          <w:szCs w:val="20"/>
          <w:u w:color="000000"/>
          <w:lang w:val="es-ES" w:eastAsia="es-ES"/>
        </w:rPr>
        <w:t xml:space="preserve"> se refiere asimismo a este asunto en su artículo 5, estableciendo que: “[u]na intervención en el ámbito de la salud sólo podrá efectuarse después de que la persona afectada haya dado su consentimiento libre e informado. Dicha persona deberá recibir previamente una información adecuada acerca de la finalidad y la naturaleza de la intervención, así como sobre sus riesgos y consecuencias. […]”.</w:t>
      </w:r>
    </w:p>
    <w:p w:rsidR="00FD7742" w:rsidRPr="008A084A" w:rsidRDefault="00FD7742" w:rsidP="00FD7742">
      <w:pPr>
        <w:ind w:left="567"/>
        <w:jc w:val="both"/>
        <w:rPr>
          <w:rFonts w:ascii="Cambria" w:eastAsia="Times New Roman" w:hAnsi="Cambria" w:cs="Cambria"/>
          <w:b/>
          <w:sz w:val="20"/>
          <w:szCs w:val="20"/>
          <w:u w:color="000000"/>
          <w:lang w:val="es-MX" w:eastAsia="es-ES"/>
        </w:rPr>
      </w:pPr>
    </w:p>
    <w:p w:rsidR="00FD7742" w:rsidRPr="008A084A" w:rsidRDefault="00FD7742" w:rsidP="00FD7742">
      <w:pPr>
        <w:numPr>
          <w:ilvl w:val="0"/>
          <w:numId w:val="55"/>
        </w:numPr>
        <w:jc w:val="both"/>
        <w:rPr>
          <w:rFonts w:ascii="Cambria" w:eastAsia="Times New Roman" w:hAnsi="Cambria" w:cs="Cambria"/>
          <w:b/>
          <w:sz w:val="20"/>
          <w:szCs w:val="20"/>
          <w:u w:color="000000"/>
          <w:lang w:val="es-MX" w:eastAsia="es-ES"/>
        </w:rPr>
      </w:pPr>
      <w:r w:rsidRPr="008A084A">
        <w:rPr>
          <w:rFonts w:ascii="Cambria" w:eastAsia="Times New Roman" w:hAnsi="Cambria" w:cs="Cambria"/>
          <w:sz w:val="20"/>
          <w:szCs w:val="20"/>
          <w:u w:color="000000"/>
          <w:lang w:val="es-ES" w:eastAsia="es-ES"/>
        </w:rPr>
        <w:t>Una interpretación sistemática de los estándares aplicables en esta materia permite establecer que un proceso de consentimiento informado debe incluir los siguientes tres elementos, íntimamente relacionados entre sí: i) informar sobre la naturaleza del procedimiento, opciones de tratamiento y alternativas razonables, que incluye los posibles beneficios y riesgos de los procedimientos propuestos; ii) tomar en cuenta las necesidades de las personas y asegurar que comprendan la información brindada; y iii) asegurar que el consentimiento que se brinde sea libre y voluntario. El cumplimiento de este proceso incluye la adopción de</w:t>
      </w:r>
      <w:r w:rsidRPr="008A084A">
        <w:rPr>
          <w:rFonts w:ascii="Cambria" w:eastAsia="Times New Roman" w:hAnsi="Cambria" w:cs="Cambria"/>
          <w:sz w:val="20"/>
          <w:szCs w:val="20"/>
          <w:u w:color="000000"/>
          <w:lang w:val="es-US" w:eastAsia="es-ES"/>
        </w:rPr>
        <w:t xml:space="preserve"> medidas de carácter legislativo, político y administrativo y se extiende a los médicos, los profesionales de la salud y los trabajadores sociales, tanto de hospitales públicos como privados, como de otras instituciones de la salud y centros de detención</w:t>
      </w:r>
      <w:r w:rsidRPr="008A084A">
        <w:rPr>
          <w:rFonts w:ascii="Cambria" w:eastAsia="Times New Roman" w:hAnsi="Cambria" w:cs="Cambria"/>
          <w:sz w:val="20"/>
          <w:szCs w:val="20"/>
          <w:u w:color="000000"/>
          <w:vertAlign w:val="superscript"/>
          <w:lang w:val="es-ES" w:eastAsia="es-ES"/>
        </w:rPr>
        <w:footnoteReference w:id="310"/>
      </w:r>
      <w:r w:rsidRPr="008A084A">
        <w:rPr>
          <w:rFonts w:ascii="Cambria" w:eastAsia="Times New Roman" w:hAnsi="Cambria" w:cs="Cambria"/>
          <w:sz w:val="20"/>
          <w:szCs w:val="20"/>
          <w:u w:color="000000"/>
          <w:lang w:val="es-US" w:eastAsia="es-ES"/>
        </w:rPr>
        <w:t>.</w:t>
      </w:r>
      <w:r w:rsidRPr="008A084A">
        <w:rPr>
          <w:rFonts w:ascii="Cambria" w:eastAsia="Times New Roman" w:hAnsi="Cambria" w:cs="Cambria"/>
          <w:sz w:val="20"/>
          <w:szCs w:val="20"/>
          <w:u w:color="000000"/>
          <w:lang w:val="es-ES_tradnl" w:eastAsia="es-ES"/>
        </w:rPr>
        <w:t xml:space="preserve"> </w:t>
      </w:r>
    </w:p>
    <w:p w:rsidR="00FD7742" w:rsidRPr="008A084A" w:rsidRDefault="00FD7742" w:rsidP="00FD7742">
      <w:pPr>
        <w:ind w:left="567"/>
        <w:jc w:val="both"/>
        <w:rPr>
          <w:rFonts w:ascii="Cambria" w:eastAsia="Times New Roman" w:hAnsi="Cambria" w:cs="Cambria"/>
          <w:b/>
          <w:sz w:val="20"/>
          <w:szCs w:val="20"/>
          <w:u w:color="000000"/>
          <w:lang w:val="es-MX" w:eastAsia="es-ES"/>
        </w:rPr>
      </w:pPr>
    </w:p>
    <w:p w:rsidR="00FD7742" w:rsidRPr="008A084A" w:rsidRDefault="00FD7742" w:rsidP="00FD7742">
      <w:pPr>
        <w:numPr>
          <w:ilvl w:val="0"/>
          <w:numId w:val="55"/>
        </w:numPr>
        <w:jc w:val="both"/>
        <w:rPr>
          <w:rFonts w:ascii="Cambria" w:eastAsia="Times New Roman" w:hAnsi="Cambria" w:cs="Cambria"/>
          <w:b/>
          <w:sz w:val="20"/>
          <w:szCs w:val="20"/>
          <w:u w:color="000000"/>
          <w:lang w:val="es-MX" w:eastAsia="es-ES"/>
        </w:rPr>
      </w:pPr>
      <w:r w:rsidRPr="008A084A">
        <w:rPr>
          <w:rFonts w:ascii="Cambria" w:eastAsia="Times New Roman" w:hAnsi="Cambria" w:cs="Cambria"/>
          <w:sz w:val="20"/>
          <w:szCs w:val="20"/>
          <w:u w:color="000000"/>
          <w:lang w:val="es-PE" w:eastAsia="es-ES"/>
        </w:rPr>
        <w:t xml:space="preserve">En relación con el primer elemento del proceso de consentimiento informado – </w:t>
      </w:r>
      <w:r w:rsidRPr="008A084A">
        <w:rPr>
          <w:rFonts w:ascii="Cambria" w:eastAsia="Times New Roman" w:hAnsi="Cambria" w:cs="Cambria"/>
          <w:sz w:val="20"/>
          <w:szCs w:val="20"/>
          <w:u w:color="000000"/>
          <w:lang w:val="es-ES" w:eastAsia="es-ES"/>
        </w:rPr>
        <w:t>informar sobre la naturaleza del procedimiento, opciones de tratamiento y alternativas razonables, que incluye los posibles beneficios y riesgos de los procedimientos propuestos</w:t>
      </w:r>
      <w:r w:rsidRPr="008A084A">
        <w:rPr>
          <w:rFonts w:ascii="Cambria" w:eastAsia="Times New Roman" w:hAnsi="Cambria" w:cs="Cambria"/>
          <w:sz w:val="20"/>
          <w:szCs w:val="20"/>
          <w:u w:color="000000"/>
          <w:lang w:val="es-PE" w:eastAsia="es-ES"/>
        </w:rPr>
        <w:t xml:space="preserve"> –, la Comisión ha señalado que la información que se brinde a la paciente debe ser completa, accesible, fidedigna, oportuna y oficiosa</w:t>
      </w:r>
      <w:r w:rsidRPr="008A084A">
        <w:rPr>
          <w:rFonts w:ascii="Cambria" w:eastAsia="Times New Roman" w:hAnsi="Cambria" w:cs="Cambria"/>
          <w:sz w:val="20"/>
          <w:szCs w:val="20"/>
          <w:u w:color="000000"/>
          <w:vertAlign w:val="superscript"/>
          <w:lang w:val="es-PE" w:eastAsia="es-ES"/>
        </w:rPr>
        <w:footnoteReference w:id="311"/>
      </w:r>
      <w:r w:rsidRPr="008A084A">
        <w:rPr>
          <w:rFonts w:ascii="Cambria" w:eastAsia="Times New Roman" w:hAnsi="Cambria" w:cs="Cambria"/>
          <w:sz w:val="20"/>
          <w:szCs w:val="20"/>
          <w:u w:color="000000"/>
          <w:lang w:val="es-PE" w:eastAsia="es-ES"/>
        </w:rPr>
        <w:t>. Para que la información sea completa corresponde a los profesionales de la salud obtener y divulgar toda la información relevante y de la más alta calidad sobre el diagnóstico, tratamiento propuesto, sus efectos, riesgos y alternativas. Para que sea accesible, debe ser suministrada en condiciones adecuadas y en un lenguaje y de una manera aceptable culturalmente para la persona que ha de otorgar el consentimiento”</w:t>
      </w:r>
      <w:r w:rsidRPr="008A084A">
        <w:rPr>
          <w:rFonts w:ascii="Cambria" w:eastAsia="Times New Roman" w:hAnsi="Cambria" w:cs="Cambria"/>
          <w:sz w:val="20"/>
          <w:szCs w:val="20"/>
          <w:u w:color="000000"/>
          <w:vertAlign w:val="superscript"/>
          <w:lang w:val="es-PE" w:eastAsia="es-ES"/>
        </w:rPr>
        <w:footnoteReference w:id="312"/>
      </w:r>
      <w:r w:rsidRPr="008A084A">
        <w:rPr>
          <w:rFonts w:ascii="Cambria" w:eastAsia="Times New Roman" w:hAnsi="Cambria" w:cs="Cambria"/>
          <w:sz w:val="20"/>
          <w:szCs w:val="20"/>
          <w:u w:color="000000"/>
          <w:lang w:val="es-PE" w:eastAsia="es-ES"/>
        </w:rPr>
        <w:t xml:space="preserve">, lo que incluye el uso de servicios de traducción e interpretación. </w:t>
      </w:r>
      <w:r w:rsidRPr="008A084A">
        <w:rPr>
          <w:rFonts w:ascii="Cambria" w:eastAsia="Times New Roman" w:hAnsi="Cambria" w:cs="Cambria"/>
          <w:sz w:val="20"/>
          <w:szCs w:val="20"/>
          <w:u w:color="000000"/>
          <w:lang w:val="es-US" w:eastAsia="es-ES"/>
        </w:rPr>
        <w:t>Ahora bien, n</w:t>
      </w:r>
      <w:r w:rsidRPr="008A084A">
        <w:rPr>
          <w:rFonts w:ascii="Cambria" w:eastAsia="Times New Roman" w:hAnsi="Cambria" w:cs="Cambria"/>
          <w:sz w:val="20"/>
          <w:szCs w:val="20"/>
          <w:u w:color="000000"/>
          <w:lang w:val="es-PE" w:eastAsia="es-ES"/>
        </w:rPr>
        <w:t xml:space="preserve">o basta que la información sea completa y accesible, la información debe ser fidedigna. Finalmente, la información debe ser suministrada de manera oportuna y oficiosa, es decir, previo a la aplicación del procedimiento y sin necesidad de solicitud directa. </w:t>
      </w:r>
    </w:p>
    <w:p w:rsidR="00FD7742" w:rsidRPr="008A084A" w:rsidRDefault="00FD7742" w:rsidP="00FD7742">
      <w:pPr>
        <w:ind w:left="567"/>
        <w:jc w:val="both"/>
        <w:rPr>
          <w:rFonts w:ascii="Cambria" w:eastAsia="Times New Roman" w:hAnsi="Cambria" w:cs="Cambria"/>
          <w:b/>
          <w:sz w:val="20"/>
          <w:szCs w:val="20"/>
          <w:u w:color="000000"/>
          <w:lang w:val="es-MX" w:eastAsia="es-ES"/>
        </w:rPr>
      </w:pPr>
    </w:p>
    <w:p w:rsidR="00FD7742" w:rsidRPr="008A084A" w:rsidRDefault="00FD7742" w:rsidP="00FD7742">
      <w:pPr>
        <w:numPr>
          <w:ilvl w:val="0"/>
          <w:numId w:val="55"/>
        </w:numPr>
        <w:jc w:val="both"/>
        <w:rPr>
          <w:rFonts w:ascii="Cambria" w:eastAsia="Times New Roman" w:hAnsi="Cambria" w:cs="Cambria"/>
          <w:sz w:val="20"/>
          <w:szCs w:val="20"/>
          <w:u w:color="000000"/>
          <w:lang w:val="es-MX" w:eastAsia="es-ES"/>
        </w:rPr>
      </w:pPr>
      <w:r w:rsidRPr="008A084A">
        <w:rPr>
          <w:rFonts w:ascii="Cambria" w:eastAsia="Times New Roman" w:hAnsi="Cambria" w:cs="Cambria"/>
          <w:sz w:val="20"/>
          <w:szCs w:val="20"/>
          <w:u w:color="000000"/>
          <w:lang w:val="es-ES" w:eastAsia="es-ES"/>
        </w:rPr>
        <w:t xml:space="preserve">Respecto del segundo elemento del consentimiento informado </w:t>
      </w:r>
      <w:r w:rsidRPr="008A084A">
        <w:rPr>
          <w:rFonts w:ascii="Cambria" w:eastAsia="Times New Roman" w:hAnsi="Cambria" w:cs="Cambria"/>
          <w:sz w:val="20"/>
          <w:szCs w:val="20"/>
          <w:u w:color="000000"/>
          <w:lang w:val="es-PE" w:eastAsia="es-ES"/>
        </w:rPr>
        <w:t xml:space="preserve">– </w:t>
      </w:r>
      <w:r w:rsidRPr="008A084A">
        <w:rPr>
          <w:rFonts w:ascii="Cambria" w:eastAsia="Times New Roman" w:hAnsi="Cambria" w:cs="Cambria"/>
          <w:sz w:val="20"/>
          <w:szCs w:val="20"/>
          <w:u w:color="000000"/>
          <w:lang w:val="es-ES" w:eastAsia="es-ES"/>
        </w:rPr>
        <w:t xml:space="preserve">tomar en cuenta las necesidades de la </w:t>
      </w:r>
      <w:r w:rsidRPr="008A084A">
        <w:rPr>
          <w:rFonts w:ascii="Cambria" w:eastAsia="Times New Roman" w:hAnsi="Cambria" w:cs="Cambria"/>
          <w:sz w:val="20"/>
          <w:szCs w:val="20"/>
          <w:u w:color="000000"/>
          <w:lang w:val="es-PE" w:eastAsia="es-ES"/>
        </w:rPr>
        <w:t>persona</w:t>
      </w:r>
      <w:r w:rsidRPr="008A084A">
        <w:rPr>
          <w:rFonts w:ascii="Cambria" w:eastAsia="Times New Roman" w:hAnsi="Cambria" w:cs="Cambria"/>
          <w:sz w:val="20"/>
          <w:szCs w:val="20"/>
          <w:u w:color="000000"/>
          <w:lang w:val="es-ES" w:eastAsia="es-ES"/>
        </w:rPr>
        <w:t xml:space="preserve"> y asegurar que comprenda la información brindada </w:t>
      </w:r>
      <w:r w:rsidRPr="008A084A">
        <w:rPr>
          <w:rFonts w:ascii="Cambria" w:eastAsia="Times New Roman" w:hAnsi="Cambria" w:cs="Cambria"/>
          <w:sz w:val="20"/>
          <w:szCs w:val="20"/>
          <w:u w:color="000000"/>
          <w:lang w:val="es-PE" w:eastAsia="es-ES"/>
        </w:rPr>
        <w:t>–</w:t>
      </w:r>
      <w:r w:rsidRPr="008A084A">
        <w:rPr>
          <w:rFonts w:ascii="Cambria" w:eastAsia="Times New Roman" w:hAnsi="Cambria" w:cs="Cambria"/>
          <w:sz w:val="20"/>
          <w:szCs w:val="20"/>
          <w:u w:color="000000"/>
          <w:lang w:val="es-ES" w:eastAsia="es-ES"/>
        </w:rPr>
        <w:t xml:space="preserve"> la CIDH observa que los profesionales médicos tienen un deber importante de asegurar la comprensión de la información impartida, con la finalidad de que el paciente o su representante adopte una decisión verdaderamente informada respecto de la intervención y/o tratamiento propuesto. En este sentido, se debe prestar particular atención a las necesidades y estado de la paciente, así como de los métodos que se utilizan para brindar la información</w:t>
      </w:r>
      <w:r w:rsidRPr="008A084A">
        <w:rPr>
          <w:rStyle w:val="FootnoteReference"/>
          <w:rFonts w:ascii="Cambria" w:eastAsia="Times New Roman" w:hAnsi="Cambria" w:cs="Cambria"/>
          <w:sz w:val="20"/>
          <w:szCs w:val="20"/>
          <w:u w:color="000000"/>
          <w:lang w:val="es-ES" w:eastAsia="es-ES"/>
        </w:rPr>
        <w:footnoteReference w:id="313"/>
      </w:r>
      <w:r w:rsidRPr="008A084A">
        <w:rPr>
          <w:rFonts w:ascii="Cambria" w:eastAsia="Times New Roman" w:hAnsi="Cambria" w:cs="Cambria"/>
          <w:sz w:val="20"/>
          <w:szCs w:val="20"/>
          <w:u w:color="000000"/>
          <w:lang w:val="es-ES" w:eastAsia="es-ES"/>
        </w:rPr>
        <w:t xml:space="preserve">. </w:t>
      </w:r>
    </w:p>
    <w:p w:rsidR="00FD7742" w:rsidRPr="008A084A" w:rsidRDefault="00FD7742" w:rsidP="00FD7742">
      <w:pPr>
        <w:ind w:left="567"/>
        <w:jc w:val="both"/>
        <w:rPr>
          <w:rFonts w:ascii="Cambria" w:eastAsia="Times New Roman" w:hAnsi="Cambria" w:cs="Cambria"/>
          <w:b/>
          <w:sz w:val="20"/>
          <w:szCs w:val="20"/>
          <w:u w:color="000000"/>
          <w:lang w:val="es-MX" w:eastAsia="es-ES"/>
        </w:rPr>
      </w:pPr>
    </w:p>
    <w:p w:rsidR="00FD7742" w:rsidRPr="008A084A" w:rsidRDefault="00FD7742" w:rsidP="00FD7742">
      <w:pPr>
        <w:numPr>
          <w:ilvl w:val="0"/>
          <w:numId w:val="55"/>
        </w:numPr>
        <w:jc w:val="both"/>
        <w:rPr>
          <w:rFonts w:ascii="Cambria" w:eastAsia="Times New Roman" w:hAnsi="Cambria" w:cs="Cambria"/>
          <w:sz w:val="20"/>
          <w:szCs w:val="20"/>
          <w:u w:color="000000"/>
          <w:lang w:val="es-MX" w:eastAsia="es-ES"/>
        </w:rPr>
      </w:pPr>
      <w:r w:rsidRPr="008A084A">
        <w:rPr>
          <w:rFonts w:ascii="Cambria" w:eastAsia="Times New Roman" w:hAnsi="Cambria" w:cs="Cambria"/>
          <w:sz w:val="20"/>
          <w:szCs w:val="20"/>
          <w:u w:color="000000"/>
          <w:lang w:val="es-ES" w:eastAsia="es-ES"/>
        </w:rPr>
        <w:t xml:space="preserve">En lo que atañe al tercer elemento del consentimiento informado </w:t>
      </w:r>
      <w:r w:rsidRPr="008A084A">
        <w:rPr>
          <w:rFonts w:ascii="Cambria" w:eastAsia="Times New Roman" w:hAnsi="Cambria" w:cs="Cambria"/>
          <w:sz w:val="20"/>
          <w:szCs w:val="20"/>
          <w:u w:color="000000"/>
          <w:lang w:val="es-PE" w:eastAsia="es-ES"/>
        </w:rPr>
        <w:t>–</w:t>
      </w:r>
      <w:r w:rsidRPr="008A084A">
        <w:rPr>
          <w:rFonts w:ascii="Cambria" w:eastAsia="Times New Roman" w:hAnsi="Cambria" w:cs="Cambria"/>
          <w:sz w:val="20"/>
          <w:szCs w:val="20"/>
          <w:u w:color="000000"/>
          <w:lang w:val="es-ES" w:eastAsia="es-ES"/>
        </w:rPr>
        <w:t xml:space="preserve"> asegurar que el consentimiento que se brinde sea </w:t>
      </w:r>
      <w:r w:rsidRPr="008A084A">
        <w:rPr>
          <w:rFonts w:ascii="Cambria" w:eastAsia="Times New Roman" w:hAnsi="Cambria" w:cs="Cambria"/>
          <w:sz w:val="20"/>
          <w:szCs w:val="20"/>
          <w:u w:color="000000"/>
          <w:lang w:val="es-PE" w:eastAsia="es-ES"/>
        </w:rPr>
        <w:t>libre</w:t>
      </w:r>
      <w:r w:rsidRPr="008A084A">
        <w:rPr>
          <w:rFonts w:ascii="Cambria" w:eastAsia="Times New Roman" w:hAnsi="Cambria" w:cs="Cambria"/>
          <w:sz w:val="20"/>
          <w:szCs w:val="20"/>
          <w:u w:color="000000"/>
          <w:lang w:val="es-ES" w:eastAsia="es-ES"/>
        </w:rPr>
        <w:t xml:space="preserve"> y voluntario </w:t>
      </w:r>
      <w:r w:rsidRPr="008A084A">
        <w:rPr>
          <w:rFonts w:ascii="Cambria" w:eastAsia="Times New Roman" w:hAnsi="Cambria" w:cs="Cambria"/>
          <w:sz w:val="20"/>
          <w:szCs w:val="20"/>
          <w:u w:color="000000"/>
          <w:lang w:val="es-PE" w:eastAsia="es-ES"/>
        </w:rPr>
        <w:t>–</w:t>
      </w:r>
      <w:r w:rsidRPr="008A084A">
        <w:rPr>
          <w:rFonts w:ascii="Cambria" w:eastAsia="Times New Roman" w:hAnsi="Cambria" w:cs="Cambria"/>
          <w:sz w:val="20"/>
          <w:szCs w:val="20"/>
          <w:u w:color="000000"/>
          <w:lang w:val="es-ES" w:eastAsia="es-ES"/>
        </w:rPr>
        <w:t xml:space="preserve">, la Comisión estima que para ser efectivo, el consentimiento debe ser otorgado a través de un proceso libre de toda coerción o manipulación. Debido al desequilibrio de poder que caracteriza la relación entre profesionales de la salud y sus pacientes se ha reconocido que el tiempo y </w:t>
      </w:r>
      <w:r w:rsidRPr="008A084A">
        <w:rPr>
          <w:rFonts w:ascii="Cambria" w:eastAsia="Times New Roman" w:hAnsi="Cambria" w:cs="Cambria"/>
          <w:sz w:val="20"/>
          <w:szCs w:val="20"/>
          <w:u w:color="000000"/>
          <w:lang w:val="es-MX" w:eastAsia="es-ES"/>
        </w:rPr>
        <w:t>la</w:t>
      </w:r>
      <w:r w:rsidRPr="008A084A">
        <w:rPr>
          <w:rFonts w:ascii="Cambria" w:eastAsia="Times New Roman" w:hAnsi="Cambria" w:cs="Cambria"/>
          <w:sz w:val="20"/>
          <w:szCs w:val="20"/>
          <w:u w:color="000000"/>
          <w:lang w:val="es-ES" w:eastAsia="es-ES"/>
        </w:rPr>
        <w:t xml:space="preserve"> forma en la que se proporciona la información puede influir indebidamente en la decisión de aceptar o no el tratamiento propuesto. La Comisión reconoce que si bien el consentimiento </w:t>
      </w:r>
      <w:r w:rsidRPr="008A084A">
        <w:rPr>
          <w:rFonts w:ascii="Cambria" w:eastAsia="Times New Roman" w:hAnsi="Cambria" w:cs="Cambria"/>
          <w:sz w:val="20"/>
          <w:szCs w:val="20"/>
          <w:u w:color="000000"/>
          <w:lang w:val="es-ES" w:eastAsia="es-ES"/>
        </w:rPr>
        <w:lastRenderedPageBreak/>
        <w:t>puede ser otorgado de forma verbal o escrita, para efectos de salvaguardar los derechos involucrados, el Estado debe tomar medidas para facilitar que el consentimiento conste por escrito</w:t>
      </w:r>
      <w:r w:rsidRPr="008A084A">
        <w:rPr>
          <w:rFonts w:ascii="Cambria" w:eastAsia="Times New Roman" w:hAnsi="Cambria" w:cs="Cambria"/>
          <w:sz w:val="20"/>
          <w:szCs w:val="20"/>
          <w:u w:color="000000"/>
          <w:vertAlign w:val="superscript"/>
          <w:lang w:val="es-ES" w:eastAsia="es-ES"/>
        </w:rPr>
        <w:footnoteReference w:id="314"/>
      </w:r>
      <w:r w:rsidRPr="008A084A">
        <w:rPr>
          <w:rFonts w:ascii="Cambria" w:eastAsia="Times New Roman" w:hAnsi="Cambria" w:cs="Cambria"/>
          <w:sz w:val="20"/>
          <w:szCs w:val="20"/>
          <w:u w:color="000000"/>
          <w:lang w:val="es-ES" w:eastAsia="es-ES"/>
        </w:rPr>
        <w:t xml:space="preserve">. </w:t>
      </w:r>
    </w:p>
    <w:p w:rsidR="00FD7742" w:rsidRPr="008A084A" w:rsidRDefault="00FD7742" w:rsidP="00FD7742">
      <w:pPr>
        <w:ind w:left="567"/>
        <w:jc w:val="both"/>
        <w:rPr>
          <w:rFonts w:ascii="Cambria" w:eastAsia="Times New Roman" w:hAnsi="Cambria" w:cs="Cambria"/>
          <w:b/>
          <w:sz w:val="20"/>
          <w:szCs w:val="20"/>
          <w:u w:color="000000"/>
          <w:lang w:val="es-MX" w:eastAsia="es-ES"/>
        </w:rPr>
      </w:pPr>
    </w:p>
    <w:p w:rsidR="00FD7742" w:rsidRPr="008A084A" w:rsidRDefault="00FD7742" w:rsidP="00FD7742">
      <w:pPr>
        <w:numPr>
          <w:ilvl w:val="0"/>
          <w:numId w:val="55"/>
        </w:numPr>
        <w:jc w:val="both"/>
        <w:rPr>
          <w:rFonts w:ascii="Cambria" w:eastAsia="Times New Roman" w:hAnsi="Cambria" w:cs="Cambria"/>
          <w:sz w:val="20"/>
          <w:szCs w:val="20"/>
          <w:u w:color="000000"/>
          <w:lang w:val="es-MX" w:eastAsia="es-ES"/>
        </w:rPr>
      </w:pPr>
      <w:r w:rsidRPr="008A084A">
        <w:rPr>
          <w:rFonts w:ascii="Cambria" w:eastAsia="Times New Roman" w:hAnsi="Cambria" w:cs="Cambria"/>
          <w:sz w:val="20"/>
          <w:szCs w:val="20"/>
          <w:u w:color="000000"/>
          <w:lang w:val="es-MX" w:eastAsia="es-ES"/>
        </w:rPr>
        <w:t xml:space="preserve">Finalmente, la Comisión reconoce que existen situaciones excepcionales en donde no se aplica el </w:t>
      </w:r>
      <w:r w:rsidRPr="008A084A">
        <w:rPr>
          <w:rFonts w:ascii="Cambria" w:eastAsia="Times New Roman" w:hAnsi="Cambria" w:cs="Cambria"/>
          <w:sz w:val="20"/>
          <w:szCs w:val="20"/>
          <w:u w:color="000000"/>
          <w:lang w:val="es-ES" w:eastAsia="es-ES"/>
        </w:rPr>
        <w:t>consentimiento</w:t>
      </w:r>
      <w:r w:rsidRPr="008A084A">
        <w:rPr>
          <w:rFonts w:ascii="Cambria" w:eastAsia="Times New Roman" w:hAnsi="Cambria" w:cs="Cambria"/>
          <w:sz w:val="20"/>
          <w:szCs w:val="20"/>
          <w:u w:color="000000"/>
          <w:lang w:val="es-MX" w:eastAsia="es-ES"/>
        </w:rPr>
        <w:t>. Dichas excepciones están relacionadas con situaciones vinculadas a emergencias, por ejemplo cuando se debe tratar médicamente a una persona para preservar su vida o su salud pero ni ella ni un familiar cercano puede otorgar el consentimiento</w:t>
      </w:r>
      <w:r w:rsidRPr="008A084A">
        <w:rPr>
          <w:rFonts w:ascii="Cambria" w:eastAsia="Times New Roman" w:hAnsi="Cambria" w:cs="Cambria"/>
          <w:sz w:val="20"/>
          <w:szCs w:val="20"/>
          <w:u w:color="000000"/>
          <w:vertAlign w:val="superscript"/>
          <w:lang w:val="es-PE" w:eastAsia="es-ES"/>
        </w:rPr>
        <w:footnoteReference w:id="315"/>
      </w:r>
      <w:r w:rsidRPr="008A084A">
        <w:rPr>
          <w:rFonts w:ascii="Cambria" w:eastAsia="Times New Roman" w:hAnsi="Cambria" w:cs="Cambria"/>
          <w:sz w:val="20"/>
          <w:szCs w:val="20"/>
          <w:u w:color="000000"/>
          <w:lang w:val="es-MX" w:eastAsia="es-ES"/>
        </w:rPr>
        <w:t xml:space="preserve">. </w:t>
      </w:r>
    </w:p>
    <w:p w:rsidR="00C94536" w:rsidRPr="008A084A" w:rsidRDefault="00C94536" w:rsidP="00C94536">
      <w:pPr>
        <w:jc w:val="both"/>
        <w:rPr>
          <w:rFonts w:ascii="Cambria" w:hAnsi="Cambria"/>
          <w:sz w:val="20"/>
          <w:szCs w:val="20"/>
          <w:lang w:val="es-ES"/>
        </w:rPr>
      </w:pPr>
    </w:p>
    <w:p w:rsidR="00243876" w:rsidRPr="008A084A" w:rsidRDefault="00A31FA7" w:rsidP="00243876">
      <w:pPr>
        <w:numPr>
          <w:ilvl w:val="0"/>
          <w:numId w:val="55"/>
        </w:numPr>
        <w:jc w:val="both"/>
        <w:rPr>
          <w:rFonts w:ascii="Cambria" w:hAnsi="Cambria"/>
          <w:sz w:val="20"/>
          <w:szCs w:val="20"/>
          <w:lang w:val="es-ES"/>
        </w:rPr>
      </w:pPr>
      <w:r w:rsidRPr="008A084A">
        <w:rPr>
          <w:rFonts w:ascii="Cambria" w:hAnsi="Cambria"/>
          <w:sz w:val="20"/>
          <w:szCs w:val="20"/>
          <w:lang w:val="es-ES"/>
        </w:rPr>
        <w:t>Como se indic</w:t>
      </w:r>
      <w:r w:rsidRPr="008A084A">
        <w:rPr>
          <w:rFonts w:ascii="Cambria" w:hAnsi="Cambria"/>
          <w:sz w:val="20"/>
          <w:szCs w:val="20"/>
          <w:lang w:val="es-CO"/>
        </w:rPr>
        <w:t xml:space="preserve">ó anteriormente, </w:t>
      </w:r>
      <w:r w:rsidR="00D158C2" w:rsidRPr="008A084A">
        <w:rPr>
          <w:rFonts w:ascii="Cambria" w:hAnsi="Cambria"/>
          <w:sz w:val="20"/>
          <w:szCs w:val="20"/>
          <w:lang w:val="es-CO"/>
        </w:rPr>
        <w:t>e</w:t>
      </w:r>
      <w:r w:rsidR="00243876" w:rsidRPr="008A084A">
        <w:rPr>
          <w:rFonts w:ascii="Cambria" w:hAnsi="Cambria"/>
          <w:sz w:val="20"/>
          <w:szCs w:val="20"/>
          <w:lang w:val="es-ES"/>
        </w:rPr>
        <w:t>n relación con las personas institucionalizadas en centros de salud mental los Estados son los responsables de asegurar su integridad personal</w:t>
      </w:r>
      <w:r w:rsidR="001F4AFC" w:rsidRPr="008A084A">
        <w:rPr>
          <w:rFonts w:ascii="Cambria" w:hAnsi="Cambria"/>
          <w:sz w:val="20"/>
          <w:szCs w:val="20"/>
          <w:lang w:val="es-ES"/>
        </w:rPr>
        <w:t xml:space="preserve"> y salud</w:t>
      </w:r>
      <w:r w:rsidR="00100309" w:rsidRPr="008A084A">
        <w:rPr>
          <w:rFonts w:ascii="Cambria" w:hAnsi="Cambria"/>
          <w:sz w:val="20"/>
          <w:szCs w:val="20"/>
          <w:lang w:val="es-ES"/>
        </w:rPr>
        <w:t xml:space="preserve">, lo que se desprende de su </w:t>
      </w:r>
      <w:r w:rsidR="00243876" w:rsidRPr="008A084A">
        <w:rPr>
          <w:rFonts w:ascii="Cambria" w:hAnsi="Cambria"/>
          <w:sz w:val="20"/>
          <w:szCs w:val="20"/>
          <w:lang w:val="es-ES"/>
        </w:rPr>
        <w:t>posición especial de garante</w:t>
      </w:r>
      <w:r w:rsidR="00243876" w:rsidRPr="008A084A">
        <w:rPr>
          <w:rStyle w:val="FootnoteReference"/>
          <w:rFonts w:ascii="Cambria" w:hAnsi="Cambria"/>
          <w:sz w:val="20"/>
          <w:szCs w:val="20"/>
          <w:lang w:val="es-ES"/>
        </w:rPr>
        <w:footnoteReference w:id="316"/>
      </w:r>
      <w:r w:rsidR="00243876" w:rsidRPr="008A084A">
        <w:rPr>
          <w:rFonts w:ascii="Cambria" w:hAnsi="Cambria"/>
          <w:sz w:val="20"/>
          <w:szCs w:val="20"/>
          <w:lang w:val="es-ES"/>
        </w:rPr>
        <w:t xml:space="preserve">. </w:t>
      </w:r>
    </w:p>
    <w:p w:rsidR="00243876" w:rsidRPr="008A084A" w:rsidRDefault="00243876" w:rsidP="00243876">
      <w:pPr>
        <w:rPr>
          <w:rFonts w:ascii="Cambria" w:hAnsi="Cambria"/>
          <w:sz w:val="20"/>
          <w:szCs w:val="20"/>
          <w:lang w:val="es-ES"/>
        </w:rPr>
      </w:pPr>
    </w:p>
    <w:p w:rsidR="00243876" w:rsidRPr="008A084A" w:rsidRDefault="00243876" w:rsidP="00243876">
      <w:pPr>
        <w:numPr>
          <w:ilvl w:val="0"/>
          <w:numId w:val="55"/>
        </w:numPr>
        <w:jc w:val="both"/>
        <w:rPr>
          <w:rFonts w:ascii="Cambria" w:hAnsi="Cambria"/>
          <w:sz w:val="20"/>
          <w:szCs w:val="20"/>
          <w:lang w:val="es-ES"/>
        </w:rPr>
      </w:pPr>
      <w:r w:rsidRPr="008A084A">
        <w:rPr>
          <w:rFonts w:ascii="Cambria" w:hAnsi="Cambria"/>
          <w:sz w:val="20"/>
          <w:szCs w:val="20"/>
          <w:lang w:val="es-ES"/>
        </w:rPr>
        <w:t>Es así como los Estados tienen diversas obligaciones frente a las personas con discapacidad institucionalizadas. El Comité CDPD ha sostenido que los Estados deben brindar una atención en salud sobre la base del consentimiento libre e informado de las personas con discapacidad antes de cualquier tratamiento</w:t>
      </w:r>
      <w:r w:rsidRPr="008A084A">
        <w:rPr>
          <w:rStyle w:val="FootnoteReference"/>
          <w:rFonts w:ascii="Cambria" w:hAnsi="Cambria"/>
          <w:sz w:val="20"/>
          <w:szCs w:val="20"/>
        </w:rPr>
        <w:footnoteReference w:id="317"/>
      </w:r>
      <w:r w:rsidRPr="008A084A">
        <w:rPr>
          <w:rFonts w:ascii="Cambria" w:hAnsi="Cambria"/>
          <w:sz w:val="20"/>
          <w:szCs w:val="20"/>
          <w:lang w:val="es-ES"/>
        </w:rPr>
        <w:t>. Ello</w:t>
      </w:r>
      <w:r w:rsidR="00434A77" w:rsidRPr="008A084A">
        <w:rPr>
          <w:rFonts w:ascii="Cambria" w:hAnsi="Cambria"/>
          <w:sz w:val="20"/>
          <w:szCs w:val="20"/>
          <w:lang w:val="es-ES"/>
        </w:rPr>
        <w:t xml:space="preserve"> con base en</w:t>
      </w:r>
      <w:r w:rsidRPr="008A084A">
        <w:rPr>
          <w:rFonts w:ascii="Cambria" w:hAnsi="Cambria"/>
          <w:sz w:val="20"/>
          <w:szCs w:val="20"/>
          <w:lang w:val="es-ES"/>
        </w:rPr>
        <w:t xml:space="preserve"> que la capacidad jurídica adquiere una importancia especial cuando estas personas tienen que tomar decisiones fundamentales con respecto </w:t>
      </w:r>
      <w:r w:rsidR="00434A77" w:rsidRPr="008A084A">
        <w:rPr>
          <w:rFonts w:ascii="Cambria" w:hAnsi="Cambria"/>
          <w:sz w:val="20"/>
          <w:szCs w:val="20"/>
          <w:lang w:val="es-ES"/>
        </w:rPr>
        <w:t>de</w:t>
      </w:r>
      <w:r w:rsidRPr="008A084A">
        <w:rPr>
          <w:rFonts w:ascii="Cambria" w:hAnsi="Cambria"/>
          <w:sz w:val="20"/>
          <w:szCs w:val="20"/>
          <w:lang w:val="es-ES"/>
        </w:rPr>
        <w:t xml:space="preserve"> su salud</w:t>
      </w:r>
      <w:r w:rsidRPr="008A084A">
        <w:rPr>
          <w:rStyle w:val="FootnoteReference"/>
          <w:rFonts w:ascii="Cambria" w:hAnsi="Cambria"/>
          <w:sz w:val="20"/>
          <w:szCs w:val="20"/>
        </w:rPr>
        <w:footnoteReference w:id="318"/>
      </w:r>
      <w:r w:rsidRPr="008A084A">
        <w:rPr>
          <w:rFonts w:ascii="Cambria" w:hAnsi="Cambria"/>
          <w:sz w:val="20"/>
          <w:szCs w:val="20"/>
          <w:lang w:val="es-ES"/>
        </w:rPr>
        <w:t>.</w:t>
      </w:r>
      <w:r w:rsidR="001F4AFC" w:rsidRPr="008A084A">
        <w:rPr>
          <w:rFonts w:ascii="Cambria" w:hAnsi="Cambria"/>
          <w:sz w:val="20"/>
          <w:szCs w:val="20"/>
          <w:lang w:val="es-ES"/>
        </w:rPr>
        <w:t xml:space="preserve"> </w:t>
      </w:r>
      <w:r w:rsidR="001407F5" w:rsidRPr="008A084A">
        <w:rPr>
          <w:rFonts w:ascii="Cambria" w:hAnsi="Cambria"/>
          <w:sz w:val="20"/>
          <w:szCs w:val="20"/>
          <w:lang w:val="es-ES"/>
        </w:rPr>
        <w:t>De este modo, para la CIDH el consentimiento libre e informado es un elemento fundamental para garantizar el derecho a la salud; en particular, en el ámbito de la salud mental las medidas coercitivas perpetúan los desequilibrios de poder en las relaciones entre pacientes y sus cuidadores y facilita situaciones de abuso, estigma y discriminación.</w:t>
      </w:r>
    </w:p>
    <w:p w:rsidR="00243876" w:rsidRPr="008A084A" w:rsidRDefault="00243876" w:rsidP="00243876">
      <w:pPr>
        <w:rPr>
          <w:rFonts w:ascii="Cambria" w:hAnsi="Cambria"/>
          <w:sz w:val="20"/>
          <w:szCs w:val="20"/>
          <w:lang w:val="es-ES"/>
        </w:rPr>
      </w:pPr>
    </w:p>
    <w:p w:rsidR="00243876" w:rsidRPr="008A084A" w:rsidRDefault="00243876" w:rsidP="00243876">
      <w:pPr>
        <w:numPr>
          <w:ilvl w:val="0"/>
          <w:numId w:val="55"/>
        </w:numPr>
        <w:jc w:val="both"/>
        <w:rPr>
          <w:rFonts w:ascii="Cambria" w:hAnsi="Cambria"/>
          <w:sz w:val="20"/>
          <w:szCs w:val="20"/>
          <w:lang w:val="es-ES"/>
        </w:rPr>
      </w:pPr>
      <w:r w:rsidRPr="008A084A">
        <w:rPr>
          <w:rFonts w:ascii="Cambria" w:hAnsi="Cambria"/>
          <w:sz w:val="20"/>
          <w:szCs w:val="20"/>
          <w:lang w:val="es-ES"/>
        </w:rPr>
        <w:t>Asimismo, los Estados deben capacitar al personal de dichas instituciones y proveer una atención inclusiva y que reúna las necesidades específicas de las personas con discapacidad, en donde se tome en cuenta su voluntad</w:t>
      </w:r>
      <w:r w:rsidRPr="008A084A">
        <w:rPr>
          <w:rStyle w:val="FootnoteReference"/>
          <w:rFonts w:ascii="Cambria" w:hAnsi="Cambria"/>
          <w:sz w:val="20"/>
          <w:szCs w:val="20"/>
          <w:lang w:val="es-ES"/>
        </w:rPr>
        <w:footnoteReference w:id="319"/>
      </w:r>
      <w:r w:rsidRPr="008A084A">
        <w:rPr>
          <w:rFonts w:ascii="Cambria" w:hAnsi="Cambria"/>
          <w:sz w:val="20"/>
          <w:szCs w:val="20"/>
          <w:lang w:val="es-ES"/>
        </w:rPr>
        <w:t>. El Comité CDPD ha sostenido que el tratamiento forzoso por parte de profesionales de la psiquiatría y otros profesionales de la salud y la medicina constituye una violación del derecho a la integridad personal</w:t>
      </w:r>
      <w:r w:rsidRPr="008A084A">
        <w:rPr>
          <w:rStyle w:val="FootnoteReference"/>
          <w:rFonts w:ascii="Cambria" w:hAnsi="Cambria"/>
          <w:sz w:val="20"/>
          <w:szCs w:val="20"/>
        </w:rPr>
        <w:footnoteReference w:id="320"/>
      </w:r>
      <w:r w:rsidRPr="008A084A">
        <w:rPr>
          <w:rFonts w:ascii="Cambria" w:hAnsi="Cambria"/>
          <w:sz w:val="20"/>
          <w:szCs w:val="20"/>
          <w:lang w:val="es-ES"/>
        </w:rPr>
        <w:t>. Ello en tanto dicha práctica niega la capacidad jurídica de una persona de elegir el tratamiento médico que ha de recibir</w:t>
      </w:r>
      <w:r w:rsidRPr="008A084A">
        <w:rPr>
          <w:rStyle w:val="FootnoteReference"/>
          <w:rFonts w:ascii="Cambria" w:hAnsi="Cambria"/>
          <w:sz w:val="20"/>
          <w:szCs w:val="20"/>
        </w:rPr>
        <w:footnoteReference w:id="321"/>
      </w:r>
      <w:r w:rsidRPr="008A084A">
        <w:rPr>
          <w:rFonts w:ascii="Cambria" w:hAnsi="Cambria"/>
          <w:sz w:val="20"/>
          <w:szCs w:val="20"/>
          <w:lang w:val="es-ES"/>
        </w:rPr>
        <w:t xml:space="preserve">. </w:t>
      </w:r>
    </w:p>
    <w:p w:rsidR="00671C11" w:rsidRDefault="00671C11" w:rsidP="00243876">
      <w:pPr>
        <w:rPr>
          <w:rFonts w:ascii="Cambria" w:hAnsi="Cambria"/>
          <w:sz w:val="20"/>
          <w:szCs w:val="20"/>
          <w:lang w:val="es-ES"/>
        </w:rPr>
      </w:pPr>
    </w:p>
    <w:p w:rsidR="00243876" w:rsidRPr="008A084A" w:rsidRDefault="00243876" w:rsidP="00243876">
      <w:pPr>
        <w:numPr>
          <w:ilvl w:val="0"/>
          <w:numId w:val="55"/>
        </w:numPr>
        <w:jc w:val="both"/>
        <w:rPr>
          <w:rFonts w:ascii="Cambria" w:hAnsi="Cambria"/>
          <w:sz w:val="20"/>
          <w:szCs w:val="20"/>
          <w:lang w:val="es-ES"/>
        </w:rPr>
      </w:pPr>
      <w:r w:rsidRPr="008A084A">
        <w:rPr>
          <w:rFonts w:ascii="Cambria" w:hAnsi="Cambria"/>
          <w:sz w:val="20"/>
          <w:szCs w:val="20"/>
          <w:lang w:val="es-ES"/>
        </w:rPr>
        <w:t>Debido a ello todo el personal médico y sanitario debe velar por que se efectúe la consulta apropiada directamente con la persona con discapacidad</w:t>
      </w:r>
      <w:r w:rsidRPr="008A084A">
        <w:rPr>
          <w:rStyle w:val="FootnoteReference"/>
          <w:rFonts w:ascii="Cambria" w:hAnsi="Cambria"/>
          <w:sz w:val="20"/>
          <w:szCs w:val="20"/>
        </w:rPr>
        <w:footnoteReference w:id="322"/>
      </w:r>
      <w:r w:rsidRPr="008A084A">
        <w:rPr>
          <w:rFonts w:ascii="Cambria" w:hAnsi="Cambria"/>
          <w:sz w:val="20"/>
          <w:szCs w:val="20"/>
          <w:lang w:val="es-ES"/>
        </w:rPr>
        <w:t>. Ese personal debe garantizar también, en la medida de sus posibilidades, que los asistentes</w:t>
      </w:r>
      <w:r w:rsidR="00543D73" w:rsidRPr="008A084A">
        <w:rPr>
          <w:rFonts w:ascii="Cambria" w:hAnsi="Cambria"/>
          <w:sz w:val="20"/>
          <w:szCs w:val="20"/>
          <w:lang w:val="es-ES"/>
        </w:rPr>
        <w:t xml:space="preserve">, familiares </w:t>
      </w:r>
      <w:r w:rsidRPr="008A084A">
        <w:rPr>
          <w:rFonts w:ascii="Cambria" w:hAnsi="Cambria"/>
          <w:sz w:val="20"/>
          <w:szCs w:val="20"/>
          <w:lang w:val="es-ES"/>
        </w:rPr>
        <w:t>o personas encargadas de prestar apoyo no sustituyan a las personas con discapacidad en sus decisiones ni tengan una influencia indebida sobre ellas</w:t>
      </w:r>
      <w:r w:rsidRPr="008A084A">
        <w:rPr>
          <w:rStyle w:val="FootnoteReference"/>
          <w:rFonts w:ascii="Cambria" w:hAnsi="Cambria"/>
          <w:sz w:val="20"/>
          <w:szCs w:val="20"/>
        </w:rPr>
        <w:footnoteReference w:id="323"/>
      </w:r>
      <w:r w:rsidRPr="008A084A">
        <w:rPr>
          <w:rFonts w:ascii="Cambria" w:hAnsi="Cambria"/>
          <w:sz w:val="20"/>
          <w:szCs w:val="20"/>
          <w:lang w:val="es-ES"/>
        </w:rPr>
        <w:t>. De esta forma, deben asegurar que i) se proporcione información exacta y accesible sobre las opciones de servicios disponibles; ii) se ofrezcan alternativas no médicas; y iii) se proporcione acceso a apoyo independiente</w:t>
      </w:r>
      <w:r w:rsidRPr="008A084A">
        <w:rPr>
          <w:rStyle w:val="FootnoteReference"/>
          <w:rFonts w:ascii="Cambria" w:hAnsi="Cambria"/>
          <w:sz w:val="20"/>
          <w:szCs w:val="20"/>
        </w:rPr>
        <w:footnoteReference w:id="324"/>
      </w:r>
      <w:r w:rsidRPr="008A084A">
        <w:rPr>
          <w:rFonts w:ascii="Cambria" w:hAnsi="Cambria"/>
          <w:sz w:val="20"/>
          <w:szCs w:val="20"/>
          <w:lang w:val="es-ES"/>
        </w:rPr>
        <w:t>.</w:t>
      </w:r>
    </w:p>
    <w:p w:rsidR="00243876" w:rsidRPr="008A084A" w:rsidRDefault="00243876" w:rsidP="003304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A56777" w:rsidRPr="008A084A" w:rsidRDefault="00A56777" w:rsidP="00B329C1">
      <w:pPr>
        <w:pStyle w:val="Heading2"/>
        <w:numPr>
          <w:ilvl w:val="1"/>
          <w:numId w:val="61"/>
        </w:numPr>
        <w:spacing w:before="0" w:after="0"/>
        <w:ind w:firstLine="360"/>
        <w:rPr>
          <w:rFonts w:ascii="Cambria" w:hAnsi="Cambria"/>
          <w:i w:val="0"/>
          <w:sz w:val="20"/>
          <w:szCs w:val="20"/>
          <w:lang w:val="es-ES"/>
        </w:rPr>
      </w:pPr>
      <w:bookmarkStart w:id="34" w:name="_Toc525547514"/>
      <w:r w:rsidRPr="008A084A">
        <w:rPr>
          <w:rFonts w:ascii="Cambria" w:hAnsi="Cambria"/>
          <w:i w:val="0"/>
          <w:sz w:val="20"/>
          <w:szCs w:val="20"/>
          <w:lang w:val="es-ES"/>
        </w:rPr>
        <w:lastRenderedPageBreak/>
        <w:t>Análisis del presente caso</w:t>
      </w:r>
      <w:bookmarkEnd w:id="34"/>
    </w:p>
    <w:p w:rsidR="00A56777" w:rsidRPr="008A084A" w:rsidRDefault="00A56777" w:rsidP="003304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17052C" w:rsidRPr="008A084A" w:rsidRDefault="0017052C" w:rsidP="00B329C1">
      <w:pPr>
        <w:pStyle w:val="BodyTextInden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firstLine="0"/>
        <w:jc w:val="both"/>
        <w:rPr>
          <w:rFonts w:ascii="Cambria" w:hAnsi="Cambria"/>
          <w:b/>
          <w:color w:val="auto"/>
          <w:sz w:val="20"/>
          <w:szCs w:val="20"/>
          <w:lang w:val="es-ES"/>
        </w:rPr>
      </w:pPr>
      <w:r w:rsidRPr="008A084A">
        <w:rPr>
          <w:rFonts w:ascii="Cambria" w:hAnsi="Cambria"/>
          <w:b/>
          <w:color w:val="auto"/>
          <w:sz w:val="20"/>
          <w:szCs w:val="20"/>
          <w:lang w:val="es-ES"/>
        </w:rPr>
        <w:t xml:space="preserve">Sobre </w:t>
      </w:r>
      <w:r w:rsidR="007E61D9" w:rsidRPr="008A084A">
        <w:rPr>
          <w:rFonts w:ascii="Cambria" w:hAnsi="Cambria"/>
          <w:b/>
          <w:color w:val="auto"/>
          <w:sz w:val="20"/>
          <w:szCs w:val="20"/>
          <w:lang w:val="es-ES"/>
        </w:rPr>
        <w:t xml:space="preserve">la </w:t>
      </w:r>
      <w:r w:rsidRPr="008A084A">
        <w:rPr>
          <w:rFonts w:ascii="Cambria" w:hAnsi="Cambria"/>
          <w:b/>
          <w:color w:val="auto"/>
          <w:sz w:val="20"/>
          <w:szCs w:val="20"/>
          <w:lang w:val="es-ES"/>
        </w:rPr>
        <w:t xml:space="preserve"> institucionalización</w:t>
      </w:r>
      <w:r w:rsidR="007E61D9" w:rsidRPr="008A084A">
        <w:rPr>
          <w:rFonts w:ascii="Cambria" w:hAnsi="Cambria"/>
          <w:b/>
          <w:color w:val="auto"/>
          <w:sz w:val="20"/>
          <w:szCs w:val="20"/>
          <w:lang w:val="es-ES"/>
        </w:rPr>
        <w:t xml:space="preserve"> de Luis Guachalá</w:t>
      </w:r>
    </w:p>
    <w:p w:rsidR="0017052C" w:rsidRPr="008A084A" w:rsidRDefault="0017052C" w:rsidP="003304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D4121D" w:rsidRPr="008A084A" w:rsidRDefault="00A56777" w:rsidP="007E61D9">
      <w:pPr>
        <w:numPr>
          <w:ilvl w:val="0"/>
          <w:numId w:val="55"/>
        </w:numPr>
        <w:jc w:val="both"/>
        <w:rPr>
          <w:rFonts w:ascii="Cambria" w:hAnsi="Cambria"/>
          <w:sz w:val="20"/>
          <w:szCs w:val="20"/>
          <w:lang w:val="es-ES"/>
        </w:rPr>
      </w:pPr>
      <w:r w:rsidRPr="008A084A">
        <w:rPr>
          <w:rFonts w:ascii="Cambria" w:hAnsi="Cambria"/>
          <w:sz w:val="20"/>
          <w:szCs w:val="20"/>
          <w:lang w:val="es-ES"/>
        </w:rPr>
        <w:t xml:space="preserve">En el presente caso, la CIDH toma nota de que Luis Guachalá es una persona con discapacidad </w:t>
      </w:r>
      <w:r w:rsidR="00F66F31" w:rsidRPr="008A084A">
        <w:rPr>
          <w:rFonts w:ascii="Cambria" w:hAnsi="Cambria"/>
          <w:sz w:val="20"/>
          <w:szCs w:val="20"/>
          <w:lang w:val="es-ES"/>
        </w:rPr>
        <w:t>mental</w:t>
      </w:r>
      <w:r w:rsidR="00782845" w:rsidRPr="008A084A">
        <w:rPr>
          <w:rFonts w:ascii="Cambria" w:hAnsi="Cambria"/>
          <w:sz w:val="20"/>
          <w:szCs w:val="20"/>
          <w:lang w:val="es-ES"/>
        </w:rPr>
        <w:t>,</w:t>
      </w:r>
      <w:r w:rsidR="00AC3C41" w:rsidRPr="008A084A">
        <w:rPr>
          <w:rFonts w:ascii="Cambria" w:hAnsi="Cambria"/>
          <w:sz w:val="20"/>
          <w:szCs w:val="20"/>
          <w:lang w:val="es-ES"/>
        </w:rPr>
        <w:t xml:space="preserve"> </w:t>
      </w:r>
      <w:r w:rsidR="00B972EA" w:rsidRPr="008A084A">
        <w:rPr>
          <w:rFonts w:ascii="Cambria" w:hAnsi="Cambria"/>
          <w:sz w:val="20"/>
          <w:szCs w:val="20"/>
          <w:lang w:val="es-ES"/>
        </w:rPr>
        <w:t>al tomar</w:t>
      </w:r>
      <w:r w:rsidR="00AC3C41" w:rsidRPr="008A084A">
        <w:rPr>
          <w:rFonts w:ascii="Cambria" w:hAnsi="Cambria"/>
          <w:sz w:val="20"/>
          <w:szCs w:val="20"/>
          <w:lang w:val="es-ES"/>
        </w:rPr>
        <w:t xml:space="preserve"> en cuenta</w:t>
      </w:r>
      <w:r w:rsidR="004713CF" w:rsidRPr="008A084A">
        <w:rPr>
          <w:rFonts w:ascii="Cambria" w:hAnsi="Cambria"/>
          <w:sz w:val="20"/>
          <w:szCs w:val="20"/>
          <w:lang w:val="es-ES"/>
        </w:rPr>
        <w:t>:</w:t>
      </w:r>
      <w:r w:rsidR="00D4121D" w:rsidRPr="008A084A">
        <w:rPr>
          <w:rFonts w:ascii="Cambria" w:hAnsi="Cambria"/>
          <w:sz w:val="20"/>
          <w:szCs w:val="20"/>
          <w:lang w:val="es-ES"/>
        </w:rPr>
        <w:t xml:space="preserve"> i) los informes médicos que identifican una deficiencia mental; y ii) las barreras soci</w:t>
      </w:r>
      <w:r w:rsidR="00471FC6" w:rsidRPr="008A084A">
        <w:rPr>
          <w:rFonts w:ascii="Cambria" w:hAnsi="Cambria"/>
          <w:sz w:val="20"/>
          <w:szCs w:val="20"/>
          <w:lang w:val="es-ES"/>
        </w:rPr>
        <w:t>o</w:t>
      </w:r>
      <w:r w:rsidR="00D4121D" w:rsidRPr="008A084A">
        <w:rPr>
          <w:rFonts w:ascii="Cambria" w:hAnsi="Cambria"/>
          <w:sz w:val="20"/>
          <w:szCs w:val="20"/>
          <w:lang w:val="es-ES"/>
        </w:rPr>
        <w:t xml:space="preserve">económicas a las que se vio enfrentado. </w:t>
      </w:r>
      <w:r w:rsidR="00B972EA" w:rsidRPr="008A084A">
        <w:rPr>
          <w:rFonts w:ascii="Cambria" w:hAnsi="Cambria"/>
          <w:sz w:val="20"/>
          <w:szCs w:val="20"/>
          <w:lang w:val="es-ES"/>
        </w:rPr>
        <w:t>Asimismo, la Comisión nota que el señor Guachalá, quien en la época de los hechos tenía 23 años, fue institucionalizado en el Hospital Psiquiátrico Julio Endara el 10 de enero de 2004. L</w:t>
      </w:r>
      <w:r w:rsidR="003A04E9" w:rsidRPr="008A084A">
        <w:rPr>
          <w:rFonts w:ascii="Cambria" w:hAnsi="Cambria"/>
          <w:sz w:val="20"/>
          <w:szCs w:val="20"/>
          <w:lang w:val="es-ES"/>
        </w:rPr>
        <w:t xml:space="preserve">a CIDH observa que no está en controversia que el señor Guachalá fue </w:t>
      </w:r>
      <w:r w:rsidR="00D32032" w:rsidRPr="008A084A">
        <w:rPr>
          <w:rFonts w:ascii="Cambria" w:hAnsi="Cambria"/>
          <w:sz w:val="20"/>
          <w:szCs w:val="20"/>
          <w:lang w:val="es-ES"/>
        </w:rPr>
        <w:t>internado</w:t>
      </w:r>
      <w:r w:rsidR="003A04E9" w:rsidRPr="008A084A">
        <w:rPr>
          <w:rFonts w:ascii="Cambria" w:hAnsi="Cambria"/>
          <w:sz w:val="20"/>
          <w:szCs w:val="20"/>
          <w:lang w:val="es-ES"/>
        </w:rPr>
        <w:t xml:space="preserve"> sin su consentimiento en tanto se requirió </w:t>
      </w:r>
      <w:r w:rsidR="00D14646" w:rsidRPr="008A084A">
        <w:rPr>
          <w:rFonts w:ascii="Cambria" w:hAnsi="Cambria"/>
          <w:sz w:val="20"/>
          <w:szCs w:val="20"/>
          <w:lang w:val="es-ES"/>
        </w:rPr>
        <w:t xml:space="preserve">para su ingreso </w:t>
      </w:r>
      <w:r w:rsidR="003A04E9" w:rsidRPr="008A084A">
        <w:rPr>
          <w:rFonts w:ascii="Cambria" w:hAnsi="Cambria"/>
          <w:sz w:val="20"/>
          <w:szCs w:val="20"/>
          <w:lang w:val="es-ES"/>
        </w:rPr>
        <w:t>únicamente la firma de su madre, Rosario Chimbó.</w:t>
      </w:r>
    </w:p>
    <w:p w:rsidR="003A04E9" w:rsidRPr="008A084A" w:rsidRDefault="003A04E9" w:rsidP="00C962AB">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 w:val="left" w:pos="1530"/>
          <w:tab w:val="num" w:pos="4770"/>
        </w:tabs>
        <w:autoSpaceDE w:val="0"/>
        <w:autoSpaceDN w:val="0"/>
        <w:adjustRightInd w:val="0"/>
        <w:ind w:left="720" w:firstLine="720"/>
        <w:jc w:val="both"/>
        <w:rPr>
          <w:rFonts w:ascii="Cambria" w:hAnsi="Cambria"/>
          <w:color w:val="auto"/>
          <w:sz w:val="20"/>
          <w:szCs w:val="20"/>
          <w:lang w:val="es-ES"/>
        </w:rPr>
      </w:pPr>
    </w:p>
    <w:p w:rsidR="00493631" w:rsidRPr="008A084A" w:rsidRDefault="003A04E9" w:rsidP="007E61D9">
      <w:pPr>
        <w:numPr>
          <w:ilvl w:val="0"/>
          <w:numId w:val="55"/>
        </w:numPr>
        <w:jc w:val="both"/>
        <w:rPr>
          <w:rFonts w:ascii="Cambria" w:hAnsi="Cambria"/>
          <w:sz w:val="20"/>
          <w:szCs w:val="20"/>
          <w:lang w:val="es-PE"/>
        </w:rPr>
      </w:pPr>
      <w:r w:rsidRPr="008A084A">
        <w:rPr>
          <w:rFonts w:ascii="Cambria" w:hAnsi="Cambria"/>
          <w:sz w:val="20"/>
          <w:szCs w:val="20"/>
          <w:lang w:val="es-ES"/>
        </w:rPr>
        <w:t xml:space="preserve">Al respecto, la CIDH recuerda que en octubre de 2014 el Comité CDPD emitió sus observaciones respecto del informe de Ecuador sobre el cumplimiento de la CDPD. En dicho informe el Comité CDPD identificó que el Estado ecuatoriano mantiene un modelo de sustitución en la toma de decisiones de las personas con discapacidad, </w:t>
      </w:r>
      <w:r w:rsidR="00FF5D34" w:rsidRPr="008A084A">
        <w:rPr>
          <w:rFonts w:ascii="Cambria" w:hAnsi="Cambria"/>
          <w:sz w:val="20"/>
          <w:szCs w:val="20"/>
          <w:lang w:val="es-ES"/>
        </w:rPr>
        <w:t xml:space="preserve">en contravención al artículo 12 de la CDPD que establece el derecho a la capacidad jurídica de las personas con discapacidad. </w:t>
      </w:r>
      <w:r w:rsidR="00493631" w:rsidRPr="008A084A">
        <w:rPr>
          <w:rFonts w:ascii="Cambria" w:hAnsi="Cambria"/>
          <w:sz w:val="20"/>
          <w:szCs w:val="20"/>
          <w:lang w:val="es-ES"/>
        </w:rPr>
        <w:t xml:space="preserve">El Comité CDPD indicó que solicitó información al Estado sobre la existencia de una iniciativa para </w:t>
      </w:r>
      <w:r w:rsidR="00493631" w:rsidRPr="008A084A">
        <w:rPr>
          <w:rFonts w:ascii="Cambria" w:hAnsi="Cambria"/>
          <w:sz w:val="20"/>
          <w:szCs w:val="20"/>
          <w:lang w:val="es-PE"/>
        </w:rPr>
        <w:t>para transformar el modelo de sustitución en la toma de decisiones por el sistema de apoyo en la toma de decisiones; sin embargo; Ecuador no presentó información al respecto</w:t>
      </w:r>
      <w:r w:rsidR="00493631" w:rsidRPr="008A084A">
        <w:rPr>
          <w:rStyle w:val="FootnoteReference"/>
          <w:rFonts w:ascii="Cambria" w:hAnsi="Cambria"/>
          <w:sz w:val="20"/>
          <w:szCs w:val="20"/>
        </w:rPr>
        <w:footnoteReference w:id="325"/>
      </w:r>
      <w:r w:rsidR="00493631" w:rsidRPr="008A084A">
        <w:rPr>
          <w:rFonts w:ascii="Cambria" w:hAnsi="Cambria"/>
          <w:sz w:val="20"/>
          <w:szCs w:val="20"/>
          <w:lang w:val="es-PE"/>
        </w:rPr>
        <w:t>.</w:t>
      </w:r>
    </w:p>
    <w:p w:rsidR="00493631" w:rsidRPr="008A084A" w:rsidRDefault="00493631" w:rsidP="00C962AB">
      <w:pPr>
        <w:pStyle w:val="ColorfulList-Accent11"/>
        <w:tabs>
          <w:tab w:val="num" w:pos="1429"/>
          <w:tab w:val="left" w:pos="1530"/>
        </w:tabs>
        <w:ind w:left="0" w:firstLine="720"/>
        <w:rPr>
          <w:rFonts w:ascii="Cambria" w:hAnsi="Cambria"/>
          <w:sz w:val="20"/>
          <w:szCs w:val="20"/>
          <w:lang w:val="es-ES"/>
        </w:rPr>
      </w:pPr>
    </w:p>
    <w:p w:rsidR="003A04E9" w:rsidRPr="008A084A" w:rsidRDefault="00FF5D34" w:rsidP="007E61D9">
      <w:pPr>
        <w:numPr>
          <w:ilvl w:val="0"/>
          <w:numId w:val="55"/>
        </w:numPr>
        <w:jc w:val="both"/>
        <w:rPr>
          <w:rFonts w:ascii="Cambria" w:hAnsi="Cambria"/>
          <w:sz w:val="20"/>
          <w:szCs w:val="20"/>
          <w:lang w:val="es-ES"/>
        </w:rPr>
      </w:pPr>
      <w:r w:rsidRPr="008A084A">
        <w:rPr>
          <w:rFonts w:ascii="Cambria" w:hAnsi="Cambria"/>
          <w:sz w:val="20"/>
          <w:szCs w:val="20"/>
          <w:lang w:val="es-ES"/>
        </w:rPr>
        <w:t>El Comité CDPD agregó lo siguiente:</w:t>
      </w:r>
      <w:r w:rsidR="003A04E9" w:rsidRPr="008A084A">
        <w:rPr>
          <w:rFonts w:ascii="Cambria" w:hAnsi="Cambria"/>
          <w:sz w:val="20"/>
          <w:szCs w:val="20"/>
          <w:lang w:val="es-ES"/>
        </w:rPr>
        <w:t xml:space="preserve"> </w:t>
      </w:r>
    </w:p>
    <w:p w:rsidR="00FF5D34" w:rsidRPr="008A084A" w:rsidRDefault="00FF5D34" w:rsidP="00FF1817">
      <w:pPr>
        <w:jc w:val="both"/>
        <w:rPr>
          <w:rFonts w:ascii="Cambria" w:hAnsi="Cambria"/>
          <w:sz w:val="20"/>
          <w:szCs w:val="20"/>
          <w:lang w:val="es-ES"/>
        </w:rPr>
      </w:pPr>
    </w:p>
    <w:p w:rsidR="00FF5D34" w:rsidRPr="008A084A" w:rsidRDefault="00FF5D34" w:rsidP="00FF5D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r w:rsidRPr="008A084A">
        <w:rPr>
          <w:rFonts w:ascii="Cambria" w:hAnsi="Cambria"/>
          <w:color w:val="auto"/>
          <w:sz w:val="20"/>
          <w:szCs w:val="20"/>
        </w:rPr>
        <w:t>Preocupa al Comité que la Ley Orgánica de Discapacidades, a pesar de haber sido publicada con posterioridad a la ratificación de la Convención por el Estado parte, conserva todavía una definición y una aproximación a la discapacidad desde un enfoque médico. La definición de persona con discapacidad enfatiza la restricción de capacidades y soslaya la dimensión social y relacional de la discapacidad</w:t>
      </w:r>
      <w:r w:rsidRPr="008A084A">
        <w:rPr>
          <w:rStyle w:val="FootnoteReference"/>
          <w:rFonts w:ascii="Cambria" w:hAnsi="Cambria"/>
          <w:color w:val="auto"/>
          <w:sz w:val="20"/>
          <w:szCs w:val="20"/>
        </w:rPr>
        <w:footnoteReference w:id="326"/>
      </w:r>
      <w:r w:rsidRPr="008A084A">
        <w:rPr>
          <w:rFonts w:ascii="Cambria" w:hAnsi="Cambria"/>
          <w:color w:val="auto"/>
          <w:sz w:val="20"/>
          <w:szCs w:val="20"/>
        </w:rPr>
        <w:t>.</w:t>
      </w:r>
    </w:p>
    <w:p w:rsidR="00FF5D34" w:rsidRPr="008A084A" w:rsidRDefault="00FF5D34" w:rsidP="00FF5D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r w:rsidRPr="008A084A">
        <w:rPr>
          <w:rFonts w:ascii="Cambria" w:hAnsi="Cambria"/>
          <w:color w:val="auto"/>
          <w:sz w:val="20"/>
          <w:szCs w:val="20"/>
        </w:rPr>
        <w:t>(…)</w:t>
      </w:r>
    </w:p>
    <w:p w:rsidR="00FF5D34" w:rsidRPr="008A084A" w:rsidRDefault="00FF5D34" w:rsidP="00FF5D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s-ES"/>
        </w:rPr>
      </w:pPr>
      <w:r w:rsidRPr="008A084A">
        <w:rPr>
          <w:rFonts w:ascii="Cambria" w:hAnsi="Cambria"/>
          <w:color w:val="auto"/>
          <w:sz w:val="20"/>
          <w:szCs w:val="20"/>
        </w:rPr>
        <w:t>Preocupa al Comité que la legislación civil del Estado parte prevea el modelo de sustitución de la voluntad mediante la incorporación de figuras como la tutela y la curatela y que no exista un programa inmediato para reformar el Código Civil y el Código de Procedimientos Civiles a efecto de incorporar el modelo de toma de decisiones con apoyo (…)</w:t>
      </w:r>
      <w:r w:rsidRPr="008A084A">
        <w:rPr>
          <w:rStyle w:val="FootnoteReference"/>
          <w:rFonts w:ascii="Cambria" w:hAnsi="Cambria"/>
          <w:color w:val="auto"/>
          <w:sz w:val="20"/>
          <w:szCs w:val="20"/>
        </w:rPr>
        <w:footnoteReference w:id="327"/>
      </w:r>
      <w:r w:rsidRPr="008A084A">
        <w:rPr>
          <w:rFonts w:ascii="Cambria" w:hAnsi="Cambria"/>
          <w:color w:val="auto"/>
          <w:sz w:val="20"/>
          <w:szCs w:val="20"/>
        </w:rPr>
        <w:t>.</w:t>
      </w:r>
    </w:p>
    <w:p w:rsidR="00FF5D34" w:rsidRPr="008A084A" w:rsidRDefault="00FF5D34" w:rsidP="00FF1817">
      <w:pPr>
        <w:jc w:val="both"/>
        <w:rPr>
          <w:rFonts w:ascii="Cambria" w:hAnsi="Cambria"/>
          <w:sz w:val="20"/>
          <w:szCs w:val="20"/>
          <w:lang w:val="es-ES"/>
        </w:rPr>
      </w:pPr>
    </w:p>
    <w:p w:rsidR="00FF5D34" w:rsidRPr="008A084A" w:rsidRDefault="00FF5D34" w:rsidP="007E61D9">
      <w:pPr>
        <w:numPr>
          <w:ilvl w:val="0"/>
          <w:numId w:val="55"/>
        </w:numPr>
        <w:jc w:val="both"/>
        <w:rPr>
          <w:rFonts w:ascii="Cambria" w:hAnsi="Cambria"/>
          <w:sz w:val="20"/>
          <w:szCs w:val="20"/>
          <w:lang w:val="es-ES"/>
        </w:rPr>
      </w:pPr>
      <w:r w:rsidRPr="008A084A">
        <w:rPr>
          <w:rFonts w:ascii="Cambria" w:hAnsi="Cambria"/>
          <w:sz w:val="20"/>
          <w:szCs w:val="20"/>
          <w:lang w:val="es-ES"/>
        </w:rPr>
        <w:t xml:space="preserve">Adicionalmente, el Comité CDPD concluyó </w:t>
      </w:r>
      <w:r w:rsidR="003D64B2" w:rsidRPr="008A084A">
        <w:rPr>
          <w:rFonts w:ascii="Cambria" w:hAnsi="Cambria"/>
          <w:sz w:val="20"/>
          <w:szCs w:val="20"/>
          <w:lang w:val="es-ES"/>
        </w:rPr>
        <w:t>que personas con discapacidad</w:t>
      </w:r>
      <w:r w:rsidR="00087F71" w:rsidRPr="008A084A">
        <w:rPr>
          <w:rFonts w:ascii="Cambria" w:hAnsi="Cambria"/>
          <w:sz w:val="20"/>
          <w:szCs w:val="20"/>
          <w:lang w:val="es-ES"/>
        </w:rPr>
        <w:t xml:space="preserve">, </w:t>
      </w:r>
      <w:r w:rsidR="00087F71" w:rsidRPr="008A084A">
        <w:rPr>
          <w:rFonts w:ascii="Cambria" w:hAnsi="Cambria"/>
          <w:sz w:val="20"/>
          <w:szCs w:val="20"/>
          <w:lang w:val="es-PE"/>
        </w:rPr>
        <w:t>calificadas como “casos oligofrénicos de gravedad y de cronicidad”,</w:t>
      </w:r>
      <w:r w:rsidR="003D64B2" w:rsidRPr="008A084A">
        <w:rPr>
          <w:rFonts w:ascii="Cambria" w:hAnsi="Cambria"/>
          <w:sz w:val="20"/>
          <w:szCs w:val="20"/>
          <w:lang w:val="es-ES"/>
        </w:rPr>
        <w:t xml:space="preserve"> </w:t>
      </w:r>
      <w:r w:rsidR="00087F71" w:rsidRPr="008A084A">
        <w:rPr>
          <w:rFonts w:ascii="Cambria" w:hAnsi="Cambria"/>
          <w:sz w:val="20"/>
          <w:szCs w:val="20"/>
          <w:lang w:val="es-ES"/>
        </w:rPr>
        <w:t xml:space="preserve">son </w:t>
      </w:r>
      <w:r w:rsidR="003D64B2" w:rsidRPr="008A084A">
        <w:rPr>
          <w:rFonts w:ascii="Cambria" w:hAnsi="Cambria"/>
          <w:sz w:val="20"/>
          <w:szCs w:val="20"/>
          <w:lang w:val="es-ES"/>
        </w:rPr>
        <w:t xml:space="preserve">institucionalizadas en el Hospital Psiquiátrico Julio Endara </w:t>
      </w:r>
      <w:r w:rsidR="00087F71" w:rsidRPr="008A084A">
        <w:rPr>
          <w:rFonts w:ascii="Cambria" w:hAnsi="Cambria"/>
          <w:sz w:val="20"/>
          <w:szCs w:val="20"/>
          <w:lang w:val="es-ES"/>
        </w:rPr>
        <w:t>con carácter permanente y sin que se adopten apoyos necesarios para que vivan en la comunidad</w:t>
      </w:r>
      <w:r w:rsidR="00087F71" w:rsidRPr="008A084A">
        <w:rPr>
          <w:rStyle w:val="FootnoteReference"/>
          <w:rFonts w:ascii="Cambria" w:hAnsi="Cambria"/>
          <w:sz w:val="20"/>
          <w:szCs w:val="20"/>
        </w:rPr>
        <w:footnoteReference w:id="328"/>
      </w:r>
      <w:r w:rsidR="00087F71" w:rsidRPr="008A084A">
        <w:rPr>
          <w:rFonts w:ascii="Cambria" w:hAnsi="Cambria"/>
          <w:sz w:val="20"/>
          <w:szCs w:val="20"/>
          <w:lang w:val="es-ES"/>
        </w:rPr>
        <w:t>. La Comisión observa que el propio Estado reconoció la existencia de dicha situación al señalar lo siguiente:</w:t>
      </w:r>
    </w:p>
    <w:p w:rsidR="00686757" w:rsidRDefault="00686757" w:rsidP="00087F7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p>
    <w:p w:rsidR="00087F71" w:rsidRDefault="00087F71" w:rsidP="00087F7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r w:rsidRPr="008A084A">
        <w:rPr>
          <w:rFonts w:ascii="Cambria" w:hAnsi="Cambria"/>
          <w:color w:val="auto"/>
          <w:sz w:val="20"/>
          <w:szCs w:val="20"/>
        </w:rPr>
        <w:t>Las personas con discapacidad mental que se encuentran institucionalizadas, corresponden a una minoría que responde a condiciones de abandono familiar y a casos de gravedad y cronicidad perfectamente apegados a los protocolos de atención de salud mental</w:t>
      </w:r>
      <w:r w:rsidRPr="008A084A">
        <w:rPr>
          <w:rStyle w:val="FootnoteReference"/>
          <w:rFonts w:ascii="Cambria" w:hAnsi="Cambria"/>
          <w:color w:val="auto"/>
          <w:sz w:val="20"/>
          <w:szCs w:val="20"/>
        </w:rPr>
        <w:footnoteReference w:id="329"/>
      </w:r>
      <w:r w:rsidRPr="008A084A">
        <w:rPr>
          <w:rFonts w:ascii="Cambria" w:hAnsi="Cambria"/>
          <w:color w:val="auto"/>
          <w:sz w:val="20"/>
          <w:szCs w:val="20"/>
        </w:rPr>
        <w:t>.</w:t>
      </w:r>
    </w:p>
    <w:p w:rsidR="00686757" w:rsidRPr="008A084A" w:rsidRDefault="00686757" w:rsidP="00087F7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s-ES"/>
        </w:rPr>
      </w:pPr>
    </w:p>
    <w:p w:rsidR="00C265BB" w:rsidRPr="008A084A" w:rsidRDefault="003C0AEE" w:rsidP="00C265BB">
      <w:pPr>
        <w:numPr>
          <w:ilvl w:val="0"/>
          <w:numId w:val="55"/>
        </w:numPr>
        <w:jc w:val="both"/>
        <w:rPr>
          <w:rFonts w:ascii="Cambria" w:hAnsi="Cambria"/>
          <w:sz w:val="20"/>
          <w:szCs w:val="20"/>
          <w:lang w:val="es-ES"/>
        </w:rPr>
      </w:pPr>
      <w:r w:rsidRPr="008A084A">
        <w:rPr>
          <w:rFonts w:ascii="Cambria" w:hAnsi="Cambria"/>
          <w:sz w:val="20"/>
          <w:szCs w:val="20"/>
          <w:lang w:val="es-ES"/>
        </w:rPr>
        <w:t xml:space="preserve">En el presente caso, la institucionalización del señor Guachalá en el Hospital Psiquiátrico Julio Endara el 10 de enero de 2004 se realizó con la autorización de su madre y en función de la evaluación realizada por las autoridades del hospital acerca de las posibles consecuencias de su discapacidad cognitiva o </w:t>
      </w:r>
      <w:r w:rsidRPr="008A084A">
        <w:rPr>
          <w:rFonts w:ascii="Cambria" w:hAnsi="Cambria"/>
          <w:sz w:val="20"/>
          <w:szCs w:val="20"/>
          <w:lang w:val="es-ES"/>
        </w:rPr>
        <w:lastRenderedPageBreak/>
        <w:t>psicosocial. La CIDH observa que en ningún momento el señor Guachalá brindó su consentimiento</w:t>
      </w:r>
      <w:r w:rsidR="00B21DD7" w:rsidRPr="008A084A">
        <w:rPr>
          <w:rFonts w:ascii="Cambria" w:hAnsi="Cambria"/>
          <w:sz w:val="20"/>
          <w:szCs w:val="20"/>
          <w:lang w:val="es-ES"/>
        </w:rPr>
        <w:t xml:space="preserve"> </w:t>
      </w:r>
      <w:r w:rsidR="0083606B" w:rsidRPr="008A084A">
        <w:rPr>
          <w:rFonts w:ascii="Cambria" w:hAnsi="Cambria"/>
          <w:sz w:val="20"/>
          <w:szCs w:val="20"/>
          <w:lang w:val="es-ES"/>
        </w:rPr>
        <w:t xml:space="preserve">informado </w:t>
      </w:r>
      <w:r w:rsidR="00B21DD7" w:rsidRPr="008A084A">
        <w:rPr>
          <w:rFonts w:ascii="Cambria" w:hAnsi="Cambria"/>
          <w:sz w:val="20"/>
          <w:szCs w:val="20"/>
          <w:lang w:val="es-ES"/>
        </w:rPr>
        <w:t>a efectos de ser internado en dicho hospital. Ello no ha sido controvertido por el Estado.</w:t>
      </w:r>
      <w:r w:rsidR="0083606B" w:rsidRPr="008A084A">
        <w:rPr>
          <w:rFonts w:ascii="Cambria" w:hAnsi="Cambria"/>
          <w:sz w:val="20"/>
          <w:szCs w:val="20"/>
          <w:lang w:val="es-ES"/>
        </w:rPr>
        <w:t xml:space="preserve"> De la información disponible en el expediente no surge</w:t>
      </w:r>
      <w:r w:rsidR="00E376CA" w:rsidRPr="008A084A">
        <w:rPr>
          <w:rFonts w:ascii="Cambria" w:hAnsi="Cambria"/>
          <w:sz w:val="20"/>
          <w:szCs w:val="20"/>
          <w:lang w:val="es-ES"/>
        </w:rPr>
        <w:t xml:space="preserve"> valoración alguna sobre las razones por las cuales </w:t>
      </w:r>
      <w:r w:rsidR="0090304F" w:rsidRPr="008A084A">
        <w:rPr>
          <w:rFonts w:ascii="Cambria" w:hAnsi="Cambria"/>
          <w:sz w:val="20"/>
          <w:szCs w:val="20"/>
          <w:lang w:val="es-ES"/>
        </w:rPr>
        <w:t xml:space="preserve">no fue posible obtener el consentimiento informado del señor Guachalá sobre su internamiento. Tampoco surge información </w:t>
      </w:r>
      <w:proofErr w:type="gramStart"/>
      <w:r w:rsidR="0090304F" w:rsidRPr="008A084A">
        <w:rPr>
          <w:rFonts w:ascii="Cambria" w:hAnsi="Cambria"/>
          <w:sz w:val="20"/>
          <w:szCs w:val="20"/>
          <w:lang w:val="es-ES"/>
        </w:rPr>
        <w:t>alguna</w:t>
      </w:r>
      <w:proofErr w:type="gramEnd"/>
      <w:r w:rsidR="0090304F" w:rsidRPr="008A084A">
        <w:rPr>
          <w:rFonts w:ascii="Cambria" w:hAnsi="Cambria"/>
          <w:sz w:val="20"/>
          <w:szCs w:val="20"/>
          <w:lang w:val="es-ES"/>
        </w:rPr>
        <w:t xml:space="preserve"> sobre, ante eventuales dificultades derivadas de los síntomas con los que llegó al centro, las medidas adoptadas para procurar brindarle los apoyos necesarios para que pudiera dar dicho consentimiento. </w:t>
      </w:r>
      <w:r w:rsidR="00ED71B7" w:rsidRPr="008A084A">
        <w:rPr>
          <w:rFonts w:ascii="Cambria" w:hAnsi="Cambria"/>
          <w:sz w:val="20"/>
          <w:szCs w:val="20"/>
          <w:lang w:val="es-ES"/>
        </w:rPr>
        <w:t>Por el contrario, del expediente médico se desprende que el personal del Hospital procedió a sedar totalmente al señor Guachalá, aspecto que será analizado a continuación en lo relativo el tratamiento médico recibido.</w:t>
      </w:r>
    </w:p>
    <w:p w:rsidR="00C265BB" w:rsidRPr="008A084A" w:rsidRDefault="00C265BB" w:rsidP="00A16BA4">
      <w:pPr>
        <w:ind w:left="720"/>
        <w:jc w:val="both"/>
        <w:rPr>
          <w:rFonts w:ascii="Cambria" w:hAnsi="Cambria"/>
          <w:sz w:val="20"/>
          <w:szCs w:val="20"/>
          <w:lang w:val="es-ES"/>
        </w:rPr>
      </w:pPr>
    </w:p>
    <w:p w:rsidR="00E96766" w:rsidRPr="008A084A" w:rsidRDefault="00E96766" w:rsidP="00E96766">
      <w:pPr>
        <w:numPr>
          <w:ilvl w:val="0"/>
          <w:numId w:val="55"/>
        </w:numPr>
        <w:jc w:val="both"/>
        <w:rPr>
          <w:rFonts w:ascii="Cambria" w:hAnsi="Cambria"/>
          <w:sz w:val="20"/>
          <w:szCs w:val="20"/>
          <w:lang w:val="es-ES"/>
        </w:rPr>
      </w:pPr>
      <w:r w:rsidRPr="008A084A">
        <w:rPr>
          <w:rFonts w:ascii="Cambria" w:hAnsi="Cambria"/>
          <w:sz w:val="20"/>
          <w:szCs w:val="20"/>
          <w:lang w:val="es-ES"/>
        </w:rPr>
        <w:t>Asimismo, la CIDH subraya que “si bien algunas formas de internamiento, como la retención en hospitales y en centros psiquiátricos y otros centros médicos, pueden constituir en la práctica una privación de libertad, virtualmente todas las formas de internamiento que se producen sin el consentimiento informado de la persona representan una vulneración del derecho a la salud”</w:t>
      </w:r>
      <w:r w:rsidRPr="008A084A">
        <w:rPr>
          <w:rStyle w:val="FootnoteReference"/>
          <w:rFonts w:ascii="Cambria" w:hAnsi="Cambria"/>
          <w:sz w:val="20"/>
          <w:szCs w:val="20"/>
          <w:lang w:val="es-ES"/>
        </w:rPr>
        <w:footnoteReference w:id="330"/>
      </w:r>
      <w:r w:rsidRPr="008A084A">
        <w:rPr>
          <w:rFonts w:ascii="Cambria" w:hAnsi="Cambria"/>
          <w:sz w:val="20"/>
          <w:szCs w:val="20"/>
          <w:lang w:val="es-ES"/>
        </w:rPr>
        <w:t>. Esto debido a que los centros de reclusión e internamiento en general no son considerados entornos terapéuticos adecuados por dificultar el establecimiento de relaciones no violentas, respetuosas y saludables y por afectar los factores determinantes básicos y sociales de la salud mental como es el entorno físico, psicosocial, político y económico</w:t>
      </w:r>
      <w:r w:rsidRPr="008A084A">
        <w:rPr>
          <w:rStyle w:val="FootnoteReference"/>
          <w:rFonts w:ascii="Cambria" w:hAnsi="Cambria"/>
          <w:sz w:val="20"/>
          <w:szCs w:val="20"/>
          <w:lang w:val="es-ES"/>
        </w:rPr>
        <w:footnoteReference w:id="331"/>
      </w:r>
      <w:r w:rsidRPr="008A084A">
        <w:rPr>
          <w:rFonts w:ascii="Cambria" w:hAnsi="Cambria"/>
          <w:sz w:val="20"/>
          <w:szCs w:val="20"/>
          <w:lang w:val="es-ES"/>
        </w:rPr>
        <w:t>.</w:t>
      </w:r>
      <w:r w:rsidRPr="008A084A">
        <w:rPr>
          <w:lang w:val="es-PE"/>
        </w:rPr>
        <w:t xml:space="preserve"> </w:t>
      </w:r>
      <w:r w:rsidRPr="008A084A">
        <w:rPr>
          <w:rFonts w:ascii="Cambria" w:hAnsi="Cambria"/>
          <w:sz w:val="20"/>
          <w:szCs w:val="20"/>
          <w:lang w:val="es-ES"/>
        </w:rPr>
        <w:t>Asimismo, la CIDH observa que la actuación del centro médico estuvo influenciado por estereotipos sobre las personas con discapacidad mental para decidir autónomamente respecto de su propia salud, el internamiento y medicación realizadas sin su consentimiento son expresiones claras del predominio de tratamientos discriminatorios en los servicios de salud mental que privan a las personas con algún tipo de discapacidad mental de poder decidir sobre su propio cuerpo y salud.</w:t>
      </w:r>
      <w:r w:rsidRPr="008A084A">
        <w:rPr>
          <w:lang w:val="es-PE"/>
        </w:rPr>
        <w:t xml:space="preserve"> </w:t>
      </w:r>
    </w:p>
    <w:p w:rsidR="00B21DD7" w:rsidRPr="008A084A" w:rsidRDefault="00B21DD7" w:rsidP="00A16BA4">
      <w:pPr>
        <w:ind w:left="720"/>
        <w:jc w:val="both"/>
        <w:rPr>
          <w:lang w:val="es-ES"/>
        </w:rPr>
      </w:pPr>
    </w:p>
    <w:p w:rsidR="00B21DD7" w:rsidRPr="008A084A" w:rsidRDefault="00492923" w:rsidP="007E61D9">
      <w:pPr>
        <w:numPr>
          <w:ilvl w:val="0"/>
          <w:numId w:val="55"/>
        </w:numPr>
        <w:jc w:val="both"/>
        <w:rPr>
          <w:rFonts w:ascii="Cambria" w:hAnsi="Cambria"/>
          <w:sz w:val="20"/>
          <w:szCs w:val="20"/>
          <w:lang w:val="es-ES"/>
        </w:rPr>
      </w:pPr>
      <w:r w:rsidRPr="008A084A">
        <w:rPr>
          <w:rFonts w:ascii="Cambria" w:hAnsi="Cambria"/>
          <w:sz w:val="20"/>
          <w:szCs w:val="20"/>
          <w:lang w:val="es-ES"/>
        </w:rPr>
        <w:t>En este punto y específicamente sobre la institucionalización, l</w:t>
      </w:r>
      <w:r w:rsidR="00B21DD7" w:rsidRPr="008A084A">
        <w:rPr>
          <w:rFonts w:ascii="Cambria" w:hAnsi="Cambria"/>
          <w:sz w:val="20"/>
          <w:szCs w:val="20"/>
          <w:lang w:val="es-ES"/>
        </w:rPr>
        <w:t>a Comisión considera</w:t>
      </w:r>
      <w:r w:rsidR="00A018FC" w:rsidRPr="008A084A">
        <w:rPr>
          <w:rFonts w:ascii="Cambria" w:hAnsi="Cambria"/>
          <w:sz w:val="20"/>
          <w:szCs w:val="20"/>
          <w:lang w:val="es-ES"/>
        </w:rPr>
        <w:t xml:space="preserve"> que la situación del señor Guachalá se enmarca dentro</w:t>
      </w:r>
      <w:r w:rsidR="004F307D" w:rsidRPr="008A084A">
        <w:rPr>
          <w:rFonts w:ascii="Cambria" w:hAnsi="Cambria"/>
          <w:sz w:val="20"/>
          <w:szCs w:val="20"/>
          <w:lang w:val="es-ES"/>
        </w:rPr>
        <w:t xml:space="preserve"> la problemática identificada</w:t>
      </w:r>
      <w:r w:rsidR="00A37FF2" w:rsidRPr="008A084A">
        <w:rPr>
          <w:rFonts w:ascii="Cambria" w:hAnsi="Cambria"/>
          <w:sz w:val="20"/>
          <w:szCs w:val="20"/>
          <w:lang w:val="es-ES"/>
        </w:rPr>
        <w:t xml:space="preserve"> </w:t>
      </w:r>
      <w:r w:rsidR="004F307D" w:rsidRPr="008A084A">
        <w:rPr>
          <w:rFonts w:ascii="Cambria" w:hAnsi="Cambria"/>
          <w:sz w:val="20"/>
          <w:szCs w:val="20"/>
          <w:lang w:val="es-ES"/>
        </w:rPr>
        <w:t>por el</w:t>
      </w:r>
      <w:r w:rsidR="00A37FF2" w:rsidRPr="008A084A">
        <w:rPr>
          <w:rFonts w:ascii="Cambria" w:hAnsi="Cambria"/>
          <w:sz w:val="20"/>
          <w:szCs w:val="20"/>
          <w:lang w:val="es-ES"/>
        </w:rPr>
        <w:t xml:space="preserve"> Comité CDPD sobre la </w:t>
      </w:r>
      <w:r w:rsidR="004F307D" w:rsidRPr="008A084A">
        <w:rPr>
          <w:rFonts w:ascii="Cambria" w:hAnsi="Cambria"/>
          <w:sz w:val="20"/>
          <w:szCs w:val="20"/>
          <w:lang w:val="es-ES"/>
        </w:rPr>
        <w:t>existencia del modelo de sustitución en la toma de decisiones y la institucionalización de personas con discapacidad sin su consentimiento</w:t>
      </w:r>
      <w:r w:rsidR="003336FD" w:rsidRPr="008A084A">
        <w:rPr>
          <w:rFonts w:ascii="Cambria" w:hAnsi="Cambria"/>
          <w:sz w:val="20"/>
          <w:szCs w:val="20"/>
          <w:lang w:val="es-ES"/>
        </w:rPr>
        <w:t xml:space="preserve"> en centros de salud mental</w:t>
      </w:r>
      <w:r w:rsidR="00F74B2C" w:rsidRPr="008A084A">
        <w:rPr>
          <w:rFonts w:ascii="Cambria" w:hAnsi="Cambria"/>
          <w:sz w:val="20"/>
          <w:szCs w:val="20"/>
          <w:lang w:val="es-ES"/>
        </w:rPr>
        <w:t xml:space="preserve"> y sin brindarles las apoyos necesarios para que puedan otorga</w:t>
      </w:r>
      <w:r w:rsidR="00F21ECC" w:rsidRPr="008A084A">
        <w:rPr>
          <w:rFonts w:ascii="Cambria" w:hAnsi="Cambria"/>
          <w:sz w:val="20"/>
          <w:szCs w:val="20"/>
          <w:lang w:val="es-ES"/>
        </w:rPr>
        <w:t>r</w:t>
      </w:r>
      <w:r w:rsidR="00F74B2C" w:rsidRPr="008A084A">
        <w:rPr>
          <w:rFonts w:ascii="Cambria" w:hAnsi="Cambria"/>
          <w:sz w:val="20"/>
          <w:szCs w:val="20"/>
          <w:lang w:val="es-ES"/>
        </w:rPr>
        <w:t>lo.</w:t>
      </w:r>
      <w:r w:rsidR="00A37FF2" w:rsidRPr="008A084A">
        <w:rPr>
          <w:rFonts w:ascii="Cambria" w:hAnsi="Cambria"/>
          <w:sz w:val="20"/>
          <w:szCs w:val="20"/>
          <w:lang w:val="es-ES"/>
        </w:rPr>
        <w:t xml:space="preserve"> En ese</w:t>
      </w:r>
      <w:r w:rsidR="004F307D" w:rsidRPr="008A084A">
        <w:rPr>
          <w:rFonts w:ascii="Cambria" w:hAnsi="Cambria"/>
          <w:sz w:val="20"/>
          <w:szCs w:val="20"/>
          <w:lang w:val="es-ES"/>
        </w:rPr>
        <w:t xml:space="preserve"> sentido, la CIDH considera que el Estado no permitió al señor Guachalá que ejerza su derecho a la capacidad jurídica a efectos de decidir sobre su ingreso al hospital psiquiátrico</w:t>
      </w:r>
      <w:r w:rsidR="001B17B8" w:rsidRPr="008A084A">
        <w:rPr>
          <w:rFonts w:ascii="Cambria" w:hAnsi="Cambria"/>
          <w:sz w:val="20"/>
          <w:szCs w:val="20"/>
          <w:lang w:val="es-ES"/>
        </w:rPr>
        <w:t xml:space="preserve">, debido a que no </w:t>
      </w:r>
      <w:r w:rsidR="004F307D" w:rsidRPr="008A084A">
        <w:rPr>
          <w:rFonts w:ascii="Cambria" w:hAnsi="Cambria"/>
          <w:sz w:val="20"/>
          <w:szCs w:val="20"/>
          <w:lang w:val="es-ES"/>
        </w:rPr>
        <w:t>proveyó al señor Guachalá los apoyos necesarios</w:t>
      </w:r>
      <w:r w:rsidR="003336FD" w:rsidRPr="008A084A">
        <w:rPr>
          <w:rFonts w:ascii="Cambria" w:hAnsi="Cambria"/>
          <w:sz w:val="20"/>
          <w:szCs w:val="20"/>
          <w:lang w:val="es-ES"/>
        </w:rPr>
        <w:t xml:space="preserve"> para garantizar dicho derecho</w:t>
      </w:r>
      <w:r w:rsidRPr="008A084A">
        <w:rPr>
          <w:rFonts w:ascii="Cambria" w:hAnsi="Cambria"/>
          <w:sz w:val="20"/>
          <w:szCs w:val="20"/>
          <w:lang w:val="es-ES"/>
        </w:rPr>
        <w:t xml:space="preserve"> y que pudiera brindar su consentimiento informado respecto de su internamiento en el Hospital Psiquiátrico Julio Endara.</w:t>
      </w:r>
      <w:r w:rsidR="003336FD" w:rsidRPr="008A084A">
        <w:rPr>
          <w:rFonts w:ascii="Cambria" w:hAnsi="Cambria"/>
          <w:sz w:val="20"/>
          <w:szCs w:val="20"/>
          <w:lang w:val="es-ES"/>
        </w:rPr>
        <w:t xml:space="preserve"> Por el contrario, Ecuador restringió el derecho del señor Guachalá a decidir sobre su institucionalización basándose exclusivamente en su discapacidad</w:t>
      </w:r>
      <w:r w:rsidR="005C005B" w:rsidRPr="008A084A">
        <w:rPr>
          <w:rFonts w:ascii="Cambria" w:hAnsi="Cambria"/>
          <w:sz w:val="20"/>
          <w:szCs w:val="20"/>
          <w:lang w:val="es-ES"/>
        </w:rPr>
        <w:t xml:space="preserve"> lo que </w:t>
      </w:r>
      <w:r w:rsidR="000D6D00" w:rsidRPr="008A084A">
        <w:rPr>
          <w:rFonts w:ascii="Cambria" w:hAnsi="Cambria"/>
          <w:sz w:val="20"/>
          <w:szCs w:val="20"/>
          <w:lang w:val="es-ES"/>
        </w:rPr>
        <w:t xml:space="preserve">representa </w:t>
      </w:r>
      <w:r w:rsidR="005C005B" w:rsidRPr="008A084A">
        <w:rPr>
          <w:rFonts w:ascii="Cambria" w:hAnsi="Cambria"/>
          <w:sz w:val="20"/>
          <w:szCs w:val="20"/>
          <w:lang w:val="es-ES"/>
        </w:rPr>
        <w:t>una forma de discriminación.</w:t>
      </w:r>
      <w:r w:rsidR="003336FD" w:rsidRPr="008A084A">
        <w:rPr>
          <w:rFonts w:ascii="Cambria" w:hAnsi="Cambria"/>
          <w:sz w:val="20"/>
          <w:szCs w:val="20"/>
          <w:lang w:val="es-ES"/>
        </w:rPr>
        <w:t xml:space="preserve"> </w:t>
      </w:r>
    </w:p>
    <w:p w:rsidR="00671C11" w:rsidRDefault="00671C11" w:rsidP="003336FD">
      <w:pPr>
        <w:pStyle w:val="ColorfulList-Accent11"/>
        <w:rPr>
          <w:rFonts w:ascii="Cambria" w:hAnsi="Cambria"/>
          <w:sz w:val="20"/>
          <w:szCs w:val="20"/>
          <w:lang w:val="es-ES"/>
        </w:rPr>
      </w:pPr>
    </w:p>
    <w:p w:rsidR="003336FD" w:rsidRPr="008A084A" w:rsidRDefault="003336FD" w:rsidP="007E61D9">
      <w:pPr>
        <w:numPr>
          <w:ilvl w:val="0"/>
          <w:numId w:val="55"/>
        </w:numPr>
        <w:jc w:val="both"/>
        <w:rPr>
          <w:rFonts w:ascii="Cambria" w:hAnsi="Cambria"/>
          <w:sz w:val="20"/>
          <w:szCs w:val="20"/>
          <w:lang w:val="es-ES"/>
        </w:rPr>
      </w:pPr>
      <w:r w:rsidRPr="008A084A">
        <w:rPr>
          <w:rFonts w:ascii="Cambria" w:hAnsi="Cambria"/>
          <w:sz w:val="20"/>
          <w:szCs w:val="20"/>
          <w:lang w:val="es-ES"/>
        </w:rPr>
        <w:t>En vista de lo expuesto, la CIDH considera</w:t>
      </w:r>
      <w:r w:rsidR="000E4D28" w:rsidRPr="008A084A">
        <w:rPr>
          <w:rFonts w:ascii="Cambria" w:hAnsi="Cambria"/>
          <w:sz w:val="20"/>
          <w:szCs w:val="20"/>
          <w:lang w:val="es-ES"/>
        </w:rPr>
        <w:t xml:space="preserve"> que el Estado vulneró el derecho a la capacidad jurídica (como componente del derecho al reconocimiento de la personalidad jurídica) del señor Guachalá al institucionalizarlo en un centro de salud mental sin su consentimiento</w:t>
      </w:r>
      <w:r w:rsidR="00676DA4" w:rsidRPr="008A084A">
        <w:rPr>
          <w:rFonts w:ascii="Cambria" w:hAnsi="Cambria"/>
          <w:sz w:val="20"/>
          <w:szCs w:val="20"/>
          <w:lang w:val="es-ES"/>
        </w:rPr>
        <w:t xml:space="preserve"> informado</w:t>
      </w:r>
      <w:r w:rsidR="000E4D28" w:rsidRPr="008A084A">
        <w:rPr>
          <w:rFonts w:ascii="Cambria" w:hAnsi="Cambria"/>
          <w:sz w:val="20"/>
          <w:szCs w:val="20"/>
          <w:lang w:val="es-ES"/>
        </w:rPr>
        <w:t>. Asimismo, la Comisión considera que</w:t>
      </w:r>
      <w:r w:rsidR="00676DA4" w:rsidRPr="008A084A">
        <w:rPr>
          <w:rFonts w:ascii="Cambria" w:hAnsi="Cambria"/>
          <w:sz w:val="20"/>
          <w:szCs w:val="20"/>
          <w:lang w:val="es-ES"/>
        </w:rPr>
        <w:t xml:space="preserve">, por tales razones, el internamiento del señor Guachalá </w:t>
      </w:r>
      <w:r w:rsidR="000E4D28" w:rsidRPr="008A084A">
        <w:rPr>
          <w:rFonts w:ascii="Cambria" w:hAnsi="Cambria"/>
          <w:sz w:val="20"/>
          <w:szCs w:val="20"/>
          <w:lang w:val="es-ES"/>
        </w:rPr>
        <w:t xml:space="preserve">constituyó una </w:t>
      </w:r>
      <w:r w:rsidR="00817574" w:rsidRPr="008A084A">
        <w:rPr>
          <w:rFonts w:ascii="Cambria" w:hAnsi="Cambria"/>
          <w:sz w:val="20"/>
          <w:szCs w:val="20"/>
          <w:lang w:val="es-ES"/>
        </w:rPr>
        <w:t>privación de libertad arbitraria</w:t>
      </w:r>
      <w:r w:rsidR="00676DA4" w:rsidRPr="008A084A">
        <w:rPr>
          <w:rFonts w:ascii="Cambria" w:hAnsi="Cambria"/>
          <w:sz w:val="20"/>
          <w:szCs w:val="20"/>
          <w:lang w:val="es-ES"/>
        </w:rPr>
        <w:t xml:space="preserve"> incompatible </w:t>
      </w:r>
      <w:r w:rsidR="00817574" w:rsidRPr="008A084A">
        <w:rPr>
          <w:rFonts w:ascii="Cambria" w:hAnsi="Cambria"/>
          <w:sz w:val="20"/>
          <w:szCs w:val="20"/>
          <w:lang w:val="es-ES"/>
        </w:rPr>
        <w:t>con la Convención Americana</w:t>
      </w:r>
      <w:r w:rsidR="000D6D00" w:rsidRPr="008A084A">
        <w:rPr>
          <w:rFonts w:ascii="Cambria" w:hAnsi="Cambria"/>
          <w:sz w:val="20"/>
          <w:szCs w:val="20"/>
          <w:lang w:val="es-ES"/>
        </w:rPr>
        <w:t xml:space="preserve"> y una forma de discriminación </w:t>
      </w:r>
      <w:r w:rsidR="00061A8D" w:rsidRPr="008A084A">
        <w:rPr>
          <w:rFonts w:ascii="Cambria" w:hAnsi="Cambria"/>
          <w:sz w:val="20"/>
          <w:szCs w:val="20"/>
          <w:lang w:val="es-ES"/>
        </w:rPr>
        <w:t>por su condición de discapacidad</w:t>
      </w:r>
      <w:r w:rsidR="00817574" w:rsidRPr="008A084A">
        <w:rPr>
          <w:rFonts w:ascii="Cambria" w:hAnsi="Cambria"/>
          <w:sz w:val="20"/>
          <w:szCs w:val="20"/>
          <w:lang w:val="es-ES"/>
        </w:rPr>
        <w:t>. De esta forma, la Comisión concluye que el Estado violó los derechos al reconocimiento de la personalidad jurídica</w:t>
      </w:r>
      <w:r w:rsidR="007277E3" w:rsidRPr="008A084A">
        <w:rPr>
          <w:rFonts w:ascii="Cambria" w:hAnsi="Cambria"/>
          <w:sz w:val="20"/>
          <w:szCs w:val="20"/>
          <w:lang w:val="es-ES"/>
        </w:rPr>
        <w:t xml:space="preserve">, </w:t>
      </w:r>
      <w:r w:rsidR="00817574" w:rsidRPr="008A084A">
        <w:rPr>
          <w:rFonts w:ascii="Cambria" w:hAnsi="Cambria"/>
          <w:sz w:val="20"/>
          <w:szCs w:val="20"/>
          <w:lang w:val="es-ES"/>
        </w:rPr>
        <w:t>a la libertad personal</w:t>
      </w:r>
      <w:r w:rsidR="007277E3" w:rsidRPr="008A084A">
        <w:rPr>
          <w:rFonts w:ascii="Cambria" w:hAnsi="Cambria"/>
          <w:sz w:val="20"/>
          <w:szCs w:val="20"/>
          <w:lang w:val="es-ES"/>
        </w:rPr>
        <w:t xml:space="preserve">, al acceso a la información para brindar el consentimiento en materia de salud y a la salud </w:t>
      </w:r>
      <w:r w:rsidR="00817574" w:rsidRPr="008A084A">
        <w:rPr>
          <w:rFonts w:ascii="Cambria" w:hAnsi="Cambria"/>
          <w:sz w:val="20"/>
          <w:szCs w:val="20"/>
          <w:lang w:val="es-ES"/>
        </w:rPr>
        <w:t>establecidos en los artículos 3</w:t>
      </w:r>
      <w:r w:rsidR="007277E3" w:rsidRPr="008A084A">
        <w:rPr>
          <w:rFonts w:ascii="Cambria" w:hAnsi="Cambria"/>
          <w:sz w:val="20"/>
          <w:szCs w:val="20"/>
          <w:lang w:val="es-ES"/>
        </w:rPr>
        <w:t xml:space="preserve">, </w:t>
      </w:r>
      <w:r w:rsidR="00817574" w:rsidRPr="008A084A">
        <w:rPr>
          <w:rFonts w:ascii="Cambria" w:hAnsi="Cambria"/>
          <w:sz w:val="20"/>
          <w:szCs w:val="20"/>
          <w:lang w:val="es-ES"/>
        </w:rPr>
        <w:t>7</w:t>
      </w:r>
      <w:r w:rsidR="007277E3" w:rsidRPr="008A084A">
        <w:rPr>
          <w:rFonts w:ascii="Cambria" w:hAnsi="Cambria"/>
          <w:sz w:val="20"/>
          <w:szCs w:val="20"/>
          <w:lang w:val="es-ES"/>
        </w:rPr>
        <w:t>.1, 13.1</w:t>
      </w:r>
      <w:r w:rsidR="00061A8D" w:rsidRPr="008A084A">
        <w:rPr>
          <w:rFonts w:ascii="Cambria" w:hAnsi="Cambria"/>
          <w:sz w:val="20"/>
          <w:szCs w:val="20"/>
          <w:lang w:val="es-ES"/>
        </w:rPr>
        <w:t>,</w:t>
      </w:r>
      <w:r w:rsidR="007277E3" w:rsidRPr="008A084A">
        <w:rPr>
          <w:rFonts w:ascii="Cambria" w:hAnsi="Cambria"/>
          <w:sz w:val="20"/>
          <w:szCs w:val="20"/>
          <w:lang w:val="es-ES"/>
        </w:rPr>
        <w:t xml:space="preserve"> </w:t>
      </w:r>
      <w:r w:rsidR="003D17FC" w:rsidRPr="008A084A">
        <w:rPr>
          <w:rFonts w:ascii="Cambria" w:hAnsi="Cambria"/>
          <w:sz w:val="20"/>
          <w:szCs w:val="20"/>
          <w:lang w:val="es-ES"/>
        </w:rPr>
        <w:t xml:space="preserve">24 </w:t>
      </w:r>
      <w:r w:rsidR="007277E3" w:rsidRPr="008A084A">
        <w:rPr>
          <w:rFonts w:ascii="Cambria" w:hAnsi="Cambria"/>
          <w:sz w:val="20"/>
          <w:szCs w:val="20"/>
          <w:lang w:val="es-ES"/>
        </w:rPr>
        <w:t>y 26</w:t>
      </w:r>
      <w:r w:rsidR="00817574" w:rsidRPr="008A084A">
        <w:rPr>
          <w:rFonts w:ascii="Cambria" w:hAnsi="Cambria"/>
          <w:sz w:val="20"/>
          <w:szCs w:val="20"/>
          <w:lang w:val="es-ES"/>
        </w:rPr>
        <w:t xml:space="preserve"> de la Convención Americana, en relación con los artículos 1.1 y 2 de la Convención Americana, en perjuicio de Luis Guachalá.</w:t>
      </w:r>
    </w:p>
    <w:p w:rsidR="0099636E" w:rsidRPr="008A084A" w:rsidRDefault="0099636E" w:rsidP="00686757">
      <w:pPr>
        <w:pStyle w:val="ColorfulList-Accent11"/>
        <w:ind w:left="0"/>
        <w:rPr>
          <w:rFonts w:ascii="Cambria" w:hAnsi="Cambria"/>
          <w:sz w:val="20"/>
          <w:szCs w:val="20"/>
          <w:lang w:val="es-ES"/>
        </w:rPr>
      </w:pPr>
    </w:p>
    <w:p w:rsidR="0017052C" w:rsidRPr="008A084A" w:rsidRDefault="0017052C" w:rsidP="00B329C1">
      <w:pPr>
        <w:pStyle w:val="ColorfulList-Accent11"/>
        <w:numPr>
          <w:ilvl w:val="2"/>
          <w:numId w:val="61"/>
        </w:numPr>
        <w:ind w:firstLine="0"/>
        <w:rPr>
          <w:rFonts w:ascii="Cambria" w:hAnsi="Cambria"/>
          <w:b/>
          <w:sz w:val="20"/>
          <w:szCs w:val="20"/>
          <w:lang w:val="es-ES"/>
        </w:rPr>
      </w:pPr>
      <w:r w:rsidRPr="008A084A">
        <w:rPr>
          <w:rFonts w:ascii="Cambria" w:hAnsi="Cambria"/>
          <w:b/>
          <w:sz w:val="20"/>
          <w:szCs w:val="20"/>
          <w:lang w:val="es-ES"/>
        </w:rPr>
        <w:t>Sobre el tratamiento médico recibido</w:t>
      </w:r>
    </w:p>
    <w:p w:rsidR="0017052C" w:rsidRPr="008A084A" w:rsidRDefault="0017052C" w:rsidP="008E50CE">
      <w:pPr>
        <w:pStyle w:val="ColorfulList-Accent11"/>
        <w:ind w:left="0"/>
        <w:rPr>
          <w:rFonts w:ascii="Cambria" w:hAnsi="Cambria"/>
          <w:sz w:val="20"/>
          <w:szCs w:val="20"/>
          <w:lang w:val="es-ES"/>
        </w:rPr>
      </w:pPr>
    </w:p>
    <w:p w:rsidR="004F307D" w:rsidRPr="008A084A" w:rsidRDefault="00726E25" w:rsidP="007E61D9">
      <w:pPr>
        <w:numPr>
          <w:ilvl w:val="0"/>
          <w:numId w:val="55"/>
        </w:numPr>
        <w:jc w:val="both"/>
        <w:rPr>
          <w:rFonts w:ascii="Cambria" w:hAnsi="Cambria"/>
          <w:sz w:val="20"/>
          <w:szCs w:val="20"/>
          <w:lang w:val="es-ES"/>
        </w:rPr>
      </w:pPr>
      <w:r w:rsidRPr="008A084A">
        <w:rPr>
          <w:rFonts w:ascii="Cambria" w:hAnsi="Cambria"/>
          <w:sz w:val="20"/>
          <w:szCs w:val="20"/>
          <w:lang w:val="es-ES"/>
        </w:rPr>
        <w:t xml:space="preserve">La Comisión no cuenta con información detallada sobre el diagnóstico y el tratamiento recibido por el señor Guachalá a partir de su internamiento el 10 de enero de 2004, de forma que sea posible establecer si el mismo constituyó un tratamiento adecuado </w:t>
      </w:r>
      <w:r w:rsidR="00F86DF8" w:rsidRPr="008A084A">
        <w:rPr>
          <w:rFonts w:ascii="Cambria" w:hAnsi="Cambria"/>
          <w:sz w:val="20"/>
          <w:szCs w:val="20"/>
          <w:lang w:val="es-ES"/>
        </w:rPr>
        <w:t xml:space="preserve">a la luz de su condición particular. En este punto, </w:t>
      </w:r>
      <w:r w:rsidR="00F86DF8" w:rsidRPr="008A084A">
        <w:rPr>
          <w:rFonts w:ascii="Cambria" w:hAnsi="Cambria"/>
          <w:sz w:val="20"/>
          <w:szCs w:val="20"/>
          <w:lang w:val="es-ES"/>
        </w:rPr>
        <w:lastRenderedPageBreak/>
        <w:t xml:space="preserve">la Comisión analizará la información disponible sobre la atención recibida </w:t>
      </w:r>
      <w:r w:rsidR="000C7D25" w:rsidRPr="008A084A">
        <w:rPr>
          <w:rFonts w:ascii="Cambria" w:hAnsi="Cambria"/>
          <w:sz w:val="20"/>
          <w:szCs w:val="20"/>
          <w:lang w:val="es-ES"/>
        </w:rPr>
        <w:t>a la luz de los estándares sobre capacidad jurídica de las personas con discapacidad y consentimiento informado en materia de salud. Así, de los hechos establecidos se desprende que una</w:t>
      </w:r>
      <w:r w:rsidR="00D02F5F" w:rsidRPr="008A084A">
        <w:rPr>
          <w:rFonts w:ascii="Cambria" w:hAnsi="Cambria"/>
          <w:sz w:val="20"/>
          <w:szCs w:val="20"/>
          <w:lang w:val="es-ES"/>
        </w:rPr>
        <w:t xml:space="preserve"> </w:t>
      </w:r>
      <w:r w:rsidR="004F307D" w:rsidRPr="008A084A">
        <w:rPr>
          <w:rFonts w:ascii="Cambria" w:hAnsi="Cambria"/>
          <w:sz w:val="20"/>
          <w:szCs w:val="20"/>
          <w:lang w:val="es-ES"/>
        </w:rPr>
        <w:t>vez que el señor Guachalá fue institucionalizado en el hospital psiquiátrico</w:t>
      </w:r>
      <w:r w:rsidR="00585EC8" w:rsidRPr="008A084A">
        <w:rPr>
          <w:rFonts w:ascii="Cambria" w:hAnsi="Cambria"/>
          <w:sz w:val="20"/>
          <w:szCs w:val="20"/>
          <w:lang w:val="es-ES"/>
        </w:rPr>
        <w:t xml:space="preserve">: </w:t>
      </w:r>
      <w:r w:rsidR="00576DD5" w:rsidRPr="008A084A">
        <w:rPr>
          <w:rFonts w:ascii="Cambria" w:hAnsi="Cambria"/>
          <w:sz w:val="20"/>
          <w:szCs w:val="20"/>
          <w:lang w:val="es-ES"/>
        </w:rPr>
        <w:t xml:space="preserve">i) recibió </w:t>
      </w:r>
      <w:r w:rsidR="004E4B05" w:rsidRPr="008A084A">
        <w:rPr>
          <w:rFonts w:ascii="Cambria" w:hAnsi="Cambria"/>
          <w:sz w:val="20"/>
          <w:szCs w:val="20"/>
          <w:lang w:val="es-ES"/>
        </w:rPr>
        <w:t xml:space="preserve">medicina </w:t>
      </w:r>
      <w:r w:rsidR="00576DD5" w:rsidRPr="008A084A">
        <w:rPr>
          <w:rFonts w:ascii="Cambria" w:hAnsi="Cambria"/>
          <w:sz w:val="20"/>
          <w:szCs w:val="20"/>
          <w:lang w:val="es-ES"/>
        </w:rPr>
        <w:t>el mismo día de su ingreso</w:t>
      </w:r>
      <w:r w:rsidR="004E4B05" w:rsidRPr="008A084A">
        <w:rPr>
          <w:rFonts w:ascii="Cambria" w:hAnsi="Cambria"/>
          <w:sz w:val="20"/>
          <w:szCs w:val="20"/>
          <w:lang w:val="es-ES"/>
        </w:rPr>
        <w:t xml:space="preserve"> con la finalidad de sedarlo, lo que ocurrió inmediatamente según el testimonio de su madre</w:t>
      </w:r>
      <w:r w:rsidR="00576DD5" w:rsidRPr="008A084A">
        <w:rPr>
          <w:rFonts w:ascii="Cambria" w:hAnsi="Cambria"/>
          <w:sz w:val="20"/>
          <w:szCs w:val="20"/>
          <w:lang w:val="es-ES"/>
        </w:rPr>
        <w:t>; ii) estuvo sedado durante el 11 y 12 de enero</w:t>
      </w:r>
      <w:r w:rsidR="00F92CBC" w:rsidRPr="008A084A">
        <w:rPr>
          <w:rFonts w:ascii="Cambria" w:hAnsi="Cambria"/>
          <w:sz w:val="20"/>
          <w:szCs w:val="20"/>
          <w:lang w:val="es-ES"/>
        </w:rPr>
        <w:t>; y iii) se le cambió medicamentos el 13 de enero.</w:t>
      </w:r>
      <w:r w:rsidR="00576DD5" w:rsidRPr="008A084A">
        <w:rPr>
          <w:rFonts w:ascii="Cambria" w:hAnsi="Cambria"/>
          <w:sz w:val="20"/>
          <w:szCs w:val="20"/>
          <w:lang w:val="es-ES"/>
        </w:rPr>
        <w:t xml:space="preserve"> </w:t>
      </w:r>
    </w:p>
    <w:p w:rsidR="00907C0E" w:rsidRPr="008A084A" w:rsidRDefault="00907C0E" w:rsidP="00907C0E">
      <w:pPr>
        <w:pStyle w:val="ColorfulList-Accent11"/>
        <w:rPr>
          <w:rFonts w:ascii="Cambria" w:hAnsi="Cambria"/>
          <w:sz w:val="20"/>
          <w:szCs w:val="20"/>
          <w:lang w:val="es-ES"/>
        </w:rPr>
      </w:pPr>
    </w:p>
    <w:p w:rsidR="00907C0E" w:rsidRPr="008A084A" w:rsidRDefault="00336C6A" w:rsidP="007E61D9">
      <w:pPr>
        <w:numPr>
          <w:ilvl w:val="0"/>
          <w:numId w:val="55"/>
        </w:numPr>
        <w:jc w:val="both"/>
        <w:rPr>
          <w:rFonts w:ascii="Cambria" w:hAnsi="Cambria"/>
          <w:sz w:val="20"/>
          <w:szCs w:val="20"/>
          <w:lang w:val="es-ES"/>
        </w:rPr>
      </w:pPr>
      <w:r w:rsidRPr="008A084A">
        <w:rPr>
          <w:rFonts w:ascii="Cambria" w:hAnsi="Cambria"/>
          <w:sz w:val="20"/>
          <w:szCs w:val="20"/>
          <w:lang w:val="es-ES"/>
        </w:rPr>
        <w:t>L</w:t>
      </w:r>
      <w:r w:rsidR="00907C0E" w:rsidRPr="008A084A">
        <w:rPr>
          <w:rFonts w:ascii="Cambria" w:hAnsi="Cambria"/>
          <w:sz w:val="20"/>
          <w:szCs w:val="20"/>
          <w:lang w:val="es-ES"/>
        </w:rPr>
        <w:t xml:space="preserve">a CIDH resalta que el Comité CDPD en sus observaciones finales sobre Ecuador identificó situaciones en donde las personas con discapacidad institucionalizadas en centros de salud mental reciben tratamiento </w:t>
      </w:r>
      <w:r w:rsidR="00907C0E" w:rsidRPr="008A084A">
        <w:rPr>
          <w:rFonts w:ascii="Cambria" w:hAnsi="Cambria"/>
          <w:sz w:val="20"/>
          <w:szCs w:val="20"/>
          <w:lang w:val="es-CO"/>
        </w:rPr>
        <w:t>médico-psiquiátrico de manera forzos</w:t>
      </w:r>
      <w:r w:rsidR="002052A3" w:rsidRPr="008A084A">
        <w:rPr>
          <w:rFonts w:ascii="Cambria" w:hAnsi="Cambria"/>
          <w:sz w:val="20"/>
          <w:szCs w:val="20"/>
          <w:lang w:val="es-CO"/>
        </w:rPr>
        <w:t>a</w:t>
      </w:r>
      <w:r w:rsidR="00907C0E" w:rsidRPr="008A084A">
        <w:rPr>
          <w:rFonts w:ascii="Cambria" w:hAnsi="Cambria"/>
          <w:sz w:val="20"/>
          <w:szCs w:val="20"/>
          <w:lang w:val="es-CO"/>
        </w:rPr>
        <w:t xml:space="preserve"> y sin su consentimiento</w:t>
      </w:r>
      <w:r w:rsidR="00907C0E" w:rsidRPr="008A084A">
        <w:rPr>
          <w:rStyle w:val="FootnoteReference"/>
          <w:rFonts w:ascii="Cambria" w:hAnsi="Cambria"/>
          <w:sz w:val="20"/>
          <w:szCs w:val="20"/>
        </w:rPr>
        <w:footnoteReference w:id="332"/>
      </w:r>
      <w:r w:rsidR="00907C0E" w:rsidRPr="008A084A">
        <w:rPr>
          <w:rFonts w:ascii="Cambria" w:hAnsi="Cambria"/>
          <w:sz w:val="20"/>
          <w:szCs w:val="20"/>
          <w:lang w:val="es-CO"/>
        </w:rPr>
        <w:t>.</w:t>
      </w:r>
      <w:r w:rsidRPr="008A084A">
        <w:rPr>
          <w:rFonts w:ascii="Cambria" w:hAnsi="Cambria"/>
          <w:sz w:val="20"/>
          <w:szCs w:val="20"/>
          <w:lang w:val="es-CO"/>
        </w:rPr>
        <w:t xml:space="preserve"> Por ello, el Comité CDPD recomendó al Estado </w:t>
      </w:r>
      <w:r w:rsidR="006C644A" w:rsidRPr="008A084A">
        <w:rPr>
          <w:rFonts w:ascii="Cambria" w:hAnsi="Cambria"/>
          <w:sz w:val="20"/>
          <w:szCs w:val="20"/>
          <w:lang w:val="es-CO"/>
        </w:rPr>
        <w:t>e</w:t>
      </w:r>
      <w:r w:rsidRPr="008A084A">
        <w:rPr>
          <w:rFonts w:ascii="Cambria" w:hAnsi="Cambria"/>
          <w:sz w:val="20"/>
          <w:szCs w:val="20"/>
          <w:lang w:val="es-CO"/>
        </w:rPr>
        <w:t xml:space="preserve">cuatoriano </w:t>
      </w:r>
      <w:r w:rsidRPr="008A084A">
        <w:rPr>
          <w:rFonts w:ascii="Cambria" w:hAnsi="Cambria"/>
          <w:sz w:val="20"/>
          <w:szCs w:val="20"/>
          <w:lang w:val="es-ES"/>
        </w:rPr>
        <w:t>“v</w:t>
      </w:r>
      <w:r w:rsidR="00907C0E" w:rsidRPr="008A084A">
        <w:rPr>
          <w:rFonts w:ascii="Cambria" w:hAnsi="Cambria"/>
          <w:sz w:val="20"/>
          <w:szCs w:val="20"/>
          <w:lang w:val="es-CO"/>
        </w:rPr>
        <w:t>elar por que se presten todos los servicios de salud mental con el consentimiento libre e informado de la persona afectada</w:t>
      </w:r>
      <w:r w:rsidRPr="008A084A">
        <w:rPr>
          <w:rFonts w:ascii="Cambria" w:hAnsi="Cambria"/>
          <w:sz w:val="20"/>
          <w:szCs w:val="20"/>
          <w:lang w:val="es-ES"/>
        </w:rPr>
        <w:t>”</w:t>
      </w:r>
      <w:r w:rsidR="00907C0E" w:rsidRPr="008A084A">
        <w:rPr>
          <w:rStyle w:val="FootnoteReference"/>
          <w:rFonts w:ascii="Cambria" w:hAnsi="Cambria"/>
          <w:sz w:val="20"/>
          <w:szCs w:val="20"/>
        </w:rPr>
        <w:footnoteReference w:id="333"/>
      </w:r>
      <w:r w:rsidR="00907C0E" w:rsidRPr="008A084A">
        <w:rPr>
          <w:rFonts w:ascii="Cambria" w:hAnsi="Cambria"/>
          <w:sz w:val="20"/>
          <w:szCs w:val="20"/>
          <w:lang w:val="es-CO"/>
        </w:rPr>
        <w:t>.</w:t>
      </w:r>
    </w:p>
    <w:p w:rsidR="00336C6A" w:rsidRPr="008A084A" w:rsidRDefault="00336C6A" w:rsidP="00336C6A">
      <w:pPr>
        <w:pStyle w:val="ColorfulList-Accent11"/>
        <w:rPr>
          <w:rFonts w:ascii="Cambria" w:hAnsi="Cambria"/>
          <w:sz w:val="20"/>
          <w:szCs w:val="20"/>
          <w:lang w:val="es-ES"/>
        </w:rPr>
      </w:pPr>
    </w:p>
    <w:p w:rsidR="00223D2C" w:rsidRPr="008A084A" w:rsidRDefault="007B7342" w:rsidP="007E61D9">
      <w:pPr>
        <w:numPr>
          <w:ilvl w:val="0"/>
          <w:numId w:val="55"/>
        </w:numPr>
        <w:jc w:val="both"/>
        <w:rPr>
          <w:rFonts w:ascii="Cambria" w:hAnsi="Cambria"/>
          <w:sz w:val="20"/>
          <w:szCs w:val="20"/>
          <w:lang w:val="es-ES"/>
        </w:rPr>
      </w:pPr>
      <w:r w:rsidRPr="008A084A">
        <w:rPr>
          <w:rFonts w:ascii="Cambria" w:hAnsi="Cambria"/>
          <w:sz w:val="20"/>
          <w:szCs w:val="20"/>
          <w:lang w:val="es-ES"/>
        </w:rPr>
        <w:t xml:space="preserve">En el presente caso, la Comisión nota que </w:t>
      </w:r>
      <w:r w:rsidR="006C644A" w:rsidRPr="008A084A">
        <w:rPr>
          <w:rFonts w:ascii="Cambria" w:hAnsi="Cambria"/>
          <w:sz w:val="20"/>
          <w:szCs w:val="20"/>
          <w:lang w:val="es-ES"/>
        </w:rPr>
        <w:t xml:space="preserve">en </w:t>
      </w:r>
      <w:r w:rsidRPr="008A084A">
        <w:rPr>
          <w:rFonts w:ascii="Cambria" w:hAnsi="Cambria"/>
          <w:sz w:val="20"/>
          <w:szCs w:val="20"/>
          <w:lang w:val="es-ES"/>
        </w:rPr>
        <w:t>la documentación aportada por las partes</w:t>
      </w:r>
      <w:r w:rsidR="006C644A" w:rsidRPr="008A084A">
        <w:rPr>
          <w:rFonts w:ascii="Cambria" w:hAnsi="Cambria"/>
          <w:sz w:val="20"/>
          <w:szCs w:val="20"/>
          <w:lang w:val="es-ES"/>
        </w:rPr>
        <w:t xml:space="preserve"> sobre la situación de salud del señor Guachalá durante su internamiento,</w:t>
      </w:r>
      <w:r w:rsidRPr="008A084A">
        <w:rPr>
          <w:rFonts w:ascii="Cambria" w:hAnsi="Cambria"/>
          <w:sz w:val="20"/>
          <w:szCs w:val="20"/>
          <w:lang w:val="es-ES"/>
        </w:rPr>
        <w:t xml:space="preserve"> no</w:t>
      </w:r>
      <w:r w:rsidR="006C644A" w:rsidRPr="008A084A">
        <w:rPr>
          <w:rFonts w:ascii="Cambria" w:hAnsi="Cambria"/>
          <w:sz w:val="20"/>
          <w:szCs w:val="20"/>
          <w:lang w:val="es-ES"/>
        </w:rPr>
        <w:t xml:space="preserve"> existe constancia alguna de que  el paciente haya contado con información sobre su diagnóstico y tratamiento disponible y que haya ofrecido </w:t>
      </w:r>
      <w:r w:rsidRPr="008A084A">
        <w:rPr>
          <w:rFonts w:ascii="Cambria" w:hAnsi="Cambria"/>
          <w:sz w:val="20"/>
          <w:szCs w:val="20"/>
          <w:lang w:val="es-ES"/>
        </w:rPr>
        <w:t>su consentimiento a efectos de recibir dicho tratamiento.</w:t>
      </w:r>
      <w:r w:rsidR="006C644A" w:rsidRPr="008A084A">
        <w:rPr>
          <w:rFonts w:ascii="Cambria" w:hAnsi="Cambria"/>
          <w:sz w:val="20"/>
          <w:szCs w:val="20"/>
          <w:lang w:val="es-ES"/>
        </w:rPr>
        <w:t xml:space="preserve"> Al igual que con relación a su internamiento, tampoco consta elemento alguno que indique que se le hubieran ofrecido los apoyos necesarios para brindar dicho consentimiento.</w:t>
      </w:r>
      <w:r w:rsidRPr="008A084A">
        <w:rPr>
          <w:rFonts w:ascii="Cambria" w:hAnsi="Cambria"/>
          <w:sz w:val="20"/>
          <w:szCs w:val="20"/>
          <w:lang w:val="es-ES"/>
        </w:rPr>
        <w:t xml:space="preserve"> </w:t>
      </w:r>
      <w:r w:rsidR="00E96766" w:rsidRPr="008A084A">
        <w:rPr>
          <w:rFonts w:ascii="Cambria" w:hAnsi="Cambria"/>
          <w:sz w:val="20"/>
          <w:szCs w:val="20"/>
          <w:lang w:val="es-ES"/>
        </w:rPr>
        <w:t xml:space="preserve">De esta manera, la CIDH encuentra que el centro médico realizó una intervención paternalista injustificada toda vez que, al cercenarle su capacidad jurídica sin buscar obtener su consentimiento previo, libre, pleno e informado, restringió la autonomía, integridad y salud del señor Guachalá para tomar una decisión sobre su salud mental mediante el tratamiento médico ejercido. La CIDH tampoco encuentra que el Estado ecuatoriano haya facilitado tratamientos alternativos a la medicación e internamiento no consentidos, por ejemplo, evaluando la conveniencia de intervenciones psicosociales eficaces en el ámbito comunitario dirigidas a garantizar su salud mental. </w:t>
      </w:r>
      <w:r w:rsidR="006C644A" w:rsidRPr="008A084A">
        <w:rPr>
          <w:rFonts w:ascii="Cambria" w:hAnsi="Cambria"/>
          <w:sz w:val="20"/>
          <w:szCs w:val="20"/>
          <w:lang w:val="es-ES"/>
        </w:rPr>
        <w:t xml:space="preserve">En </w:t>
      </w:r>
      <w:r w:rsidR="00DD7768" w:rsidRPr="008A084A">
        <w:rPr>
          <w:rFonts w:ascii="Cambria" w:hAnsi="Cambria"/>
          <w:sz w:val="20"/>
          <w:szCs w:val="20"/>
          <w:lang w:val="es-ES"/>
        </w:rPr>
        <w:t>definitiva</w:t>
      </w:r>
      <w:r w:rsidR="006C644A" w:rsidRPr="008A084A">
        <w:rPr>
          <w:rFonts w:ascii="Cambria" w:hAnsi="Cambria"/>
          <w:sz w:val="20"/>
          <w:szCs w:val="20"/>
          <w:lang w:val="es-ES"/>
        </w:rPr>
        <w:t>, en el presente caso la omisión del Estado en la materia es de carácter absoluto y refleja una concepción</w:t>
      </w:r>
      <w:r w:rsidR="00BA21B5" w:rsidRPr="008A084A">
        <w:rPr>
          <w:rFonts w:ascii="Cambria" w:hAnsi="Cambria"/>
          <w:sz w:val="20"/>
          <w:szCs w:val="20"/>
          <w:lang w:val="es-ES"/>
        </w:rPr>
        <w:t xml:space="preserve"> de los trastornos mentales que los equiparan automáticamente a una discapacidad y, a su vez, de una concepción de la</w:t>
      </w:r>
      <w:r w:rsidR="00BA4500" w:rsidRPr="008A084A">
        <w:rPr>
          <w:rFonts w:ascii="Cambria" w:hAnsi="Cambria"/>
          <w:sz w:val="20"/>
          <w:szCs w:val="20"/>
          <w:lang w:val="es-ES"/>
        </w:rPr>
        <w:t>s</w:t>
      </w:r>
      <w:r w:rsidR="00BA21B5" w:rsidRPr="008A084A">
        <w:rPr>
          <w:rFonts w:ascii="Cambria" w:hAnsi="Cambria"/>
          <w:sz w:val="20"/>
          <w:szCs w:val="20"/>
          <w:lang w:val="es-ES"/>
        </w:rPr>
        <w:t xml:space="preserve"> </w:t>
      </w:r>
      <w:r w:rsidR="00BA4500" w:rsidRPr="008A084A">
        <w:rPr>
          <w:rFonts w:ascii="Cambria" w:hAnsi="Cambria"/>
          <w:sz w:val="20"/>
          <w:szCs w:val="20"/>
          <w:lang w:val="es-ES"/>
        </w:rPr>
        <w:t xml:space="preserve">personas con </w:t>
      </w:r>
      <w:r w:rsidR="00BA21B5" w:rsidRPr="008A084A">
        <w:rPr>
          <w:rFonts w:ascii="Cambria" w:hAnsi="Cambria"/>
          <w:sz w:val="20"/>
          <w:szCs w:val="20"/>
          <w:lang w:val="es-ES"/>
        </w:rPr>
        <w:t>discapacidad mental que la</w:t>
      </w:r>
      <w:r w:rsidR="00BA4500" w:rsidRPr="008A084A">
        <w:rPr>
          <w:rFonts w:ascii="Cambria" w:hAnsi="Cambria"/>
          <w:sz w:val="20"/>
          <w:szCs w:val="20"/>
          <w:lang w:val="es-ES"/>
        </w:rPr>
        <w:t>s</w:t>
      </w:r>
      <w:r w:rsidR="00BA21B5" w:rsidRPr="008A084A">
        <w:rPr>
          <w:rFonts w:ascii="Cambria" w:hAnsi="Cambria"/>
          <w:sz w:val="20"/>
          <w:szCs w:val="20"/>
          <w:lang w:val="es-ES"/>
        </w:rPr>
        <w:t xml:space="preserve"> equipara a la ausencia de autonomía para la toma de decisiones sobre </w:t>
      </w:r>
      <w:r w:rsidR="00BA4500" w:rsidRPr="008A084A">
        <w:rPr>
          <w:rFonts w:ascii="Cambria" w:hAnsi="Cambria"/>
          <w:sz w:val="20"/>
          <w:szCs w:val="20"/>
          <w:lang w:val="es-ES"/>
        </w:rPr>
        <w:t>su salud y tratamiento</w:t>
      </w:r>
      <w:r w:rsidR="00DD7768" w:rsidRPr="008A084A">
        <w:rPr>
          <w:rFonts w:ascii="Cambria" w:hAnsi="Cambria"/>
          <w:sz w:val="20"/>
          <w:szCs w:val="20"/>
          <w:lang w:val="es-ES"/>
        </w:rPr>
        <w:t>, situación que configura una forma de discriminación</w:t>
      </w:r>
      <w:r w:rsidR="00BA4500" w:rsidRPr="008A084A">
        <w:rPr>
          <w:rFonts w:ascii="Cambria" w:hAnsi="Cambria"/>
          <w:sz w:val="20"/>
          <w:szCs w:val="20"/>
          <w:lang w:val="es-ES"/>
        </w:rPr>
        <w:t>.</w:t>
      </w:r>
    </w:p>
    <w:p w:rsidR="00223D2C" w:rsidRDefault="00223D2C" w:rsidP="00D42955">
      <w:pPr>
        <w:pStyle w:val="ListParagraph"/>
        <w:rPr>
          <w:rFonts w:ascii="Cambria" w:hAnsi="Cambria"/>
          <w:sz w:val="20"/>
          <w:szCs w:val="20"/>
          <w:lang w:val="es-ES"/>
        </w:rPr>
      </w:pPr>
    </w:p>
    <w:p w:rsidR="00AC0BE7" w:rsidRPr="008A084A" w:rsidRDefault="00BA4500" w:rsidP="00223D2C">
      <w:pPr>
        <w:numPr>
          <w:ilvl w:val="0"/>
          <w:numId w:val="55"/>
        </w:numPr>
        <w:jc w:val="both"/>
        <w:rPr>
          <w:rFonts w:ascii="Cambria" w:hAnsi="Cambria"/>
          <w:sz w:val="20"/>
          <w:szCs w:val="20"/>
          <w:lang w:val="es-ES"/>
        </w:rPr>
      </w:pPr>
      <w:r w:rsidRPr="008A084A">
        <w:rPr>
          <w:rFonts w:ascii="Cambria" w:hAnsi="Cambria"/>
          <w:sz w:val="20"/>
          <w:szCs w:val="20"/>
          <w:lang w:val="es-ES"/>
        </w:rPr>
        <w:t xml:space="preserve"> En virtud de las anteriores consideraciones, la CIDH concluye que también con relación al tratamiento recibió por Luis Eduardo Guachalá, el Estado violó sus derechos a la capacidad jurídica, al acceso a la información para brindar el consentimiento informado en materia de salud y el derecho a la salud,</w:t>
      </w:r>
      <w:r w:rsidR="00061A8D" w:rsidRPr="008A084A">
        <w:rPr>
          <w:rFonts w:ascii="Cambria" w:hAnsi="Cambria"/>
          <w:sz w:val="20"/>
          <w:szCs w:val="20"/>
          <w:lang w:val="es-ES"/>
        </w:rPr>
        <w:t xml:space="preserve"> y el principio de igualdad y no discriminación </w:t>
      </w:r>
      <w:r w:rsidRPr="008A084A">
        <w:rPr>
          <w:rFonts w:ascii="Cambria" w:hAnsi="Cambria"/>
          <w:sz w:val="20"/>
          <w:szCs w:val="20"/>
          <w:lang w:val="es-ES"/>
        </w:rPr>
        <w:t>establecidos en los artículos 3, 5.1, 13.1</w:t>
      </w:r>
      <w:r w:rsidR="00DD7768" w:rsidRPr="008A084A">
        <w:rPr>
          <w:rFonts w:ascii="Cambria" w:hAnsi="Cambria"/>
          <w:sz w:val="20"/>
          <w:szCs w:val="20"/>
          <w:lang w:val="es-ES"/>
        </w:rPr>
        <w:t>,</w:t>
      </w:r>
      <w:r w:rsidRPr="008A084A">
        <w:rPr>
          <w:rFonts w:ascii="Cambria" w:hAnsi="Cambria"/>
          <w:sz w:val="20"/>
          <w:szCs w:val="20"/>
          <w:lang w:val="es-ES"/>
        </w:rPr>
        <w:t xml:space="preserve"> </w:t>
      </w:r>
      <w:r w:rsidR="00DD7768" w:rsidRPr="008A084A">
        <w:rPr>
          <w:rFonts w:ascii="Cambria" w:hAnsi="Cambria"/>
          <w:sz w:val="20"/>
          <w:szCs w:val="20"/>
          <w:lang w:val="es-ES"/>
        </w:rPr>
        <w:t xml:space="preserve">24 </w:t>
      </w:r>
      <w:r w:rsidRPr="008A084A">
        <w:rPr>
          <w:rFonts w:ascii="Cambria" w:hAnsi="Cambria"/>
          <w:sz w:val="20"/>
          <w:szCs w:val="20"/>
          <w:lang w:val="es-ES"/>
        </w:rPr>
        <w:t xml:space="preserve">y 26 de la Convención Americana, en relación con los artículos 1.1 y 2 del mismo instrumento.   </w:t>
      </w:r>
    </w:p>
    <w:p w:rsidR="00471FC6" w:rsidRPr="008A084A" w:rsidRDefault="00471FC6" w:rsidP="00AC0BE7">
      <w:pPr>
        <w:pStyle w:val="ColorfulList-Accent11"/>
        <w:rPr>
          <w:rFonts w:ascii="Cambria" w:hAnsi="Cambria"/>
          <w:sz w:val="20"/>
          <w:szCs w:val="20"/>
          <w:lang w:val="es-ES"/>
        </w:rPr>
      </w:pPr>
    </w:p>
    <w:p w:rsidR="00AC0BE7" w:rsidRPr="008A084A" w:rsidRDefault="00330414" w:rsidP="0033041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720" w:firstLine="0"/>
        <w:jc w:val="both"/>
        <w:rPr>
          <w:rFonts w:ascii="Cambria" w:hAnsi="Cambria"/>
          <w:b/>
          <w:color w:val="auto"/>
          <w:sz w:val="20"/>
          <w:szCs w:val="20"/>
          <w:lang w:val="es-ES"/>
        </w:rPr>
      </w:pPr>
      <w:r w:rsidRPr="008A084A">
        <w:rPr>
          <w:rFonts w:ascii="Cambria" w:hAnsi="Cambria"/>
          <w:b/>
          <w:color w:val="auto"/>
          <w:sz w:val="20"/>
          <w:szCs w:val="20"/>
          <w:lang w:val="es-ES"/>
        </w:rPr>
        <w:t>3.</w:t>
      </w:r>
      <w:r w:rsidRPr="008A084A">
        <w:rPr>
          <w:rFonts w:ascii="Cambria" w:hAnsi="Cambria"/>
          <w:b/>
          <w:color w:val="auto"/>
          <w:sz w:val="20"/>
          <w:szCs w:val="20"/>
          <w:lang w:val="es-ES"/>
        </w:rPr>
        <w:tab/>
      </w:r>
      <w:r w:rsidR="0017052C" w:rsidRPr="008A084A">
        <w:rPr>
          <w:rFonts w:ascii="Cambria" w:hAnsi="Cambria"/>
          <w:b/>
          <w:color w:val="auto"/>
          <w:sz w:val="20"/>
          <w:szCs w:val="20"/>
          <w:lang w:val="es-ES"/>
        </w:rPr>
        <w:t xml:space="preserve">Sobre </w:t>
      </w:r>
      <w:r w:rsidR="00ED3E67" w:rsidRPr="008A084A">
        <w:rPr>
          <w:rFonts w:ascii="Cambria" w:hAnsi="Cambria"/>
          <w:b/>
          <w:color w:val="auto"/>
          <w:sz w:val="20"/>
          <w:szCs w:val="20"/>
          <w:lang w:val="es-ES"/>
        </w:rPr>
        <w:t>la</w:t>
      </w:r>
      <w:r w:rsidR="0017052C" w:rsidRPr="008A084A">
        <w:rPr>
          <w:rFonts w:ascii="Cambria" w:hAnsi="Cambria"/>
          <w:b/>
          <w:color w:val="auto"/>
          <w:sz w:val="20"/>
          <w:szCs w:val="20"/>
          <w:lang w:val="es-ES"/>
        </w:rPr>
        <w:t xml:space="preserve"> desaparición</w:t>
      </w:r>
      <w:r w:rsidR="00ED3E67" w:rsidRPr="008A084A">
        <w:rPr>
          <w:rFonts w:ascii="Cambria" w:hAnsi="Cambria"/>
          <w:b/>
          <w:color w:val="auto"/>
          <w:sz w:val="20"/>
          <w:szCs w:val="20"/>
          <w:lang w:val="es-ES"/>
        </w:rPr>
        <w:t xml:space="preserve"> de Luis Eduardo Guachalá</w:t>
      </w:r>
    </w:p>
    <w:p w:rsidR="003D4FE0" w:rsidRPr="008A084A" w:rsidRDefault="003D4FE0" w:rsidP="008A084A">
      <w:pPr>
        <w:pStyle w:val="ColorfulList-Accent11"/>
        <w:ind w:left="0"/>
        <w:rPr>
          <w:rFonts w:ascii="Cambria" w:hAnsi="Cambria"/>
          <w:sz w:val="20"/>
          <w:szCs w:val="20"/>
          <w:lang w:val="es-ES_tradnl"/>
        </w:rPr>
      </w:pPr>
    </w:p>
    <w:p w:rsidR="00683F25" w:rsidRPr="008A084A" w:rsidRDefault="003D4FE0" w:rsidP="00476D08">
      <w:pPr>
        <w:numPr>
          <w:ilvl w:val="0"/>
          <w:numId w:val="55"/>
        </w:numPr>
        <w:jc w:val="both"/>
        <w:rPr>
          <w:rFonts w:ascii="Cambria" w:hAnsi="Cambria"/>
          <w:sz w:val="20"/>
          <w:szCs w:val="20"/>
          <w:lang w:val="es-ES_tradnl"/>
        </w:rPr>
      </w:pPr>
      <w:r w:rsidRPr="008A084A">
        <w:rPr>
          <w:rFonts w:ascii="Cambria" w:hAnsi="Cambria"/>
          <w:sz w:val="20"/>
          <w:szCs w:val="20"/>
          <w:lang w:val="es-ES_tradnl"/>
        </w:rPr>
        <w:t xml:space="preserve">En el presente caso no hay controversia </w:t>
      </w:r>
      <w:r w:rsidR="00DA3556" w:rsidRPr="008A084A">
        <w:rPr>
          <w:rFonts w:ascii="Cambria" w:hAnsi="Cambria"/>
          <w:sz w:val="20"/>
          <w:szCs w:val="20"/>
          <w:lang w:val="es-ES_tradnl"/>
        </w:rPr>
        <w:t xml:space="preserve">en cuanto a </w:t>
      </w:r>
      <w:r w:rsidRPr="008A084A">
        <w:rPr>
          <w:rFonts w:ascii="Cambria" w:hAnsi="Cambria"/>
          <w:sz w:val="20"/>
          <w:szCs w:val="20"/>
          <w:lang w:val="es-ES_tradnl"/>
        </w:rPr>
        <w:t>que el señor Guachalá desapareció mientras se encontraba institucionalizado en el Hospital Psiquiátrico</w:t>
      </w:r>
      <w:r w:rsidR="00920398" w:rsidRPr="008A084A">
        <w:rPr>
          <w:rFonts w:ascii="Cambria" w:hAnsi="Cambria"/>
          <w:sz w:val="20"/>
          <w:szCs w:val="20"/>
          <w:lang w:val="es-ES_tradnl"/>
        </w:rPr>
        <w:t xml:space="preserve"> Julio Endara en enero de 2004. Por un lado, el Estado ha sostenido que el señor Guachalá se escapó</w:t>
      </w:r>
      <w:r w:rsidR="00750051" w:rsidRPr="008A084A">
        <w:rPr>
          <w:rFonts w:ascii="Cambria" w:hAnsi="Cambria"/>
          <w:sz w:val="20"/>
          <w:szCs w:val="20"/>
          <w:lang w:val="es-ES_tradnl"/>
        </w:rPr>
        <w:t xml:space="preserve"> de dicho centro el 17 de enero de 2004. El personal del hospital, en el marco de las investigaciones iniciad</w:t>
      </w:r>
      <w:r w:rsidR="004B21EC" w:rsidRPr="008A084A">
        <w:rPr>
          <w:rFonts w:ascii="Cambria" w:hAnsi="Cambria"/>
          <w:sz w:val="20"/>
          <w:szCs w:val="20"/>
          <w:lang w:val="es-ES_tradnl"/>
        </w:rPr>
        <w:t>a</w:t>
      </w:r>
      <w:r w:rsidR="00750051" w:rsidRPr="008A084A">
        <w:rPr>
          <w:rFonts w:ascii="Cambria" w:hAnsi="Cambria"/>
          <w:sz w:val="20"/>
          <w:szCs w:val="20"/>
          <w:lang w:val="es-ES_tradnl"/>
        </w:rPr>
        <w:t>s, declaró que era previsible considerar que el señor Guachalá se escapó en tanto las paredes del centro de salud mental no son altas</w:t>
      </w:r>
      <w:r w:rsidR="00683F25" w:rsidRPr="008A084A">
        <w:rPr>
          <w:rFonts w:ascii="Cambria" w:hAnsi="Cambria"/>
          <w:sz w:val="20"/>
          <w:szCs w:val="20"/>
          <w:lang w:val="es-ES_tradnl"/>
        </w:rPr>
        <w:t>, por lo que podría haberse trepado y salir. Por otro lado, tanto los peticionarios y los familiares del señor Guachalá han sostenido que el Estado no ha logrado demostrar que el señor Guachalá efectivamente se escapó del hospital</w:t>
      </w:r>
      <w:r w:rsidR="003A2EFF" w:rsidRPr="008A084A">
        <w:rPr>
          <w:rFonts w:ascii="Cambria" w:hAnsi="Cambria"/>
          <w:sz w:val="20"/>
          <w:szCs w:val="20"/>
          <w:lang w:val="es-ES_tradnl"/>
        </w:rPr>
        <w:t xml:space="preserve"> y que lo sucedido más bien se enmarca en una desaparición</w:t>
      </w:r>
      <w:r w:rsidR="00683F25" w:rsidRPr="008A084A">
        <w:rPr>
          <w:rFonts w:ascii="Cambria" w:hAnsi="Cambria"/>
          <w:sz w:val="20"/>
          <w:szCs w:val="20"/>
          <w:lang w:val="es-ES_tradnl"/>
        </w:rPr>
        <w:t>. La CIDH nota que se</w:t>
      </w:r>
      <w:r w:rsidR="008565DE" w:rsidRPr="008A084A">
        <w:rPr>
          <w:rFonts w:ascii="Cambria" w:hAnsi="Cambria"/>
          <w:sz w:val="20"/>
          <w:szCs w:val="20"/>
          <w:lang w:val="es-ES_tradnl"/>
        </w:rPr>
        <w:t xml:space="preserve"> ha</w:t>
      </w:r>
      <w:r w:rsidR="00683F25" w:rsidRPr="008A084A">
        <w:rPr>
          <w:rFonts w:ascii="Cambria" w:hAnsi="Cambria"/>
          <w:sz w:val="20"/>
          <w:szCs w:val="20"/>
          <w:lang w:val="es-ES_tradnl"/>
        </w:rPr>
        <w:t xml:space="preserve"> alegado una posible versión, amparada por la declaración de una persona institucionalizada en el hospital, que</w:t>
      </w:r>
      <w:r w:rsidR="008565DE" w:rsidRPr="008A084A">
        <w:rPr>
          <w:rFonts w:ascii="Cambria" w:hAnsi="Cambria"/>
          <w:sz w:val="20"/>
          <w:szCs w:val="20"/>
          <w:lang w:val="es-ES_tradnl"/>
        </w:rPr>
        <w:t xml:space="preserve"> indica que</w:t>
      </w:r>
      <w:r w:rsidR="00683F25" w:rsidRPr="008A084A">
        <w:rPr>
          <w:rFonts w:ascii="Cambria" w:hAnsi="Cambria"/>
          <w:sz w:val="20"/>
          <w:szCs w:val="20"/>
          <w:lang w:val="es-ES_tradnl"/>
        </w:rPr>
        <w:t xml:space="preserve"> el señor Guachalá habría sufrido un ataque cardiaco y que personal del centro habría encubierto su fallecimiento.</w:t>
      </w:r>
    </w:p>
    <w:p w:rsidR="0017052C" w:rsidRPr="008A084A" w:rsidRDefault="0017052C" w:rsidP="00907C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897947" w:rsidRPr="008A084A" w:rsidRDefault="00DC5CC9" w:rsidP="00897947">
      <w:pPr>
        <w:numPr>
          <w:ilvl w:val="0"/>
          <w:numId w:val="55"/>
        </w:numPr>
        <w:jc w:val="both"/>
        <w:rPr>
          <w:rFonts w:ascii="Cambria" w:hAnsi="Cambria"/>
          <w:sz w:val="20"/>
          <w:szCs w:val="20"/>
          <w:lang w:val="es-ES"/>
        </w:rPr>
      </w:pPr>
      <w:r w:rsidRPr="008A084A">
        <w:rPr>
          <w:rFonts w:ascii="Cambria" w:hAnsi="Cambria"/>
          <w:sz w:val="20"/>
          <w:szCs w:val="20"/>
          <w:lang w:val="es-ES"/>
        </w:rPr>
        <w:lastRenderedPageBreak/>
        <w:t xml:space="preserve">La Comisión recuerda, en primer lugar, </w:t>
      </w:r>
      <w:r w:rsidR="00897947" w:rsidRPr="008A084A">
        <w:rPr>
          <w:rFonts w:ascii="Cambria" w:hAnsi="Cambria"/>
          <w:sz w:val="20"/>
          <w:szCs w:val="20"/>
          <w:lang w:val="es-ES"/>
        </w:rPr>
        <w:t>que el señor Guachalá se encontraba institucionalizado en un centro de salud público, es decir, bajo la custodia del Estado. En dicho escenario</w:t>
      </w:r>
      <w:r w:rsidRPr="008A084A">
        <w:rPr>
          <w:rFonts w:ascii="Cambria" w:hAnsi="Cambria"/>
          <w:sz w:val="20"/>
          <w:szCs w:val="20"/>
          <w:lang w:val="es-ES"/>
        </w:rPr>
        <w:t>, conforme a la jurisprudencia reiterada de la CIDH y la Corte,</w:t>
      </w:r>
      <w:r w:rsidR="00FA4DAA" w:rsidRPr="008A084A">
        <w:rPr>
          <w:rFonts w:ascii="Cambria" w:hAnsi="Cambria"/>
          <w:sz w:val="20"/>
          <w:szCs w:val="20"/>
          <w:lang w:val="es-ES"/>
        </w:rPr>
        <w:t xml:space="preserve"> lo que sucede con una persona respecto de la cual el Estado tiene el deber especial de garante, se presume responsabilidad estatal salvo que el propio Estado aporte una explicación convincente y satisfactoria de lo ocurrido.</w:t>
      </w:r>
      <w:r w:rsidR="00897947" w:rsidRPr="008A084A">
        <w:rPr>
          <w:rFonts w:ascii="Cambria" w:hAnsi="Cambria"/>
          <w:sz w:val="20"/>
          <w:szCs w:val="20"/>
          <w:lang w:val="es-ES"/>
        </w:rPr>
        <w:t xml:space="preserve"> Sobre este </w:t>
      </w:r>
      <w:r w:rsidR="00897947" w:rsidRPr="008A084A">
        <w:rPr>
          <w:rFonts w:ascii="Cambria" w:hAnsi="Cambria"/>
          <w:sz w:val="20"/>
          <w:szCs w:val="20"/>
          <w:lang w:val="es-ES_tradnl"/>
        </w:rPr>
        <w:t>punto</w:t>
      </w:r>
      <w:r w:rsidR="00897947" w:rsidRPr="008A084A">
        <w:rPr>
          <w:rFonts w:ascii="Cambria" w:hAnsi="Cambria"/>
          <w:sz w:val="20"/>
          <w:szCs w:val="20"/>
          <w:lang w:val="es-ES"/>
        </w:rPr>
        <w:t>, la Corte Europea ha sostenido que en casos donde se alega la afectación a la vida o integridad de una persona con discapacidad institucionalizada en un centro de salud mental público, el Estado debe presentar una explicación satisfactoria y convincente sobre lo sucedido a efectos de controvertir tales alegatos</w:t>
      </w:r>
      <w:r w:rsidR="00897947" w:rsidRPr="008A084A">
        <w:rPr>
          <w:rStyle w:val="FootnoteReference"/>
          <w:rFonts w:ascii="Cambria" w:hAnsi="Cambria"/>
          <w:sz w:val="20"/>
          <w:szCs w:val="20"/>
          <w:lang w:val="es-ES"/>
        </w:rPr>
        <w:footnoteReference w:id="334"/>
      </w:r>
      <w:r w:rsidR="00897947" w:rsidRPr="008A084A">
        <w:rPr>
          <w:rFonts w:ascii="Cambria" w:hAnsi="Cambria"/>
          <w:sz w:val="20"/>
          <w:szCs w:val="20"/>
          <w:lang w:val="es-ES"/>
        </w:rPr>
        <w:t>.</w:t>
      </w:r>
    </w:p>
    <w:p w:rsidR="00897947" w:rsidRPr="008A084A" w:rsidRDefault="00897947" w:rsidP="000B1294">
      <w:pPr>
        <w:pStyle w:val="ListParagraph"/>
        <w:ind w:left="0"/>
        <w:rPr>
          <w:rFonts w:ascii="Cambria" w:hAnsi="Cambria"/>
          <w:sz w:val="20"/>
          <w:szCs w:val="20"/>
          <w:lang w:val="es-ES_tradnl"/>
        </w:rPr>
      </w:pPr>
    </w:p>
    <w:p w:rsidR="00750051" w:rsidRPr="008A084A" w:rsidRDefault="009902E1"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En el presente caso, el Estado ecuatoriano no ha logrado esclarecer la desaparición del señor Guachalá, ni ha establecido su destino o paradero. Como se analizará en la siguiente sección, las investigaciones a nivel interno no han sido diligentes ni llevadas a cabo en un plazo razonable, lo cual, además de las implicaciones jurídicas en materia de denegación de justicia, tienen implicaciones de carácter probatorio en cuanto a lo sucedido a la víctima. Esto </w:t>
      </w:r>
      <w:r w:rsidR="008A084A">
        <w:rPr>
          <w:rFonts w:ascii="Cambria" w:hAnsi="Cambria"/>
          <w:sz w:val="20"/>
          <w:szCs w:val="20"/>
          <w:lang w:val="es-ES"/>
        </w:rPr>
        <w:t>s</w:t>
      </w:r>
      <w:r w:rsidRPr="008A084A">
        <w:rPr>
          <w:rFonts w:ascii="Cambria" w:hAnsi="Cambria"/>
          <w:sz w:val="20"/>
          <w:szCs w:val="20"/>
          <w:lang w:val="es-ES"/>
        </w:rPr>
        <w:t xml:space="preserve">e desprende no sólo de la presunción que opera en el presente caso derivado de la situación de custodia en que se encontraba el señor Guachalá, sino del posible involucramiento de personas que actúan en nombre del Estado. </w:t>
      </w:r>
      <w:r w:rsidR="00750051" w:rsidRPr="008A084A">
        <w:rPr>
          <w:rFonts w:ascii="Cambria" w:hAnsi="Cambria"/>
          <w:sz w:val="20"/>
          <w:szCs w:val="20"/>
          <w:lang w:val="es-ES_tradnl"/>
        </w:rPr>
        <w:t xml:space="preserve">Sobre este </w:t>
      </w:r>
      <w:r w:rsidRPr="008A084A">
        <w:rPr>
          <w:rFonts w:ascii="Cambria" w:hAnsi="Cambria"/>
          <w:sz w:val="20"/>
          <w:szCs w:val="20"/>
          <w:lang w:val="es-ES_tradnl"/>
        </w:rPr>
        <w:t xml:space="preserve">último </w:t>
      </w:r>
      <w:r w:rsidR="00750051" w:rsidRPr="008A084A">
        <w:rPr>
          <w:rFonts w:ascii="Cambria" w:hAnsi="Cambria"/>
          <w:sz w:val="20"/>
          <w:szCs w:val="20"/>
          <w:lang w:val="es-ES_tradnl"/>
        </w:rPr>
        <w:t xml:space="preserve">punto, la </w:t>
      </w:r>
      <w:r w:rsidR="00750051" w:rsidRPr="008A084A">
        <w:rPr>
          <w:rFonts w:ascii="Cambria" w:hAnsi="Cambria"/>
          <w:sz w:val="20"/>
          <w:szCs w:val="20"/>
          <w:lang w:val="es-ES"/>
        </w:rPr>
        <w:t xml:space="preserve">Corte ha reiterado que la falta de investigación de alegadas afectaciones cometidas a una persona cuando existen indicios de participación de agentes estatales, “impide que el Estado presente una </w:t>
      </w:r>
      <w:r w:rsidR="00750051" w:rsidRPr="008A084A">
        <w:rPr>
          <w:rFonts w:ascii="Cambria" w:hAnsi="Cambria"/>
          <w:sz w:val="20"/>
          <w:szCs w:val="20"/>
          <w:lang w:val="es-ES_tradnl"/>
        </w:rPr>
        <w:t>explicación</w:t>
      </w:r>
      <w:r w:rsidR="00750051" w:rsidRPr="008A084A">
        <w:rPr>
          <w:rFonts w:ascii="Cambria" w:hAnsi="Cambria"/>
          <w:sz w:val="20"/>
          <w:szCs w:val="20"/>
          <w:lang w:val="es-ES"/>
        </w:rPr>
        <w:t xml:space="preserve"> satisfactoria y convincente de los </w:t>
      </w:r>
      <w:r w:rsidR="00750051" w:rsidRPr="008A084A">
        <w:rPr>
          <w:rFonts w:ascii="Cambria" w:hAnsi="Cambria" w:cs="Arial"/>
          <w:sz w:val="20"/>
          <w:szCs w:val="20"/>
          <w:lang w:val="es-ES"/>
        </w:rPr>
        <w:t>[hechos]</w:t>
      </w:r>
      <w:r w:rsidR="00750051" w:rsidRPr="008A084A">
        <w:rPr>
          <w:rFonts w:ascii="Cambria" w:hAnsi="Cambria"/>
          <w:sz w:val="20"/>
          <w:szCs w:val="20"/>
          <w:lang w:val="es-ES"/>
        </w:rPr>
        <w:t xml:space="preserve"> alegados y desvirtuar las alegaciones sobre su responsabilidad, </w:t>
      </w:r>
      <w:r w:rsidR="00750051" w:rsidRPr="008A084A">
        <w:rPr>
          <w:rFonts w:ascii="Cambria" w:hAnsi="Cambria"/>
          <w:sz w:val="20"/>
          <w:szCs w:val="20"/>
          <w:lang w:val="es-ES_tradnl"/>
        </w:rPr>
        <w:t>mediante</w:t>
      </w:r>
      <w:r w:rsidR="00750051" w:rsidRPr="008A084A">
        <w:rPr>
          <w:rFonts w:ascii="Cambria" w:hAnsi="Cambria"/>
          <w:sz w:val="20"/>
          <w:szCs w:val="20"/>
          <w:lang w:val="es-ES"/>
        </w:rPr>
        <w:t xml:space="preserve"> elementos probatorios adecuados”</w:t>
      </w:r>
      <w:r w:rsidR="00750051" w:rsidRPr="008A084A">
        <w:rPr>
          <w:rStyle w:val="FootnoteReference"/>
          <w:rFonts w:ascii="Cambria" w:hAnsi="Cambria"/>
          <w:sz w:val="20"/>
          <w:szCs w:val="20"/>
          <w:lang w:val="es-ES"/>
        </w:rPr>
        <w:t xml:space="preserve"> </w:t>
      </w:r>
      <w:r w:rsidR="00750051" w:rsidRPr="008A084A">
        <w:rPr>
          <w:rStyle w:val="FootnoteReference"/>
          <w:rFonts w:ascii="Cambria" w:hAnsi="Cambria"/>
          <w:sz w:val="20"/>
          <w:szCs w:val="20"/>
          <w:lang w:val="es-ES"/>
        </w:rPr>
        <w:footnoteReference w:id="335"/>
      </w:r>
      <w:r w:rsidR="00750051" w:rsidRPr="008A084A">
        <w:rPr>
          <w:rFonts w:ascii="Cambria" w:hAnsi="Cambria"/>
          <w:sz w:val="20"/>
          <w:szCs w:val="20"/>
          <w:lang w:val="es-ES"/>
        </w:rPr>
        <w:t>. De esta forma, la Corte ha tomado dicha falta de esclarecimiento como un factor a tomar en cuenta para acreditar la alegada afectación y la consecuente responsabilidad internacional</w:t>
      </w:r>
      <w:r w:rsidR="00750051" w:rsidRPr="008A084A">
        <w:rPr>
          <w:rStyle w:val="FootnoteReference"/>
          <w:rFonts w:ascii="Cambria" w:hAnsi="Cambria"/>
          <w:sz w:val="20"/>
          <w:szCs w:val="20"/>
          <w:lang w:val="es-ES"/>
        </w:rPr>
        <w:footnoteReference w:id="336"/>
      </w:r>
      <w:r w:rsidR="00750051" w:rsidRPr="008A084A">
        <w:rPr>
          <w:rFonts w:ascii="Cambria" w:hAnsi="Cambria"/>
          <w:sz w:val="20"/>
          <w:szCs w:val="20"/>
          <w:lang w:val="es-ES"/>
        </w:rPr>
        <w:t>.</w:t>
      </w:r>
    </w:p>
    <w:p w:rsidR="008D5F5C" w:rsidRPr="008A084A" w:rsidRDefault="008D5F5C" w:rsidP="008D5F5C">
      <w:pPr>
        <w:pStyle w:val="ListParagraph"/>
        <w:rPr>
          <w:rFonts w:ascii="Cambria" w:hAnsi="Cambria"/>
          <w:sz w:val="20"/>
          <w:szCs w:val="20"/>
          <w:lang w:val="es-ES"/>
        </w:rPr>
      </w:pPr>
    </w:p>
    <w:p w:rsidR="008D5F5C" w:rsidRPr="008A084A" w:rsidRDefault="00B20D3C"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Además de que el Estado no ha logrado ofrecer una explicación </w:t>
      </w:r>
      <w:r w:rsidR="00692053" w:rsidRPr="008A084A">
        <w:rPr>
          <w:rFonts w:ascii="Cambria" w:hAnsi="Cambria"/>
          <w:sz w:val="20"/>
          <w:szCs w:val="20"/>
          <w:lang w:val="es-ES"/>
        </w:rPr>
        <w:t xml:space="preserve">convincente y satisfactoria de lo sucedido al señor Guachalá, la Comisión </w:t>
      </w:r>
      <w:r w:rsidR="008A084A">
        <w:rPr>
          <w:rFonts w:ascii="Cambria" w:hAnsi="Cambria"/>
          <w:sz w:val="20"/>
          <w:szCs w:val="20"/>
          <w:lang w:val="es-ES"/>
        </w:rPr>
        <w:t>toma nota de otros indicios de responsabilidad del Estado</w:t>
      </w:r>
      <w:r w:rsidR="00692053" w:rsidRPr="008A084A">
        <w:rPr>
          <w:rFonts w:ascii="Cambria" w:hAnsi="Cambria"/>
          <w:sz w:val="20"/>
          <w:szCs w:val="20"/>
          <w:lang w:val="es-ES"/>
        </w:rPr>
        <w:t>.</w:t>
      </w:r>
    </w:p>
    <w:p w:rsidR="00692053" w:rsidRPr="008A084A" w:rsidRDefault="00692053" w:rsidP="00471FC6">
      <w:pPr>
        <w:pStyle w:val="ListParagraph"/>
        <w:rPr>
          <w:rFonts w:ascii="Cambria" w:hAnsi="Cambria"/>
          <w:sz w:val="20"/>
          <w:szCs w:val="20"/>
          <w:lang w:val="es-ES"/>
        </w:rPr>
      </w:pPr>
    </w:p>
    <w:p w:rsidR="00F34E3F" w:rsidRPr="008A084A" w:rsidRDefault="008A084A" w:rsidP="00476D08">
      <w:pPr>
        <w:numPr>
          <w:ilvl w:val="0"/>
          <w:numId w:val="55"/>
        </w:numPr>
        <w:jc w:val="both"/>
        <w:rPr>
          <w:rFonts w:ascii="Cambria" w:hAnsi="Cambria"/>
          <w:sz w:val="20"/>
          <w:szCs w:val="20"/>
          <w:lang w:val="es-ES"/>
        </w:rPr>
      </w:pPr>
      <w:r>
        <w:rPr>
          <w:rFonts w:ascii="Cambria" w:hAnsi="Cambria"/>
          <w:sz w:val="20"/>
          <w:szCs w:val="20"/>
          <w:lang w:val="es-ES"/>
        </w:rPr>
        <w:t>L</w:t>
      </w:r>
      <w:r w:rsidR="009E1680" w:rsidRPr="008A084A">
        <w:rPr>
          <w:rFonts w:ascii="Cambria" w:hAnsi="Cambria"/>
          <w:sz w:val="20"/>
          <w:szCs w:val="20"/>
          <w:lang w:val="es-ES"/>
        </w:rPr>
        <w:t xml:space="preserve">a Comisión destaca que la madre del señor Guachalá desde el momento en que acudió al hospital el 17 de enero de 2004 y le indicaron que su hijo se había escapado, continuó procurando en el propio hospital información sobre lo sucedido, así como ante diversas autoridades estatales, como se desprende de los hechos probados. La Comisión resalta que en el hospital no pudieron brindarle información certera sobre lo ocurrido a su hijo y las supuestas circunstancias en las cuales se habría escapado. Por el contrario, de lo dicho por el Director del centro, pareciera desprenderse </w:t>
      </w:r>
      <w:r w:rsidR="00A71D1F" w:rsidRPr="008A084A">
        <w:rPr>
          <w:rFonts w:ascii="Cambria" w:hAnsi="Cambria"/>
          <w:sz w:val="20"/>
          <w:szCs w:val="20"/>
          <w:lang w:val="es-ES"/>
        </w:rPr>
        <w:t>un traslado de responsabilidad de la desaparición a la madre supuestamente por la ausencia de visita</w:t>
      </w:r>
      <w:r w:rsidR="005570F0" w:rsidRPr="008A084A">
        <w:rPr>
          <w:rFonts w:ascii="Cambria" w:hAnsi="Cambria"/>
          <w:sz w:val="20"/>
          <w:szCs w:val="20"/>
          <w:lang w:val="es-ES"/>
        </w:rPr>
        <w:t xml:space="preserve">. Cabe mencionar que de los hechos probados no se desprende con claridad quién o quiénes eran las personas a cargo de la custodia del señor Guachalá. Así, la doctora Erika </w:t>
      </w:r>
      <w:proofErr w:type="spellStart"/>
      <w:r w:rsidR="005570F0" w:rsidRPr="008A084A">
        <w:rPr>
          <w:rFonts w:ascii="Cambria" w:hAnsi="Cambria"/>
          <w:sz w:val="20"/>
          <w:szCs w:val="20"/>
          <w:lang w:val="es-ES"/>
        </w:rPr>
        <w:t>Quimbuilco</w:t>
      </w:r>
      <w:proofErr w:type="spellEnd"/>
      <w:r w:rsidR="005570F0" w:rsidRPr="008A084A">
        <w:rPr>
          <w:rFonts w:ascii="Cambria" w:hAnsi="Cambria"/>
          <w:sz w:val="20"/>
          <w:szCs w:val="20"/>
          <w:lang w:val="es-ES"/>
        </w:rPr>
        <w:t xml:space="preserve"> indicó en varias oportunidades que tal custodia no era su función. Por su parte, como se indicó, el Director señaló que los pacientes se ponen muy inquietos cuando no los visitan sus familiares sin indicación de la responsabilidad puntual de la custodia. A su vez, el enfermero narró que se separó de Luis Eduardo Guacha</w:t>
      </w:r>
      <w:r w:rsidR="0073036B">
        <w:rPr>
          <w:rFonts w:ascii="Cambria" w:hAnsi="Cambria"/>
          <w:sz w:val="20"/>
          <w:szCs w:val="20"/>
          <w:lang w:val="es-ES"/>
        </w:rPr>
        <w:t>l</w:t>
      </w:r>
      <w:r w:rsidR="005570F0" w:rsidRPr="008A084A">
        <w:rPr>
          <w:rFonts w:ascii="Cambria" w:hAnsi="Cambria"/>
          <w:sz w:val="20"/>
          <w:szCs w:val="20"/>
          <w:lang w:val="es-ES"/>
        </w:rPr>
        <w:t>á Chimbó por unos minutos para atender a otro paciente, pero que al volver ya no estaba, lo que podría reflejar una carencia estructural en cuanto al personal del hospital. En suma, el hospital no le dio a la señora Guachalá información detallada sobre lo sucedido a su hijo durante su permanencia en el centro.</w:t>
      </w:r>
      <w:r w:rsidR="00136C0C" w:rsidRPr="008A084A">
        <w:rPr>
          <w:rFonts w:ascii="Cambria" w:hAnsi="Cambria"/>
          <w:sz w:val="20"/>
          <w:szCs w:val="20"/>
          <w:lang w:val="es-ES"/>
        </w:rPr>
        <w:t xml:space="preserve"> Por el contrario, tan sólo días después de la desaparición, el Hospital se apresuró a emitir una “hoja de egreso”, indicando que el señor Guachalá abandonó el hospital. </w:t>
      </w:r>
    </w:p>
    <w:p w:rsidR="002D1591" w:rsidRPr="008A084A" w:rsidRDefault="002D1591" w:rsidP="00471FC6">
      <w:pPr>
        <w:ind w:left="720"/>
        <w:jc w:val="both"/>
        <w:rPr>
          <w:rFonts w:ascii="Cambria" w:hAnsi="Cambria"/>
          <w:sz w:val="20"/>
          <w:szCs w:val="20"/>
          <w:lang w:val="es-ES"/>
        </w:rPr>
      </w:pPr>
    </w:p>
    <w:p w:rsidR="00F34E3F" w:rsidRPr="008A084A" w:rsidRDefault="00F34E3F"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En adición a lo anterior, la Comisión considera que el hecho de que la madre de Luis Eduardo Guachalá no hubiese podido ver a su hijo durante el tiempo de su internamiento, particularmente en los primeros días, porque supuestamente estaba completamente sedado, </w:t>
      </w:r>
      <w:r w:rsidR="004F6E25" w:rsidRPr="008A084A">
        <w:rPr>
          <w:rFonts w:ascii="Cambria" w:hAnsi="Cambria"/>
          <w:sz w:val="20"/>
          <w:szCs w:val="20"/>
          <w:lang w:val="es-ES"/>
        </w:rPr>
        <w:t>constituye un indicio sobre la responsabilidad del Estado en lo sucedido a Luis Eduard</w:t>
      </w:r>
      <w:r w:rsidR="00835599" w:rsidRPr="008A084A">
        <w:rPr>
          <w:rFonts w:ascii="Cambria" w:hAnsi="Cambria"/>
          <w:sz w:val="20"/>
          <w:szCs w:val="20"/>
          <w:lang w:val="es-ES"/>
        </w:rPr>
        <w:t>o</w:t>
      </w:r>
      <w:r w:rsidR="004F6E25" w:rsidRPr="008A084A">
        <w:rPr>
          <w:rFonts w:ascii="Cambria" w:hAnsi="Cambria"/>
          <w:sz w:val="20"/>
          <w:szCs w:val="20"/>
          <w:lang w:val="es-ES"/>
        </w:rPr>
        <w:t xml:space="preserve"> Guachalá.</w:t>
      </w:r>
      <w:r w:rsidRPr="008A084A">
        <w:rPr>
          <w:rFonts w:ascii="Cambria" w:hAnsi="Cambria"/>
          <w:sz w:val="20"/>
          <w:szCs w:val="20"/>
          <w:lang w:val="es-ES"/>
        </w:rPr>
        <w:t xml:space="preserve"> La CIDH destaca que el lunes 12 de enero de 2004, la madre del señor Guachalá acudió a ver a su hijo y no lo encontró ni en el cuarto donde lo había dejado, ni en la peluquería donde le dijeron que podría encontrarse, ni en ningún otro lugar del hospital. </w:t>
      </w:r>
      <w:r w:rsidR="00310C67" w:rsidRPr="008A084A">
        <w:rPr>
          <w:rFonts w:ascii="Cambria" w:hAnsi="Cambria"/>
          <w:sz w:val="20"/>
          <w:szCs w:val="20"/>
          <w:lang w:val="es-ES"/>
        </w:rPr>
        <w:t xml:space="preserve">Según su propio testimonio nadie le pudo decir donde se encontraba su hijo. A este indicio se suma la versión </w:t>
      </w:r>
      <w:r w:rsidR="00310C67" w:rsidRPr="008A084A">
        <w:rPr>
          <w:rFonts w:ascii="Cambria" w:hAnsi="Cambria"/>
          <w:sz w:val="20"/>
          <w:szCs w:val="20"/>
          <w:lang w:val="es-ES"/>
        </w:rPr>
        <w:lastRenderedPageBreak/>
        <w:t xml:space="preserve">de otro paciente según la cual el señor Guachalá habría sufrido un infarto y que tal información estaría siendo encubierta por el hospital. </w:t>
      </w:r>
      <w:r w:rsidR="00042630" w:rsidRPr="008A084A">
        <w:rPr>
          <w:rFonts w:ascii="Cambria" w:hAnsi="Cambria"/>
          <w:sz w:val="20"/>
          <w:szCs w:val="20"/>
          <w:lang w:val="es-ES"/>
        </w:rPr>
        <w:t xml:space="preserve">Cabe mencionar que el Estado no ha negado que a la madre del señor Guachalá se le informó que su hijo permanecería sedado prácticamente por dos días enteros posterior a su internamiento, sin que se hubiera brindado explicación sobre lo severo de dicha intervención. </w:t>
      </w:r>
    </w:p>
    <w:p w:rsidR="00310C67" w:rsidRPr="008A084A" w:rsidRDefault="00310C67" w:rsidP="00471FC6">
      <w:pPr>
        <w:pStyle w:val="ListParagraph"/>
        <w:rPr>
          <w:rFonts w:ascii="Cambria" w:hAnsi="Cambria"/>
          <w:sz w:val="20"/>
          <w:szCs w:val="20"/>
          <w:lang w:val="es-ES"/>
        </w:rPr>
      </w:pPr>
    </w:p>
    <w:p w:rsidR="00310C67" w:rsidRPr="008A084A" w:rsidRDefault="00310C67"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La Comisión también considera de especial relevancia en este punto que el Estado no ha logrado acreditar su versión sobre la supuesta fuga de la víctima del hospital. </w:t>
      </w:r>
      <w:r w:rsidR="00CB145D" w:rsidRPr="008A084A">
        <w:rPr>
          <w:rFonts w:ascii="Cambria" w:hAnsi="Cambria"/>
          <w:sz w:val="20"/>
          <w:szCs w:val="20"/>
          <w:lang w:val="es-ES"/>
        </w:rPr>
        <w:t>Tal versión, como se verá más adelante, con resultado de una investigación efectiva y diligente de lo ocurrido, y la misma pierde verosimilitud frente al hecho de que la víctima o su cuerpo no hayan sido encontrados hasta ahora y que nunca se hubiera puesto en contacto con su familia. Más bien, el tiempo transcurrido sin que se tenga dato alguno sobre el señor Guachalá, más bien viene a fortalecer la hipótesis de que su destino pudo ser la muerte en el marco del tratamiento recibido por parte del Estado y su posterior encubrimiento.</w:t>
      </w:r>
    </w:p>
    <w:p w:rsidR="00CB145D" w:rsidRPr="008A084A" w:rsidRDefault="00CB145D" w:rsidP="00471FC6">
      <w:pPr>
        <w:pStyle w:val="ListParagraph"/>
        <w:rPr>
          <w:rFonts w:ascii="Cambria" w:hAnsi="Cambria"/>
          <w:sz w:val="20"/>
          <w:szCs w:val="20"/>
          <w:lang w:val="es-ES"/>
        </w:rPr>
      </w:pPr>
    </w:p>
    <w:p w:rsidR="000F0053" w:rsidRPr="008A084A" w:rsidRDefault="00CB145D" w:rsidP="008A084A">
      <w:pPr>
        <w:numPr>
          <w:ilvl w:val="0"/>
          <w:numId w:val="55"/>
        </w:numPr>
        <w:jc w:val="both"/>
        <w:rPr>
          <w:rFonts w:ascii="Cambria" w:hAnsi="Cambria"/>
          <w:sz w:val="20"/>
          <w:szCs w:val="20"/>
          <w:lang w:val="es-ES"/>
        </w:rPr>
      </w:pPr>
      <w:r w:rsidRPr="008A084A">
        <w:rPr>
          <w:rFonts w:ascii="Cambria" w:hAnsi="Cambria"/>
          <w:sz w:val="20"/>
          <w:szCs w:val="20"/>
          <w:lang w:val="es-ES"/>
        </w:rPr>
        <w:t xml:space="preserve">Todos estos elementos, tomados en su conjunto y analizados a la luz del incumplimiento por parte del Estado del deber de investigar seriamente los hechos para lograr su debido esclarecimiento así como de la presunción de responsabilidad cuando una persona desaparece bajo la custodia del Estado, permiten concluir que </w:t>
      </w:r>
      <w:r w:rsidR="00750051" w:rsidRPr="008A084A">
        <w:rPr>
          <w:rFonts w:ascii="Cambria" w:hAnsi="Cambria"/>
          <w:sz w:val="20"/>
          <w:szCs w:val="20"/>
          <w:lang w:val="es-ES"/>
        </w:rPr>
        <w:t xml:space="preserve">el Estado ecuatoriano vulneró </w:t>
      </w:r>
      <w:r w:rsidR="008A084A">
        <w:rPr>
          <w:rFonts w:ascii="Cambria" w:hAnsi="Cambria"/>
          <w:sz w:val="20"/>
          <w:szCs w:val="20"/>
          <w:lang w:val="es-ES"/>
        </w:rPr>
        <w:t>el derecho a la</w:t>
      </w:r>
      <w:r w:rsidR="00750051" w:rsidRPr="008A084A">
        <w:rPr>
          <w:rFonts w:ascii="Cambria" w:hAnsi="Cambria"/>
          <w:sz w:val="20"/>
          <w:szCs w:val="20"/>
          <w:lang w:val="es-ES"/>
        </w:rPr>
        <w:t xml:space="preserve"> vida</w:t>
      </w:r>
      <w:r w:rsidR="008A084A">
        <w:rPr>
          <w:rFonts w:ascii="Cambria" w:hAnsi="Cambria"/>
          <w:sz w:val="20"/>
          <w:szCs w:val="20"/>
          <w:lang w:val="es-ES"/>
        </w:rPr>
        <w:t xml:space="preserve"> e</w:t>
      </w:r>
      <w:r w:rsidR="00750051" w:rsidRPr="008A084A">
        <w:rPr>
          <w:rFonts w:ascii="Cambria" w:hAnsi="Cambria"/>
          <w:sz w:val="20"/>
          <w:szCs w:val="20"/>
          <w:lang w:val="es-ES"/>
        </w:rPr>
        <w:t xml:space="preserve"> integridad personal, establecidos en los artículos </w:t>
      </w:r>
      <w:r w:rsidR="008A084A">
        <w:rPr>
          <w:rFonts w:ascii="Cambria" w:hAnsi="Cambria"/>
          <w:sz w:val="20"/>
          <w:szCs w:val="20"/>
          <w:lang w:val="es-ES"/>
        </w:rPr>
        <w:t>4.1 y</w:t>
      </w:r>
      <w:r w:rsidR="00750051" w:rsidRPr="008A084A">
        <w:rPr>
          <w:rFonts w:ascii="Cambria" w:hAnsi="Cambria"/>
          <w:sz w:val="20"/>
          <w:szCs w:val="20"/>
          <w:lang w:val="es-ES"/>
        </w:rPr>
        <w:t xml:space="preserve"> 5.1 de la Convención Americana, en relación con el artículo 1.1 del mismo instrumento, en perjuicio de Luis Eduardo Guachalá Chimbó.</w:t>
      </w:r>
      <w:r w:rsidR="00095606" w:rsidRPr="008A084A">
        <w:rPr>
          <w:rFonts w:ascii="Cambria" w:hAnsi="Cambria"/>
          <w:sz w:val="20"/>
          <w:szCs w:val="20"/>
          <w:lang w:val="es-ES"/>
        </w:rPr>
        <w:t xml:space="preserve"> </w:t>
      </w:r>
    </w:p>
    <w:p w:rsidR="00D51AF8" w:rsidRPr="008A084A" w:rsidRDefault="00D51AF8" w:rsidP="00D51AF8">
      <w:pPr>
        <w:jc w:val="both"/>
        <w:rPr>
          <w:rFonts w:ascii="Cambria" w:hAnsi="Cambria"/>
          <w:sz w:val="20"/>
          <w:szCs w:val="20"/>
          <w:lang w:val="es-ES"/>
        </w:rPr>
      </w:pPr>
    </w:p>
    <w:p w:rsidR="00E81EEE" w:rsidRPr="008A084A" w:rsidRDefault="00E81EEE" w:rsidP="00B329C1">
      <w:pPr>
        <w:pStyle w:val="Heading2"/>
        <w:numPr>
          <w:ilvl w:val="0"/>
          <w:numId w:val="58"/>
        </w:numPr>
        <w:spacing w:before="0" w:after="0"/>
        <w:ind w:left="1440" w:hanging="720"/>
        <w:jc w:val="both"/>
        <w:rPr>
          <w:rFonts w:ascii="Cambria" w:hAnsi="Cambria"/>
          <w:i w:val="0"/>
          <w:sz w:val="20"/>
          <w:szCs w:val="20"/>
          <w:lang w:val="es-ES"/>
        </w:rPr>
      </w:pPr>
      <w:bookmarkStart w:id="35" w:name="_Toc525547515"/>
      <w:r w:rsidRPr="008A084A">
        <w:rPr>
          <w:rFonts w:ascii="Cambria" w:hAnsi="Cambria"/>
          <w:i w:val="0"/>
          <w:sz w:val="20"/>
          <w:szCs w:val="20"/>
          <w:lang w:val="es-ES"/>
        </w:rPr>
        <w:t>Sobre los derechos a las garantías judiciales</w:t>
      </w:r>
      <w:r w:rsidR="00A05A06" w:rsidRPr="008A084A">
        <w:rPr>
          <w:rStyle w:val="FootnoteReference"/>
          <w:rFonts w:ascii="Cambria" w:hAnsi="Cambria"/>
          <w:i w:val="0"/>
          <w:sz w:val="20"/>
          <w:szCs w:val="20"/>
          <w:lang w:val="es-ES"/>
        </w:rPr>
        <w:footnoteReference w:id="337"/>
      </w:r>
      <w:r w:rsidRPr="008A084A">
        <w:rPr>
          <w:rFonts w:ascii="Cambria" w:hAnsi="Cambria"/>
          <w:i w:val="0"/>
          <w:sz w:val="20"/>
          <w:szCs w:val="20"/>
          <w:lang w:val="es-ES"/>
        </w:rPr>
        <w:t xml:space="preserve"> y protección judicial</w:t>
      </w:r>
      <w:r w:rsidR="00A05A06" w:rsidRPr="008A084A">
        <w:rPr>
          <w:rStyle w:val="FootnoteReference"/>
          <w:rFonts w:ascii="Cambria" w:hAnsi="Cambria"/>
          <w:i w:val="0"/>
          <w:sz w:val="20"/>
          <w:szCs w:val="20"/>
          <w:lang w:val="es-ES"/>
        </w:rPr>
        <w:footnoteReference w:id="338"/>
      </w:r>
      <w:r w:rsidRPr="008A084A">
        <w:rPr>
          <w:rFonts w:ascii="Cambria" w:hAnsi="Cambria"/>
          <w:i w:val="0"/>
          <w:sz w:val="20"/>
          <w:szCs w:val="20"/>
          <w:lang w:val="es-ES"/>
        </w:rPr>
        <w:t xml:space="preserve"> (artículos 8</w:t>
      </w:r>
      <w:r w:rsidR="004A43C3" w:rsidRPr="008A084A">
        <w:rPr>
          <w:rFonts w:ascii="Cambria" w:hAnsi="Cambria"/>
          <w:i w:val="0"/>
          <w:sz w:val="20"/>
          <w:szCs w:val="20"/>
          <w:lang w:val="es-ES"/>
        </w:rPr>
        <w:t>.1</w:t>
      </w:r>
      <w:r w:rsidRPr="008A084A">
        <w:rPr>
          <w:rFonts w:ascii="Cambria" w:hAnsi="Cambria"/>
          <w:i w:val="0"/>
          <w:sz w:val="20"/>
          <w:szCs w:val="20"/>
          <w:lang w:val="es-ES"/>
        </w:rPr>
        <w:t xml:space="preserve"> y 25</w:t>
      </w:r>
      <w:r w:rsidR="004A43C3" w:rsidRPr="008A084A">
        <w:rPr>
          <w:rFonts w:ascii="Cambria" w:hAnsi="Cambria"/>
          <w:i w:val="0"/>
          <w:sz w:val="20"/>
          <w:szCs w:val="20"/>
          <w:lang w:val="es-ES"/>
        </w:rPr>
        <w:t>.1</w:t>
      </w:r>
      <w:r w:rsidRPr="008A084A">
        <w:rPr>
          <w:rFonts w:ascii="Cambria" w:hAnsi="Cambria"/>
          <w:i w:val="0"/>
          <w:sz w:val="20"/>
          <w:szCs w:val="20"/>
          <w:lang w:val="es-ES"/>
        </w:rPr>
        <w:t xml:space="preserve"> de la Convención Americana en relación con el artículo 1.1 del mismo instrumento)</w:t>
      </w:r>
      <w:bookmarkEnd w:id="35"/>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E81EEE" w:rsidRPr="008A084A" w:rsidRDefault="00E81EEE" w:rsidP="00476D08">
      <w:pPr>
        <w:numPr>
          <w:ilvl w:val="0"/>
          <w:numId w:val="55"/>
        </w:numPr>
        <w:jc w:val="both"/>
        <w:rPr>
          <w:rFonts w:ascii="Cambria" w:hAnsi="Cambria"/>
          <w:sz w:val="20"/>
          <w:szCs w:val="20"/>
          <w:lang w:val="es-PE"/>
        </w:rPr>
      </w:pPr>
      <w:r w:rsidRPr="008A084A">
        <w:rPr>
          <w:rFonts w:ascii="Cambria" w:hAnsi="Cambria"/>
          <w:sz w:val="20"/>
          <w:szCs w:val="20"/>
          <w:lang w:val="es-PE"/>
        </w:rPr>
        <w:t xml:space="preserve">De acuerdo a la Corte, el derecho a las garantías judiciales implica que toda persona que ha sufrido una violación a sus derechos humanos “tiene derecho a obtener de los </w:t>
      </w:r>
      <w:r w:rsidRPr="008A084A">
        <w:rPr>
          <w:rFonts w:ascii="Cambria" w:hAnsi="Cambria"/>
          <w:sz w:val="20"/>
          <w:szCs w:val="20"/>
          <w:lang w:val="es-ES"/>
        </w:rPr>
        <w:t>órganos</w:t>
      </w:r>
      <w:r w:rsidRPr="008A084A">
        <w:rPr>
          <w:rFonts w:ascii="Cambria" w:hAnsi="Cambria"/>
          <w:sz w:val="20"/>
          <w:szCs w:val="20"/>
          <w:lang w:val="es-PE"/>
        </w:rPr>
        <w:t xml:space="preserve"> competentes del Estado el esclarecimiento de los hechos violatorios y el establecimiento de las responsabilidades correspondientes, a través de la investigación y el juzgamiento”</w:t>
      </w:r>
      <w:r w:rsidRPr="008A084A">
        <w:rPr>
          <w:rStyle w:val="FootnoteReference"/>
          <w:rFonts w:ascii="Cambria" w:hAnsi="Cambria"/>
          <w:sz w:val="20"/>
          <w:szCs w:val="20"/>
        </w:rPr>
        <w:footnoteReference w:id="339"/>
      </w:r>
      <w:r w:rsidRPr="008A084A">
        <w:rPr>
          <w:rFonts w:ascii="Cambria" w:hAnsi="Cambria"/>
          <w:sz w:val="20"/>
          <w:szCs w:val="20"/>
          <w:lang w:val="es-PE"/>
        </w:rPr>
        <w:t xml:space="preserve">. Respecto al derecho a la protección judicial, la Corte ha establecido lo siguiente: </w:t>
      </w: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720" w:firstLine="0"/>
        <w:jc w:val="both"/>
        <w:rPr>
          <w:rFonts w:ascii="Cambria" w:hAnsi="Cambria"/>
          <w:color w:val="auto"/>
          <w:sz w:val="20"/>
          <w:szCs w:val="20"/>
        </w:rPr>
      </w:pP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rPr>
      </w:pPr>
      <w:r w:rsidRPr="008A084A">
        <w:rPr>
          <w:rFonts w:ascii="Cambria" w:hAnsi="Cambria"/>
          <w:color w:val="auto"/>
          <w:sz w:val="20"/>
          <w:szCs w:val="20"/>
        </w:rPr>
        <w:t>(...)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 (…). [E]l artículo 25 constituye uno de los pilares básicos, no sólo de la Convención Americana, sino del propio Estado de derecho en una sociedad democrática (...)</w:t>
      </w:r>
      <w:r w:rsidRPr="008A084A">
        <w:rPr>
          <w:rStyle w:val="FootnoteReference"/>
          <w:rFonts w:ascii="Cambria" w:hAnsi="Cambria"/>
          <w:color w:val="auto"/>
          <w:sz w:val="20"/>
          <w:szCs w:val="20"/>
        </w:rPr>
        <w:footnoteReference w:id="340"/>
      </w:r>
      <w:r w:rsidRPr="008A084A">
        <w:rPr>
          <w:rFonts w:ascii="Cambria" w:hAnsi="Cambria"/>
          <w:color w:val="auto"/>
          <w:sz w:val="20"/>
          <w:szCs w:val="20"/>
        </w:rPr>
        <w:t xml:space="preserve">. </w:t>
      </w: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E81EEE" w:rsidRPr="008A084A" w:rsidRDefault="00E81EEE" w:rsidP="00476D08">
      <w:pPr>
        <w:numPr>
          <w:ilvl w:val="0"/>
          <w:numId w:val="55"/>
        </w:numPr>
        <w:jc w:val="both"/>
        <w:rPr>
          <w:rFonts w:ascii="Cambria" w:hAnsi="Cambria"/>
          <w:sz w:val="20"/>
          <w:szCs w:val="20"/>
          <w:lang w:val="es-PE"/>
        </w:rPr>
      </w:pPr>
      <w:r w:rsidRPr="008A084A">
        <w:rPr>
          <w:rFonts w:ascii="Cambria" w:hAnsi="Cambria"/>
          <w:sz w:val="20"/>
          <w:szCs w:val="20"/>
          <w:lang w:val="es-PE"/>
        </w:rPr>
        <w:t xml:space="preserve">Es importante resaltar que la Corte ha señalado que para que el Estado cumpla con lo dispuesto en el citado </w:t>
      </w:r>
      <w:r w:rsidRPr="008A084A">
        <w:rPr>
          <w:rFonts w:ascii="Cambria" w:hAnsi="Cambria"/>
          <w:sz w:val="20"/>
          <w:szCs w:val="20"/>
          <w:lang w:val="es-ES"/>
        </w:rPr>
        <w:t>artículo</w:t>
      </w:r>
      <w:r w:rsidRPr="008A084A">
        <w:rPr>
          <w:rFonts w:ascii="Cambria" w:hAnsi="Cambria"/>
          <w:sz w:val="20"/>
          <w:szCs w:val="20"/>
          <w:lang w:val="es-PE"/>
        </w:rPr>
        <w:t xml:space="preserve"> 25.1 de la Convención no basta con que los recursos existan formalmente, sino es preciso que sean efectivos</w:t>
      </w:r>
      <w:r w:rsidRPr="008A084A">
        <w:rPr>
          <w:rStyle w:val="FootnoteReference"/>
          <w:rFonts w:ascii="Cambria" w:hAnsi="Cambria"/>
          <w:sz w:val="20"/>
          <w:szCs w:val="20"/>
        </w:rPr>
        <w:footnoteReference w:id="341"/>
      </w:r>
      <w:r w:rsidRPr="008A084A">
        <w:rPr>
          <w:rFonts w:ascii="Cambria" w:hAnsi="Cambria"/>
          <w:sz w:val="20"/>
          <w:szCs w:val="20"/>
          <w:lang w:val="es-PE"/>
        </w:rPr>
        <w:t>. Ello implica que se debe brindar a la persona la posibilidad real de interponer un recurso sencillo y rápido que permita alcanzar, en su caso, la protección judicial requerida</w:t>
      </w:r>
      <w:r w:rsidRPr="008A084A">
        <w:rPr>
          <w:rStyle w:val="FootnoteReference"/>
          <w:rFonts w:ascii="Cambria" w:hAnsi="Cambria"/>
          <w:sz w:val="20"/>
          <w:szCs w:val="20"/>
        </w:rPr>
        <w:footnoteReference w:id="342"/>
      </w:r>
      <w:r w:rsidRPr="008A084A">
        <w:rPr>
          <w:rFonts w:ascii="Cambria" w:hAnsi="Cambria"/>
          <w:sz w:val="20"/>
          <w:szCs w:val="20"/>
          <w:lang w:val="es-PE"/>
        </w:rPr>
        <w:t xml:space="preserve">. </w:t>
      </w: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E81EEE" w:rsidRPr="008A084A" w:rsidRDefault="00E81EEE" w:rsidP="00476D08">
      <w:pPr>
        <w:numPr>
          <w:ilvl w:val="0"/>
          <w:numId w:val="55"/>
        </w:numPr>
        <w:jc w:val="both"/>
        <w:rPr>
          <w:rFonts w:ascii="Cambria" w:hAnsi="Cambria"/>
          <w:sz w:val="20"/>
          <w:szCs w:val="20"/>
          <w:lang w:val="es-PE"/>
        </w:rPr>
      </w:pPr>
      <w:r w:rsidRPr="008A084A">
        <w:rPr>
          <w:rFonts w:ascii="Cambria" w:hAnsi="Cambria"/>
          <w:sz w:val="20"/>
          <w:szCs w:val="20"/>
          <w:lang w:val="es-PE"/>
        </w:rPr>
        <w:lastRenderedPageBreak/>
        <w:t xml:space="preserve">En relación con el derecho de acceso a la justicia de las personas con discapacidad, el artículo 13 de la Convención sobre los Derechos de las personas con Discapacidad dispone lo siguiente: </w:t>
      </w: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lang w:val="es-ES"/>
        </w:rPr>
      </w:pPr>
      <w:r w:rsidRPr="008A084A">
        <w:rPr>
          <w:rFonts w:ascii="Cambria" w:hAnsi="Cambria"/>
          <w:color w:val="auto"/>
          <w:sz w:val="20"/>
          <w:szCs w:val="20"/>
        </w:rPr>
        <w:t>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rPr>
      </w:pPr>
      <w:r w:rsidRPr="008A084A">
        <w:rPr>
          <w:rFonts w:ascii="Cambria" w:hAnsi="Cambria"/>
          <w:color w:val="auto"/>
          <w:sz w:val="20"/>
          <w:szCs w:val="20"/>
        </w:rPr>
        <w:t>2. A fin de asegurar que las personas con discapacidad tengan acceso efectivo a la justicia, los Estados Partes promoverán la capacitación adecuada de los que trabajan en la administración de justicia, incluido el personal policial y penitenciario.</w:t>
      </w:r>
    </w:p>
    <w:p w:rsidR="00E81EEE" w:rsidRPr="008A084A" w:rsidRDefault="00E81EEE"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E81EEE" w:rsidRPr="008A084A" w:rsidRDefault="00482072" w:rsidP="00476D08">
      <w:pPr>
        <w:numPr>
          <w:ilvl w:val="0"/>
          <w:numId w:val="55"/>
        </w:numPr>
        <w:jc w:val="both"/>
        <w:rPr>
          <w:rFonts w:ascii="Cambria" w:hAnsi="Cambria"/>
          <w:sz w:val="20"/>
          <w:szCs w:val="20"/>
          <w:lang w:val="es-PE"/>
        </w:rPr>
      </w:pPr>
      <w:r w:rsidRPr="008A084A">
        <w:rPr>
          <w:rFonts w:ascii="Cambria" w:hAnsi="Cambria"/>
          <w:sz w:val="20"/>
          <w:szCs w:val="20"/>
          <w:lang w:val="es-PE"/>
        </w:rPr>
        <w:t>Al respecto, el Comité de la CDPD ha sostenido que “el reconocimiento del derecho a la capacidad jurídica es esencial para el acceso a la justicia”</w:t>
      </w:r>
      <w:r w:rsidRPr="008A084A">
        <w:rPr>
          <w:rStyle w:val="FootnoteReference"/>
          <w:rFonts w:ascii="Cambria" w:hAnsi="Cambria"/>
          <w:sz w:val="20"/>
          <w:szCs w:val="20"/>
        </w:rPr>
        <w:footnoteReference w:id="343"/>
      </w:r>
      <w:r w:rsidRPr="008A084A">
        <w:rPr>
          <w:rFonts w:ascii="Cambria" w:hAnsi="Cambria"/>
          <w:sz w:val="20"/>
          <w:szCs w:val="20"/>
          <w:lang w:val="es-PE"/>
        </w:rPr>
        <w:t xml:space="preserve">. </w:t>
      </w:r>
      <w:r w:rsidRPr="008A084A">
        <w:rPr>
          <w:rFonts w:ascii="Cambria" w:hAnsi="Cambria"/>
          <w:sz w:val="20"/>
          <w:szCs w:val="20"/>
          <w:lang w:val="es-CO"/>
        </w:rPr>
        <w:t xml:space="preserve">Asimismo, la Corte Interamericana en el </w:t>
      </w:r>
      <w:r w:rsidR="00D51AF8" w:rsidRPr="008A084A">
        <w:rPr>
          <w:rFonts w:ascii="Cambria" w:hAnsi="Cambria"/>
          <w:sz w:val="20"/>
          <w:szCs w:val="20"/>
          <w:lang w:val="es-CO"/>
        </w:rPr>
        <w:t>c</w:t>
      </w:r>
      <w:r w:rsidRPr="008A084A">
        <w:rPr>
          <w:rFonts w:ascii="Cambria" w:hAnsi="Cambria"/>
          <w:sz w:val="20"/>
          <w:szCs w:val="20"/>
          <w:lang w:val="es-CO"/>
        </w:rPr>
        <w:t>aso</w:t>
      </w:r>
      <w:r w:rsidRPr="008A084A">
        <w:rPr>
          <w:rFonts w:ascii="Cambria" w:hAnsi="Cambria"/>
          <w:i/>
          <w:sz w:val="20"/>
          <w:szCs w:val="20"/>
          <w:lang w:val="es-CO"/>
        </w:rPr>
        <w:t xml:space="preserve"> </w:t>
      </w:r>
      <w:proofErr w:type="spellStart"/>
      <w:r w:rsidRPr="008A084A">
        <w:rPr>
          <w:rFonts w:ascii="Cambria" w:hAnsi="Cambria"/>
          <w:i/>
          <w:sz w:val="20"/>
          <w:szCs w:val="20"/>
          <w:lang w:val="es-CO"/>
        </w:rPr>
        <w:t>Furlan</w:t>
      </w:r>
      <w:proofErr w:type="spellEnd"/>
      <w:r w:rsidRPr="008A084A">
        <w:rPr>
          <w:rFonts w:ascii="Cambria" w:hAnsi="Cambria"/>
          <w:i/>
          <w:sz w:val="20"/>
          <w:szCs w:val="20"/>
          <w:lang w:val="es-CO"/>
        </w:rPr>
        <w:t xml:space="preserve"> y Familiares Vs. </w:t>
      </w:r>
      <w:r w:rsidRPr="008A084A">
        <w:rPr>
          <w:rFonts w:ascii="Cambria" w:hAnsi="Cambria"/>
          <w:i/>
          <w:sz w:val="20"/>
          <w:szCs w:val="20"/>
          <w:lang w:val="es-PE"/>
        </w:rPr>
        <w:t>Argentina</w:t>
      </w:r>
      <w:r w:rsidRPr="008A084A">
        <w:rPr>
          <w:rFonts w:ascii="Cambria" w:hAnsi="Cambria"/>
          <w:sz w:val="20"/>
          <w:szCs w:val="20"/>
          <w:lang w:val="es-PE"/>
        </w:rPr>
        <w:t xml:space="preserve"> resaltó la importancia del acceso a justicia de las personas con discapacidad en igualdad de condiciones con las demás</w:t>
      </w:r>
      <w:r w:rsidRPr="008A084A">
        <w:rPr>
          <w:rStyle w:val="FootnoteReference"/>
          <w:rFonts w:ascii="Cambria" w:hAnsi="Cambria"/>
          <w:sz w:val="20"/>
          <w:szCs w:val="20"/>
        </w:rPr>
        <w:footnoteReference w:id="344"/>
      </w:r>
      <w:r w:rsidRPr="008A084A">
        <w:rPr>
          <w:rFonts w:ascii="Cambria" w:hAnsi="Cambria"/>
          <w:sz w:val="20"/>
          <w:szCs w:val="20"/>
          <w:lang w:val="es-PE"/>
        </w:rPr>
        <w:t>. En ese sentido, consideró que los Estados deben adoptar las medidas pertinentes para priorizar la atención y resolución de procedimientos relacionados con personas con discapacidad de manera que se garantice la pronta resolución y ejecución de los mismos</w:t>
      </w:r>
      <w:r w:rsidRPr="008A084A">
        <w:rPr>
          <w:rStyle w:val="FootnoteReference"/>
          <w:rFonts w:ascii="Cambria" w:hAnsi="Cambria"/>
          <w:sz w:val="20"/>
          <w:szCs w:val="20"/>
        </w:rPr>
        <w:footnoteReference w:id="345"/>
      </w:r>
      <w:r w:rsidRPr="008A084A">
        <w:rPr>
          <w:rFonts w:ascii="Cambria" w:hAnsi="Cambria"/>
          <w:sz w:val="20"/>
          <w:szCs w:val="20"/>
          <w:lang w:val="es-PE"/>
        </w:rPr>
        <w:t>.</w:t>
      </w:r>
    </w:p>
    <w:p w:rsidR="004370F7" w:rsidRPr="008A084A" w:rsidRDefault="004370F7" w:rsidP="007E77A3">
      <w:pPr>
        <w:pStyle w:val="ColorfulList-Accent11"/>
        <w:ind w:left="0"/>
        <w:rPr>
          <w:rFonts w:ascii="Cambria" w:hAnsi="Cambria"/>
          <w:sz w:val="20"/>
          <w:szCs w:val="20"/>
          <w:lang w:val="es-ES"/>
        </w:rPr>
      </w:pPr>
    </w:p>
    <w:p w:rsidR="004370F7" w:rsidRPr="008A084A" w:rsidRDefault="004370F7"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La CIDH toma nota de que en el presente caso se i) interpuso un recurso de hábeas corpus, una denuncia ante la Policía Judicial y una queja ante la Defensoría del Pueblo; y ii) se inició un expediente administrativo. </w:t>
      </w:r>
      <w:r w:rsidRPr="008A084A">
        <w:rPr>
          <w:rFonts w:ascii="Cambria" w:hAnsi="Cambria"/>
          <w:sz w:val="20"/>
          <w:szCs w:val="20"/>
          <w:lang w:val="es-PE"/>
        </w:rPr>
        <w:t xml:space="preserve">Tomando en cuenta que estos procesos fueron llevados a cabo de manera simultánea, la Comisión se pronunciará sobre si los mismos constituyeron mecanismos efectivos para establecer el paradero </w:t>
      </w:r>
      <w:r w:rsidR="007E77A3" w:rsidRPr="008A084A">
        <w:rPr>
          <w:rFonts w:ascii="Cambria" w:hAnsi="Cambria"/>
          <w:sz w:val="20"/>
          <w:szCs w:val="20"/>
          <w:lang w:val="es-PE"/>
        </w:rPr>
        <w:t>del señor Guachalá</w:t>
      </w:r>
      <w:r w:rsidRPr="008A084A">
        <w:rPr>
          <w:rFonts w:ascii="Cambria" w:hAnsi="Cambria"/>
          <w:sz w:val="20"/>
          <w:szCs w:val="20"/>
          <w:lang w:val="es-PE"/>
        </w:rPr>
        <w:t>, así como para identificar a los posibles responsables e imponer</w:t>
      </w:r>
      <w:r w:rsidR="007E77A3" w:rsidRPr="008A084A">
        <w:rPr>
          <w:rFonts w:ascii="Cambria" w:hAnsi="Cambria"/>
          <w:sz w:val="20"/>
          <w:szCs w:val="20"/>
          <w:lang w:val="es-PE"/>
        </w:rPr>
        <w:t xml:space="preserve"> las sanciones correspondientes</w:t>
      </w:r>
      <w:r w:rsidRPr="008A084A">
        <w:rPr>
          <w:rFonts w:ascii="Cambria" w:hAnsi="Cambria"/>
          <w:sz w:val="20"/>
          <w:szCs w:val="20"/>
          <w:lang w:val="es-PE"/>
        </w:rPr>
        <w:t>.</w:t>
      </w:r>
    </w:p>
    <w:p w:rsidR="007E77A3" w:rsidRDefault="007E77A3" w:rsidP="007E77A3">
      <w:pPr>
        <w:pStyle w:val="ColorfulList-Accent11"/>
        <w:rPr>
          <w:rFonts w:ascii="Cambria" w:hAnsi="Cambria"/>
          <w:sz w:val="20"/>
          <w:szCs w:val="20"/>
          <w:lang w:val="es-ES"/>
        </w:rPr>
      </w:pPr>
    </w:p>
    <w:p w:rsidR="0073130C" w:rsidRPr="008A084A" w:rsidRDefault="0073130C" w:rsidP="00D51AF8">
      <w:pPr>
        <w:pStyle w:val="ColorfulList-Accent11"/>
        <w:numPr>
          <w:ilvl w:val="3"/>
          <w:numId w:val="55"/>
        </w:numPr>
        <w:tabs>
          <w:tab w:val="left" w:pos="1440"/>
        </w:tabs>
        <w:ind w:hanging="2160"/>
        <w:rPr>
          <w:rFonts w:ascii="Cambria" w:hAnsi="Cambria"/>
          <w:b/>
          <w:sz w:val="20"/>
          <w:szCs w:val="20"/>
          <w:lang w:val="es-ES"/>
        </w:rPr>
      </w:pPr>
      <w:r w:rsidRPr="008A084A">
        <w:rPr>
          <w:rFonts w:ascii="Cambria" w:hAnsi="Cambria"/>
          <w:b/>
          <w:sz w:val="20"/>
          <w:szCs w:val="20"/>
          <w:lang w:val="es-ES"/>
        </w:rPr>
        <w:t xml:space="preserve">Sobre la debida diligencia </w:t>
      </w:r>
    </w:p>
    <w:p w:rsidR="0073130C" w:rsidRPr="008A084A" w:rsidRDefault="0073130C" w:rsidP="007E77A3">
      <w:pPr>
        <w:pStyle w:val="ColorfulList-Accent11"/>
        <w:rPr>
          <w:rFonts w:ascii="Cambria" w:hAnsi="Cambria"/>
          <w:sz w:val="20"/>
          <w:szCs w:val="20"/>
          <w:lang w:val="es-ES"/>
        </w:rPr>
      </w:pPr>
    </w:p>
    <w:p w:rsidR="00360828" w:rsidRPr="008A084A" w:rsidRDefault="00360828" w:rsidP="00476D08">
      <w:pPr>
        <w:numPr>
          <w:ilvl w:val="0"/>
          <w:numId w:val="55"/>
        </w:numPr>
        <w:jc w:val="both"/>
        <w:rPr>
          <w:rFonts w:ascii="Cambria" w:hAnsi="Cambria"/>
          <w:b/>
          <w:sz w:val="20"/>
          <w:szCs w:val="20"/>
          <w:lang w:val="es-ES"/>
        </w:rPr>
      </w:pPr>
      <w:r w:rsidRPr="008A084A">
        <w:rPr>
          <w:rFonts w:ascii="Cambria" w:hAnsi="Cambria"/>
          <w:sz w:val="20"/>
          <w:szCs w:val="20"/>
          <w:lang w:val="es-ES"/>
        </w:rPr>
        <w:t>La Corte ha indicado que la investigación debe ser realizada por todos los medios legales disponibles</w:t>
      </w:r>
      <w:r w:rsidRPr="008A084A">
        <w:rPr>
          <w:rStyle w:val="FootnoteReference"/>
          <w:rFonts w:ascii="Cambria" w:hAnsi="Cambria"/>
          <w:sz w:val="20"/>
          <w:szCs w:val="20"/>
          <w:lang w:val="es-ES"/>
        </w:rPr>
        <w:footnoteReference w:id="346"/>
      </w:r>
      <w:r w:rsidRPr="008A084A">
        <w:rPr>
          <w:rFonts w:ascii="Cambria" w:hAnsi="Cambria"/>
          <w:sz w:val="20"/>
          <w:szCs w:val="20"/>
          <w:lang w:val="es-ES"/>
        </w:rPr>
        <w:t xml:space="preserve"> y llevada a cabo con la debida diligencia</w:t>
      </w:r>
      <w:r w:rsidRPr="008A084A">
        <w:rPr>
          <w:rStyle w:val="FootnoteReference"/>
          <w:rFonts w:ascii="Cambria" w:hAnsi="Cambria"/>
          <w:sz w:val="20"/>
          <w:szCs w:val="20"/>
          <w:lang w:val="es-ES"/>
        </w:rPr>
        <w:footnoteReference w:id="347"/>
      </w:r>
      <w:r w:rsidRPr="008A084A">
        <w:rPr>
          <w:rFonts w:ascii="Cambria" w:hAnsi="Cambria"/>
          <w:sz w:val="20"/>
          <w:szCs w:val="20"/>
          <w:lang w:val="es-ES"/>
        </w:rPr>
        <w:t>.</w:t>
      </w:r>
      <w:r w:rsidRPr="008A084A">
        <w:rPr>
          <w:rFonts w:ascii="Cambria" w:hAnsi="Cambria" w:cs="TimesNewRoman"/>
          <w:sz w:val="20"/>
          <w:szCs w:val="20"/>
          <w:lang w:val="es-ES" w:eastAsia="es-ES_tradnl"/>
        </w:rPr>
        <w:t xml:space="preserve"> La CIDH recuerda que </w:t>
      </w:r>
      <w:r w:rsidRPr="008A084A">
        <w:rPr>
          <w:rFonts w:ascii="Cambria" w:hAnsi="Cambria"/>
          <w:sz w:val="20"/>
          <w:szCs w:val="20"/>
          <w:lang w:val="es-ES"/>
        </w:rPr>
        <w:t>desde las primeras diligencias los Estados se encuentran obligados a actuar con toda acuciosidad</w:t>
      </w:r>
      <w:r w:rsidRPr="008A084A">
        <w:rPr>
          <w:rStyle w:val="FootnoteReference"/>
          <w:rFonts w:ascii="Cambria" w:hAnsi="Cambria"/>
          <w:sz w:val="20"/>
          <w:szCs w:val="20"/>
          <w:lang w:val="es-ES_tradnl"/>
        </w:rPr>
        <w:footnoteReference w:id="348"/>
      </w:r>
      <w:r w:rsidRPr="008A084A">
        <w:rPr>
          <w:rFonts w:ascii="Cambria" w:hAnsi="Cambria"/>
          <w:sz w:val="20"/>
          <w:szCs w:val="20"/>
          <w:lang w:val="es-ES"/>
        </w:rPr>
        <w:t xml:space="preserve">. Ello se debe a que </w:t>
      </w:r>
      <w:r w:rsidRPr="008A084A">
        <w:rPr>
          <w:rFonts w:ascii="Cambria" w:hAnsi="Cambria"/>
          <w:sz w:val="20"/>
          <w:szCs w:val="20"/>
          <w:lang w:val="es-ES_tradnl"/>
        </w:rPr>
        <w:t xml:space="preserve">las </w:t>
      </w:r>
      <w:r w:rsidRPr="008A084A">
        <w:rPr>
          <w:rFonts w:ascii="Cambria" w:hAnsi="Cambria"/>
          <w:sz w:val="20"/>
          <w:szCs w:val="20"/>
          <w:lang w:val="es-PE"/>
        </w:rPr>
        <w:t>primeras</w:t>
      </w:r>
      <w:r w:rsidRPr="008A084A">
        <w:rPr>
          <w:rFonts w:ascii="Cambria" w:hAnsi="Cambria"/>
          <w:sz w:val="20"/>
          <w:szCs w:val="20"/>
          <w:lang w:val="es-ES_tradnl"/>
        </w:rPr>
        <w:t xml:space="preserve"> diligencias de la investigación son </w:t>
      </w:r>
      <w:r w:rsidRPr="008A084A">
        <w:rPr>
          <w:rFonts w:ascii="Cambria" w:hAnsi="Cambria"/>
          <w:sz w:val="20"/>
          <w:szCs w:val="20"/>
          <w:lang w:val="es-ES"/>
        </w:rPr>
        <w:t>elementos</w:t>
      </w:r>
      <w:r w:rsidRPr="008A084A">
        <w:rPr>
          <w:rFonts w:ascii="Cambria" w:hAnsi="Cambria"/>
          <w:sz w:val="20"/>
          <w:szCs w:val="20"/>
          <w:lang w:val="es-ES_tradnl"/>
        </w:rPr>
        <w:t xml:space="preserve"> fundamentales para el buen curso de la investigación judicial</w:t>
      </w:r>
      <w:r w:rsidRPr="008A084A">
        <w:rPr>
          <w:rStyle w:val="FootnoteReference"/>
          <w:rFonts w:ascii="Cambria" w:hAnsi="Cambria"/>
          <w:sz w:val="20"/>
          <w:szCs w:val="20"/>
          <w:lang w:val="es-ES_tradnl"/>
        </w:rPr>
        <w:footnoteReference w:id="349"/>
      </w:r>
      <w:r w:rsidRPr="008A084A">
        <w:rPr>
          <w:rFonts w:ascii="Cambria" w:hAnsi="Cambria"/>
          <w:sz w:val="20"/>
          <w:szCs w:val="20"/>
          <w:lang w:val="es-ES_tradnl"/>
        </w:rPr>
        <w:t xml:space="preserve">. </w:t>
      </w:r>
      <w:r w:rsidRPr="008A084A">
        <w:rPr>
          <w:rFonts w:ascii="Cambria" w:hAnsi="Cambria" w:cs="ACaslonPro-Regular"/>
          <w:sz w:val="20"/>
          <w:szCs w:val="20"/>
          <w:lang w:val="es-ES"/>
        </w:rPr>
        <w:t>De esta forma, la Corte ha señalado que "todas esas exigencias, así como criterios de independencia e imparcialidad, se extienden también a los órganos no judiciales a los que corresponda la investigación previa al proceso judicial"</w:t>
      </w:r>
      <w:r w:rsidRPr="008A084A">
        <w:rPr>
          <w:rStyle w:val="FootnoteReference"/>
          <w:rFonts w:ascii="Cambria" w:hAnsi="Cambria" w:cs="ACaslonPro-Regular"/>
          <w:sz w:val="20"/>
          <w:szCs w:val="20"/>
          <w:lang w:val="es-ES"/>
        </w:rPr>
        <w:footnoteReference w:id="350"/>
      </w:r>
      <w:r w:rsidRPr="008A084A">
        <w:rPr>
          <w:rFonts w:ascii="Cambria" w:hAnsi="Cambria" w:cs="ACaslonPro-Regular"/>
          <w:sz w:val="20"/>
          <w:szCs w:val="20"/>
          <w:lang w:val="es-ES"/>
        </w:rPr>
        <w:t>.</w:t>
      </w:r>
    </w:p>
    <w:p w:rsidR="00360828" w:rsidRPr="008A084A" w:rsidRDefault="00360828" w:rsidP="003608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360828" w:rsidRPr="008A084A" w:rsidRDefault="00360828" w:rsidP="00476D08">
      <w:pPr>
        <w:numPr>
          <w:ilvl w:val="0"/>
          <w:numId w:val="55"/>
        </w:numPr>
        <w:jc w:val="both"/>
        <w:rPr>
          <w:rFonts w:ascii="Cambria" w:hAnsi="Cambria"/>
          <w:sz w:val="20"/>
          <w:szCs w:val="20"/>
          <w:lang w:val="es-ES"/>
        </w:rPr>
      </w:pPr>
      <w:r w:rsidRPr="008A084A">
        <w:rPr>
          <w:rFonts w:ascii="Cambria" w:hAnsi="Cambria"/>
          <w:sz w:val="20"/>
          <w:szCs w:val="20"/>
          <w:lang w:val="es-CO"/>
        </w:rPr>
        <w:t>La Corte Interamericana conoció dos asuntos bajo su mecanismo de medidas provisionales donde dos personas desaparecieron mientras se encontraban detenidas en un centro penitenciario</w:t>
      </w:r>
      <w:r w:rsidRPr="008A084A">
        <w:rPr>
          <w:rStyle w:val="FootnoteReference"/>
          <w:rFonts w:ascii="Cambria" w:hAnsi="Cambria"/>
          <w:sz w:val="20"/>
          <w:szCs w:val="20"/>
        </w:rPr>
        <w:footnoteReference w:id="351"/>
      </w:r>
      <w:r w:rsidRPr="008A084A">
        <w:rPr>
          <w:rFonts w:ascii="Cambria" w:hAnsi="Cambria"/>
          <w:sz w:val="20"/>
          <w:szCs w:val="20"/>
          <w:lang w:val="es-CO"/>
        </w:rPr>
        <w:t xml:space="preserve">. </w:t>
      </w:r>
      <w:r w:rsidRPr="008A084A">
        <w:rPr>
          <w:rFonts w:ascii="Cambria" w:hAnsi="Cambria"/>
          <w:sz w:val="20"/>
          <w:szCs w:val="20"/>
          <w:lang w:val="es-PE"/>
        </w:rPr>
        <w:t xml:space="preserve">La Corte sostuvo que </w:t>
      </w:r>
      <w:r w:rsidRPr="008A084A">
        <w:rPr>
          <w:rFonts w:ascii="Cambria" w:hAnsi="Cambria"/>
          <w:sz w:val="20"/>
          <w:szCs w:val="20"/>
          <w:lang w:val="es-ES"/>
        </w:rPr>
        <w:t>t</w:t>
      </w:r>
      <w:r w:rsidRPr="008A084A">
        <w:rPr>
          <w:rFonts w:ascii="Cambria" w:hAnsi="Cambria"/>
          <w:sz w:val="20"/>
          <w:szCs w:val="20"/>
          <w:lang w:val="es-PE"/>
        </w:rPr>
        <w:t xml:space="preserve">oda vez que haya motivos razonables para sospechar que una persona ha sido sometida a </w:t>
      </w:r>
      <w:r w:rsidRPr="008A084A">
        <w:rPr>
          <w:rFonts w:ascii="Cambria" w:hAnsi="Cambria"/>
          <w:sz w:val="20"/>
          <w:szCs w:val="20"/>
          <w:lang w:val="es-PE"/>
        </w:rPr>
        <w:lastRenderedPageBreak/>
        <w:t>una desaparición, es imprescindible la actuación pronta e inmediata de las autoridades fiscales y judiciales</w:t>
      </w:r>
      <w:r w:rsidRPr="008A084A">
        <w:rPr>
          <w:rStyle w:val="FootnoteReference"/>
          <w:rFonts w:ascii="Cambria" w:hAnsi="Cambria"/>
          <w:sz w:val="20"/>
          <w:szCs w:val="20"/>
        </w:rPr>
        <w:footnoteReference w:id="352"/>
      </w:r>
      <w:r w:rsidRPr="008A084A">
        <w:rPr>
          <w:rFonts w:ascii="Cambria" w:hAnsi="Cambria"/>
          <w:sz w:val="20"/>
          <w:szCs w:val="20"/>
          <w:lang w:val="es-PE"/>
        </w:rPr>
        <w:t>. Ello a efectos de ordenar medidas oportunas y necesarias dirigidas a la determinación del paradero de la víctima o el lugar donde pueda encontrarse</w:t>
      </w:r>
      <w:r w:rsidRPr="008A084A">
        <w:rPr>
          <w:rStyle w:val="FootnoteReference"/>
          <w:rFonts w:ascii="Cambria" w:hAnsi="Cambria"/>
          <w:sz w:val="20"/>
          <w:szCs w:val="20"/>
        </w:rPr>
        <w:footnoteReference w:id="353"/>
      </w:r>
      <w:r w:rsidRPr="008A084A">
        <w:rPr>
          <w:rFonts w:ascii="Cambria" w:hAnsi="Cambria"/>
          <w:sz w:val="20"/>
          <w:szCs w:val="20"/>
          <w:lang w:val="es-PE"/>
        </w:rPr>
        <w:t xml:space="preserve">. </w:t>
      </w:r>
    </w:p>
    <w:p w:rsidR="00360828" w:rsidRPr="008A084A" w:rsidRDefault="00360828" w:rsidP="00360828">
      <w:pPr>
        <w:pStyle w:val="ColorfulList-Accent11"/>
        <w:rPr>
          <w:rFonts w:ascii="Cambria" w:hAnsi="Cambria"/>
          <w:sz w:val="20"/>
          <w:szCs w:val="20"/>
          <w:lang w:val="es-ES"/>
        </w:rPr>
      </w:pPr>
    </w:p>
    <w:p w:rsidR="00360828" w:rsidRPr="008A084A" w:rsidRDefault="00360828" w:rsidP="00476D08">
      <w:pPr>
        <w:numPr>
          <w:ilvl w:val="0"/>
          <w:numId w:val="55"/>
        </w:numPr>
        <w:jc w:val="both"/>
        <w:rPr>
          <w:rFonts w:ascii="Cambria" w:hAnsi="Cambria"/>
          <w:sz w:val="20"/>
          <w:szCs w:val="20"/>
          <w:lang w:val="es-ES"/>
        </w:rPr>
      </w:pPr>
      <w:r w:rsidRPr="008A084A">
        <w:rPr>
          <w:rFonts w:ascii="Cambria" w:hAnsi="Cambria"/>
          <w:sz w:val="20"/>
          <w:szCs w:val="20"/>
          <w:lang w:val="es-PE"/>
        </w:rPr>
        <w:t>Asimismo, la Corte resaltó que en situaciones de privación de la libertad como las del presente caso, el hábeas corpus representa, dentro de las garantías judiciales indispensables, el medio idóneo para determinar la situación y el paradero de la persona desaparecida, así como para controlar el respeto a su vida y proteger su integridad personal</w:t>
      </w:r>
      <w:r w:rsidRPr="008A084A">
        <w:rPr>
          <w:rStyle w:val="FootnoteReference"/>
          <w:rFonts w:ascii="Cambria" w:hAnsi="Cambria"/>
          <w:sz w:val="20"/>
          <w:szCs w:val="20"/>
        </w:rPr>
        <w:footnoteReference w:id="354"/>
      </w:r>
      <w:r w:rsidRPr="008A084A">
        <w:rPr>
          <w:rFonts w:ascii="Cambria" w:hAnsi="Cambria"/>
          <w:sz w:val="20"/>
          <w:szCs w:val="20"/>
          <w:lang w:val="es-PE"/>
        </w:rPr>
        <w:t xml:space="preserve">. </w:t>
      </w:r>
      <w:r w:rsidRPr="008A084A">
        <w:rPr>
          <w:rFonts w:ascii="Cambria" w:hAnsi="Cambria"/>
          <w:sz w:val="20"/>
          <w:szCs w:val="20"/>
          <w:lang w:val="es-SV"/>
        </w:rPr>
        <w:t>La CIDH recuerda que en casos de alegada desaparición no “</w:t>
      </w:r>
      <w:r w:rsidRPr="008A084A">
        <w:rPr>
          <w:rFonts w:ascii="Cambria" w:hAnsi="Cambria"/>
          <w:sz w:val="20"/>
          <w:szCs w:val="20"/>
          <w:lang w:val="es-PE"/>
        </w:rPr>
        <w:t>resulta</w:t>
      </w:r>
      <w:r w:rsidRPr="008A084A">
        <w:rPr>
          <w:rFonts w:ascii="Cambria" w:hAnsi="Cambria"/>
          <w:sz w:val="20"/>
          <w:szCs w:val="20"/>
          <w:lang w:val="es-SV"/>
        </w:rPr>
        <w:t xml:space="preserve"> razonable o diligente ni constituye un recurso efectivo la mera verificación formal con los registros oficiales de detenidos como la ocurrida en el presente caso, o la aceptación como verdadera de la negación de la detención por los presuntos responsables sin una verificación objetiva, imparcial e independiente de la misma”</w:t>
      </w:r>
      <w:r w:rsidRPr="008A084A">
        <w:rPr>
          <w:rStyle w:val="FootnoteReference"/>
          <w:rFonts w:ascii="Cambria" w:hAnsi="Cambria"/>
          <w:sz w:val="20"/>
          <w:szCs w:val="20"/>
          <w:lang w:val="es-SV"/>
        </w:rPr>
        <w:footnoteReference w:id="355"/>
      </w:r>
      <w:r w:rsidRPr="008A084A">
        <w:rPr>
          <w:rFonts w:ascii="Cambria" w:hAnsi="Cambria"/>
          <w:sz w:val="20"/>
          <w:szCs w:val="20"/>
          <w:lang w:val="es-SV"/>
        </w:rPr>
        <w:t>.</w:t>
      </w:r>
      <w:r w:rsidR="00D51AF8" w:rsidRPr="008A084A">
        <w:rPr>
          <w:rFonts w:ascii="Cambria" w:hAnsi="Cambria"/>
          <w:sz w:val="20"/>
          <w:szCs w:val="20"/>
          <w:lang w:val="es-SV"/>
        </w:rPr>
        <w:t xml:space="preserve"> Tomando en cuenta que la privación de libertad de una persona en un centro de salud mental puede constituir una detención arbitraria en los términos de la Convención, la Comisión considera que los recursos de habeas corpus también deben estar diseñados para enfrentar este tipo de situaciones en los que se alega la necesidad de controlar la privación de libertad en tales centros y/o determinar el destino o paradero de una persona en custodia como consecuencia de una institucionalización como la ocurrida en el presente caso.</w:t>
      </w:r>
      <w:r w:rsidR="005D1F59" w:rsidRPr="008A084A">
        <w:rPr>
          <w:rFonts w:ascii="Cambria" w:hAnsi="Cambria"/>
          <w:sz w:val="20"/>
          <w:szCs w:val="20"/>
          <w:lang w:val="es-SV"/>
        </w:rPr>
        <w:t xml:space="preserve"> </w:t>
      </w:r>
    </w:p>
    <w:p w:rsidR="00360828" w:rsidRPr="008A084A" w:rsidRDefault="00360828" w:rsidP="00360828">
      <w:pPr>
        <w:pStyle w:val="ColorfulList-Accent11"/>
        <w:rPr>
          <w:rFonts w:ascii="Cambria" w:hAnsi="Cambria"/>
          <w:sz w:val="20"/>
          <w:szCs w:val="20"/>
          <w:lang w:val="es-ES"/>
        </w:rPr>
      </w:pPr>
    </w:p>
    <w:p w:rsidR="002114CC" w:rsidRPr="008A084A" w:rsidRDefault="00E13398" w:rsidP="00476D08">
      <w:pPr>
        <w:numPr>
          <w:ilvl w:val="0"/>
          <w:numId w:val="55"/>
        </w:numPr>
        <w:jc w:val="both"/>
        <w:rPr>
          <w:rFonts w:ascii="Cambria" w:hAnsi="Cambria"/>
          <w:sz w:val="20"/>
          <w:szCs w:val="20"/>
          <w:lang w:val="es-ES"/>
        </w:rPr>
      </w:pPr>
      <w:r w:rsidRPr="008A084A">
        <w:rPr>
          <w:rFonts w:ascii="Cambria" w:hAnsi="Cambria"/>
          <w:sz w:val="20"/>
          <w:szCs w:val="20"/>
          <w:lang w:val="es-ES"/>
        </w:rPr>
        <w:t>E</w:t>
      </w:r>
      <w:r w:rsidR="00360828" w:rsidRPr="008A084A">
        <w:rPr>
          <w:rFonts w:ascii="Cambria" w:hAnsi="Cambria"/>
          <w:sz w:val="20"/>
          <w:szCs w:val="20"/>
          <w:lang w:val="es-ES"/>
        </w:rPr>
        <w:t>n el presente caso el deber de investigar del Estado se encontraba calificado en cuanto a su naturaleza e intensidad por múltiples razones.</w:t>
      </w:r>
      <w:r w:rsidR="002114CC" w:rsidRPr="008A084A">
        <w:rPr>
          <w:rFonts w:ascii="Cambria" w:hAnsi="Cambria"/>
          <w:sz w:val="20"/>
          <w:szCs w:val="20"/>
          <w:lang w:val="es-ES"/>
        </w:rPr>
        <w:t xml:space="preserve"> En primer lugar, por el hecho de tratarse de una denuncia de desaparición que implicaba presumir la existencia de un riesgo para la vida e integridad personal de la persona. En ese sentido la respuesta investigativa y de búsqueda pronta y diligente resultaba fundamental no sólo para la obtención de justicia sino para la protección de la vida e integridad de Luis Guachalá. En segundo lugar, por tratarse de la desaparición de una persona con discapacidad institucionalizada en un centro de salud mental público</w:t>
      </w:r>
      <w:r w:rsidR="00011DC0" w:rsidRPr="008A084A">
        <w:rPr>
          <w:rFonts w:ascii="Cambria" w:hAnsi="Cambria"/>
          <w:sz w:val="20"/>
          <w:szCs w:val="20"/>
          <w:lang w:val="es-ES"/>
        </w:rPr>
        <w:t xml:space="preserve"> respecto de quien el Estado estaba en </w:t>
      </w:r>
      <w:r w:rsidR="0008599D" w:rsidRPr="008A084A">
        <w:rPr>
          <w:rFonts w:ascii="Cambria" w:hAnsi="Cambria"/>
          <w:sz w:val="20"/>
          <w:szCs w:val="20"/>
          <w:lang w:val="es-ES"/>
        </w:rPr>
        <w:t>posición</w:t>
      </w:r>
      <w:r w:rsidR="00011DC0" w:rsidRPr="008A084A">
        <w:rPr>
          <w:rFonts w:ascii="Cambria" w:hAnsi="Cambria"/>
          <w:sz w:val="20"/>
          <w:szCs w:val="20"/>
          <w:lang w:val="es-CO"/>
        </w:rPr>
        <w:t xml:space="preserve"> especial de garante. </w:t>
      </w:r>
    </w:p>
    <w:p w:rsidR="002114CC" w:rsidRPr="008A084A" w:rsidRDefault="002114CC" w:rsidP="002114CC">
      <w:pPr>
        <w:pStyle w:val="ColorfulList-Accent11"/>
        <w:rPr>
          <w:rFonts w:ascii="Cambria" w:hAnsi="Cambria"/>
          <w:sz w:val="20"/>
          <w:szCs w:val="20"/>
          <w:lang w:val="es-ES"/>
        </w:rPr>
      </w:pPr>
    </w:p>
    <w:p w:rsidR="0092749A" w:rsidRPr="008A084A" w:rsidRDefault="002114CC" w:rsidP="00476D08">
      <w:pPr>
        <w:numPr>
          <w:ilvl w:val="0"/>
          <w:numId w:val="55"/>
        </w:numPr>
        <w:jc w:val="both"/>
        <w:rPr>
          <w:rFonts w:ascii="Cambria" w:hAnsi="Cambria"/>
          <w:sz w:val="20"/>
          <w:szCs w:val="20"/>
          <w:lang w:val="es-ES"/>
        </w:rPr>
      </w:pPr>
      <w:r w:rsidRPr="008A084A">
        <w:rPr>
          <w:rFonts w:ascii="Cambria" w:hAnsi="Cambria"/>
          <w:sz w:val="20"/>
          <w:szCs w:val="20"/>
          <w:lang w:val="es-PE"/>
        </w:rPr>
        <w:t>La Comisión observa que la denuncia de desaparición fue interpuesta el 21 de enero de 2004 por parte de la madre del señor Guachalá.</w:t>
      </w:r>
      <w:r w:rsidR="0073130C" w:rsidRPr="008A084A">
        <w:rPr>
          <w:rFonts w:ascii="Cambria" w:hAnsi="Cambria"/>
          <w:sz w:val="20"/>
          <w:szCs w:val="20"/>
          <w:lang w:val="es-PE"/>
        </w:rPr>
        <w:t xml:space="preserve"> La CIDH nota que la Fiscalía Distrital de Pichincha </w:t>
      </w:r>
      <w:r w:rsidR="00867174" w:rsidRPr="008A084A">
        <w:rPr>
          <w:rFonts w:ascii="Cambria" w:hAnsi="Cambria"/>
          <w:sz w:val="20"/>
          <w:szCs w:val="20"/>
          <w:lang w:val="es-PE"/>
        </w:rPr>
        <w:t xml:space="preserve">i) </w:t>
      </w:r>
      <w:r w:rsidR="0073130C" w:rsidRPr="008A084A">
        <w:rPr>
          <w:rFonts w:ascii="Cambria" w:hAnsi="Cambria"/>
          <w:sz w:val="20"/>
          <w:szCs w:val="20"/>
          <w:lang w:val="es-PE"/>
        </w:rPr>
        <w:t xml:space="preserve">tomó las declaraciones de la </w:t>
      </w:r>
      <w:r w:rsidR="0073130C" w:rsidRPr="008A084A">
        <w:rPr>
          <w:rFonts w:ascii="Cambria" w:hAnsi="Cambria"/>
          <w:sz w:val="20"/>
          <w:szCs w:val="20"/>
          <w:lang w:val="es-ES"/>
        </w:rPr>
        <w:t>señora</w:t>
      </w:r>
      <w:r w:rsidR="0073130C" w:rsidRPr="008A084A">
        <w:rPr>
          <w:rFonts w:ascii="Cambria" w:hAnsi="Cambria"/>
          <w:sz w:val="20"/>
          <w:szCs w:val="20"/>
          <w:lang w:val="es-PE"/>
        </w:rPr>
        <w:t xml:space="preserve"> Chimbó</w:t>
      </w:r>
      <w:r w:rsidR="00867174" w:rsidRPr="008A084A">
        <w:rPr>
          <w:rFonts w:ascii="Cambria" w:hAnsi="Cambria"/>
          <w:sz w:val="20"/>
          <w:szCs w:val="20"/>
          <w:lang w:val="es-PE"/>
        </w:rPr>
        <w:t xml:space="preserve"> y de funcionarios del hospital; ii)</w:t>
      </w:r>
      <w:r w:rsidR="0073130C" w:rsidRPr="008A084A">
        <w:rPr>
          <w:rFonts w:ascii="Cambria" w:hAnsi="Cambria"/>
          <w:sz w:val="20"/>
          <w:szCs w:val="20"/>
          <w:lang w:val="es-PE"/>
        </w:rPr>
        <w:t xml:space="preserve"> realizó un reconocim</w:t>
      </w:r>
      <w:r w:rsidR="00867174" w:rsidRPr="008A084A">
        <w:rPr>
          <w:rFonts w:ascii="Cambria" w:hAnsi="Cambria"/>
          <w:sz w:val="20"/>
          <w:szCs w:val="20"/>
          <w:lang w:val="es-PE"/>
        </w:rPr>
        <w:t>iento del lugar de los hechos; y iii) ordenó la práctica de autopsias de cadáveres no identificados.</w:t>
      </w:r>
    </w:p>
    <w:p w:rsidR="00FC2D46" w:rsidRPr="008A084A" w:rsidRDefault="00FC2D46" w:rsidP="00867174">
      <w:pPr>
        <w:pStyle w:val="ColorfulList-Accent11"/>
        <w:rPr>
          <w:rFonts w:ascii="Cambria" w:hAnsi="Cambria"/>
          <w:sz w:val="20"/>
          <w:szCs w:val="20"/>
          <w:lang w:val="es-ES"/>
        </w:rPr>
      </w:pPr>
    </w:p>
    <w:p w:rsidR="00A96A77" w:rsidRPr="008A084A" w:rsidRDefault="00867174"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La CIDH </w:t>
      </w:r>
      <w:r w:rsidR="0092749A" w:rsidRPr="008A084A">
        <w:rPr>
          <w:rFonts w:ascii="Cambria" w:hAnsi="Cambria"/>
          <w:sz w:val="20"/>
          <w:szCs w:val="20"/>
          <w:lang w:val="es-ES"/>
        </w:rPr>
        <w:t xml:space="preserve">nota que la señora Chimbó manifestó que desde la presentación de la denuncia hasta mediados del año 2005 ella tuvo que pagar la movilización de los agentes policiales al Hospital Psiquiátrico Julio Endara. </w:t>
      </w:r>
      <w:r w:rsidR="005D1F59" w:rsidRPr="008A084A">
        <w:rPr>
          <w:rFonts w:ascii="Cambria" w:hAnsi="Cambria"/>
          <w:sz w:val="20"/>
          <w:szCs w:val="20"/>
          <w:lang w:val="es-ES"/>
        </w:rPr>
        <w:t>También indicó que el fiscal le indicó que su hijo “ya está perdido, que si no tiene otros hijos para ir a cuidar”</w:t>
      </w:r>
      <w:r w:rsidR="005D1F59" w:rsidRPr="008A084A">
        <w:rPr>
          <w:rStyle w:val="FootnoteReference"/>
          <w:rFonts w:ascii="Cambria" w:hAnsi="Cambria"/>
          <w:sz w:val="20"/>
          <w:szCs w:val="20"/>
          <w:lang w:val="es-ES"/>
        </w:rPr>
        <w:footnoteReference w:id="356"/>
      </w:r>
      <w:r w:rsidR="005D1F59" w:rsidRPr="008A084A">
        <w:rPr>
          <w:rFonts w:ascii="Cambria" w:hAnsi="Cambria"/>
          <w:sz w:val="20"/>
          <w:szCs w:val="20"/>
          <w:lang w:val="es-ES"/>
        </w:rPr>
        <w:t xml:space="preserve">. </w:t>
      </w:r>
      <w:r w:rsidR="0092749A" w:rsidRPr="008A084A">
        <w:rPr>
          <w:rFonts w:ascii="Cambria" w:hAnsi="Cambria"/>
          <w:sz w:val="20"/>
          <w:szCs w:val="20"/>
          <w:lang w:val="es-ES"/>
        </w:rPr>
        <w:t xml:space="preserve">Asimismo, la señora Chimbó declaró que a pesar de haber manifestado ante las autoridades que una persona institucionalizada en el hospital le indicó que el señor Guachalá había </w:t>
      </w:r>
      <w:r w:rsidR="00153078" w:rsidRPr="008A084A">
        <w:rPr>
          <w:rFonts w:ascii="Cambria" w:hAnsi="Cambria"/>
          <w:sz w:val="20"/>
          <w:szCs w:val="20"/>
          <w:lang w:val="es-ES"/>
        </w:rPr>
        <w:t>sufrido</w:t>
      </w:r>
      <w:r w:rsidR="00A96A77" w:rsidRPr="008A084A">
        <w:rPr>
          <w:rFonts w:ascii="Cambria" w:hAnsi="Cambria"/>
          <w:sz w:val="20"/>
          <w:szCs w:val="20"/>
          <w:lang w:val="es-ES"/>
        </w:rPr>
        <w:t xml:space="preserve"> un ataque cardiaco </w:t>
      </w:r>
      <w:r w:rsidR="00CF5391" w:rsidRPr="008A084A">
        <w:rPr>
          <w:rFonts w:ascii="Cambria" w:hAnsi="Cambria"/>
          <w:sz w:val="20"/>
          <w:szCs w:val="20"/>
          <w:lang w:val="es-ES"/>
        </w:rPr>
        <w:t>en dicho centro</w:t>
      </w:r>
      <w:r w:rsidR="0092749A" w:rsidRPr="008A084A">
        <w:rPr>
          <w:rFonts w:ascii="Cambria" w:hAnsi="Cambria"/>
          <w:sz w:val="20"/>
          <w:szCs w:val="20"/>
          <w:lang w:val="es-ES"/>
        </w:rPr>
        <w:t xml:space="preserve"> </w:t>
      </w:r>
      <w:r w:rsidR="00153078" w:rsidRPr="008A084A">
        <w:rPr>
          <w:rFonts w:ascii="Cambria" w:hAnsi="Cambria"/>
          <w:sz w:val="20"/>
          <w:szCs w:val="20"/>
          <w:lang w:val="es-ES"/>
        </w:rPr>
        <w:t>y que incluso le pidió que pida ayuda</w:t>
      </w:r>
      <w:r w:rsidR="00A96A77" w:rsidRPr="008A084A">
        <w:rPr>
          <w:rFonts w:ascii="Cambria" w:hAnsi="Cambria"/>
          <w:sz w:val="20"/>
          <w:szCs w:val="20"/>
          <w:lang w:val="es-ES"/>
        </w:rPr>
        <w:t xml:space="preserve">, el Estado no adoptó diligencia alguna a efectos de </w:t>
      </w:r>
      <w:r w:rsidR="00F725C2" w:rsidRPr="008A084A">
        <w:rPr>
          <w:rFonts w:ascii="Cambria" w:hAnsi="Cambria"/>
          <w:sz w:val="20"/>
          <w:szCs w:val="20"/>
          <w:lang w:val="es-ES"/>
        </w:rPr>
        <w:t xml:space="preserve">profundizar en dicho relato y confirmar o descartar su veracidad a partir de una línea de investigación al respecto y la práctica de otras pruebas. </w:t>
      </w:r>
      <w:r w:rsidR="00276A3A" w:rsidRPr="008A084A">
        <w:rPr>
          <w:rFonts w:ascii="Cambria" w:hAnsi="Cambria"/>
          <w:sz w:val="20"/>
          <w:szCs w:val="20"/>
          <w:lang w:val="es-ES"/>
        </w:rPr>
        <w:t xml:space="preserve">La </w:t>
      </w:r>
      <w:r w:rsidR="00871C28" w:rsidRPr="008A084A">
        <w:rPr>
          <w:rFonts w:ascii="Cambria" w:hAnsi="Cambria"/>
          <w:sz w:val="20"/>
          <w:szCs w:val="20"/>
          <w:lang w:val="es-ES"/>
        </w:rPr>
        <w:t>CIDH resalta que el Comité CDPD ha sostenido que las personas con discapacidad intelectual o psicosocial pueden comparecer en procesos judiciales</w:t>
      </w:r>
      <w:r w:rsidR="00871C28" w:rsidRPr="008A084A">
        <w:rPr>
          <w:rStyle w:val="FootnoteReference"/>
          <w:rFonts w:ascii="Cambria" w:hAnsi="Cambria"/>
          <w:sz w:val="20"/>
          <w:szCs w:val="20"/>
        </w:rPr>
        <w:footnoteReference w:id="357"/>
      </w:r>
      <w:r w:rsidR="00871C28" w:rsidRPr="008A084A">
        <w:rPr>
          <w:rFonts w:ascii="Cambria" w:hAnsi="Cambria"/>
          <w:sz w:val="20"/>
          <w:szCs w:val="20"/>
          <w:lang w:val="es-ES"/>
        </w:rPr>
        <w:t>.</w:t>
      </w:r>
      <w:r w:rsidR="00276A3A" w:rsidRPr="008A084A">
        <w:rPr>
          <w:rFonts w:ascii="Cambria" w:hAnsi="Cambria"/>
          <w:sz w:val="20"/>
          <w:szCs w:val="20"/>
          <w:lang w:val="es-ES"/>
        </w:rPr>
        <w:t xml:space="preserve">  A pesar de ello, en el marco de la investigación, la toma de declaracione</w:t>
      </w:r>
      <w:r w:rsidR="00303487" w:rsidRPr="008A084A">
        <w:rPr>
          <w:rFonts w:ascii="Cambria" w:hAnsi="Cambria"/>
          <w:sz w:val="20"/>
          <w:szCs w:val="20"/>
          <w:lang w:val="es-ES"/>
        </w:rPr>
        <w:t>s se concentró en el personal del hospital y no en los pacientes que estuvieron institucionalizados al momento de los hechos</w:t>
      </w:r>
      <w:r w:rsidR="00194C02" w:rsidRPr="008A084A">
        <w:rPr>
          <w:rFonts w:ascii="Cambria" w:hAnsi="Cambria"/>
          <w:sz w:val="20"/>
          <w:szCs w:val="20"/>
          <w:lang w:val="es-ES"/>
        </w:rPr>
        <w:t xml:space="preserve">, incluyendo la persona que le habría indicado a la madre del señor Guachalá la versión del infarto. </w:t>
      </w:r>
    </w:p>
    <w:p w:rsidR="00A96A77" w:rsidRPr="008A084A" w:rsidRDefault="00A96A77" w:rsidP="00A96A77">
      <w:pPr>
        <w:pStyle w:val="ColorfulList-Accent11"/>
        <w:rPr>
          <w:rFonts w:ascii="Cambria" w:hAnsi="Cambria"/>
          <w:sz w:val="20"/>
          <w:szCs w:val="20"/>
          <w:lang w:val="es-ES"/>
        </w:rPr>
      </w:pPr>
    </w:p>
    <w:p w:rsidR="00867174" w:rsidRPr="008A084A" w:rsidRDefault="00A96A77"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Adicionalmente, la Comisión nota que desde mediados del año 2005 hasta julio de 2006, fecha en que se archivó la causa, no se registran diligencias de investigación. La CIDH evidencia que la decisión del archivo se basó en que “no se ha determinado la existencia de delito alguno”. </w:t>
      </w:r>
      <w:r w:rsidR="00194C02" w:rsidRPr="008A084A">
        <w:rPr>
          <w:rFonts w:ascii="Cambria" w:hAnsi="Cambria"/>
          <w:sz w:val="20"/>
          <w:szCs w:val="20"/>
          <w:lang w:val="es-ES"/>
        </w:rPr>
        <w:t>Sin embargo,</w:t>
      </w:r>
      <w:r w:rsidR="005B3F9D" w:rsidRPr="008A084A">
        <w:rPr>
          <w:rFonts w:ascii="Cambria" w:hAnsi="Cambria"/>
          <w:sz w:val="20"/>
          <w:szCs w:val="20"/>
          <w:lang w:val="es-ES"/>
        </w:rPr>
        <w:t xml:space="preserve"> en </w:t>
      </w:r>
      <w:r w:rsidR="005B3F9D" w:rsidRPr="008A084A">
        <w:rPr>
          <w:rFonts w:ascii="Cambria" w:hAnsi="Cambria"/>
          <w:sz w:val="20"/>
          <w:szCs w:val="20"/>
          <w:lang w:val="es-ES"/>
        </w:rPr>
        <w:lastRenderedPageBreak/>
        <w:t>términos generales,</w:t>
      </w:r>
      <w:r w:rsidR="00194C02" w:rsidRPr="008A084A">
        <w:rPr>
          <w:rFonts w:ascii="Cambria" w:hAnsi="Cambria"/>
          <w:sz w:val="20"/>
          <w:szCs w:val="20"/>
          <w:lang w:val="es-ES"/>
        </w:rPr>
        <w:t xml:space="preserve"> del despliegue probatorio previo a dicha decisión, no se desprende el diseño y agotamiento exhaustivo de una línea de investigación</w:t>
      </w:r>
      <w:r w:rsidR="005D1F59" w:rsidRPr="008A084A">
        <w:rPr>
          <w:rFonts w:ascii="Cambria" w:hAnsi="Cambria"/>
          <w:sz w:val="20"/>
          <w:szCs w:val="20"/>
          <w:lang w:val="es-ES"/>
        </w:rPr>
        <w:t xml:space="preserve"> que</w:t>
      </w:r>
      <w:r w:rsidR="00194C02" w:rsidRPr="008A084A">
        <w:rPr>
          <w:rFonts w:ascii="Cambria" w:hAnsi="Cambria"/>
          <w:sz w:val="20"/>
          <w:szCs w:val="20"/>
          <w:lang w:val="es-ES"/>
        </w:rPr>
        <w:t xml:space="preserve"> tomara en cuenta una hipótesis de </w:t>
      </w:r>
      <w:r w:rsidRPr="008A084A">
        <w:rPr>
          <w:rFonts w:ascii="Cambria" w:hAnsi="Cambria"/>
          <w:sz w:val="20"/>
          <w:szCs w:val="20"/>
          <w:lang w:val="es-ES"/>
        </w:rPr>
        <w:t xml:space="preserve">posible fallecimiento del señor Guachalá en el hospital y un eventual encubrimiento de su muerte por parte de los funcionarios de dicho </w:t>
      </w:r>
      <w:r w:rsidR="005D1F59" w:rsidRPr="008A084A">
        <w:rPr>
          <w:rFonts w:ascii="Cambria" w:hAnsi="Cambria"/>
          <w:sz w:val="20"/>
          <w:szCs w:val="20"/>
          <w:lang w:val="es-ES"/>
        </w:rPr>
        <w:t>c</w:t>
      </w:r>
      <w:r w:rsidRPr="008A084A">
        <w:rPr>
          <w:rFonts w:ascii="Cambria" w:hAnsi="Cambria"/>
          <w:sz w:val="20"/>
          <w:szCs w:val="20"/>
          <w:lang w:val="es-ES"/>
        </w:rPr>
        <w:t xml:space="preserve">entro. </w:t>
      </w:r>
    </w:p>
    <w:p w:rsidR="00A96A77" w:rsidRPr="008A084A" w:rsidRDefault="00A96A77" w:rsidP="00A96A77">
      <w:pPr>
        <w:pStyle w:val="ColorfulList-Accent11"/>
        <w:rPr>
          <w:rFonts w:ascii="Cambria" w:hAnsi="Cambria"/>
          <w:sz w:val="20"/>
          <w:szCs w:val="20"/>
          <w:lang w:val="es-ES"/>
        </w:rPr>
      </w:pPr>
    </w:p>
    <w:p w:rsidR="00A96A77" w:rsidRPr="008A084A" w:rsidRDefault="00EC63E8" w:rsidP="00476D08">
      <w:pPr>
        <w:numPr>
          <w:ilvl w:val="0"/>
          <w:numId w:val="55"/>
        </w:numPr>
        <w:jc w:val="both"/>
        <w:rPr>
          <w:rFonts w:ascii="Cambria" w:hAnsi="Cambria"/>
          <w:sz w:val="20"/>
          <w:szCs w:val="20"/>
          <w:lang w:val="es-ES"/>
        </w:rPr>
      </w:pPr>
      <w:r w:rsidRPr="008A084A">
        <w:rPr>
          <w:rFonts w:ascii="Cambria" w:hAnsi="Cambria"/>
          <w:sz w:val="20"/>
          <w:szCs w:val="20"/>
          <w:lang w:val="es-ES"/>
        </w:rPr>
        <w:t>La CIDH nota que luego de presentada la denuncia penal, los pet</w:t>
      </w:r>
      <w:r w:rsidR="00256486" w:rsidRPr="008A084A">
        <w:rPr>
          <w:rFonts w:ascii="Cambria" w:hAnsi="Cambria"/>
          <w:sz w:val="20"/>
          <w:szCs w:val="20"/>
          <w:lang w:val="es-ES"/>
        </w:rPr>
        <w:t xml:space="preserve">icionarios presentaron una queja ante la Defensoría del Pueblo y un recurso de hábeas corpus. En relación con la queja ante la Defensoría del Pueblo, la CIDH nota que la DINATED manifestó que el Hospital Psiquiátrico Julio Endara tiene “total responsabilidad (…) sobre este nefasto suceso; que ya lleva un año sin solución”. La CIDH observa que a pesar de que la DINATED solicitó al Ministerio de Salud realizar diversas diligencias, no se cuenta con información sobre si éstas se realizaron. Asimismo, en su escrito de enero de 2015 el Estado indicó que las investigaciones bajo dicha queja continúan, sin que se haya encontrado el paradero del señor Guachalá. </w:t>
      </w:r>
      <w:r w:rsidR="004D289F" w:rsidRPr="008A084A">
        <w:rPr>
          <w:rFonts w:ascii="Cambria" w:hAnsi="Cambria"/>
          <w:sz w:val="20"/>
          <w:szCs w:val="20"/>
          <w:lang w:val="es-ES"/>
        </w:rPr>
        <w:t xml:space="preserve">Al respecto, la Comisión observa que más allá de acciones aisladas hacia la búsqueda de la víctima, no se cuenta con </w:t>
      </w:r>
      <w:r w:rsidR="00522398" w:rsidRPr="008A084A">
        <w:rPr>
          <w:rFonts w:ascii="Cambria" w:hAnsi="Cambria"/>
          <w:sz w:val="20"/>
          <w:szCs w:val="20"/>
          <w:lang w:val="es-ES"/>
        </w:rPr>
        <w:t>información sobre un plan de búsqueda diseñado para encontrar al señor Guachalá</w:t>
      </w:r>
      <w:r w:rsidR="00E0156C" w:rsidRPr="008A084A">
        <w:rPr>
          <w:rFonts w:ascii="Cambria" w:hAnsi="Cambria"/>
          <w:sz w:val="20"/>
          <w:szCs w:val="20"/>
          <w:lang w:val="es-ES"/>
        </w:rPr>
        <w:t xml:space="preserve">, tomando en cuenta los indicios que surgen del expediente e involucrando de manera coordinada a todas las autoridades estatales relevantes. </w:t>
      </w:r>
    </w:p>
    <w:p w:rsidR="00256486" w:rsidRPr="008A084A" w:rsidRDefault="00256486" w:rsidP="00256486">
      <w:pPr>
        <w:pStyle w:val="ColorfulList-Accent11"/>
        <w:rPr>
          <w:rFonts w:ascii="Cambria" w:hAnsi="Cambria"/>
          <w:sz w:val="20"/>
          <w:szCs w:val="20"/>
          <w:lang w:val="es-ES"/>
        </w:rPr>
      </w:pPr>
    </w:p>
    <w:p w:rsidR="00256486" w:rsidRPr="008A084A" w:rsidRDefault="003F6B5C" w:rsidP="00476D08">
      <w:pPr>
        <w:numPr>
          <w:ilvl w:val="0"/>
          <w:numId w:val="55"/>
        </w:numPr>
        <w:jc w:val="both"/>
        <w:rPr>
          <w:rFonts w:ascii="Cambria" w:hAnsi="Cambria"/>
          <w:sz w:val="20"/>
          <w:szCs w:val="20"/>
          <w:lang w:val="es-ES"/>
        </w:rPr>
      </w:pPr>
      <w:r w:rsidRPr="008A084A">
        <w:rPr>
          <w:rFonts w:ascii="Cambria" w:hAnsi="Cambria"/>
          <w:sz w:val="20"/>
          <w:szCs w:val="20"/>
          <w:lang w:val="es-ES"/>
        </w:rPr>
        <w:t>Respecto del recurso de hábeas corpus, la CIDH nota que inicialmente la alcaldía del distrito metropolitano de Quito se limitó a convocar al señor Guachalá</w:t>
      </w:r>
      <w:r w:rsidR="002E0BEA" w:rsidRPr="008A084A">
        <w:rPr>
          <w:rFonts w:ascii="Cambria" w:hAnsi="Cambria"/>
          <w:sz w:val="20"/>
          <w:szCs w:val="20"/>
          <w:lang w:val="es-ES"/>
        </w:rPr>
        <w:t>, a pesar de que ya se había indicado que ést</w:t>
      </w:r>
      <w:r w:rsidR="005D1F59" w:rsidRPr="008A084A">
        <w:rPr>
          <w:rFonts w:ascii="Cambria" w:hAnsi="Cambria"/>
          <w:sz w:val="20"/>
          <w:szCs w:val="20"/>
          <w:lang w:val="es-ES"/>
        </w:rPr>
        <w:t>e</w:t>
      </w:r>
      <w:r w:rsidR="002E0BEA" w:rsidRPr="008A084A">
        <w:rPr>
          <w:rFonts w:ascii="Cambria" w:hAnsi="Cambria"/>
          <w:sz w:val="20"/>
          <w:szCs w:val="20"/>
          <w:lang w:val="es-ES"/>
        </w:rPr>
        <w:t xml:space="preserve"> había desaparecido del hospital. </w:t>
      </w:r>
      <w:r w:rsidR="009D7534" w:rsidRPr="008A084A">
        <w:rPr>
          <w:rFonts w:ascii="Cambria" w:hAnsi="Cambria"/>
          <w:sz w:val="20"/>
          <w:szCs w:val="20"/>
          <w:lang w:val="es-ES"/>
        </w:rPr>
        <w:t>Frente a dicha situación, los peticionarios presentaron un escrito solicitando que requiera al Estado adoptar medidas de búsqueda para encontrar el paradero del señor Guachalá. La Comisión observa que durante un año y medio no hubo respuesta por parte de las autoridades, hasta que en abril de 2006 el Tribunal Constitucional indicó que al no haberse dictado resolución en la causa durante este tiempo se “ha dejado a la parte en estado de indefensión”.</w:t>
      </w:r>
      <w:r w:rsidR="003B35E5" w:rsidRPr="008A084A">
        <w:rPr>
          <w:rFonts w:ascii="Cambria" w:hAnsi="Cambria"/>
          <w:sz w:val="20"/>
          <w:szCs w:val="20"/>
          <w:lang w:val="es-ES"/>
        </w:rPr>
        <w:t xml:space="preserve"> La CIDH recuerda que el Tribunal Constitucional sostuvo que “no es admisible en un Estado (…) que una persona permanezca desaparecida por más de dos años, y menos admisible es que sus órganos no coordinen las acciones adecuadas para dar con el paradero de la persona”. A pesar de dicha resolución, la Comisión no cuenta con información sobre las medidas desplegadas en el marco del recurso de hábeas corpus.</w:t>
      </w:r>
      <w:r w:rsidR="00935166" w:rsidRPr="008A084A">
        <w:rPr>
          <w:rFonts w:ascii="Cambria" w:hAnsi="Cambria"/>
          <w:sz w:val="20"/>
          <w:szCs w:val="20"/>
          <w:lang w:val="es-ES"/>
        </w:rPr>
        <w:t xml:space="preserve"> En este sentido, la CIDH considera que el habeas corpus no constituyó un recurso efectivo para abordar una situación de privación de libertad y desaparición de Luis Eduardo Guachalá en un hospital psiquiátrico bajo custodia del E</w:t>
      </w:r>
      <w:r w:rsidR="00846B5E" w:rsidRPr="008A084A">
        <w:rPr>
          <w:rFonts w:ascii="Cambria" w:hAnsi="Cambria"/>
          <w:sz w:val="20"/>
          <w:szCs w:val="20"/>
          <w:lang w:val="es-ES"/>
        </w:rPr>
        <w:t xml:space="preserve">stado. Además, por el tiempo transcurrido, el mismo tampoco brindó una respuesta pronta y efectiva, con la inmediatez requerida en un caso como el presente. </w:t>
      </w:r>
    </w:p>
    <w:p w:rsidR="003B35E5" w:rsidRDefault="003B35E5" w:rsidP="003B35E5">
      <w:pPr>
        <w:pStyle w:val="ColorfulList-Accent11"/>
        <w:rPr>
          <w:rFonts w:ascii="Cambria" w:hAnsi="Cambria"/>
          <w:sz w:val="20"/>
          <w:szCs w:val="20"/>
          <w:lang w:val="es-ES"/>
        </w:rPr>
      </w:pPr>
    </w:p>
    <w:p w:rsidR="00ED4052" w:rsidRPr="008A084A" w:rsidRDefault="00C77962" w:rsidP="00476D08">
      <w:pPr>
        <w:numPr>
          <w:ilvl w:val="0"/>
          <w:numId w:val="55"/>
        </w:numPr>
        <w:jc w:val="both"/>
        <w:rPr>
          <w:rFonts w:ascii="Cambria" w:hAnsi="Cambria"/>
          <w:sz w:val="20"/>
          <w:szCs w:val="20"/>
          <w:lang w:val="es-PE"/>
        </w:rPr>
      </w:pPr>
      <w:r w:rsidRPr="008A084A">
        <w:rPr>
          <w:rFonts w:ascii="Cambria" w:hAnsi="Cambria"/>
          <w:sz w:val="20"/>
          <w:szCs w:val="20"/>
          <w:lang w:val="es-ES"/>
        </w:rPr>
        <w:t xml:space="preserve">Por otro lado, la CIDH observa que en el año 2013 se inició una investigación administrativa </w:t>
      </w:r>
      <w:r w:rsidR="003A4457" w:rsidRPr="008A084A">
        <w:rPr>
          <w:rFonts w:ascii="Cambria" w:hAnsi="Cambria"/>
          <w:sz w:val="20"/>
          <w:szCs w:val="20"/>
          <w:lang w:val="es-ES"/>
        </w:rPr>
        <w:t xml:space="preserve">por la desaparición del señor Guachalá. La CIDH nota que dicha investigación se inició casi 10 años después de ocurridos los hechos. </w:t>
      </w:r>
      <w:r w:rsidR="00ED4052" w:rsidRPr="008A084A">
        <w:rPr>
          <w:rFonts w:ascii="Cambria" w:hAnsi="Cambria"/>
          <w:sz w:val="20"/>
          <w:szCs w:val="20"/>
          <w:lang w:val="es-PE"/>
        </w:rPr>
        <w:t xml:space="preserve">La CIDH </w:t>
      </w:r>
      <w:r w:rsidR="00ED4052" w:rsidRPr="008A084A">
        <w:rPr>
          <w:rFonts w:ascii="Cambria" w:hAnsi="Cambria"/>
          <w:sz w:val="20"/>
          <w:szCs w:val="20"/>
          <w:lang w:val="es-ES"/>
        </w:rPr>
        <w:t>resalta</w:t>
      </w:r>
      <w:r w:rsidR="00ED4052" w:rsidRPr="008A084A">
        <w:rPr>
          <w:rFonts w:ascii="Cambria" w:hAnsi="Cambria"/>
          <w:sz w:val="20"/>
          <w:szCs w:val="20"/>
          <w:lang w:val="es-PE"/>
        </w:rPr>
        <w:t xml:space="preserve"> la falta de impulso de la investigación y la ausencia de realización de diligencias </w:t>
      </w:r>
      <w:r w:rsidR="003F4F99" w:rsidRPr="008A084A">
        <w:rPr>
          <w:rFonts w:ascii="Cambria" w:hAnsi="Cambria"/>
          <w:sz w:val="20"/>
          <w:szCs w:val="20"/>
          <w:lang w:val="es-PE"/>
        </w:rPr>
        <w:t xml:space="preserve">puntuales </w:t>
      </w:r>
      <w:r w:rsidR="00ED4052" w:rsidRPr="008A084A">
        <w:rPr>
          <w:rFonts w:ascii="Cambria" w:hAnsi="Cambria"/>
          <w:sz w:val="20"/>
          <w:szCs w:val="20"/>
          <w:lang w:val="es-PE"/>
        </w:rPr>
        <w:t xml:space="preserve">de búsqueda y esclarecimiento de lo sucedido durante dicho tiempo. </w:t>
      </w:r>
    </w:p>
    <w:p w:rsidR="00ED4052" w:rsidRPr="008A084A" w:rsidRDefault="00ED4052" w:rsidP="00ED4052">
      <w:pPr>
        <w:pStyle w:val="ColorfulList-Accent11"/>
        <w:ind w:left="0"/>
        <w:rPr>
          <w:rFonts w:ascii="Cambria" w:hAnsi="Cambria"/>
          <w:sz w:val="20"/>
          <w:szCs w:val="20"/>
          <w:lang w:val="es-ES"/>
        </w:rPr>
      </w:pPr>
    </w:p>
    <w:p w:rsidR="00C15FC6" w:rsidRPr="008A084A" w:rsidRDefault="001E5359"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De acuerdo a la documentación proporcionada por las partes, </w:t>
      </w:r>
      <w:r w:rsidR="00C15FC6" w:rsidRPr="008A084A">
        <w:rPr>
          <w:rFonts w:ascii="Cambria" w:hAnsi="Cambria"/>
          <w:sz w:val="20"/>
          <w:szCs w:val="20"/>
          <w:lang w:val="es-ES"/>
        </w:rPr>
        <w:t>la Comisión toma nota de las diversas diligencias realizadas por el fiscal de la Unidad de Actuaciones Administrativas de Pichincha entre los años 2014 y 2016. La Comisión toma no</w:t>
      </w:r>
      <w:r w:rsidR="00ED4052" w:rsidRPr="008A084A">
        <w:rPr>
          <w:rFonts w:ascii="Cambria" w:hAnsi="Cambria"/>
          <w:sz w:val="20"/>
          <w:szCs w:val="20"/>
          <w:lang w:val="es-ES"/>
        </w:rPr>
        <w:t>t</w:t>
      </w:r>
      <w:r w:rsidR="00C15FC6" w:rsidRPr="008A084A">
        <w:rPr>
          <w:rFonts w:ascii="Cambria" w:hAnsi="Cambria"/>
          <w:sz w:val="20"/>
          <w:szCs w:val="20"/>
          <w:lang w:val="es-ES"/>
        </w:rPr>
        <w:t xml:space="preserve">a </w:t>
      </w:r>
      <w:r w:rsidR="00ED4052" w:rsidRPr="008A084A">
        <w:rPr>
          <w:rFonts w:ascii="Cambria" w:hAnsi="Cambria"/>
          <w:sz w:val="20"/>
          <w:szCs w:val="20"/>
          <w:lang w:val="es-ES"/>
        </w:rPr>
        <w:t>de que el Estado no informó sobre si se adoptó alguna diligencia a efectos de verificar el relato</w:t>
      </w:r>
      <w:r w:rsidR="003C587E" w:rsidRPr="008A084A">
        <w:rPr>
          <w:rFonts w:ascii="Cambria" w:hAnsi="Cambria"/>
          <w:sz w:val="20"/>
          <w:szCs w:val="20"/>
          <w:lang w:val="es-ES"/>
        </w:rPr>
        <w:t xml:space="preserve"> de la persona institucionalizada que indicó a la señora Chimbó que su hijo había sufrido un ataque cardiaco en el hospital</w:t>
      </w:r>
      <w:r w:rsidR="003F4F99" w:rsidRPr="008A084A">
        <w:rPr>
          <w:rFonts w:ascii="Cambria" w:hAnsi="Cambria"/>
          <w:sz w:val="20"/>
          <w:szCs w:val="20"/>
          <w:lang w:val="es-ES"/>
        </w:rPr>
        <w:t xml:space="preserve"> ni, en general, el desarrollo de la hipótesis de posible muerte en el hospital y encubrimiento de lo sucedido. Por el contrario, las medidas de búsqueda parecieran enfocarse en la hipótesis de fuga.</w:t>
      </w:r>
      <w:r w:rsidR="00B641E4" w:rsidRPr="008A084A">
        <w:rPr>
          <w:rFonts w:ascii="Cambria" w:hAnsi="Cambria"/>
          <w:sz w:val="20"/>
          <w:szCs w:val="20"/>
          <w:lang w:val="es-ES"/>
        </w:rPr>
        <w:t xml:space="preserve"> </w:t>
      </w:r>
    </w:p>
    <w:p w:rsidR="002114CC" w:rsidRPr="008A084A" w:rsidRDefault="002114CC" w:rsidP="003C587E">
      <w:pPr>
        <w:pStyle w:val="ColorfulList-Accent11"/>
        <w:ind w:left="0"/>
        <w:rPr>
          <w:rFonts w:ascii="Cambria" w:hAnsi="Cambria"/>
          <w:sz w:val="20"/>
          <w:szCs w:val="20"/>
          <w:lang w:val="es-PE"/>
        </w:rPr>
      </w:pPr>
    </w:p>
    <w:p w:rsidR="003B35E5" w:rsidRPr="008A084A" w:rsidRDefault="003B35E5" w:rsidP="00476D08">
      <w:pPr>
        <w:numPr>
          <w:ilvl w:val="0"/>
          <w:numId w:val="55"/>
        </w:numPr>
        <w:jc w:val="both"/>
        <w:rPr>
          <w:rFonts w:ascii="Cambria" w:hAnsi="Cambria"/>
          <w:sz w:val="20"/>
          <w:szCs w:val="20"/>
          <w:lang w:val="es-PE" w:eastAsia="ko-KR"/>
        </w:rPr>
      </w:pPr>
      <w:r w:rsidRPr="008A084A">
        <w:rPr>
          <w:rFonts w:ascii="Cambria" w:hAnsi="Cambria"/>
          <w:sz w:val="20"/>
          <w:szCs w:val="20"/>
          <w:lang w:val="es-PE"/>
        </w:rPr>
        <w:t>La Comisión considera que</w:t>
      </w:r>
      <w:r w:rsidR="003C587E" w:rsidRPr="008A084A">
        <w:rPr>
          <w:rFonts w:ascii="Cambria" w:hAnsi="Cambria"/>
          <w:sz w:val="20"/>
          <w:szCs w:val="20"/>
          <w:lang w:val="es-PE"/>
        </w:rPr>
        <w:t>, en vista de lo expuesto,</w:t>
      </w:r>
      <w:r w:rsidRPr="008A084A">
        <w:rPr>
          <w:rFonts w:ascii="Cambria" w:hAnsi="Cambria"/>
          <w:sz w:val="20"/>
          <w:szCs w:val="20"/>
          <w:lang w:val="es-PE"/>
        </w:rPr>
        <w:t xml:space="preserve"> </w:t>
      </w:r>
      <w:r w:rsidRPr="008A084A">
        <w:rPr>
          <w:rFonts w:ascii="Cambria" w:hAnsi="Cambria"/>
          <w:sz w:val="20"/>
          <w:szCs w:val="20"/>
          <w:lang w:val="es-PE" w:eastAsia="ko-KR"/>
        </w:rPr>
        <w:t xml:space="preserve">ni la investigación penal, </w:t>
      </w:r>
      <w:r w:rsidR="003C587E" w:rsidRPr="008A084A">
        <w:rPr>
          <w:rFonts w:ascii="Cambria" w:hAnsi="Cambria"/>
          <w:sz w:val="20"/>
          <w:szCs w:val="20"/>
          <w:lang w:val="es-PE" w:eastAsia="ko-KR"/>
        </w:rPr>
        <w:t xml:space="preserve">administrativa, </w:t>
      </w:r>
      <w:r w:rsidRPr="008A084A">
        <w:rPr>
          <w:rFonts w:ascii="Cambria" w:hAnsi="Cambria"/>
          <w:sz w:val="20"/>
          <w:szCs w:val="20"/>
          <w:lang w:val="es-PE" w:eastAsia="ko-KR"/>
        </w:rPr>
        <w:t xml:space="preserve">ni los recursos de </w:t>
      </w:r>
      <w:r w:rsidRPr="008A084A">
        <w:rPr>
          <w:rFonts w:ascii="Cambria" w:hAnsi="Cambria"/>
          <w:sz w:val="20"/>
          <w:szCs w:val="20"/>
          <w:lang w:val="es-ES"/>
        </w:rPr>
        <w:t>exhibición</w:t>
      </w:r>
      <w:r w:rsidRPr="008A084A">
        <w:rPr>
          <w:rFonts w:ascii="Cambria" w:hAnsi="Cambria"/>
          <w:sz w:val="20"/>
          <w:szCs w:val="20"/>
          <w:lang w:val="es-PE" w:eastAsia="ko-KR"/>
        </w:rPr>
        <w:t xml:space="preserve"> personal</w:t>
      </w:r>
      <w:r w:rsidR="003C587E" w:rsidRPr="008A084A">
        <w:rPr>
          <w:rFonts w:ascii="Cambria" w:hAnsi="Cambria"/>
          <w:sz w:val="20"/>
          <w:szCs w:val="20"/>
          <w:lang w:val="es-PE" w:eastAsia="ko-KR"/>
        </w:rPr>
        <w:t xml:space="preserve"> y queja ante la Defensoría del Pueblo,</w:t>
      </w:r>
      <w:r w:rsidRPr="008A084A">
        <w:rPr>
          <w:rFonts w:ascii="Cambria" w:hAnsi="Cambria"/>
          <w:sz w:val="20"/>
          <w:szCs w:val="20"/>
          <w:lang w:val="es-PE" w:eastAsia="ko-KR"/>
        </w:rPr>
        <w:t xml:space="preserve"> fueron llevados a cabo con la debida diligencia que era exigible a las autoridades a cargo de los procesos internos en el presente caso. L</w:t>
      </w:r>
      <w:r w:rsidRPr="008A084A">
        <w:rPr>
          <w:rFonts w:ascii="Cambria" w:hAnsi="Cambria"/>
          <w:sz w:val="20"/>
          <w:szCs w:val="20"/>
          <w:lang w:val="es-SV"/>
        </w:rPr>
        <w:t xml:space="preserve">a CIDH recuerda que </w:t>
      </w:r>
      <w:r w:rsidRPr="008A084A">
        <w:rPr>
          <w:rFonts w:ascii="Cambria" w:hAnsi="Cambria"/>
          <w:sz w:val="20"/>
          <w:szCs w:val="20"/>
          <w:lang w:val="es-ES"/>
        </w:rPr>
        <w:t xml:space="preserve">en casos de alegadas desapariciones, sólo si se despliegan todos los esfuerzos necesarios y a </w:t>
      </w:r>
      <w:r w:rsidRPr="008A084A">
        <w:rPr>
          <w:rFonts w:ascii="Cambria" w:hAnsi="Cambria"/>
          <w:sz w:val="20"/>
          <w:szCs w:val="20"/>
          <w:lang w:val="es-PE"/>
        </w:rPr>
        <w:t>disposición</w:t>
      </w:r>
      <w:r w:rsidRPr="008A084A">
        <w:rPr>
          <w:rFonts w:ascii="Cambria" w:hAnsi="Cambria"/>
          <w:sz w:val="20"/>
          <w:szCs w:val="20"/>
          <w:lang w:val="es-ES"/>
        </w:rPr>
        <w:t xml:space="preserve"> del Estado para conocer la verdad sobre lo sucedido a la víctima y su paradero, podrá considerarse que se proporcionó un recurso efectivo</w:t>
      </w:r>
      <w:r w:rsidRPr="008A084A">
        <w:rPr>
          <w:rStyle w:val="FootnoteReference"/>
          <w:rFonts w:ascii="Cambria" w:hAnsi="Cambria"/>
          <w:sz w:val="20"/>
          <w:szCs w:val="20"/>
        </w:rPr>
        <w:footnoteReference w:id="358"/>
      </w:r>
      <w:r w:rsidRPr="008A084A">
        <w:rPr>
          <w:rFonts w:ascii="Cambria" w:hAnsi="Cambria"/>
          <w:sz w:val="20"/>
          <w:szCs w:val="20"/>
          <w:lang w:val="es-ES"/>
        </w:rPr>
        <w:t>.</w:t>
      </w:r>
    </w:p>
    <w:p w:rsidR="00986B17" w:rsidRPr="008A084A" w:rsidRDefault="00986B17" w:rsidP="00986B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86B17" w:rsidRPr="008A084A" w:rsidRDefault="00986B17" w:rsidP="00476D08">
      <w:pPr>
        <w:numPr>
          <w:ilvl w:val="0"/>
          <w:numId w:val="55"/>
        </w:numPr>
        <w:jc w:val="both"/>
        <w:rPr>
          <w:rFonts w:ascii="Cambria" w:hAnsi="Cambria"/>
          <w:sz w:val="20"/>
          <w:szCs w:val="20"/>
          <w:lang w:val="es-ES"/>
        </w:rPr>
      </w:pPr>
      <w:r w:rsidRPr="008A084A">
        <w:rPr>
          <w:rFonts w:ascii="Cambria" w:hAnsi="Cambria"/>
          <w:sz w:val="20"/>
          <w:szCs w:val="20"/>
          <w:lang w:val="es-ES_tradnl"/>
        </w:rPr>
        <w:t xml:space="preserve">De esta forma, la Comisión concluye que el Estado </w:t>
      </w:r>
      <w:r w:rsidR="003F4F99" w:rsidRPr="008A084A">
        <w:rPr>
          <w:rFonts w:ascii="Cambria" w:hAnsi="Cambria"/>
          <w:sz w:val="20"/>
          <w:szCs w:val="20"/>
          <w:lang w:val="es-ES_tradnl"/>
        </w:rPr>
        <w:t xml:space="preserve">ecuatoriano </w:t>
      </w:r>
      <w:r w:rsidRPr="008A084A">
        <w:rPr>
          <w:rFonts w:ascii="Cambria" w:hAnsi="Cambria"/>
          <w:sz w:val="20"/>
          <w:szCs w:val="20"/>
          <w:lang w:val="es-ES_tradnl"/>
        </w:rPr>
        <w:t xml:space="preserve">violó los derechos a las garantías judiciales y protección </w:t>
      </w:r>
      <w:r w:rsidRPr="008A084A">
        <w:rPr>
          <w:rFonts w:ascii="Cambria" w:hAnsi="Cambria"/>
          <w:sz w:val="20"/>
          <w:szCs w:val="20"/>
          <w:lang w:val="es-ES"/>
        </w:rPr>
        <w:t>judicial</w:t>
      </w:r>
      <w:r w:rsidRPr="008A084A">
        <w:rPr>
          <w:rFonts w:ascii="Cambria" w:hAnsi="Cambria"/>
          <w:sz w:val="20"/>
          <w:szCs w:val="20"/>
          <w:lang w:val="es-ES_tradnl"/>
        </w:rPr>
        <w:t xml:space="preserve"> establecidos en los artículos 8.1 y 25 de la Convención Americana en relación con las obligaciones establecidas en el artículo 1.1 del mismo instrumento en perjuicio de Luis</w:t>
      </w:r>
      <w:r w:rsidR="00AC0BE7" w:rsidRPr="008A084A">
        <w:rPr>
          <w:rFonts w:ascii="Cambria" w:hAnsi="Cambria"/>
          <w:sz w:val="20"/>
          <w:szCs w:val="20"/>
          <w:lang w:val="es-ES_tradnl"/>
        </w:rPr>
        <w:t xml:space="preserve"> Eduardo</w:t>
      </w:r>
      <w:r w:rsidRPr="008A084A">
        <w:rPr>
          <w:rFonts w:ascii="Cambria" w:hAnsi="Cambria"/>
          <w:sz w:val="20"/>
          <w:szCs w:val="20"/>
          <w:lang w:val="es-ES_tradnl"/>
        </w:rPr>
        <w:t xml:space="preserve"> Guachalá</w:t>
      </w:r>
      <w:r w:rsidR="00AC0BE7" w:rsidRPr="008A084A">
        <w:rPr>
          <w:rFonts w:ascii="Cambria" w:hAnsi="Cambria"/>
          <w:sz w:val="20"/>
          <w:szCs w:val="20"/>
          <w:lang w:val="es-ES_tradnl"/>
        </w:rPr>
        <w:t xml:space="preserve"> Chimbó</w:t>
      </w:r>
      <w:r w:rsidR="003F4F99" w:rsidRPr="008A084A">
        <w:rPr>
          <w:rFonts w:ascii="Cambria" w:hAnsi="Cambria"/>
          <w:sz w:val="20"/>
          <w:szCs w:val="20"/>
          <w:lang w:val="es-ES_tradnl"/>
        </w:rPr>
        <w:t xml:space="preserve"> y sus familiares identificados en el presente informe.</w:t>
      </w:r>
      <w:r w:rsidR="008318EB" w:rsidRPr="008A084A">
        <w:rPr>
          <w:rFonts w:ascii="Cambria" w:hAnsi="Cambria"/>
          <w:sz w:val="20"/>
          <w:szCs w:val="20"/>
          <w:lang w:val="es-ES_tradnl"/>
        </w:rPr>
        <w:t xml:space="preserve"> Asimismo, el Estado violó el artículo I b) de la CIDFP. </w:t>
      </w:r>
    </w:p>
    <w:p w:rsidR="00360828" w:rsidRPr="008A084A" w:rsidRDefault="00360828" w:rsidP="00360828">
      <w:pPr>
        <w:pStyle w:val="ColorfulList-Accent11"/>
        <w:ind w:left="0"/>
        <w:rPr>
          <w:rFonts w:ascii="Cambria" w:hAnsi="Cambria"/>
          <w:sz w:val="20"/>
          <w:szCs w:val="20"/>
          <w:lang w:val="es-ES"/>
        </w:rPr>
      </w:pPr>
    </w:p>
    <w:p w:rsidR="005507C6" w:rsidRPr="008A084A" w:rsidRDefault="003F4F99" w:rsidP="00471FC6">
      <w:pPr>
        <w:ind w:firstLine="720"/>
        <w:jc w:val="both"/>
        <w:rPr>
          <w:rFonts w:ascii="Cambria" w:hAnsi="Cambria"/>
          <w:sz w:val="20"/>
          <w:szCs w:val="20"/>
          <w:lang w:val="es-ES"/>
        </w:rPr>
      </w:pPr>
      <w:r w:rsidRPr="008A084A">
        <w:rPr>
          <w:rFonts w:ascii="Cambria" w:hAnsi="Cambria"/>
          <w:b/>
          <w:sz w:val="20"/>
          <w:szCs w:val="20"/>
          <w:lang w:val="es-ES"/>
        </w:rPr>
        <w:t>2.</w:t>
      </w:r>
      <w:r w:rsidRPr="008A084A">
        <w:rPr>
          <w:rFonts w:ascii="Cambria" w:hAnsi="Cambria"/>
          <w:b/>
          <w:sz w:val="20"/>
          <w:szCs w:val="20"/>
          <w:lang w:val="es-ES"/>
        </w:rPr>
        <w:tab/>
      </w:r>
      <w:r w:rsidR="003B35E5" w:rsidRPr="008A084A">
        <w:rPr>
          <w:rFonts w:ascii="Cambria" w:hAnsi="Cambria"/>
          <w:b/>
          <w:sz w:val="20"/>
          <w:szCs w:val="20"/>
          <w:lang w:val="es-ES"/>
        </w:rPr>
        <w:t xml:space="preserve">Sobre el plazo razonable </w:t>
      </w:r>
    </w:p>
    <w:p w:rsidR="00471FC6" w:rsidRPr="008A084A" w:rsidRDefault="00471FC6" w:rsidP="00471FC6">
      <w:pPr>
        <w:ind w:left="720"/>
        <w:jc w:val="both"/>
        <w:rPr>
          <w:rFonts w:ascii="Cambria" w:hAnsi="Cambria"/>
          <w:sz w:val="20"/>
          <w:szCs w:val="20"/>
          <w:lang w:val="es-ES"/>
        </w:rPr>
      </w:pPr>
    </w:p>
    <w:p w:rsidR="003B35E5" w:rsidRPr="008A084A" w:rsidRDefault="003B35E5" w:rsidP="00476D08">
      <w:pPr>
        <w:numPr>
          <w:ilvl w:val="0"/>
          <w:numId w:val="55"/>
        </w:numPr>
        <w:jc w:val="both"/>
        <w:rPr>
          <w:rFonts w:ascii="Cambria" w:hAnsi="Cambria"/>
          <w:sz w:val="20"/>
          <w:szCs w:val="20"/>
          <w:lang w:val="es-ES"/>
        </w:rPr>
      </w:pPr>
      <w:r w:rsidRPr="008A084A">
        <w:rPr>
          <w:rFonts w:ascii="Cambria" w:hAnsi="Cambria"/>
          <w:sz w:val="20"/>
          <w:szCs w:val="20"/>
          <w:lang w:val="es-ES"/>
        </w:rPr>
        <w:t xml:space="preserve">El artículo 8.1 de la Convención Americana establece como uno de los elementos del debido proceso que </w:t>
      </w:r>
      <w:r w:rsidRPr="008A084A">
        <w:rPr>
          <w:rFonts w:ascii="Cambria" w:hAnsi="Cambria"/>
          <w:sz w:val="20"/>
          <w:szCs w:val="20"/>
          <w:lang w:val="es-SV"/>
        </w:rPr>
        <w:t>los</w:t>
      </w:r>
      <w:r w:rsidRPr="008A084A">
        <w:rPr>
          <w:rFonts w:ascii="Cambria" w:hAnsi="Cambria"/>
          <w:sz w:val="20"/>
          <w:szCs w:val="20"/>
          <w:lang w:val="es-ES"/>
        </w:rPr>
        <w:t xml:space="preserve"> tribunales decidan los casos sometidos a su conocimiento en un plazo razonable. En este sentido, una demora prolongada puede </w:t>
      </w:r>
      <w:r w:rsidRPr="008A084A">
        <w:rPr>
          <w:rFonts w:ascii="Cambria" w:hAnsi="Cambria"/>
          <w:w w:val="95"/>
          <w:sz w:val="20"/>
          <w:szCs w:val="20"/>
          <w:lang w:val="es-CR"/>
        </w:rPr>
        <w:t>llegar</w:t>
      </w:r>
      <w:r w:rsidRPr="008A084A">
        <w:rPr>
          <w:rFonts w:ascii="Cambria" w:hAnsi="Cambria"/>
          <w:sz w:val="20"/>
          <w:szCs w:val="20"/>
          <w:lang w:val="es-ES"/>
        </w:rPr>
        <w:t xml:space="preserve"> a constituir, por sí misma, una violación de las garantías judiciales</w:t>
      </w:r>
      <w:r w:rsidRPr="008A084A">
        <w:rPr>
          <w:rStyle w:val="FootnoteReference"/>
          <w:rFonts w:ascii="Cambria" w:hAnsi="Cambria"/>
          <w:sz w:val="20"/>
          <w:szCs w:val="20"/>
          <w:lang w:val="es-ES_tradnl"/>
        </w:rPr>
        <w:footnoteReference w:id="359"/>
      </w:r>
      <w:r w:rsidRPr="008A084A">
        <w:rPr>
          <w:rFonts w:ascii="Cambria" w:hAnsi="Cambria"/>
          <w:sz w:val="20"/>
          <w:szCs w:val="20"/>
          <w:lang w:val="es-ES"/>
        </w:rPr>
        <w:t>. Corresponde al Estado exponer y probar la razón por la cual se ha requerido más tiempo del razonable para dictar sentencia definitiva en un caso particular</w:t>
      </w:r>
      <w:r w:rsidRPr="008A084A">
        <w:rPr>
          <w:rStyle w:val="FootnoteReference"/>
          <w:rFonts w:ascii="Cambria" w:hAnsi="Cambria"/>
          <w:sz w:val="20"/>
          <w:szCs w:val="20"/>
          <w:lang w:val="es-ES_tradnl"/>
        </w:rPr>
        <w:footnoteReference w:id="360"/>
      </w:r>
      <w:r w:rsidRPr="008A084A">
        <w:rPr>
          <w:rFonts w:ascii="Cambria" w:hAnsi="Cambria"/>
          <w:sz w:val="20"/>
          <w:szCs w:val="20"/>
          <w:lang w:val="es-ES"/>
        </w:rPr>
        <w:t>. En ese sentido, la razonabilidad del plazo se debe apreciar en relación con la duración total del procedimiento penal</w:t>
      </w:r>
      <w:r w:rsidRPr="008A084A">
        <w:rPr>
          <w:rStyle w:val="FootnoteReference"/>
          <w:rFonts w:ascii="Cambria" w:hAnsi="Cambria"/>
          <w:sz w:val="20"/>
          <w:szCs w:val="20"/>
          <w:lang w:val="es-ES_tradnl"/>
        </w:rPr>
        <w:footnoteReference w:id="361"/>
      </w:r>
      <w:r w:rsidRPr="008A084A">
        <w:rPr>
          <w:rFonts w:ascii="Cambria" w:hAnsi="Cambria"/>
          <w:sz w:val="20"/>
          <w:szCs w:val="20"/>
          <w:lang w:val="es-ES"/>
        </w:rPr>
        <w:t xml:space="preserve"> y a la luz de los </w:t>
      </w:r>
      <w:r w:rsidRPr="008A084A">
        <w:rPr>
          <w:rFonts w:ascii="Cambria" w:hAnsi="Cambria"/>
          <w:sz w:val="20"/>
          <w:szCs w:val="20"/>
          <w:lang w:val="es-ES_tradnl"/>
        </w:rPr>
        <w:t>los cuatro elementos que ha tomado la Corte en su jurisprudencia, a saber</w:t>
      </w:r>
      <w:r w:rsidRPr="008A084A">
        <w:rPr>
          <w:rFonts w:ascii="Cambria" w:hAnsi="Cambria"/>
          <w:sz w:val="20"/>
          <w:szCs w:val="20"/>
          <w:lang w:val="es-ES"/>
        </w:rPr>
        <w:t>: i) la complejidad del asunto; ii) la actividad procesal del interesado; y iii) la conducta de las autoridades judiciales;</w:t>
      </w:r>
      <w:r w:rsidRPr="008A084A">
        <w:rPr>
          <w:rFonts w:ascii="Cambria" w:hAnsi="Cambria"/>
          <w:sz w:val="20"/>
          <w:szCs w:val="20"/>
          <w:lang w:val="es-ES_tradnl"/>
        </w:rPr>
        <w:t xml:space="preserve"> y iv) afectación generada en la situación jurídica de la persona </w:t>
      </w:r>
      <w:r w:rsidRPr="008A084A">
        <w:rPr>
          <w:rFonts w:ascii="Cambria" w:hAnsi="Cambria"/>
          <w:sz w:val="20"/>
          <w:szCs w:val="20"/>
          <w:lang w:val="es-ES"/>
        </w:rPr>
        <w:t>involucrada</w:t>
      </w:r>
      <w:r w:rsidRPr="008A084A">
        <w:rPr>
          <w:rFonts w:ascii="Cambria" w:hAnsi="Cambria"/>
          <w:sz w:val="20"/>
          <w:szCs w:val="20"/>
          <w:lang w:val="es-ES_tradnl"/>
        </w:rPr>
        <w:t xml:space="preserve"> en el proceso</w:t>
      </w:r>
      <w:r w:rsidRPr="008A084A">
        <w:rPr>
          <w:rStyle w:val="FootnoteReference"/>
          <w:rFonts w:ascii="Cambria" w:hAnsi="Cambria"/>
          <w:sz w:val="20"/>
          <w:szCs w:val="20"/>
          <w:lang w:val="es-ES_tradnl"/>
        </w:rPr>
        <w:t xml:space="preserve"> </w:t>
      </w:r>
      <w:r w:rsidRPr="008A084A">
        <w:rPr>
          <w:rStyle w:val="FootnoteReference"/>
          <w:rFonts w:ascii="Cambria" w:hAnsi="Cambria"/>
          <w:sz w:val="20"/>
          <w:szCs w:val="20"/>
          <w:lang w:val="es-ES_tradnl"/>
        </w:rPr>
        <w:footnoteReference w:id="362"/>
      </w:r>
      <w:r w:rsidRPr="008A084A">
        <w:rPr>
          <w:rFonts w:ascii="Cambria" w:hAnsi="Cambria"/>
          <w:sz w:val="20"/>
          <w:szCs w:val="20"/>
          <w:lang w:val="es-ES"/>
        </w:rPr>
        <w:t>.</w:t>
      </w:r>
    </w:p>
    <w:p w:rsidR="003B35E5" w:rsidRPr="008A084A" w:rsidRDefault="003B35E5" w:rsidP="003B35E5">
      <w:pPr>
        <w:pStyle w:val="BodyTextIndent"/>
        <w:ind w:left="0" w:firstLine="567"/>
        <w:rPr>
          <w:rFonts w:ascii="Cambria" w:hAnsi="Cambria"/>
          <w:color w:val="auto"/>
          <w:sz w:val="20"/>
          <w:szCs w:val="20"/>
          <w:lang w:val="es-ES"/>
        </w:rPr>
      </w:pPr>
    </w:p>
    <w:p w:rsidR="00380CB9" w:rsidRPr="008A084A" w:rsidRDefault="003B35E5" w:rsidP="005507C6">
      <w:pPr>
        <w:numPr>
          <w:ilvl w:val="0"/>
          <w:numId w:val="55"/>
        </w:numPr>
        <w:jc w:val="both"/>
        <w:rPr>
          <w:rFonts w:ascii="Cambria" w:hAnsi="Cambria"/>
          <w:sz w:val="20"/>
          <w:szCs w:val="20"/>
          <w:lang w:val="es-ES_tradnl"/>
        </w:rPr>
      </w:pPr>
      <w:r w:rsidRPr="008A084A">
        <w:rPr>
          <w:rFonts w:ascii="Cambria" w:hAnsi="Cambria" w:cs="Univers"/>
          <w:sz w:val="20"/>
          <w:szCs w:val="20"/>
          <w:lang w:val="es-ES" w:eastAsia="es-ES_tradnl"/>
        </w:rPr>
        <w:t xml:space="preserve">En relación con la complejidad, </w:t>
      </w:r>
      <w:r w:rsidR="00380CB9" w:rsidRPr="008A084A">
        <w:rPr>
          <w:rFonts w:ascii="Cambria" w:hAnsi="Cambria" w:cs="Univers"/>
          <w:sz w:val="20"/>
          <w:szCs w:val="20"/>
          <w:lang w:val="es-ES" w:eastAsia="es-ES_tradnl"/>
        </w:rPr>
        <w:t xml:space="preserve">la CIDH nota que el Estado indicó que a pesar de haber adoptado diversas diligencias, no se ha podido identificar el paradero del señor Guachalá. </w:t>
      </w:r>
      <w:r w:rsidRPr="008A084A">
        <w:rPr>
          <w:rFonts w:ascii="Cambria" w:hAnsi="Cambria"/>
          <w:sz w:val="20"/>
          <w:szCs w:val="20"/>
          <w:lang w:val="es-ES_tradnl"/>
        </w:rPr>
        <w:t xml:space="preserve">Al respecto, la CIDH considera que a </w:t>
      </w:r>
      <w:r w:rsidRPr="008A084A">
        <w:rPr>
          <w:rFonts w:ascii="Cambria" w:hAnsi="Cambria"/>
          <w:sz w:val="20"/>
          <w:szCs w:val="20"/>
          <w:lang w:val="es-ES"/>
        </w:rPr>
        <w:t>fin</w:t>
      </w:r>
      <w:r w:rsidRPr="008A084A">
        <w:rPr>
          <w:rFonts w:ascii="Cambria" w:hAnsi="Cambria"/>
          <w:sz w:val="20"/>
          <w:szCs w:val="20"/>
          <w:lang w:val="es-ES_tradnl"/>
        </w:rPr>
        <w:t xml:space="preserve"> de que un argumento de </w:t>
      </w:r>
      <w:r w:rsidRPr="008A084A">
        <w:rPr>
          <w:rFonts w:ascii="Cambria" w:hAnsi="Cambria"/>
          <w:sz w:val="20"/>
          <w:szCs w:val="20"/>
          <w:lang w:val="es-ES"/>
        </w:rPr>
        <w:t>complejidad</w:t>
      </w:r>
      <w:r w:rsidRPr="008A084A">
        <w:rPr>
          <w:rFonts w:ascii="Cambria" w:hAnsi="Cambria"/>
          <w:sz w:val="20"/>
          <w:szCs w:val="20"/>
          <w:lang w:val="es-ES_tradnl"/>
        </w:rPr>
        <w:t xml:space="preserve"> sea procedente, es necesario que el Estado presente información específica que vincule directamente los elementos de complejidad invocados con las demoras en el proceso. Ello no ha sucedido en el presente caso. </w:t>
      </w:r>
      <w:r w:rsidR="00380CB9" w:rsidRPr="008A084A">
        <w:rPr>
          <w:rFonts w:ascii="Cambria" w:hAnsi="Cambria"/>
          <w:sz w:val="20"/>
          <w:szCs w:val="20"/>
          <w:lang w:val="es-ES_tradnl"/>
        </w:rPr>
        <w:t>La Comisión recuerda lo indicado por la Corte en el sentido de que el retardo en el desarrollo de la investigación no puede justificarse en razón de la complejidad del asunto cuando existen posibles hipótesis de lo sucedido que no han sido investigadas</w:t>
      </w:r>
      <w:r w:rsidR="00380CB9" w:rsidRPr="008A084A">
        <w:rPr>
          <w:rStyle w:val="FootnoteReference"/>
          <w:rFonts w:ascii="Cambria" w:hAnsi="Cambria"/>
          <w:sz w:val="20"/>
          <w:szCs w:val="20"/>
          <w:lang w:val="es-ES_tradnl"/>
        </w:rPr>
        <w:footnoteReference w:id="363"/>
      </w:r>
      <w:r w:rsidR="00FD69FF" w:rsidRPr="008A084A">
        <w:rPr>
          <w:rFonts w:ascii="Cambria" w:hAnsi="Cambria"/>
          <w:sz w:val="20"/>
          <w:szCs w:val="20"/>
          <w:lang w:val="es-ES_tradnl"/>
        </w:rPr>
        <w:t xml:space="preserve">, tal como sucede en el presente caso y ya fue expuesto en este informe. </w:t>
      </w:r>
    </w:p>
    <w:p w:rsidR="003B35E5" w:rsidRPr="008A084A" w:rsidRDefault="003B35E5" w:rsidP="00380CB9">
      <w:pPr>
        <w:pStyle w:val="BodyTextIndent"/>
        <w:ind w:left="0" w:firstLine="0"/>
        <w:rPr>
          <w:rFonts w:ascii="Cambria" w:hAnsi="Cambria"/>
          <w:color w:val="auto"/>
          <w:sz w:val="20"/>
          <w:szCs w:val="20"/>
        </w:rPr>
      </w:pPr>
      <w:r w:rsidRPr="008A084A">
        <w:rPr>
          <w:rFonts w:ascii="Cambria" w:hAnsi="Cambria"/>
          <w:color w:val="auto"/>
          <w:sz w:val="20"/>
          <w:szCs w:val="20"/>
        </w:rPr>
        <w:t xml:space="preserve"> </w:t>
      </w:r>
    </w:p>
    <w:p w:rsidR="003B35E5" w:rsidRPr="008A084A" w:rsidRDefault="003B35E5" w:rsidP="005507C6">
      <w:pPr>
        <w:numPr>
          <w:ilvl w:val="0"/>
          <w:numId w:val="55"/>
        </w:numPr>
        <w:jc w:val="both"/>
        <w:rPr>
          <w:rFonts w:ascii="Cambria" w:hAnsi="Cambria"/>
          <w:sz w:val="20"/>
          <w:szCs w:val="20"/>
          <w:lang w:val="es-ES"/>
        </w:rPr>
      </w:pPr>
      <w:r w:rsidRPr="008A084A">
        <w:rPr>
          <w:rFonts w:ascii="Cambria" w:hAnsi="Cambria"/>
          <w:sz w:val="20"/>
          <w:szCs w:val="20"/>
          <w:lang w:val="es-ES"/>
        </w:rPr>
        <w:t xml:space="preserve">En cuanto a la participación de los interesados, la Comisión observa que no existe elemento alguno en el expediente que indique que los </w:t>
      </w:r>
      <w:r w:rsidRPr="008A084A">
        <w:rPr>
          <w:rFonts w:ascii="Cambria" w:hAnsi="Cambria"/>
          <w:sz w:val="20"/>
          <w:szCs w:val="20"/>
          <w:lang w:val="es-ES_tradnl"/>
        </w:rPr>
        <w:t xml:space="preserve">familiares obstaculizaron el proceso o tuvieron responsabilidad alguna en la demora. Al contrario, los familiares participaron activamente en </w:t>
      </w:r>
      <w:r w:rsidR="001C1C68" w:rsidRPr="008A084A">
        <w:rPr>
          <w:rFonts w:ascii="Cambria" w:hAnsi="Cambria"/>
          <w:sz w:val="20"/>
          <w:szCs w:val="20"/>
          <w:lang w:val="es-ES_tradnl"/>
        </w:rPr>
        <w:t>los</w:t>
      </w:r>
      <w:r w:rsidRPr="008A084A">
        <w:rPr>
          <w:rFonts w:ascii="Cambria" w:hAnsi="Cambria"/>
          <w:sz w:val="20"/>
          <w:szCs w:val="20"/>
          <w:lang w:val="es-ES_tradnl"/>
        </w:rPr>
        <w:t xml:space="preserve"> proceso</w:t>
      </w:r>
      <w:r w:rsidR="001C1C68" w:rsidRPr="008A084A">
        <w:rPr>
          <w:rFonts w:ascii="Cambria" w:hAnsi="Cambria"/>
          <w:sz w:val="20"/>
          <w:szCs w:val="20"/>
          <w:lang w:val="es-ES_tradnl"/>
        </w:rPr>
        <w:t xml:space="preserve">s y activaron diversas vías procurando lograr el esclarecimiento de lo </w:t>
      </w:r>
      <w:r w:rsidR="0073036B" w:rsidRPr="008A084A">
        <w:rPr>
          <w:rFonts w:ascii="Cambria" w:hAnsi="Cambria"/>
          <w:sz w:val="20"/>
          <w:szCs w:val="20"/>
          <w:lang w:val="es-ES_tradnl"/>
        </w:rPr>
        <w:t>sucedido</w:t>
      </w:r>
      <w:r w:rsidR="001C1C68" w:rsidRPr="008A084A">
        <w:rPr>
          <w:rFonts w:ascii="Cambria" w:hAnsi="Cambria"/>
          <w:sz w:val="20"/>
          <w:szCs w:val="20"/>
          <w:lang w:val="es-ES_tradnl"/>
        </w:rPr>
        <w:t xml:space="preserve">. </w:t>
      </w:r>
      <w:r w:rsidRPr="008A084A">
        <w:rPr>
          <w:rFonts w:ascii="Cambria" w:hAnsi="Cambria"/>
          <w:sz w:val="20"/>
          <w:szCs w:val="20"/>
          <w:lang w:val="es-ES_tradnl"/>
        </w:rPr>
        <w:t xml:space="preserve">. </w:t>
      </w:r>
    </w:p>
    <w:p w:rsidR="003B35E5" w:rsidRPr="008A084A" w:rsidRDefault="003B35E5" w:rsidP="003B35E5">
      <w:pPr>
        <w:ind w:firstLine="567"/>
        <w:jc w:val="both"/>
        <w:rPr>
          <w:rFonts w:ascii="Cambria" w:hAnsi="Cambria"/>
          <w:sz w:val="20"/>
          <w:szCs w:val="20"/>
          <w:lang w:val="es-ES_tradnl"/>
        </w:rPr>
      </w:pPr>
    </w:p>
    <w:p w:rsidR="00686757" w:rsidRPr="00686757" w:rsidRDefault="003B35E5" w:rsidP="005507C6">
      <w:pPr>
        <w:numPr>
          <w:ilvl w:val="0"/>
          <w:numId w:val="55"/>
        </w:numPr>
        <w:jc w:val="both"/>
        <w:rPr>
          <w:rFonts w:ascii="Cambria" w:hAnsi="Cambria" w:cs="Garamond"/>
          <w:spacing w:val="-2"/>
          <w:sz w:val="20"/>
          <w:szCs w:val="20"/>
          <w:lang w:val="es-PE"/>
        </w:rPr>
      </w:pPr>
      <w:r w:rsidRPr="008A084A">
        <w:rPr>
          <w:rFonts w:ascii="Cambria" w:hAnsi="Cambria"/>
          <w:sz w:val="20"/>
          <w:szCs w:val="20"/>
          <w:lang w:val="es-ES_tradnl"/>
        </w:rPr>
        <w:t xml:space="preserve">En relación con la </w:t>
      </w:r>
      <w:r w:rsidRPr="008A084A">
        <w:rPr>
          <w:rFonts w:ascii="Cambria" w:hAnsi="Cambria"/>
          <w:sz w:val="20"/>
          <w:szCs w:val="20"/>
          <w:lang w:val="es-ES"/>
        </w:rPr>
        <w:t xml:space="preserve">conducta de las autoridades judiciales, la Comisión ya estableció en el presente informe el incumplimiento del deber de debida diligencia en los procesos iniciados. En ese sentido, la Comisión se remite a la recapitulación de las omisiones e inactividades descritas </w:t>
      </w:r>
      <w:r w:rsidRPr="008A084A">
        <w:rPr>
          <w:rFonts w:ascii="Cambria" w:hAnsi="Cambria"/>
          <w:i/>
          <w:sz w:val="20"/>
          <w:szCs w:val="20"/>
          <w:lang w:val="es-ES"/>
        </w:rPr>
        <w:t>supra.</w:t>
      </w:r>
      <w:r w:rsidRPr="008A084A">
        <w:rPr>
          <w:rFonts w:ascii="Cambria" w:hAnsi="Cambria"/>
          <w:sz w:val="20"/>
          <w:szCs w:val="20"/>
          <w:lang w:val="es-ES"/>
        </w:rPr>
        <w:t xml:space="preserve"> </w:t>
      </w:r>
    </w:p>
    <w:p w:rsidR="003B35E5" w:rsidRPr="008A084A" w:rsidRDefault="003B35E5" w:rsidP="00686757">
      <w:pPr>
        <w:jc w:val="both"/>
        <w:rPr>
          <w:rFonts w:ascii="Cambria" w:hAnsi="Cambria" w:cs="Garamond"/>
          <w:spacing w:val="-2"/>
          <w:sz w:val="20"/>
          <w:szCs w:val="20"/>
          <w:lang w:val="es-PE"/>
        </w:rPr>
      </w:pPr>
      <w:r w:rsidRPr="008A084A">
        <w:rPr>
          <w:rFonts w:ascii="Cambria" w:hAnsi="Cambria"/>
          <w:sz w:val="20"/>
          <w:szCs w:val="20"/>
          <w:lang w:val="es-ES"/>
        </w:rPr>
        <w:t xml:space="preserve"> </w:t>
      </w:r>
    </w:p>
    <w:p w:rsidR="00E46BA6" w:rsidRPr="008A084A" w:rsidRDefault="003B35E5" w:rsidP="005507C6">
      <w:pPr>
        <w:numPr>
          <w:ilvl w:val="0"/>
          <w:numId w:val="55"/>
        </w:numPr>
        <w:jc w:val="both"/>
        <w:rPr>
          <w:rFonts w:ascii="Cambria" w:hAnsi="Cambria"/>
          <w:sz w:val="20"/>
          <w:szCs w:val="20"/>
          <w:lang w:val="es-ES_tradnl"/>
        </w:rPr>
      </w:pPr>
      <w:r w:rsidRPr="008A084A">
        <w:rPr>
          <w:rFonts w:ascii="Cambria" w:hAnsi="Cambria"/>
          <w:sz w:val="20"/>
          <w:szCs w:val="20"/>
          <w:lang w:val="es-ES_tradnl"/>
        </w:rPr>
        <w:t xml:space="preserve">En cuanto al cuarto elemento, la Corte ha señalado que para determinar la razonabilidad del plazo se debe considerar la afectación </w:t>
      </w:r>
      <w:r w:rsidRPr="008A084A">
        <w:rPr>
          <w:rFonts w:ascii="Cambria" w:hAnsi="Cambria"/>
          <w:sz w:val="20"/>
          <w:szCs w:val="20"/>
          <w:lang w:val="es-ES"/>
        </w:rPr>
        <w:t>generada</w:t>
      </w:r>
      <w:r w:rsidRPr="008A084A">
        <w:rPr>
          <w:rFonts w:ascii="Cambria" w:hAnsi="Cambria"/>
          <w:sz w:val="20"/>
          <w:szCs w:val="20"/>
          <w:lang w:val="es-ES_tradnl"/>
        </w:rPr>
        <w:t xml:space="preserve"> por la duración del procedimiento en la situación jurídica de la persona </w:t>
      </w:r>
      <w:r w:rsidRPr="008A084A">
        <w:rPr>
          <w:rFonts w:ascii="Cambria" w:hAnsi="Cambria"/>
          <w:sz w:val="20"/>
          <w:szCs w:val="20"/>
          <w:lang w:val="es-ES"/>
        </w:rPr>
        <w:t>involucrada</w:t>
      </w:r>
      <w:r w:rsidRPr="008A084A">
        <w:rPr>
          <w:rFonts w:ascii="Cambria" w:hAnsi="Cambria"/>
          <w:sz w:val="20"/>
          <w:szCs w:val="20"/>
          <w:lang w:val="es-ES_tradnl"/>
        </w:rPr>
        <w:t xml:space="preserve"> en el mismo así como los intereses en juego</w:t>
      </w:r>
      <w:r w:rsidRPr="008A084A">
        <w:rPr>
          <w:rStyle w:val="FootnoteReference"/>
          <w:rFonts w:ascii="Cambria" w:hAnsi="Cambria"/>
          <w:sz w:val="20"/>
          <w:szCs w:val="20"/>
        </w:rPr>
        <w:footnoteReference w:id="364"/>
      </w:r>
      <w:r w:rsidRPr="008A084A">
        <w:rPr>
          <w:rFonts w:ascii="Cambria" w:hAnsi="Cambria"/>
          <w:sz w:val="20"/>
          <w:szCs w:val="20"/>
          <w:lang w:val="es-ES_tradnl"/>
        </w:rPr>
        <w:t xml:space="preserve">. La Comisión considera que en casos de alegada desaparición el paso del tiempo incide de manera particularmente relevante en la situación de la víctima, pues de una pronta y eficiente respuesta estatal puede depender la materialización del riesgo a su vida e integridad personal. </w:t>
      </w:r>
      <w:r w:rsidR="00E46BA6" w:rsidRPr="008A084A">
        <w:rPr>
          <w:rFonts w:ascii="Cambria" w:hAnsi="Cambria"/>
          <w:sz w:val="20"/>
          <w:szCs w:val="20"/>
          <w:lang w:val="es-ES_tradnl"/>
        </w:rPr>
        <w:t xml:space="preserve">Igualmente, la Corte ha sostenido </w:t>
      </w:r>
      <w:r w:rsidR="00E46BA6" w:rsidRPr="008A084A">
        <w:rPr>
          <w:rFonts w:ascii="Cambria" w:hAnsi="Cambria"/>
          <w:sz w:val="20"/>
          <w:szCs w:val="20"/>
          <w:lang w:val="es-ES"/>
        </w:rPr>
        <w:t xml:space="preserve">que en casos de personas con discapacidad, es imperante tomar las medidas pertinentes, como por ejemplo la priorización en la atención y resolución del </w:t>
      </w:r>
      <w:r w:rsidR="00E46BA6" w:rsidRPr="008A084A">
        <w:rPr>
          <w:rFonts w:ascii="Cambria" w:hAnsi="Cambria"/>
          <w:sz w:val="20"/>
          <w:szCs w:val="20"/>
          <w:lang w:val="es-ES"/>
        </w:rPr>
        <w:lastRenderedPageBreak/>
        <w:t>procedimiento por parte de las autoridades a su cargo, con el fin de evitar retrasos en la tramitación de los procesos, de manera que se garantice la pronta resolución y ejecución de los mismos</w:t>
      </w:r>
      <w:r w:rsidR="00E46BA6" w:rsidRPr="008A084A">
        <w:rPr>
          <w:rStyle w:val="FootnoteReference"/>
          <w:rFonts w:ascii="Cambria" w:hAnsi="Cambria"/>
          <w:sz w:val="20"/>
          <w:szCs w:val="20"/>
          <w:lang w:val="es-ES"/>
        </w:rPr>
        <w:footnoteReference w:id="365"/>
      </w:r>
      <w:r w:rsidR="00E46BA6" w:rsidRPr="008A084A">
        <w:rPr>
          <w:rFonts w:ascii="Cambria" w:hAnsi="Cambria"/>
          <w:sz w:val="20"/>
          <w:szCs w:val="20"/>
          <w:lang w:val="es-ES"/>
        </w:rPr>
        <w:t>.</w:t>
      </w:r>
    </w:p>
    <w:p w:rsidR="00E46BA6" w:rsidRPr="008A084A" w:rsidRDefault="00E46BA6" w:rsidP="003B35E5">
      <w:pPr>
        <w:pStyle w:val="BodyTextIndent"/>
        <w:ind w:left="0" w:firstLine="567"/>
        <w:rPr>
          <w:rFonts w:ascii="Cambria" w:hAnsi="Cambria" w:cs="Garamond"/>
          <w:color w:val="auto"/>
          <w:spacing w:val="-2"/>
          <w:sz w:val="20"/>
          <w:szCs w:val="20"/>
          <w:lang w:val="es-ES"/>
        </w:rPr>
      </w:pPr>
    </w:p>
    <w:p w:rsidR="003B35E5" w:rsidRPr="008A084A" w:rsidRDefault="00E46BA6" w:rsidP="005507C6">
      <w:pPr>
        <w:numPr>
          <w:ilvl w:val="0"/>
          <w:numId w:val="55"/>
        </w:numPr>
        <w:jc w:val="both"/>
        <w:rPr>
          <w:rFonts w:ascii="Cambria" w:hAnsi="Cambria"/>
          <w:sz w:val="20"/>
          <w:szCs w:val="20"/>
          <w:lang w:val="es-ES"/>
        </w:rPr>
      </w:pPr>
      <w:r w:rsidRPr="008A084A">
        <w:rPr>
          <w:rFonts w:ascii="Cambria" w:hAnsi="Cambria"/>
          <w:sz w:val="20"/>
          <w:szCs w:val="20"/>
          <w:lang w:val="es-ES_tradnl"/>
        </w:rPr>
        <w:t>Por lo señalado, l</w:t>
      </w:r>
      <w:r w:rsidR="003B35E5" w:rsidRPr="008A084A">
        <w:rPr>
          <w:rFonts w:ascii="Cambria" w:hAnsi="Cambria"/>
          <w:sz w:val="20"/>
          <w:szCs w:val="20"/>
          <w:lang w:val="es-ES_tradnl"/>
        </w:rPr>
        <w:t>a Comisión considera que los casi 1</w:t>
      </w:r>
      <w:r w:rsidRPr="008A084A">
        <w:rPr>
          <w:rFonts w:ascii="Cambria" w:hAnsi="Cambria"/>
          <w:sz w:val="20"/>
          <w:szCs w:val="20"/>
          <w:lang w:val="es-ES_tradnl"/>
        </w:rPr>
        <w:t>6</w:t>
      </w:r>
      <w:r w:rsidR="003B35E5" w:rsidRPr="008A084A">
        <w:rPr>
          <w:rFonts w:ascii="Cambria" w:hAnsi="Cambria"/>
          <w:sz w:val="20"/>
          <w:szCs w:val="20"/>
          <w:lang w:val="es-ES_tradnl"/>
        </w:rPr>
        <w:t xml:space="preserve"> años que han transcurrido desde la interposición de la denuncia hasta la fecha</w:t>
      </w:r>
      <w:r w:rsidR="00C634D2" w:rsidRPr="008A084A">
        <w:rPr>
          <w:rFonts w:ascii="Cambria" w:hAnsi="Cambria"/>
          <w:sz w:val="20"/>
          <w:szCs w:val="20"/>
          <w:lang w:val="es-ES_tradnl"/>
        </w:rPr>
        <w:t xml:space="preserve"> sin que el Estado haya logrado esclarecer los hechos, determinar las sanciones aplicables e identificar el destino o paradero de Luis Eduardo Guachalá,</w:t>
      </w:r>
      <w:r w:rsidR="003B35E5" w:rsidRPr="008A084A">
        <w:rPr>
          <w:rFonts w:ascii="Cambria" w:hAnsi="Cambria"/>
          <w:sz w:val="20"/>
          <w:szCs w:val="20"/>
          <w:lang w:val="es-ES_tradnl"/>
        </w:rPr>
        <w:t xml:space="preserve"> constituye un plazo excesivo que no ha sido justificado</w:t>
      </w:r>
      <w:r w:rsidR="00C634D2" w:rsidRPr="008A084A">
        <w:rPr>
          <w:rFonts w:ascii="Cambria" w:hAnsi="Cambria"/>
          <w:sz w:val="20"/>
          <w:szCs w:val="20"/>
          <w:lang w:val="es-ES_tradnl"/>
        </w:rPr>
        <w:t xml:space="preserve"> adecuadamente</w:t>
      </w:r>
      <w:r w:rsidR="003B35E5" w:rsidRPr="008A084A">
        <w:rPr>
          <w:rFonts w:ascii="Cambria" w:hAnsi="Cambria"/>
          <w:sz w:val="20"/>
          <w:szCs w:val="20"/>
          <w:lang w:val="es-ES_tradnl"/>
        </w:rPr>
        <w:t xml:space="preserve">. En consecuencia, la Comisión considera que el Estado incurrió en un incumplimiento de la garantía de plazo </w:t>
      </w:r>
      <w:r w:rsidR="003B35E5" w:rsidRPr="008A084A">
        <w:rPr>
          <w:rFonts w:ascii="Cambria" w:hAnsi="Cambria"/>
          <w:sz w:val="20"/>
          <w:szCs w:val="20"/>
          <w:lang w:val="es-ES"/>
        </w:rPr>
        <w:t>razonable</w:t>
      </w:r>
      <w:r w:rsidR="00C27924" w:rsidRPr="008A084A">
        <w:rPr>
          <w:rFonts w:ascii="Cambria" w:hAnsi="Cambria"/>
          <w:sz w:val="20"/>
          <w:szCs w:val="20"/>
          <w:lang w:val="es-ES_tradnl"/>
        </w:rPr>
        <w:t xml:space="preserve"> en violación del </w:t>
      </w:r>
      <w:r w:rsidRPr="008A084A">
        <w:rPr>
          <w:rFonts w:ascii="Cambria" w:hAnsi="Cambria"/>
          <w:sz w:val="20"/>
          <w:szCs w:val="20"/>
          <w:lang w:val="es-ES_tradnl"/>
        </w:rPr>
        <w:t xml:space="preserve">artículo 8.1 de la Convención Americana, en relación con el artículo 1.1 del mismo, en perjuicio de Luis </w:t>
      </w:r>
      <w:r w:rsidR="00AC0BE7" w:rsidRPr="008A084A">
        <w:rPr>
          <w:rFonts w:ascii="Cambria" w:hAnsi="Cambria"/>
          <w:sz w:val="20"/>
          <w:szCs w:val="20"/>
          <w:lang w:val="es-ES_tradnl"/>
        </w:rPr>
        <w:t xml:space="preserve">Eduardo </w:t>
      </w:r>
      <w:r w:rsidRPr="008A084A">
        <w:rPr>
          <w:rFonts w:ascii="Cambria" w:hAnsi="Cambria"/>
          <w:sz w:val="20"/>
          <w:szCs w:val="20"/>
          <w:lang w:val="es-ES_tradnl"/>
        </w:rPr>
        <w:t>Guachalá Chimbó</w:t>
      </w:r>
      <w:r w:rsidR="008C082F" w:rsidRPr="008A084A">
        <w:rPr>
          <w:rFonts w:ascii="Cambria" w:hAnsi="Cambria"/>
          <w:sz w:val="20"/>
          <w:szCs w:val="20"/>
          <w:lang w:val="es-ES_tradnl"/>
        </w:rPr>
        <w:t xml:space="preserve"> y sus familiares.</w:t>
      </w:r>
    </w:p>
    <w:p w:rsidR="007E77A3" w:rsidRPr="008A084A" w:rsidRDefault="007E77A3"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123129" w:rsidRPr="008A084A" w:rsidRDefault="008C082F" w:rsidP="00B329C1">
      <w:pPr>
        <w:pStyle w:val="Heading2"/>
        <w:numPr>
          <w:ilvl w:val="0"/>
          <w:numId w:val="58"/>
        </w:numPr>
        <w:spacing w:before="0" w:after="0"/>
        <w:ind w:left="1440" w:hanging="720"/>
        <w:jc w:val="both"/>
        <w:rPr>
          <w:rFonts w:ascii="Cambria" w:hAnsi="Cambria"/>
          <w:i w:val="0"/>
          <w:sz w:val="20"/>
          <w:szCs w:val="20"/>
          <w:lang w:val="es-ES"/>
        </w:rPr>
      </w:pPr>
      <w:bookmarkStart w:id="36" w:name="_Toc525547516"/>
      <w:r w:rsidRPr="008A084A">
        <w:rPr>
          <w:rFonts w:ascii="Cambria" w:hAnsi="Cambria"/>
          <w:i w:val="0"/>
          <w:sz w:val="20"/>
          <w:szCs w:val="20"/>
          <w:lang w:val="es-ES"/>
        </w:rPr>
        <w:t>Derecho a la integridad personal de los familiares (artículo 5.1 de la Convención Americana</w:t>
      </w:r>
      <w:r w:rsidR="00123129" w:rsidRPr="008A084A">
        <w:rPr>
          <w:rFonts w:ascii="Cambria" w:hAnsi="Cambria"/>
          <w:i w:val="0"/>
          <w:sz w:val="20"/>
          <w:szCs w:val="20"/>
          <w:lang w:val="es-ES"/>
        </w:rPr>
        <w:t xml:space="preserve"> en relación con el artículo 1.1 del mismo instrumento)</w:t>
      </w:r>
      <w:bookmarkEnd w:id="36"/>
    </w:p>
    <w:p w:rsidR="00123129" w:rsidRPr="008A084A" w:rsidRDefault="00123129" w:rsidP="001231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23129" w:rsidRPr="008A084A" w:rsidRDefault="00123129" w:rsidP="00100CDF">
      <w:pPr>
        <w:numPr>
          <w:ilvl w:val="0"/>
          <w:numId w:val="55"/>
        </w:numPr>
        <w:jc w:val="both"/>
        <w:rPr>
          <w:rFonts w:ascii="Cambria" w:hAnsi="Cambria"/>
          <w:sz w:val="20"/>
          <w:szCs w:val="20"/>
          <w:lang w:val="es-ES"/>
        </w:rPr>
      </w:pPr>
      <w:r w:rsidRPr="008A084A">
        <w:rPr>
          <w:rFonts w:ascii="Cambria" w:hAnsi="Cambria" w:cs="Arial"/>
          <w:sz w:val="20"/>
          <w:szCs w:val="20"/>
          <w:bdr w:val="none" w:sz="0" w:space="0" w:color="auto"/>
          <w:lang w:val="es-ES"/>
        </w:rPr>
        <w:t>El</w:t>
      </w:r>
      <w:r w:rsidRPr="008A084A">
        <w:rPr>
          <w:rFonts w:ascii="Cambria" w:hAnsi="Cambria"/>
          <w:sz w:val="20"/>
          <w:szCs w:val="20"/>
          <w:lang w:val="es-ES"/>
        </w:rPr>
        <w:t xml:space="preserve">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8A084A">
        <w:rPr>
          <w:rStyle w:val="FootnoteReference"/>
          <w:rFonts w:ascii="Cambria" w:hAnsi="Cambria"/>
          <w:sz w:val="20"/>
          <w:szCs w:val="20"/>
        </w:rPr>
        <w:footnoteReference w:id="366"/>
      </w:r>
      <w:r w:rsidRPr="008A084A">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8A084A">
        <w:rPr>
          <w:rStyle w:val="FootnoteReference"/>
          <w:rFonts w:ascii="Cambria" w:hAnsi="Cambria"/>
          <w:sz w:val="20"/>
          <w:szCs w:val="20"/>
        </w:rPr>
        <w:footnoteReference w:id="367"/>
      </w:r>
      <w:r w:rsidRPr="008A084A">
        <w:rPr>
          <w:rFonts w:ascii="Cambria" w:hAnsi="Cambria"/>
          <w:sz w:val="20"/>
          <w:szCs w:val="20"/>
          <w:lang w:val="es-ES"/>
        </w:rPr>
        <w:t>.</w:t>
      </w:r>
    </w:p>
    <w:p w:rsidR="00123129" w:rsidRPr="008A084A" w:rsidRDefault="00123129" w:rsidP="0012312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olor w:val="auto"/>
          <w:sz w:val="20"/>
          <w:szCs w:val="20"/>
        </w:rPr>
      </w:pPr>
    </w:p>
    <w:p w:rsidR="00123129" w:rsidRPr="008A084A" w:rsidRDefault="00100CDF" w:rsidP="00122CDA">
      <w:pPr>
        <w:numPr>
          <w:ilvl w:val="0"/>
          <w:numId w:val="55"/>
        </w:numPr>
        <w:jc w:val="both"/>
        <w:rPr>
          <w:lang w:val="es-ES"/>
        </w:rPr>
      </w:pPr>
      <w:r w:rsidRPr="008A084A">
        <w:rPr>
          <w:rFonts w:ascii="Cambria" w:hAnsi="Cambria"/>
          <w:sz w:val="20"/>
          <w:szCs w:val="20"/>
          <w:lang w:val="es-CO"/>
        </w:rPr>
        <w:t xml:space="preserve">La Comisión considera suficientemente acreditado que en el presente caso la madre del señor Guachalá y su núcleo familiar sufrieron profundamente por la desaparición de su ser querido, lo que se ha venido agravando y profundizando como consecuencia de la falta de esclarecimiento y justicia sobre las circunstancias de la misma. En este sentido, </w:t>
      </w:r>
      <w:r w:rsidR="00123129" w:rsidRPr="008A084A">
        <w:rPr>
          <w:rFonts w:ascii="Cambria" w:hAnsi="Cambria"/>
          <w:sz w:val="20"/>
          <w:szCs w:val="20"/>
          <w:lang w:val="es-CO"/>
        </w:rPr>
        <w:t xml:space="preserve">la Comisión concluye que el </w:t>
      </w:r>
      <w:r w:rsidR="00123129" w:rsidRPr="008A084A">
        <w:rPr>
          <w:rFonts w:ascii="Cambria" w:hAnsi="Cambria"/>
          <w:sz w:val="20"/>
          <w:szCs w:val="20"/>
          <w:lang w:val="es-ES"/>
        </w:rPr>
        <w:t>Estado</w:t>
      </w:r>
      <w:r w:rsidR="00123129" w:rsidRPr="008A084A">
        <w:rPr>
          <w:rFonts w:ascii="Cambria" w:hAnsi="Cambria"/>
          <w:sz w:val="20"/>
          <w:szCs w:val="20"/>
          <w:lang w:val="es-CO"/>
        </w:rPr>
        <w:t xml:space="preserve"> violó el derecho a la integridad psíquica y moral consagrado en el artículo 5.1 de la Convención Americana </w:t>
      </w:r>
      <w:r w:rsidR="00123129" w:rsidRPr="008A084A">
        <w:rPr>
          <w:rFonts w:ascii="Cambria" w:hAnsi="Cambria"/>
          <w:sz w:val="20"/>
          <w:szCs w:val="20"/>
          <w:lang w:val="es-ES"/>
        </w:rPr>
        <w:t>en relación con el artículo 1.1 de la misma en perjuicio de los familiares de</w:t>
      </w:r>
      <w:r w:rsidRPr="008A084A">
        <w:rPr>
          <w:rFonts w:ascii="Cambria" w:hAnsi="Cambria"/>
          <w:sz w:val="20"/>
          <w:szCs w:val="20"/>
          <w:lang w:val="es-ES"/>
        </w:rPr>
        <w:t xml:space="preserve">l señor Guachalá Chimbó, identificados en el presente informe de fondo. </w:t>
      </w:r>
    </w:p>
    <w:p w:rsidR="00123129" w:rsidRPr="008A084A" w:rsidRDefault="00123129" w:rsidP="00123129">
      <w:pPr>
        <w:rPr>
          <w:lang w:val="es-ES"/>
        </w:rPr>
      </w:pPr>
    </w:p>
    <w:p w:rsidR="00E35039" w:rsidRPr="008A084A" w:rsidRDefault="00E35039" w:rsidP="00FF1817">
      <w:pPr>
        <w:pStyle w:val="Heading1"/>
        <w:tabs>
          <w:tab w:val="left" w:pos="720"/>
          <w:tab w:val="left" w:pos="1440"/>
        </w:tabs>
        <w:spacing w:before="0"/>
        <w:ind w:left="0" w:firstLine="720"/>
        <w:jc w:val="both"/>
        <w:rPr>
          <w:color w:val="auto"/>
          <w:sz w:val="20"/>
          <w:szCs w:val="20"/>
          <w:lang w:val="es-ES"/>
        </w:rPr>
      </w:pPr>
      <w:bookmarkStart w:id="37" w:name="_Toc525547517"/>
      <w:r w:rsidRPr="008A084A">
        <w:rPr>
          <w:color w:val="auto"/>
          <w:sz w:val="20"/>
          <w:szCs w:val="20"/>
          <w:lang w:val="es-ES"/>
        </w:rPr>
        <w:t>CONCLUSIONES</w:t>
      </w:r>
      <w:bookmarkEnd w:id="37"/>
    </w:p>
    <w:p w:rsidR="0006236A" w:rsidRPr="008A084A" w:rsidRDefault="0006236A"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1F611B" w:rsidRPr="008A084A" w:rsidRDefault="001F611B" w:rsidP="005507C6">
      <w:pPr>
        <w:numPr>
          <w:ilvl w:val="0"/>
          <w:numId w:val="55"/>
        </w:numPr>
        <w:jc w:val="both"/>
        <w:rPr>
          <w:rFonts w:ascii="Cambria" w:hAnsi="Cambria"/>
          <w:sz w:val="20"/>
          <w:szCs w:val="20"/>
          <w:lang w:val="es-CO"/>
        </w:rPr>
      </w:pPr>
      <w:r w:rsidRPr="008A084A">
        <w:rPr>
          <w:rFonts w:ascii="Cambria" w:hAnsi="Cambria"/>
          <w:sz w:val="20"/>
          <w:szCs w:val="20"/>
          <w:lang w:val="es-CO"/>
        </w:rPr>
        <w:t xml:space="preserve">Con base en las consideraciones de hecho y de derecho expuestas, la Comisión Interamericana concluye que el Estado es responsable por la violación de los derechos al reconocimiento a la personalidad jurídica, vida, </w:t>
      </w:r>
      <w:r w:rsidRPr="008A084A">
        <w:rPr>
          <w:rFonts w:ascii="Cambria" w:hAnsi="Cambria"/>
          <w:sz w:val="20"/>
          <w:szCs w:val="20"/>
          <w:lang w:val="es-ES"/>
        </w:rPr>
        <w:t>integridad</w:t>
      </w:r>
      <w:r w:rsidRPr="008A084A">
        <w:rPr>
          <w:rFonts w:ascii="Cambria" w:hAnsi="Cambria"/>
          <w:sz w:val="20"/>
          <w:szCs w:val="20"/>
          <w:lang w:val="es-CO"/>
        </w:rPr>
        <w:t xml:space="preserve"> personal, libertad personal, </w:t>
      </w:r>
      <w:r w:rsidR="009F6E28" w:rsidRPr="008A084A">
        <w:rPr>
          <w:rFonts w:ascii="Cambria" w:hAnsi="Cambria"/>
          <w:sz w:val="20"/>
          <w:szCs w:val="20"/>
          <w:lang w:val="es-CO"/>
        </w:rPr>
        <w:t xml:space="preserve">igualdad y no discriminación, salud; y </w:t>
      </w:r>
      <w:r w:rsidRPr="008A084A">
        <w:rPr>
          <w:rFonts w:ascii="Cambria" w:hAnsi="Cambria"/>
          <w:sz w:val="20"/>
          <w:szCs w:val="20"/>
          <w:lang w:val="es-CO"/>
        </w:rPr>
        <w:t>garantías judiciales y protección judicial establecidos en los artículos 3, 4.1, 5.1, 7</w:t>
      </w:r>
      <w:r w:rsidR="002072B6" w:rsidRPr="008A084A">
        <w:rPr>
          <w:rFonts w:ascii="Cambria" w:hAnsi="Cambria"/>
          <w:sz w:val="20"/>
          <w:szCs w:val="20"/>
          <w:lang w:val="es-CO"/>
        </w:rPr>
        <w:t>.1</w:t>
      </w:r>
      <w:r w:rsidRPr="008A084A">
        <w:rPr>
          <w:rFonts w:ascii="Cambria" w:hAnsi="Cambria"/>
          <w:sz w:val="20"/>
          <w:szCs w:val="20"/>
          <w:lang w:val="es-CO"/>
        </w:rPr>
        <w:t>,</w:t>
      </w:r>
      <w:r w:rsidR="002072B6" w:rsidRPr="008A084A">
        <w:rPr>
          <w:rFonts w:ascii="Cambria" w:hAnsi="Cambria"/>
          <w:sz w:val="20"/>
          <w:szCs w:val="20"/>
          <w:lang w:val="es-CO"/>
        </w:rPr>
        <w:t xml:space="preserve"> 7.3,</w:t>
      </w:r>
      <w:r w:rsidRPr="008A084A">
        <w:rPr>
          <w:rFonts w:ascii="Cambria" w:hAnsi="Cambria"/>
          <w:sz w:val="20"/>
          <w:szCs w:val="20"/>
          <w:lang w:val="es-CO"/>
        </w:rPr>
        <w:t xml:space="preserve"> 8.1</w:t>
      </w:r>
      <w:r w:rsidR="002072B6" w:rsidRPr="008A084A">
        <w:rPr>
          <w:rFonts w:ascii="Cambria" w:hAnsi="Cambria"/>
          <w:sz w:val="20"/>
          <w:szCs w:val="20"/>
          <w:lang w:val="es-CO"/>
        </w:rPr>
        <w:t xml:space="preserve">, 13.1, </w:t>
      </w:r>
      <w:r w:rsidR="009F6E28" w:rsidRPr="008A084A">
        <w:rPr>
          <w:rFonts w:ascii="Cambria" w:hAnsi="Cambria"/>
          <w:sz w:val="20"/>
          <w:szCs w:val="20"/>
          <w:lang w:val="es-CO"/>
        </w:rPr>
        <w:t xml:space="preserve">24, </w:t>
      </w:r>
      <w:r w:rsidRPr="008A084A">
        <w:rPr>
          <w:rFonts w:ascii="Cambria" w:hAnsi="Cambria"/>
          <w:sz w:val="20"/>
          <w:szCs w:val="20"/>
          <w:lang w:val="es-CO"/>
        </w:rPr>
        <w:t>25.1</w:t>
      </w:r>
      <w:r w:rsidR="002072B6" w:rsidRPr="008A084A">
        <w:rPr>
          <w:rFonts w:ascii="Cambria" w:hAnsi="Cambria"/>
          <w:sz w:val="20"/>
          <w:szCs w:val="20"/>
          <w:lang w:val="es-CO"/>
        </w:rPr>
        <w:t xml:space="preserve"> y 26</w:t>
      </w:r>
      <w:r w:rsidRPr="008A084A">
        <w:rPr>
          <w:rFonts w:ascii="Cambria" w:hAnsi="Cambria"/>
          <w:sz w:val="20"/>
          <w:szCs w:val="20"/>
          <w:lang w:val="es-CO"/>
        </w:rPr>
        <w:t xml:space="preserve"> de la Convención Americana, en relación con las obligaciones establecidas en los artículos 1.1 y 2 del mismo instrumento, en perjuicio de Luis Eduardo Guachalá Chimbó</w:t>
      </w:r>
      <w:r w:rsidR="002072B6" w:rsidRPr="008A084A">
        <w:rPr>
          <w:rFonts w:ascii="Cambria" w:hAnsi="Cambria"/>
          <w:sz w:val="20"/>
          <w:szCs w:val="20"/>
          <w:lang w:val="es-CO"/>
        </w:rPr>
        <w:t xml:space="preserve"> y sus familiares en los términos explicados a lo largo del presente informe de fondo</w:t>
      </w:r>
      <w:r w:rsidR="00DA7176" w:rsidRPr="008A084A">
        <w:rPr>
          <w:rFonts w:ascii="Cambria" w:hAnsi="Cambria"/>
          <w:sz w:val="20"/>
          <w:szCs w:val="20"/>
          <w:lang w:val="es-CO"/>
        </w:rPr>
        <w:t xml:space="preserve">. </w:t>
      </w:r>
    </w:p>
    <w:p w:rsidR="001F611B" w:rsidRPr="008A084A" w:rsidRDefault="001F611B"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E35039" w:rsidRPr="008A084A" w:rsidRDefault="00E35039" w:rsidP="00FF1817">
      <w:pPr>
        <w:pStyle w:val="Heading1"/>
        <w:tabs>
          <w:tab w:val="left" w:pos="720"/>
          <w:tab w:val="left" w:pos="1440"/>
        </w:tabs>
        <w:spacing w:before="0"/>
        <w:ind w:left="0" w:firstLine="720"/>
        <w:jc w:val="both"/>
        <w:rPr>
          <w:color w:val="auto"/>
          <w:sz w:val="20"/>
          <w:szCs w:val="20"/>
        </w:rPr>
      </w:pPr>
      <w:bookmarkStart w:id="38" w:name="_Toc525547518"/>
      <w:r w:rsidRPr="008A084A">
        <w:rPr>
          <w:color w:val="auto"/>
          <w:sz w:val="20"/>
          <w:szCs w:val="20"/>
        </w:rPr>
        <w:t>RECOMENDACIONES</w:t>
      </w:r>
      <w:bookmarkEnd w:id="38"/>
    </w:p>
    <w:p w:rsidR="00E35039" w:rsidRPr="008A084A" w:rsidRDefault="00E35039" w:rsidP="00FF1817">
      <w:pPr>
        <w:rPr>
          <w:rFonts w:ascii="Cambria" w:hAnsi="Cambria"/>
          <w:sz w:val="20"/>
          <w:szCs w:val="20"/>
          <w:lang w:val="es-ES_tradnl"/>
        </w:rPr>
      </w:pPr>
    </w:p>
    <w:p w:rsidR="00E35039" w:rsidRPr="008A084A" w:rsidRDefault="00E35039" w:rsidP="002072B6">
      <w:pPr>
        <w:numPr>
          <w:ilvl w:val="0"/>
          <w:numId w:val="55"/>
        </w:numPr>
        <w:jc w:val="both"/>
        <w:rPr>
          <w:rFonts w:ascii="Cambria" w:hAnsi="Cambria"/>
          <w:sz w:val="20"/>
          <w:szCs w:val="20"/>
          <w:lang w:val="es-ES"/>
        </w:rPr>
      </w:pPr>
      <w:r w:rsidRPr="008A084A">
        <w:rPr>
          <w:rFonts w:ascii="Cambria" w:hAnsi="Cambria"/>
          <w:sz w:val="20"/>
          <w:szCs w:val="20"/>
          <w:lang w:val="es-ES"/>
        </w:rPr>
        <w:t>En virtud de las anteriores conclusiones,</w:t>
      </w:r>
    </w:p>
    <w:p w:rsidR="00E35039" w:rsidRPr="008A084A" w:rsidRDefault="00E35039" w:rsidP="00FF1817">
      <w:pPr>
        <w:jc w:val="center"/>
        <w:rPr>
          <w:rFonts w:ascii="Cambria" w:hAnsi="Cambria"/>
          <w:sz w:val="20"/>
          <w:szCs w:val="20"/>
          <w:lang w:val="es-ES"/>
        </w:rPr>
      </w:pPr>
    </w:p>
    <w:p w:rsidR="00E35039" w:rsidRPr="008A084A" w:rsidRDefault="00E35039" w:rsidP="00FF1817">
      <w:pPr>
        <w:jc w:val="center"/>
        <w:rPr>
          <w:rFonts w:ascii="Cambria" w:hAnsi="Cambria"/>
          <w:b/>
          <w:sz w:val="20"/>
          <w:szCs w:val="20"/>
          <w:lang w:val="es-ES"/>
        </w:rPr>
      </w:pPr>
      <w:r w:rsidRPr="008A084A">
        <w:rPr>
          <w:rFonts w:ascii="Cambria" w:hAnsi="Cambria"/>
          <w:b/>
          <w:sz w:val="20"/>
          <w:szCs w:val="20"/>
          <w:lang w:val="es-ES"/>
        </w:rPr>
        <w:t xml:space="preserve">LA COMISIÓN INTERAMERICANA DE DERECHOS HUMANOS </w:t>
      </w:r>
    </w:p>
    <w:p w:rsidR="00E35039" w:rsidRPr="008A084A" w:rsidRDefault="00E35039" w:rsidP="00FF1817">
      <w:pPr>
        <w:jc w:val="center"/>
        <w:rPr>
          <w:rFonts w:ascii="Cambria" w:hAnsi="Cambria"/>
          <w:b/>
          <w:sz w:val="20"/>
          <w:szCs w:val="20"/>
          <w:lang w:val="es-ES"/>
        </w:rPr>
      </w:pPr>
      <w:r w:rsidRPr="008A084A">
        <w:rPr>
          <w:rFonts w:ascii="Cambria" w:hAnsi="Cambria"/>
          <w:b/>
          <w:sz w:val="20"/>
          <w:szCs w:val="20"/>
          <w:lang w:val="es-ES"/>
        </w:rPr>
        <w:t xml:space="preserve">RECOMIENDA AL ESTADO DE </w:t>
      </w:r>
      <w:r w:rsidR="00D71305" w:rsidRPr="008A084A">
        <w:rPr>
          <w:rFonts w:ascii="Cambria" w:hAnsi="Cambria"/>
          <w:b/>
          <w:sz w:val="20"/>
          <w:szCs w:val="20"/>
          <w:lang w:val="es-ES"/>
        </w:rPr>
        <w:t>ECUADOR</w:t>
      </w:r>
      <w:r w:rsidRPr="008A084A">
        <w:rPr>
          <w:rFonts w:ascii="Cambria" w:hAnsi="Cambria"/>
          <w:b/>
          <w:sz w:val="20"/>
          <w:szCs w:val="20"/>
          <w:lang w:val="es-ES"/>
        </w:rPr>
        <w:t>:</w:t>
      </w:r>
    </w:p>
    <w:p w:rsidR="001802A0" w:rsidRPr="008A084A" w:rsidRDefault="001802A0"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p w:rsidR="007A7A9E" w:rsidRPr="008A084A" w:rsidRDefault="007A7A9E" w:rsidP="006E143B">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color w:val="auto"/>
          <w:sz w:val="20"/>
          <w:szCs w:val="20"/>
        </w:rPr>
      </w:pPr>
      <w:r w:rsidRPr="008A084A">
        <w:rPr>
          <w:rFonts w:ascii="Cambria" w:hAnsi="Cambria"/>
          <w:color w:val="auto"/>
          <w:sz w:val="20"/>
          <w:szCs w:val="20"/>
        </w:rPr>
        <w:lastRenderedPageBreak/>
        <w:t xml:space="preserve">Reparar integralmente las violaciones de derechos humanos declaradas en el </w:t>
      </w:r>
      <w:bookmarkStart w:id="39" w:name="_GoBack"/>
      <w:r w:rsidRPr="008A084A">
        <w:rPr>
          <w:rFonts w:ascii="Cambria" w:hAnsi="Cambria"/>
          <w:color w:val="auto"/>
          <w:sz w:val="20"/>
          <w:szCs w:val="20"/>
        </w:rPr>
        <w:t xml:space="preserve">presente informe tanto en el aspecto material como </w:t>
      </w:r>
      <w:r w:rsidR="00E1362A" w:rsidRPr="008A084A">
        <w:rPr>
          <w:rFonts w:ascii="Cambria" w:hAnsi="Cambria"/>
          <w:color w:val="auto"/>
          <w:sz w:val="20"/>
          <w:szCs w:val="20"/>
        </w:rPr>
        <w:t>inmaterial. El Estado deber</w:t>
      </w:r>
      <w:r w:rsidR="00E1362A" w:rsidRPr="008A084A">
        <w:rPr>
          <w:rFonts w:ascii="Cambria" w:hAnsi="Cambria"/>
          <w:color w:val="auto"/>
          <w:sz w:val="20"/>
          <w:szCs w:val="20"/>
          <w:lang w:val="es-CO"/>
        </w:rPr>
        <w:t xml:space="preserve">á disponer </w:t>
      </w:r>
      <w:bookmarkEnd w:id="39"/>
      <w:r w:rsidR="00E1362A" w:rsidRPr="008A084A">
        <w:rPr>
          <w:rFonts w:ascii="Cambria" w:hAnsi="Cambria"/>
          <w:color w:val="auto"/>
          <w:sz w:val="20"/>
          <w:szCs w:val="20"/>
          <w:lang w:val="es-CO"/>
        </w:rPr>
        <w:t xml:space="preserve">las medidas de compensación económica y satisfacción. </w:t>
      </w:r>
    </w:p>
    <w:p w:rsidR="007A7A9E" w:rsidRPr="008A084A" w:rsidRDefault="007A7A9E" w:rsidP="009D75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color w:val="auto"/>
          <w:sz w:val="20"/>
          <w:szCs w:val="20"/>
        </w:rPr>
      </w:pPr>
    </w:p>
    <w:p w:rsidR="007A7A9E" w:rsidRPr="008A084A" w:rsidRDefault="007A7A9E" w:rsidP="006E143B">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color w:val="auto"/>
          <w:sz w:val="20"/>
          <w:szCs w:val="20"/>
        </w:rPr>
      </w:pPr>
      <w:r w:rsidRPr="008A084A">
        <w:rPr>
          <w:rFonts w:ascii="Cambria" w:hAnsi="Cambria"/>
          <w:color w:val="auto"/>
          <w:sz w:val="20"/>
          <w:szCs w:val="20"/>
        </w:rPr>
        <w:t>Emprender una búsqueda, a través de todos los medios disponibles, del destino o paradero de</w:t>
      </w:r>
      <w:r w:rsidR="00E1362A" w:rsidRPr="008A084A">
        <w:rPr>
          <w:rFonts w:ascii="Cambria" w:hAnsi="Cambria"/>
          <w:color w:val="auto"/>
          <w:sz w:val="20"/>
          <w:szCs w:val="20"/>
        </w:rPr>
        <w:t xml:space="preserve"> Luis Eduardo Guachalá Chimbó </w:t>
      </w:r>
      <w:r w:rsidRPr="008A084A">
        <w:rPr>
          <w:rFonts w:ascii="Cambria" w:hAnsi="Cambria"/>
          <w:color w:val="auto"/>
          <w:sz w:val="20"/>
          <w:szCs w:val="20"/>
        </w:rPr>
        <w:t>o de sus restos mortales.</w:t>
      </w:r>
      <w:r w:rsidR="00E1362A" w:rsidRPr="008A084A">
        <w:rPr>
          <w:rFonts w:ascii="Cambria" w:hAnsi="Cambria"/>
          <w:color w:val="auto"/>
          <w:sz w:val="20"/>
          <w:szCs w:val="20"/>
        </w:rPr>
        <w:t xml:space="preserve"> De ser el caso, disponer mecanismos adecuados de identificación y proceder a la devolución de los restos a los familiares. </w:t>
      </w:r>
    </w:p>
    <w:p w:rsidR="005F56F7" w:rsidRPr="008A084A" w:rsidRDefault="005F56F7" w:rsidP="00471FC6">
      <w:pPr>
        <w:pStyle w:val="ListParagraph"/>
        <w:rPr>
          <w:rFonts w:ascii="Cambria" w:hAnsi="Cambria"/>
          <w:sz w:val="20"/>
          <w:szCs w:val="20"/>
          <w:lang w:val="es-PE"/>
        </w:rPr>
      </w:pPr>
    </w:p>
    <w:p w:rsidR="005F56F7" w:rsidRPr="008A084A" w:rsidRDefault="005F56F7" w:rsidP="006E143B">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color w:val="auto"/>
          <w:sz w:val="20"/>
          <w:szCs w:val="20"/>
        </w:rPr>
      </w:pPr>
      <w:r w:rsidRPr="008A084A">
        <w:rPr>
          <w:rFonts w:ascii="Cambria" w:hAnsi="Cambria"/>
          <w:color w:val="auto"/>
          <w:sz w:val="20"/>
          <w:szCs w:val="20"/>
        </w:rPr>
        <w:t>En caso de que Luis Eduardo Guachalá Chimbó aparezca con vida, brindarle de manera gratuita y por el tiempo que sea necesario, y en concertación con él, el tratamiento en salud mental que requiera, de conformidad con los estándares establecidos en el presente informe.</w:t>
      </w:r>
    </w:p>
    <w:p w:rsidR="007A7A9E" w:rsidRPr="008A084A" w:rsidRDefault="007A7A9E" w:rsidP="009D75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color w:val="auto"/>
          <w:sz w:val="20"/>
          <w:szCs w:val="20"/>
        </w:rPr>
      </w:pPr>
    </w:p>
    <w:p w:rsidR="007A7A9E" w:rsidRPr="008A084A" w:rsidRDefault="007A7A9E" w:rsidP="006E143B">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color w:val="auto"/>
          <w:sz w:val="20"/>
          <w:szCs w:val="20"/>
        </w:rPr>
      </w:pPr>
      <w:r w:rsidRPr="008A084A">
        <w:rPr>
          <w:rFonts w:ascii="Cambria" w:hAnsi="Cambria"/>
          <w:color w:val="auto"/>
          <w:sz w:val="20"/>
          <w:szCs w:val="20"/>
        </w:rPr>
        <w:t xml:space="preserve">Continuar las investigaciones de manera imparcial, efectiva y dentro de un plazo razonable con el objeto de esclarecer los hechos en forma completa, identificar a los autores e imponer las sanciones que correspondan. </w:t>
      </w:r>
    </w:p>
    <w:p w:rsidR="007A7A9E" w:rsidRPr="008A084A" w:rsidRDefault="007A7A9E" w:rsidP="009D75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color w:val="auto"/>
          <w:sz w:val="20"/>
          <w:szCs w:val="20"/>
          <w:lang w:val="es-ES"/>
        </w:rPr>
      </w:pPr>
    </w:p>
    <w:p w:rsidR="00C417B6" w:rsidRPr="008A084A" w:rsidRDefault="005F56F7" w:rsidP="00471FC6">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color w:val="auto"/>
          <w:sz w:val="20"/>
          <w:szCs w:val="20"/>
        </w:rPr>
      </w:pPr>
      <w:r w:rsidRPr="008A084A">
        <w:rPr>
          <w:rFonts w:ascii="Cambria" w:hAnsi="Cambria"/>
          <w:color w:val="auto"/>
          <w:sz w:val="20"/>
          <w:szCs w:val="20"/>
          <w:lang w:val="es-ES"/>
        </w:rPr>
        <w:t xml:space="preserve">Disponer medidas de no repetición que incluyan: i) </w:t>
      </w:r>
      <w:r w:rsidRPr="008A084A">
        <w:rPr>
          <w:rFonts w:ascii="Cambria" w:hAnsi="Cambria"/>
          <w:color w:val="auto"/>
          <w:sz w:val="20"/>
          <w:szCs w:val="20"/>
        </w:rPr>
        <w:t>U</w:t>
      </w:r>
      <w:r w:rsidR="00C417B6" w:rsidRPr="008A084A">
        <w:rPr>
          <w:rFonts w:ascii="Cambria" w:hAnsi="Cambria"/>
          <w:color w:val="auto"/>
          <w:sz w:val="20"/>
          <w:szCs w:val="20"/>
        </w:rPr>
        <w:t>na revisión de la legislación</w:t>
      </w:r>
      <w:r w:rsidRPr="008A084A">
        <w:rPr>
          <w:rFonts w:ascii="Cambria" w:hAnsi="Cambria"/>
          <w:color w:val="auto"/>
          <w:sz w:val="20"/>
          <w:szCs w:val="20"/>
        </w:rPr>
        <w:t xml:space="preserve"> interna y de las prácticas arraigadas en cuando a los procesos de toma de decisión de las personas con discapacidad, a fin de asegurar que tanto el marco normativo como la práctica sea compatible con los estándares internacionales descritos en el presente informe de fondo; ii)</w:t>
      </w:r>
      <w:r w:rsidR="004B29EF" w:rsidRPr="008A084A">
        <w:rPr>
          <w:rFonts w:ascii="Cambria" w:hAnsi="Cambria"/>
          <w:color w:val="auto"/>
          <w:sz w:val="20"/>
          <w:szCs w:val="20"/>
        </w:rPr>
        <w:t>E</w:t>
      </w:r>
      <w:r w:rsidRPr="008A084A">
        <w:rPr>
          <w:rFonts w:ascii="Cambria" w:hAnsi="Cambria"/>
          <w:color w:val="auto"/>
          <w:sz w:val="20"/>
          <w:szCs w:val="20"/>
        </w:rPr>
        <w:t xml:space="preserve">laborar un plan integral </w:t>
      </w:r>
      <w:r w:rsidR="004B29EF" w:rsidRPr="008A084A">
        <w:rPr>
          <w:rFonts w:ascii="Cambria" w:hAnsi="Cambria"/>
          <w:color w:val="auto"/>
          <w:sz w:val="20"/>
          <w:szCs w:val="20"/>
        </w:rPr>
        <w:t xml:space="preserve">a efectos de revisar la política de internamiento de personas en instituciones públicas de salud mental y dirigirla hacia la desinstitucionalización conforme a los estándares internacionales en la materia, asegurando las </w:t>
      </w:r>
      <w:r w:rsidRPr="008A084A">
        <w:rPr>
          <w:rFonts w:ascii="Cambria" w:hAnsi="Cambria"/>
          <w:color w:val="auto"/>
          <w:sz w:val="20"/>
          <w:szCs w:val="20"/>
        </w:rPr>
        <w:t xml:space="preserve">condiciones de seguridad personal y </w:t>
      </w:r>
      <w:r w:rsidR="004B29EF" w:rsidRPr="008A084A">
        <w:rPr>
          <w:rFonts w:ascii="Cambria" w:hAnsi="Cambria"/>
          <w:color w:val="auto"/>
          <w:sz w:val="20"/>
          <w:szCs w:val="20"/>
        </w:rPr>
        <w:t xml:space="preserve">las </w:t>
      </w:r>
      <w:r w:rsidRPr="008A084A">
        <w:rPr>
          <w:rFonts w:ascii="Cambria" w:hAnsi="Cambria"/>
          <w:color w:val="auto"/>
          <w:sz w:val="20"/>
          <w:szCs w:val="20"/>
        </w:rPr>
        <w:t xml:space="preserve"> garantías </w:t>
      </w:r>
      <w:r w:rsidR="004B29EF" w:rsidRPr="008A084A">
        <w:rPr>
          <w:rFonts w:ascii="Cambria" w:hAnsi="Cambria"/>
          <w:color w:val="auto"/>
          <w:sz w:val="20"/>
          <w:szCs w:val="20"/>
        </w:rPr>
        <w:t xml:space="preserve">necesarias para su inclusión </w:t>
      </w:r>
      <w:r w:rsidRPr="008A084A">
        <w:rPr>
          <w:rFonts w:ascii="Cambria" w:hAnsi="Cambria"/>
          <w:color w:val="auto"/>
          <w:sz w:val="20"/>
          <w:szCs w:val="20"/>
        </w:rPr>
        <w:t>en la comunidad</w:t>
      </w:r>
      <w:r w:rsidR="004B29EF" w:rsidRPr="008A084A">
        <w:rPr>
          <w:rFonts w:ascii="Cambria" w:hAnsi="Cambria"/>
          <w:color w:val="auto"/>
          <w:sz w:val="20"/>
          <w:szCs w:val="20"/>
        </w:rPr>
        <w:t>; y iii) A</w:t>
      </w:r>
      <w:r w:rsidR="009F6E28" w:rsidRPr="008A084A">
        <w:rPr>
          <w:rFonts w:ascii="Cambria" w:hAnsi="Cambria"/>
          <w:color w:val="auto"/>
          <w:sz w:val="20"/>
          <w:szCs w:val="20"/>
        </w:rPr>
        <w:t>doptar medidas específicas para erradicar la coacción y los tratamientos psiquiátricos forzosos así como a</w:t>
      </w:r>
      <w:r w:rsidR="004B29EF" w:rsidRPr="008A084A">
        <w:rPr>
          <w:rFonts w:ascii="Cambria" w:hAnsi="Cambria"/>
          <w:color w:val="auto"/>
          <w:sz w:val="20"/>
          <w:szCs w:val="20"/>
        </w:rPr>
        <w:t>se</w:t>
      </w:r>
      <w:r w:rsidR="009976F7" w:rsidRPr="008A084A">
        <w:rPr>
          <w:rFonts w:ascii="Cambria" w:hAnsi="Cambria"/>
          <w:color w:val="auto"/>
          <w:sz w:val="20"/>
          <w:szCs w:val="20"/>
        </w:rPr>
        <w:t>gurar el consentimiento informado en materia de salud mental, tanto en lo relativo al internamiento como en lo relativo al tratamiento, conforme a los estándares descritos en el presente informe.</w:t>
      </w:r>
      <w:r w:rsidR="009F6E28" w:rsidRPr="008A084A">
        <w:rPr>
          <w:rFonts w:ascii="Cambria" w:hAnsi="Cambria"/>
          <w:color w:val="auto"/>
          <w:sz w:val="20"/>
          <w:szCs w:val="20"/>
        </w:rPr>
        <w:t xml:space="preserve"> </w:t>
      </w:r>
      <w:r w:rsidR="002C7F04" w:rsidRPr="008A084A">
        <w:rPr>
          <w:rFonts w:ascii="Cambria" w:hAnsi="Cambria"/>
          <w:color w:val="auto"/>
          <w:sz w:val="20"/>
          <w:szCs w:val="20"/>
        </w:rPr>
        <w:t>iv) Incorporar los componentes del derecho a la salud mental en las estrategias y planes de salud generales, priorizando servicios de atención psicosocial y comunitaria.</w:t>
      </w:r>
    </w:p>
    <w:p w:rsidR="00A32788" w:rsidRPr="008A084A" w:rsidRDefault="00A32788" w:rsidP="00FF181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D50763" w:rsidRPr="003E0016" w:rsidRDefault="00D50763" w:rsidP="00D50763">
      <w:pPr>
        <w:ind w:firstLine="720"/>
        <w:jc w:val="both"/>
        <w:rPr>
          <w:rFonts w:ascii="Cambria" w:hAnsi="Cambria" w:cs="Arial"/>
          <w:noProof/>
          <w:spacing w:val="-2"/>
          <w:sz w:val="20"/>
          <w:szCs w:val="20"/>
          <w:lang w:val="es-CL"/>
        </w:rPr>
      </w:pPr>
      <w:r w:rsidRPr="003E0016">
        <w:rPr>
          <w:rFonts w:ascii="Cambria" w:hAnsi="Cambria" w:cs="Arial"/>
          <w:noProof/>
          <w:spacing w:val="-2"/>
          <w:sz w:val="20"/>
          <w:szCs w:val="20"/>
          <w:lang w:val="es-CL"/>
        </w:rPr>
        <w:t>Aprobado en la ciudad de Boulder, Colorado a los 5 días del mes de octubre de 2018.</w:t>
      </w:r>
    </w:p>
    <w:p w:rsidR="00D50763" w:rsidRPr="003E0016" w:rsidRDefault="00D50763" w:rsidP="00D50763">
      <w:pPr>
        <w:suppressAutoHyphens/>
        <w:ind w:firstLine="720"/>
        <w:jc w:val="both"/>
        <w:rPr>
          <w:rFonts w:ascii="Cambria" w:hAnsi="Cambria" w:cs="Arial"/>
          <w:noProof/>
          <w:spacing w:val="-2"/>
          <w:sz w:val="20"/>
          <w:szCs w:val="20"/>
          <w:lang w:val="es-CL"/>
        </w:rPr>
      </w:pPr>
    </w:p>
    <w:p w:rsidR="00D50763" w:rsidRPr="003E0016" w:rsidRDefault="00D50763" w:rsidP="00D50763">
      <w:pPr>
        <w:suppressAutoHyphens/>
        <w:ind w:firstLine="720"/>
        <w:jc w:val="both"/>
        <w:rPr>
          <w:rFonts w:ascii="Cambria" w:hAnsi="Cambria" w:cs="Arial"/>
          <w:noProof/>
          <w:spacing w:val="-2"/>
          <w:sz w:val="20"/>
          <w:szCs w:val="20"/>
          <w:lang w:val="es-CL"/>
        </w:rPr>
      </w:pPr>
    </w:p>
    <w:p w:rsidR="00D50763" w:rsidRPr="003E0016" w:rsidRDefault="00D50763" w:rsidP="00D50763">
      <w:pPr>
        <w:suppressAutoHyphens/>
        <w:ind w:firstLine="720"/>
        <w:jc w:val="both"/>
        <w:rPr>
          <w:rFonts w:ascii="Cambria" w:hAnsi="Cambria" w:cs="Arial"/>
          <w:noProof/>
          <w:spacing w:val="-2"/>
          <w:sz w:val="20"/>
          <w:szCs w:val="20"/>
          <w:lang w:val="es-CL"/>
        </w:rPr>
      </w:pPr>
    </w:p>
    <w:p w:rsidR="00D50763" w:rsidRPr="003E0016" w:rsidRDefault="00D50763" w:rsidP="00D50763">
      <w:pPr>
        <w:suppressAutoHyphens/>
        <w:ind w:firstLine="720"/>
        <w:jc w:val="both"/>
        <w:rPr>
          <w:rFonts w:ascii="Cambria" w:hAnsi="Cambria" w:cs="Arial"/>
          <w:noProof/>
          <w:spacing w:val="-2"/>
          <w:sz w:val="20"/>
          <w:szCs w:val="20"/>
          <w:lang w:val="es-CL"/>
        </w:rPr>
      </w:pPr>
    </w:p>
    <w:p w:rsidR="00D50763" w:rsidRPr="003E0016" w:rsidRDefault="00D50763" w:rsidP="00D50763">
      <w:pPr>
        <w:suppressAutoHyphens/>
        <w:ind w:firstLine="720"/>
        <w:jc w:val="both"/>
        <w:rPr>
          <w:rFonts w:ascii="Cambria" w:hAnsi="Cambria" w:cs="Arial"/>
          <w:noProof/>
          <w:spacing w:val="-2"/>
          <w:sz w:val="20"/>
          <w:szCs w:val="20"/>
          <w:lang w:val="es-CL"/>
        </w:rPr>
      </w:pPr>
    </w:p>
    <w:tbl>
      <w:tblPr>
        <w:tblW w:w="0" w:type="auto"/>
        <w:jc w:val="center"/>
        <w:tblLook w:val="01E0" w:firstRow="1" w:lastRow="1" w:firstColumn="1" w:lastColumn="1" w:noHBand="0" w:noVBand="0"/>
      </w:tblPr>
      <w:tblGrid>
        <w:gridCol w:w="4788"/>
        <w:gridCol w:w="4788"/>
      </w:tblGrid>
      <w:tr w:rsidR="00D50763" w:rsidRPr="003E0016" w:rsidTr="00BB0B93">
        <w:trPr>
          <w:trHeight w:val="1648"/>
          <w:jc w:val="center"/>
        </w:trPr>
        <w:tc>
          <w:tcPr>
            <w:tcW w:w="9576" w:type="dxa"/>
            <w:gridSpan w:val="2"/>
            <w:shd w:val="clear" w:color="auto" w:fill="auto"/>
          </w:tcPr>
          <w:p w:rsidR="00D50763" w:rsidRPr="003E0016" w:rsidRDefault="00D50763" w:rsidP="00BB0B93">
            <w:pPr>
              <w:suppressAutoHyphens/>
              <w:jc w:val="center"/>
              <w:rPr>
                <w:rFonts w:ascii="Cambria" w:hAnsi="Cambria"/>
                <w:spacing w:val="-2"/>
                <w:sz w:val="20"/>
                <w:szCs w:val="20"/>
                <w:lang w:val="es-CL"/>
              </w:rPr>
            </w:pPr>
            <w:proofErr w:type="spellStart"/>
            <w:r w:rsidRPr="003E0016">
              <w:rPr>
                <w:rFonts w:ascii="Cambria" w:hAnsi="Cambria"/>
                <w:spacing w:val="-2"/>
                <w:sz w:val="20"/>
                <w:szCs w:val="20"/>
                <w:lang w:val="es-CL"/>
              </w:rPr>
              <w:t>Margarette</w:t>
            </w:r>
            <w:proofErr w:type="spellEnd"/>
            <w:r w:rsidRPr="003E0016">
              <w:rPr>
                <w:rFonts w:ascii="Cambria" w:hAnsi="Cambria"/>
                <w:spacing w:val="-2"/>
                <w:sz w:val="20"/>
                <w:szCs w:val="20"/>
                <w:lang w:val="es-CL"/>
              </w:rPr>
              <w:t xml:space="preserve"> </w:t>
            </w:r>
            <w:proofErr w:type="spellStart"/>
            <w:r w:rsidRPr="003E0016">
              <w:rPr>
                <w:rFonts w:ascii="Cambria" w:hAnsi="Cambria"/>
                <w:spacing w:val="-2"/>
                <w:sz w:val="20"/>
                <w:szCs w:val="20"/>
                <w:lang w:val="es-CL"/>
              </w:rPr>
              <w:t>May</w:t>
            </w:r>
            <w:proofErr w:type="spellEnd"/>
            <w:r w:rsidRPr="003E0016">
              <w:rPr>
                <w:rFonts w:ascii="Cambria" w:hAnsi="Cambria"/>
                <w:spacing w:val="-2"/>
                <w:sz w:val="20"/>
                <w:szCs w:val="20"/>
                <w:lang w:val="es-CL"/>
              </w:rPr>
              <w:t xml:space="preserve"> </w:t>
            </w:r>
            <w:proofErr w:type="spellStart"/>
            <w:r w:rsidRPr="003E0016">
              <w:rPr>
                <w:rFonts w:ascii="Cambria" w:hAnsi="Cambria"/>
                <w:spacing w:val="-2"/>
                <w:sz w:val="20"/>
                <w:szCs w:val="20"/>
                <w:lang w:val="es-CL"/>
              </w:rPr>
              <w:t>Macaulay</w:t>
            </w:r>
            <w:proofErr w:type="spellEnd"/>
          </w:p>
          <w:p w:rsidR="00D50763" w:rsidRPr="003E0016" w:rsidRDefault="00D50763" w:rsidP="00BB0B93">
            <w:pPr>
              <w:suppressAutoHyphens/>
              <w:jc w:val="center"/>
              <w:rPr>
                <w:rFonts w:ascii="Cambria" w:hAnsi="Cambria"/>
                <w:spacing w:val="-2"/>
                <w:sz w:val="20"/>
                <w:szCs w:val="20"/>
                <w:lang w:val="fr-CA"/>
              </w:rPr>
            </w:pPr>
            <w:r w:rsidRPr="003E0016">
              <w:rPr>
                <w:rFonts w:ascii="Cambria" w:hAnsi="Cambria"/>
                <w:spacing w:val="-2"/>
                <w:sz w:val="20"/>
                <w:szCs w:val="20"/>
                <w:lang w:val="es-CL"/>
              </w:rPr>
              <w:t>Presidenta</w:t>
            </w:r>
          </w:p>
        </w:tc>
      </w:tr>
      <w:tr w:rsidR="00D50763" w:rsidRPr="003E0016" w:rsidTr="00627EC0">
        <w:trPr>
          <w:trHeight w:val="1710"/>
          <w:jc w:val="center"/>
        </w:trPr>
        <w:tc>
          <w:tcPr>
            <w:tcW w:w="4788" w:type="dxa"/>
            <w:shd w:val="clear" w:color="auto" w:fill="auto"/>
          </w:tcPr>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D50763" w:rsidRPr="003E0016" w:rsidRDefault="00D50763" w:rsidP="00BB0B93">
            <w:pPr>
              <w:suppressAutoHyphens/>
              <w:jc w:val="center"/>
              <w:rPr>
                <w:rFonts w:ascii="Cambria" w:hAnsi="Cambria"/>
                <w:spacing w:val="-2"/>
                <w:sz w:val="20"/>
                <w:szCs w:val="20"/>
                <w:lang w:val="es-CL"/>
              </w:rPr>
            </w:pPr>
            <w:r w:rsidRPr="003E0016">
              <w:rPr>
                <w:rFonts w:ascii="Cambria" w:hAnsi="Cambria"/>
                <w:spacing w:val="-2"/>
                <w:sz w:val="20"/>
                <w:szCs w:val="20"/>
                <w:lang w:val="es-CL"/>
              </w:rPr>
              <w:t xml:space="preserve">Esmeralda E. Arosemena Bernal de </w:t>
            </w:r>
            <w:proofErr w:type="spellStart"/>
            <w:r w:rsidRPr="003E0016">
              <w:rPr>
                <w:rFonts w:ascii="Cambria" w:hAnsi="Cambria"/>
                <w:spacing w:val="-2"/>
                <w:sz w:val="20"/>
                <w:szCs w:val="20"/>
                <w:lang w:val="es-CL"/>
              </w:rPr>
              <w:t>Troitiño</w:t>
            </w:r>
            <w:proofErr w:type="spellEnd"/>
          </w:p>
          <w:p w:rsidR="00D50763" w:rsidRPr="003E0016" w:rsidRDefault="00D50763" w:rsidP="00BB0B93">
            <w:pPr>
              <w:suppressAutoHyphens/>
              <w:jc w:val="center"/>
              <w:rPr>
                <w:rFonts w:ascii="Cambria" w:hAnsi="Cambria"/>
                <w:spacing w:val="-2"/>
                <w:sz w:val="20"/>
                <w:szCs w:val="20"/>
                <w:lang w:val="es-ES"/>
              </w:rPr>
            </w:pPr>
            <w:r w:rsidRPr="003E0016">
              <w:rPr>
                <w:rFonts w:ascii="Cambria" w:hAnsi="Cambria"/>
                <w:spacing w:val="-2"/>
                <w:sz w:val="20"/>
                <w:szCs w:val="20"/>
                <w:lang w:val="es-CL"/>
              </w:rPr>
              <w:t>Primera Vicepresidenta</w:t>
            </w:r>
          </w:p>
        </w:tc>
        <w:tc>
          <w:tcPr>
            <w:tcW w:w="4788" w:type="dxa"/>
            <w:shd w:val="clear" w:color="auto" w:fill="auto"/>
          </w:tcPr>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627EC0" w:rsidRDefault="00627EC0" w:rsidP="00BB0B93">
            <w:pPr>
              <w:suppressAutoHyphens/>
              <w:jc w:val="center"/>
              <w:rPr>
                <w:rFonts w:ascii="Cambria" w:hAnsi="Cambria"/>
                <w:spacing w:val="-2"/>
                <w:sz w:val="20"/>
                <w:szCs w:val="20"/>
                <w:lang w:val="es-CL"/>
              </w:rPr>
            </w:pPr>
          </w:p>
          <w:p w:rsidR="00D50763" w:rsidRPr="003E0016" w:rsidRDefault="00D50763" w:rsidP="00BB0B93">
            <w:pPr>
              <w:suppressAutoHyphens/>
              <w:jc w:val="center"/>
              <w:rPr>
                <w:rFonts w:ascii="Cambria" w:hAnsi="Cambria"/>
                <w:spacing w:val="-2"/>
                <w:sz w:val="20"/>
                <w:szCs w:val="20"/>
                <w:lang w:val="es-ES"/>
              </w:rPr>
            </w:pPr>
            <w:r w:rsidRPr="003E0016">
              <w:rPr>
                <w:rFonts w:ascii="Cambria" w:hAnsi="Cambria"/>
                <w:spacing w:val="-2"/>
                <w:sz w:val="20"/>
                <w:szCs w:val="20"/>
                <w:lang w:val="es-CL"/>
              </w:rPr>
              <w:t xml:space="preserve">Francisco José </w:t>
            </w:r>
            <w:proofErr w:type="spellStart"/>
            <w:r w:rsidRPr="003E0016">
              <w:rPr>
                <w:rFonts w:ascii="Cambria" w:hAnsi="Cambria"/>
                <w:spacing w:val="-2"/>
                <w:sz w:val="20"/>
                <w:szCs w:val="20"/>
                <w:lang w:val="es-CL"/>
              </w:rPr>
              <w:t>Eguiguren</w:t>
            </w:r>
            <w:proofErr w:type="spellEnd"/>
            <w:r w:rsidRPr="003E0016">
              <w:rPr>
                <w:rFonts w:ascii="Cambria" w:hAnsi="Cambria"/>
                <w:spacing w:val="-2"/>
                <w:sz w:val="20"/>
                <w:szCs w:val="20"/>
                <w:lang w:val="es-CL"/>
              </w:rPr>
              <w:t xml:space="preserve"> </w:t>
            </w:r>
            <w:proofErr w:type="spellStart"/>
            <w:r w:rsidRPr="003E0016">
              <w:rPr>
                <w:rFonts w:ascii="Cambria" w:hAnsi="Cambria"/>
                <w:spacing w:val="-2"/>
                <w:sz w:val="20"/>
                <w:szCs w:val="20"/>
                <w:lang w:val="es-CL"/>
              </w:rPr>
              <w:t>Praeli</w:t>
            </w:r>
            <w:proofErr w:type="spellEnd"/>
            <w:r w:rsidRPr="003E0016">
              <w:rPr>
                <w:rFonts w:ascii="Cambria" w:hAnsi="Cambria"/>
                <w:spacing w:val="-2"/>
                <w:sz w:val="20"/>
                <w:szCs w:val="20"/>
                <w:lang w:val="es-ES"/>
              </w:rPr>
              <w:br/>
            </w:r>
            <w:r w:rsidRPr="003E0016">
              <w:rPr>
                <w:rFonts w:ascii="Cambria" w:hAnsi="Cambria" w:cs="Arial"/>
                <w:noProof/>
                <w:spacing w:val="-2"/>
                <w:sz w:val="20"/>
                <w:szCs w:val="20"/>
                <w:lang w:val="es-CL"/>
              </w:rPr>
              <w:t>Comisionado</w:t>
            </w:r>
          </w:p>
        </w:tc>
      </w:tr>
      <w:tr w:rsidR="00D50763" w:rsidRPr="003E0016" w:rsidTr="00A05ED3">
        <w:trPr>
          <w:trHeight w:val="1611"/>
          <w:jc w:val="center"/>
        </w:trPr>
        <w:tc>
          <w:tcPr>
            <w:tcW w:w="4788" w:type="dxa"/>
            <w:shd w:val="clear" w:color="auto" w:fill="auto"/>
          </w:tcPr>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D50763" w:rsidRPr="003E0016" w:rsidRDefault="00D50763" w:rsidP="00BB0B93">
            <w:pPr>
              <w:suppressAutoHyphens/>
              <w:jc w:val="center"/>
              <w:rPr>
                <w:rFonts w:ascii="Cambria" w:hAnsi="Cambria"/>
                <w:spacing w:val="-2"/>
                <w:sz w:val="20"/>
                <w:szCs w:val="20"/>
                <w:lang w:val="es-ES_tradnl"/>
              </w:rPr>
            </w:pPr>
            <w:r w:rsidRPr="003E0016">
              <w:rPr>
                <w:rFonts w:ascii="Cambria" w:hAnsi="Cambria"/>
                <w:spacing w:val="-2"/>
                <w:sz w:val="20"/>
                <w:szCs w:val="20"/>
                <w:lang w:val="es-CL"/>
              </w:rPr>
              <w:t>Joel Hernández García</w:t>
            </w:r>
            <w:r w:rsidRPr="003E0016">
              <w:rPr>
                <w:rFonts w:ascii="Cambria" w:hAnsi="Cambria"/>
                <w:spacing w:val="-2"/>
                <w:sz w:val="20"/>
                <w:szCs w:val="20"/>
                <w:lang w:val="es-ES_tradnl"/>
              </w:rPr>
              <w:br/>
              <w:t>Comisionado</w:t>
            </w:r>
          </w:p>
        </w:tc>
        <w:tc>
          <w:tcPr>
            <w:tcW w:w="4788" w:type="dxa"/>
            <w:shd w:val="clear" w:color="auto" w:fill="auto"/>
          </w:tcPr>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671C11" w:rsidRDefault="00671C11" w:rsidP="00BB0B93">
            <w:pPr>
              <w:suppressAutoHyphens/>
              <w:jc w:val="center"/>
              <w:rPr>
                <w:rFonts w:ascii="Cambria" w:hAnsi="Cambria"/>
                <w:spacing w:val="-2"/>
                <w:sz w:val="20"/>
                <w:szCs w:val="20"/>
                <w:lang w:val="es-CL"/>
              </w:rPr>
            </w:pPr>
          </w:p>
          <w:p w:rsidR="00D50763" w:rsidRPr="003E0016" w:rsidRDefault="00D50763" w:rsidP="00BB0B93">
            <w:pPr>
              <w:suppressAutoHyphens/>
              <w:jc w:val="center"/>
              <w:rPr>
                <w:rFonts w:ascii="Cambria" w:hAnsi="Cambria"/>
                <w:spacing w:val="-2"/>
                <w:sz w:val="20"/>
                <w:szCs w:val="20"/>
                <w:lang w:val="es-ES_tradnl"/>
              </w:rPr>
            </w:pPr>
            <w:r w:rsidRPr="003E0016">
              <w:rPr>
                <w:rFonts w:ascii="Cambria" w:hAnsi="Cambria"/>
                <w:spacing w:val="-2"/>
                <w:sz w:val="20"/>
                <w:szCs w:val="20"/>
                <w:lang w:val="es-CL"/>
              </w:rPr>
              <w:t xml:space="preserve">Antonia </w:t>
            </w:r>
            <w:proofErr w:type="spellStart"/>
            <w:r w:rsidRPr="003E0016">
              <w:rPr>
                <w:rFonts w:ascii="Cambria" w:hAnsi="Cambria"/>
                <w:spacing w:val="-2"/>
                <w:sz w:val="20"/>
                <w:szCs w:val="20"/>
                <w:lang w:val="es-CL"/>
              </w:rPr>
              <w:t>Urrejola</w:t>
            </w:r>
            <w:proofErr w:type="spellEnd"/>
            <w:r w:rsidRPr="003E0016">
              <w:rPr>
                <w:rFonts w:ascii="Cambria" w:hAnsi="Cambria"/>
                <w:spacing w:val="-2"/>
                <w:sz w:val="20"/>
                <w:szCs w:val="20"/>
                <w:lang w:val="es-ES"/>
              </w:rPr>
              <w:br/>
              <w:t>Comisionada</w:t>
            </w:r>
          </w:p>
        </w:tc>
      </w:tr>
    </w:tbl>
    <w:p w:rsidR="00671C11" w:rsidRDefault="00671C11" w:rsidP="00D50763">
      <w:pPr>
        <w:suppressAutoHyphens/>
        <w:jc w:val="center"/>
        <w:rPr>
          <w:rFonts w:ascii="Cambria" w:hAnsi="Cambria"/>
          <w:spacing w:val="-2"/>
          <w:sz w:val="20"/>
          <w:szCs w:val="20"/>
          <w:lang w:val="es-CL"/>
        </w:rPr>
      </w:pPr>
    </w:p>
    <w:p w:rsidR="00671C11" w:rsidRDefault="00671C11" w:rsidP="00D50763">
      <w:pPr>
        <w:suppressAutoHyphens/>
        <w:jc w:val="center"/>
        <w:rPr>
          <w:rFonts w:ascii="Cambria" w:hAnsi="Cambria"/>
          <w:spacing w:val="-2"/>
          <w:sz w:val="20"/>
          <w:szCs w:val="20"/>
          <w:lang w:val="es-CL"/>
        </w:rPr>
      </w:pPr>
    </w:p>
    <w:p w:rsidR="00671C11" w:rsidRDefault="00671C11" w:rsidP="00D50763">
      <w:pPr>
        <w:suppressAutoHyphens/>
        <w:jc w:val="center"/>
        <w:rPr>
          <w:rFonts w:ascii="Cambria" w:hAnsi="Cambria"/>
          <w:spacing w:val="-2"/>
          <w:sz w:val="20"/>
          <w:szCs w:val="20"/>
          <w:lang w:val="es-CL"/>
        </w:rPr>
      </w:pPr>
    </w:p>
    <w:p w:rsidR="00671C11" w:rsidRDefault="00671C11" w:rsidP="00D50763">
      <w:pPr>
        <w:suppressAutoHyphens/>
        <w:jc w:val="center"/>
        <w:rPr>
          <w:rFonts w:ascii="Cambria" w:hAnsi="Cambria"/>
          <w:spacing w:val="-2"/>
          <w:sz w:val="20"/>
          <w:szCs w:val="20"/>
          <w:lang w:val="es-CL"/>
        </w:rPr>
      </w:pPr>
    </w:p>
    <w:p w:rsidR="00671C11" w:rsidRDefault="00671C11" w:rsidP="00D50763">
      <w:pPr>
        <w:suppressAutoHyphens/>
        <w:jc w:val="center"/>
        <w:rPr>
          <w:rFonts w:ascii="Cambria" w:hAnsi="Cambria"/>
          <w:spacing w:val="-2"/>
          <w:sz w:val="20"/>
          <w:szCs w:val="20"/>
          <w:lang w:val="es-CL"/>
        </w:rPr>
      </w:pPr>
    </w:p>
    <w:p w:rsidR="00D50763" w:rsidRPr="003E0016" w:rsidRDefault="00D50763" w:rsidP="00D50763">
      <w:pPr>
        <w:suppressAutoHyphens/>
        <w:jc w:val="center"/>
        <w:rPr>
          <w:rFonts w:ascii="Cambria" w:hAnsi="Cambria"/>
          <w:spacing w:val="-2"/>
          <w:sz w:val="20"/>
          <w:szCs w:val="20"/>
          <w:lang w:val="es-ES"/>
        </w:rPr>
      </w:pPr>
      <w:proofErr w:type="spellStart"/>
      <w:r w:rsidRPr="003E0016">
        <w:rPr>
          <w:rFonts w:ascii="Cambria" w:hAnsi="Cambria"/>
          <w:spacing w:val="-2"/>
          <w:sz w:val="20"/>
          <w:szCs w:val="20"/>
          <w:lang w:val="es-CL"/>
        </w:rPr>
        <w:t>Flávia</w:t>
      </w:r>
      <w:proofErr w:type="spellEnd"/>
      <w:r w:rsidRPr="003E0016">
        <w:rPr>
          <w:rFonts w:ascii="Cambria" w:hAnsi="Cambria"/>
          <w:spacing w:val="-2"/>
          <w:sz w:val="20"/>
          <w:szCs w:val="20"/>
          <w:lang w:val="es-CL"/>
        </w:rPr>
        <w:t xml:space="preserve"> </w:t>
      </w:r>
      <w:proofErr w:type="spellStart"/>
      <w:r w:rsidRPr="003E0016">
        <w:rPr>
          <w:rFonts w:ascii="Cambria" w:hAnsi="Cambria"/>
          <w:spacing w:val="-2"/>
          <w:sz w:val="20"/>
          <w:szCs w:val="20"/>
          <w:lang w:val="es-CL"/>
        </w:rPr>
        <w:t>Piovesan</w:t>
      </w:r>
      <w:proofErr w:type="spellEnd"/>
      <w:r w:rsidRPr="003E0016">
        <w:rPr>
          <w:rFonts w:ascii="Cambria" w:hAnsi="Cambria"/>
          <w:spacing w:val="-2"/>
          <w:sz w:val="20"/>
          <w:szCs w:val="20"/>
          <w:lang w:val="es-ES"/>
        </w:rPr>
        <w:br/>
        <w:t>Comisionada</w:t>
      </w:r>
    </w:p>
    <w:p w:rsidR="00D50763" w:rsidRPr="003E0016" w:rsidRDefault="00D50763" w:rsidP="00D50763">
      <w:pPr>
        <w:suppressAutoHyphens/>
        <w:jc w:val="both"/>
        <w:rPr>
          <w:rFonts w:ascii="Cambria" w:hAnsi="Cambria"/>
          <w:spacing w:val="-2"/>
          <w:sz w:val="20"/>
          <w:szCs w:val="20"/>
          <w:lang w:val="es-ES"/>
        </w:rPr>
      </w:pPr>
    </w:p>
    <w:p w:rsidR="00D50763" w:rsidRPr="003E0016" w:rsidRDefault="00D50763" w:rsidP="00D50763">
      <w:pPr>
        <w:suppressAutoHyphens/>
        <w:jc w:val="both"/>
        <w:rPr>
          <w:rFonts w:ascii="Cambria" w:hAnsi="Cambria"/>
          <w:spacing w:val="-2"/>
          <w:sz w:val="20"/>
          <w:szCs w:val="20"/>
          <w:lang w:val="es-SV"/>
        </w:rPr>
      </w:pPr>
      <w:r w:rsidRPr="003E0016">
        <w:rPr>
          <w:rFonts w:ascii="Cambria" w:hAnsi="Cambria"/>
          <w:spacing w:val="-2"/>
          <w:sz w:val="20"/>
          <w:szCs w:val="20"/>
          <w:lang w:val="es-ES"/>
        </w:rPr>
        <w:tab/>
      </w:r>
      <w:r w:rsidRPr="003E0016">
        <w:rPr>
          <w:rFonts w:ascii="Cambria" w:hAnsi="Cambria"/>
          <w:spacing w:val="-2"/>
          <w:sz w:val="20"/>
          <w:szCs w:val="20"/>
          <w:lang w:val="es-SV"/>
        </w:rPr>
        <w:t>Regístrese y notifíquese conforme a lo acordado.</w:t>
      </w:r>
    </w:p>
    <w:p w:rsidR="00D50763" w:rsidRPr="003E0016" w:rsidRDefault="00D50763" w:rsidP="00D50763">
      <w:pPr>
        <w:suppressAutoHyphens/>
        <w:jc w:val="both"/>
        <w:rPr>
          <w:rFonts w:ascii="Cambria" w:hAnsi="Cambria"/>
          <w:spacing w:val="-2"/>
          <w:sz w:val="20"/>
          <w:szCs w:val="20"/>
          <w:lang w:val="es-SV"/>
        </w:rPr>
      </w:pPr>
    </w:p>
    <w:p w:rsidR="00D50763" w:rsidRPr="003E0016" w:rsidRDefault="00D50763" w:rsidP="00D50763">
      <w:pPr>
        <w:suppressAutoHyphens/>
        <w:jc w:val="both"/>
        <w:rPr>
          <w:rFonts w:ascii="Cambria" w:hAnsi="Cambria"/>
          <w:spacing w:val="-2"/>
          <w:sz w:val="20"/>
          <w:szCs w:val="20"/>
          <w:lang w:val="es-SV"/>
        </w:rPr>
      </w:pPr>
    </w:p>
    <w:p w:rsidR="00D50763" w:rsidRPr="003E0016" w:rsidRDefault="00D50763" w:rsidP="00D50763">
      <w:pPr>
        <w:suppressAutoHyphens/>
        <w:jc w:val="both"/>
        <w:rPr>
          <w:rFonts w:ascii="Cambria" w:hAnsi="Cambria"/>
          <w:spacing w:val="-2"/>
          <w:sz w:val="20"/>
          <w:szCs w:val="20"/>
          <w:lang w:val="es-SV"/>
        </w:rPr>
      </w:pPr>
    </w:p>
    <w:p w:rsidR="00D50763" w:rsidRDefault="00D50763" w:rsidP="00D50763">
      <w:pPr>
        <w:suppressAutoHyphens/>
        <w:jc w:val="both"/>
        <w:rPr>
          <w:rFonts w:ascii="Cambria" w:hAnsi="Cambria"/>
          <w:spacing w:val="-2"/>
          <w:sz w:val="20"/>
          <w:szCs w:val="20"/>
          <w:lang w:val="es-SV"/>
        </w:rPr>
      </w:pPr>
    </w:p>
    <w:p w:rsidR="00671C11" w:rsidRPr="003E0016" w:rsidRDefault="00671C11" w:rsidP="00D50763">
      <w:pPr>
        <w:suppressAutoHyphens/>
        <w:jc w:val="both"/>
        <w:rPr>
          <w:rFonts w:ascii="Cambria" w:hAnsi="Cambria"/>
          <w:spacing w:val="-2"/>
          <w:sz w:val="20"/>
          <w:szCs w:val="20"/>
          <w:lang w:val="es-SV"/>
        </w:rPr>
      </w:pPr>
    </w:p>
    <w:p w:rsidR="00D50763" w:rsidRPr="003E0016" w:rsidRDefault="00D50763" w:rsidP="00D50763">
      <w:pPr>
        <w:suppressAutoHyphens/>
        <w:jc w:val="both"/>
        <w:rPr>
          <w:rFonts w:ascii="Cambria" w:hAnsi="Cambria"/>
          <w:spacing w:val="-2"/>
          <w:sz w:val="20"/>
          <w:szCs w:val="20"/>
          <w:lang w:val="es-SV"/>
        </w:rPr>
      </w:pPr>
    </w:p>
    <w:p w:rsidR="00D50763" w:rsidRPr="003E0016" w:rsidRDefault="00D50763" w:rsidP="00D50763">
      <w:pPr>
        <w:suppressAutoHyphens/>
        <w:jc w:val="center"/>
        <w:rPr>
          <w:rFonts w:ascii="Cambria" w:hAnsi="Cambria"/>
          <w:spacing w:val="-2"/>
          <w:sz w:val="20"/>
          <w:szCs w:val="20"/>
          <w:lang w:val="es-SV"/>
        </w:rPr>
      </w:pPr>
      <w:r w:rsidRPr="003E0016">
        <w:rPr>
          <w:rFonts w:ascii="Cambria" w:hAnsi="Cambria"/>
          <w:spacing w:val="-2"/>
          <w:sz w:val="20"/>
          <w:szCs w:val="20"/>
          <w:lang w:val="es-SV"/>
        </w:rPr>
        <w:t xml:space="preserve">Paulo </w:t>
      </w:r>
      <w:proofErr w:type="spellStart"/>
      <w:r w:rsidRPr="003E0016">
        <w:rPr>
          <w:rFonts w:ascii="Cambria" w:hAnsi="Cambria"/>
          <w:spacing w:val="-2"/>
          <w:sz w:val="20"/>
          <w:szCs w:val="20"/>
          <w:lang w:val="es-SV"/>
        </w:rPr>
        <w:t>Abr</w:t>
      </w:r>
      <w:r w:rsidRPr="003E0016">
        <w:rPr>
          <w:rFonts w:ascii="Cambria" w:hAnsi="Cambria" w:cs="Arial"/>
          <w:spacing w:val="-2"/>
          <w:sz w:val="20"/>
          <w:szCs w:val="20"/>
          <w:lang w:val="es-SV"/>
        </w:rPr>
        <w:t>ã</w:t>
      </w:r>
      <w:r w:rsidRPr="003E0016">
        <w:rPr>
          <w:rFonts w:ascii="Cambria" w:hAnsi="Cambria"/>
          <w:spacing w:val="-2"/>
          <w:sz w:val="20"/>
          <w:szCs w:val="20"/>
          <w:lang w:val="es-SV"/>
        </w:rPr>
        <w:t>o</w:t>
      </w:r>
      <w:proofErr w:type="spellEnd"/>
    </w:p>
    <w:p w:rsidR="00D50763" w:rsidRPr="003E0016" w:rsidRDefault="00D50763" w:rsidP="00D50763">
      <w:pPr>
        <w:suppressAutoHyphens/>
        <w:jc w:val="center"/>
        <w:rPr>
          <w:rFonts w:ascii="Cambria" w:hAnsi="Cambria"/>
          <w:spacing w:val="-2"/>
          <w:sz w:val="20"/>
          <w:szCs w:val="20"/>
          <w:lang w:val="es-SV"/>
        </w:rPr>
      </w:pPr>
      <w:r w:rsidRPr="003E0016">
        <w:rPr>
          <w:rFonts w:ascii="Cambria" w:hAnsi="Cambria"/>
          <w:spacing w:val="-2"/>
          <w:sz w:val="20"/>
          <w:szCs w:val="20"/>
          <w:lang w:val="es-SV"/>
        </w:rPr>
        <w:t>Secretario Ejecutivo</w:t>
      </w:r>
    </w:p>
    <w:p w:rsidR="00D50763" w:rsidRPr="003E0016" w:rsidRDefault="00D50763" w:rsidP="00D50763">
      <w:pPr>
        <w:suppressAutoHyphens/>
        <w:ind w:firstLine="720"/>
        <w:jc w:val="both"/>
        <w:rPr>
          <w:rFonts w:ascii="Cambria" w:hAnsi="Cambria" w:cs="Arial"/>
          <w:noProof/>
          <w:spacing w:val="-2"/>
          <w:sz w:val="20"/>
          <w:szCs w:val="20"/>
          <w:lang w:val="es-CL"/>
        </w:rPr>
      </w:pPr>
    </w:p>
    <w:p w:rsidR="00A32788" w:rsidRPr="008A084A" w:rsidRDefault="00A32788" w:rsidP="00C417B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ES"/>
        </w:rPr>
      </w:pPr>
    </w:p>
    <w:sectPr w:rsidR="00A32788" w:rsidRPr="008A084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93" w:rsidRDefault="00BB0B93">
      <w:r>
        <w:separator/>
      </w:r>
    </w:p>
  </w:endnote>
  <w:endnote w:type="continuationSeparator" w:id="0">
    <w:p w:rsidR="00BB0B93" w:rsidRDefault="00B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3" w:rsidRPr="00934A2C" w:rsidRDefault="00BB0B9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86757">
      <w:rPr>
        <w:noProof/>
        <w:sz w:val="16"/>
        <w:szCs w:val="22"/>
      </w:rPr>
      <w:t>44</w:t>
    </w:r>
    <w:r w:rsidRPr="00934A2C">
      <w:rPr>
        <w:noProof/>
        <w:sz w:val="16"/>
        <w:szCs w:val="22"/>
      </w:rPr>
      <w:fldChar w:fldCharType="end"/>
    </w:r>
  </w:p>
  <w:p w:rsidR="00BB0B93" w:rsidRDefault="00BB0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3" w:rsidRPr="00934A2C" w:rsidRDefault="00BB0B93">
    <w:pPr>
      <w:pStyle w:val="Footer"/>
      <w:jc w:val="center"/>
      <w:rPr>
        <w:sz w:val="16"/>
        <w:szCs w:val="22"/>
      </w:rPr>
    </w:pPr>
  </w:p>
  <w:p w:rsidR="00BB0B93" w:rsidRDefault="00BB0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93" w:rsidRPr="007372D2" w:rsidRDefault="00BB0B93">
      <w:pPr>
        <w:rPr>
          <w:rFonts w:ascii="Cambria" w:hAnsi="Cambria"/>
          <w:sz w:val="16"/>
          <w:szCs w:val="16"/>
        </w:rPr>
      </w:pPr>
      <w:r w:rsidRPr="007372D2">
        <w:rPr>
          <w:rFonts w:ascii="Cambria" w:hAnsi="Cambria"/>
          <w:sz w:val="16"/>
          <w:szCs w:val="16"/>
        </w:rPr>
        <w:separator/>
      </w:r>
    </w:p>
  </w:footnote>
  <w:footnote w:type="continuationSeparator" w:id="0">
    <w:p w:rsidR="00BB0B93" w:rsidRPr="007372D2" w:rsidRDefault="00BB0B93" w:rsidP="000F35ED">
      <w:pPr>
        <w:rPr>
          <w:rFonts w:ascii="Cambria" w:hAnsi="Cambria"/>
          <w:sz w:val="16"/>
          <w:szCs w:val="16"/>
        </w:rPr>
      </w:pPr>
      <w:r w:rsidRPr="007372D2">
        <w:rPr>
          <w:rFonts w:ascii="Cambria" w:hAnsi="Cambria"/>
          <w:sz w:val="16"/>
          <w:szCs w:val="16"/>
        </w:rPr>
        <w:separator/>
      </w:r>
    </w:p>
    <w:p w:rsidR="00BB0B93" w:rsidRPr="007372D2" w:rsidRDefault="00BB0B93" w:rsidP="000F35ED">
      <w:pPr>
        <w:pStyle w:val="Footer"/>
        <w:rPr>
          <w:sz w:val="16"/>
          <w:szCs w:val="16"/>
        </w:rPr>
      </w:pPr>
      <w:r w:rsidRPr="007372D2">
        <w:rPr>
          <w:sz w:val="16"/>
          <w:szCs w:val="16"/>
        </w:rPr>
        <w:t xml:space="preserve">[… </w:t>
      </w:r>
      <w:proofErr w:type="spellStart"/>
      <w:proofErr w:type="gramStart"/>
      <w:r w:rsidRPr="007372D2">
        <w:rPr>
          <w:sz w:val="16"/>
          <w:szCs w:val="16"/>
        </w:rPr>
        <w:t>continuación</w:t>
      </w:r>
      <w:proofErr w:type="spellEnd"/>
      <w:proofErr w:type="gramEnd"/>
      <w:r w:rsidRPr="007372D2">
        <w:rPr>
          <w:sz w:val="16"/>
          <w:szCs w:val="16"/>
        </w:rPr>
        <w:t>]</w:t>
      </w:r>
    </w:p>
  </w:footnote>
  <w:footnote w:type="continuationNotice" w:id="1">
    <w:p w:rsidR="00BB0B93" w:rsidRPr="007372D2" w:rsidRDefault="00BB0B93" w:rsidP="000F35ED">
      <w:pPr>
        <w:jc w:val="right"/>
        <w:rPr>
          <w:rFonts w:ascii="Cambria" w:hAnsi="Cambria"/>
          <w:sz w:val="16"/>
          <w:szCs w:val="16"/>
          <w:lang w:val="es-ES"/>
        </w:rPr>
      </w:pPr>
      <w:r w:rsidRPr="007372D2">
        <w:rPr>
          <w:rFonts w:ascii="Cambria" w:hAnsi="Cambria"/>
          <w:sz w:val="16"/>
          <w:szCs w:val="16"/>
          <w:lang w:val="es-ES"/>
        </w:rPr>
        <w:t>[</w:t>
      </w:r>
      <w:proofErr w:type="gramStart"/>
      <w:r w:rsidRPr="007372D2">
        <w:rPr>
          <w:rFonts w:ascii="Cambria" w:hAnsi="Cambria"/>
          <w:sz w:val="16"/>
          <w:szCs w:val="16"/>
          <w:lang w:val="es-ES"/>
        </w:rPr>
        <w:t>continúa</w:t>
      </w:r>
      <w:proofErr w:type="gramEnd"/>
      <w:r w:rsidRPr="007372D2">
        <w:rPr>
          <w:rFonts w:ascii="Cambria" w:hAnsi="Cambria"/>
          <w:sz w:val="16"/>
          <w:szCs w:val="16"/>
          <w:lang w:val="es-ES"/>
        </w:rPr>
        <w:t>…]</w:t>
      </w:r>
    </w:p>
  </w:footnote>
  <w:footnote w:id="2">
    <w:p w:rsidR="00BB0B93" w:rsidRPr="00CE4228" w:rsidRDefault="00BB0B93" w:rsidP="00CE4228">
      <w:pPr>
        <w:pStyle w:val="FootnoteText"/>
        <w:tabs>
          <w:tab w:val="left" w:pos="90"/>
        </w:tabs>
        <w:jc w:val="both"/>
        <w:rPr>
          <w:rFonts w:ascii="Cambria" w:hAnsi="Cambria"/>
          <w:color w:val="auto"/>
          <w:sz w:val="16"/>
          <w:szCs w:val="16"/>
          <w:lang w:val="es-ES"/>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CIDH, </w:t>
      </w:r>
      <w:r>
        <w:fldChar w:fldCharType="begin"/>
      </w:r>
      <w:r w:rsidRPr="00BB0B93">
        <w:rPr>
          <w:lang w:val="es-ES"/>
        </w:rPr>
        <w:instrText xml:space="preserve"> HYPERLINK "http://www.cidh.oas.org/annualrep/2010sp/34.ECAD247-07ES.doc" </w:instrText>
      </w:r>
      <w:r>
        <w:fldChar w:fldCharType="separate"/>
      </w:r>
      <w:r w:rsidRPr="00CE4228">
        <w:rPr>
          <w:rStyle w:val="Hyperlink"/>
          <w:rFonts w:ascii="Cambria" w:hAnsi="Cambria"/>
          <w:sz w:val="16"/>
          <w:szCs w:val="16"/>
          <w:u w:val="none"/>
          <w:lang w:val="es-ES"/>
        </w:rPr>
        <w:t>Informe No. 141/10</w:t>
      </w:r>
      <w:r>
        <w:rPr>
          <w:rStyle w:val="Hyperlink"/>
          <w:rFonts w:ascii="Cambria" w:hAnsi="Cambria"/>
          <w:sz w:val="16"/>
          <w:szCs w:val="16"/>
          <w:u w:val="none"/>
          <w:lang w:val="es-ES"/>
        </w:rPr>
        <w:fldChar w:fldCharType="end"/>
      </w:r>
      <w:r w:rsidRPr="00CE4228">
        <w:rPr>
          <w:rFonts w:ascii="Cambria" w:hAnsi="Cambria"/>
          <w:color w:val="auto"/>
          <w:sz w:val="16"/>
          <w:szCs w:val="16"/>
          <w:lang w:val="es-ES"/>
        </w:rPr>
        <w:t xml:space="preserve">, Petición 247-07, Admisibilidad, Luis Eduardo Guachalá Chimbó, Ecuador, 1 de noviembre de 2010. Disponible en:  </w:t>
      </w:r>
    </w:p>
  </w:footnote>
  <w:footnote w:id="3">
    <w:p w:rsidR="00BB0B93" w:rsidRPr="00CE4228" w:rsidRDefault="00BB0B93" w:rsidP="00CE4228">
      <w:pPr>
        <w:pStyle w:val="FootnoteText"/>
        <w:tabs>
          <w:tab w:val="left" w:pos="90"/>
        </w:tabs>
        <w:jc w:val="both"/>
        <w:rPr>
          <w:rFonts w:ascii="Cambria" w:hAnsi="Cambria"/>
          <w:color w:val="auto"/>
          <w:sz w:val="16"/>
          <w:szCs w:val="16"/>
          <w:lang w:val="es-ES"/>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CIDH, </w:t>
      </w:r>
      <w:hyperlink r:id="rId1" w:history="1">
        <w:r w:rsidRPr="00CE4228">
          <w:rPr>
            <w:rStyle w:val="Hyperlink"/>
            <w:rFonts w:ascii="Cambria" w:hAnsi="Cambria"/>
            <w:sz w:val="16"/>
            <w:szCs w:val="16"/>
            <w:u w:val="none"/>
            <w:lang w:val="es-ES"/>
          </w:rPr>
          <w:t>Audiencia pública</w:t>
        </w:r>
      </w:hyperlink>
      <w:r w:rsidRPr="00CE4228">
        <w:rPr>
          <w:rFonts w:ascii="Cambria" w:hAnsi="Cambria"/>
          <w:color w:val="auto"/>
          <w:sz w:val="16"/>
          <w:szCs w:val="16"/>
          <w:lang w:val="es-ES"/>
        </w:rPr>
        <w:t xml:space="preserve">, 4 de abril de 2016. </w:t>
      </w:r>
    </w:p>
  </w:footnote>
  <w:footnote w:id="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 p. 15.</w:t>
      </w:r>
    </w:p>
  </w:footnote>
  <w:footnote w:id="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 Asimismo, véase: Comunicación del Estado de 20 de mayo de 2016.</w:t>
      </w:r>
    </w:p>
  </w:footnote>
  <w:footnote w:id="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pt-BR"/>
        </w:rPr>
        <w:t xml:space="preserve"> Anexo 1. Informe médico del Hospital Psiquiátrico Julio Endara. </w:t>
      </w:r>
      <w:r w:rsidRPr="00CE4228">
        <w:rPr>
          <w:rFonts w:ascii="Cambria" w:hAnsi="Cambria"/>
          <w:color w:val="auto"/>
          <w:sz w:val="16"/>
          <w:szCs w:val="16"/>
          <w:lang w:val="es-ES_tradnl"/>
        </w:rPr>
        <w:t>Anexo a la petición inicial.</w:t>
      </w:r>
    </w:p>
  </w:footnote>
  <w:footnote w:id="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del Ministerio de Salud Pública, 6 de mayo de 2016. Anexo 10 a la comunicación del Estado de 20 de mayo de 2016.</w:t>
      </w:r>
    </w:p>
  </w:footnote>
  <w:footnote w:id="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2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2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2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2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2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sz w:val="16"/>
          <w:szCs w:val="16"/>
          <w:lang w:val="es-ES"/>
        </w:rPr>
        <w:t>Comunicación del Estado de 20 de mayo de 2016.</w:t>
      </w:r>
    </w:p>
  </w:footnote>
  <w:footnote w:id="2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No. 202-G-HJE-2016, 21 de marzo de 2016. Anexo 11 a la comunicación del Estado de 20 de mayo de 2016.</w:t>
      </w:r>
    </w:p>
  </w:footnote>
  <w:footnote w:id="2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No. 202-G-HJE-2016, 21 de marzo de 2016. Anexo 10 a la comunicación del Estado de 20 de mayo de 2016.</w:t>
      </w:r>
    </w:p>
  </w:footnote>
  <w:footnote w:id="2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2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3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3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3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5. Hoja de ingreso de Luis Guachalá, Hospital Psiquiátrico Julio Endara, 10 de enero de 2004. Anexo 2 a la petición inicial.</w:t>
      </w:r>
    </w:p>
  </w:footnote>
  <w:footnote w:id="3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3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Anexo 7. </w:t>
      </w:r>
      <w:r w:rsidRPr="00CE4228">
        <w:rPr>
          <w:rFonts w:ascii="Cambria" w:hAnsi="Cambria"/>
          <w:color w:val="auto"/>
          <w:sz w:val="16"/>
          <w:szCs w:val="16"/>
          <w:lang w:val="es-ES_tradnl"/>
        </w:rPr>
        <w:t>Declaración de Zoila Chimbó ante la Policía Judicial de Pichincha, 3 de febrero de 2004. Anexo 4 a la petición inicial.</w:t>
      </w:r>
    </w:p>
  </w:footnote>
  <w:footnote w:id="3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Autorización </w:t>
      </w:r>
      <w:r w:rsidRPr="00CE4228">
        <w:rPr>
          <w:rFonts w:ascii="Cambria" w:hAnsi="Cambria"/>
          <w:color w:val="auto"/>
          <w:sz w:val="16"/>
          <w:szCs w:val="16"/>
          <w:lang w:val="es-ES_tradnl"/>
        </w:rPr>
        <w:t xml:space="preserve">del Hospital Psiquiátrico Julio Endara, 10 de enero de 2004. Anexo a la comunicación del Estado de </w:t>
      </w:r>
      <w:r w:rsidRPr="00CE4228">
        <w:rPr>
          <w:rFonts w:ascii="Cambria" w:hAnsi="Cambria"/>
          <w:sz w:val="16"/>
          <w:szCs w:val="16"/>
          <w:lang w:val="es-ES"/>
        </w:rPr>
        <w:t>7 de enero de 2015.</w:t>
      </w:r>
    </w:p>
  </w:footnote>
  <w:footnote w:id="3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3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3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3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4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4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4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5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5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58">
    <w:p w:rsidR="00BB0B93" w:rsidRPr="008A084A"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8A084A">
        <w:rPr>
          <w:rFonts w:ascii="Cambria" w:hAnsi="Cambria"/>
          <w:color w:val="auto"/>
          <w:sz w:val="16"/>
          <w:szCs w:val="16"/>
          <w:lang w:val="es-ES_tradnl"/>
        </w:rPr>
        <w:t xml:space="preserve"> Anexo 1. Informe médico del Hospital Psiquiátrico Julio Endara. Anexo a la petición inicial.</w:t>
      </w:r>
    </w:p>
  </w:footnote>
  <w:footnote w:id="59">
    <w:p w:rsidR="00BB0B93" w:rsidRPr="008A084A"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8A084A">
        <w:rPr>
          <w:rFonts w:ascii="Cambria" w:hAnsi="Cambria"/>
          <w:color w:val="auto"/>
          <w:sz w:val="16"/>
          <w:szCs w:val="16"/>
          <w:lang w:val="es-ES_tradnl"/>
        </w:rPr>
        <w:t xml:space="preserve"> Anexo 1. Informe médico del Hospital Psiquiátrico Julio Endara. Anexo a la petición inicial.</w:t>
      </w:r>
    </w:p>
  </w:footnote>
  <w:footnote w:id="6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8A084A">
        <w:rPr>
          <w:rFonts w:ascii="Cambria" w:hAnsi="Cambria"/>
          <w:color w:val="auto"/>
          <w:sz w:val="16"/>
          <w:szCs w:val="16"/>
          <w:lang w:val="es-ES_tradnl"/>
        </w:rPr>
        <w:t xml:space="preserve"> Anexo  6. Declaración jurada de Zoila Chimbó, 27 de septiembre de 2005. </w:t>
      </w:r>
      <w:r w:rsidRPr="00CE4228">
        <w:rPr>
          <w:rFonts w:ascii="Cambria" w:hAnsi="Cambria"/>
          <w:color w:val="auto"/>
          <w:sz w:val="16"/>
          <w:szCs w:val="16"/>
          <w:lang w:val="es-ES_tradnl"/>
        </w:rPr>
        <w:t>Anexo 3 a la petición inicial.</w:t>
      </w:r>
    </w:p>
  </w:footnote>
  <w:footnote w:id="6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6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6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6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6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6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6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6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6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6. Declaración jurada de Zoila Chimbó, 27 de septiembre de 2005. Anexo 3 a la petición inicial.</w:t>
      </w:r>
    </w:p>
  </w:footnote>
  <w:footnote w:id="7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7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8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8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8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8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4. Ficha médica de Luis Guachalá, Hospital Psiquiátrico Julio Endara. Anexo a la petición inicial.</w:t>
      </w:r>
    </w:p>
  </w:footnote>
  <w:footnote w:id="8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4. Ficha médica de Luis Guachalá, Hospital Psiquiátrico Julio Endara. Anexo a la petición inicial.</w:t>
      </w:r>
    </w:p>
  </w:footnote>
  <w:footnote w:id="8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8. Informe de cambio de turno del Hospital Psiquiátrico Julio Endara, 17 de enero de 2000. Anexo 5 a la petición inicial.</w:t>
      </w:r>
    </w:p>
  </w:footnote>
  <w:footnote w:id="8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8. Informe de cambio de turno del Hospital Psiquiátrico Julio Endara, 17 de enero de 2000. Anexo 5 a la petición inicial.</w:t>
      </w:r>
    </w:p>
  </w:footnote>
  <w:footnote w:id="8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10. Comunicación de Luis Borja, 27 de septiembre de 2004. Anexo 7 a la petición inicial.</w:t>
      </w:r>
    </w:p>
  </w:footnote>
  <w:footnote w:id="8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8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del Estado de 20 de mayo de 2016.</w:t>
      </w:r>
    </w:p>
  </w:footnote>
  <w:footnote w:id="9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9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10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1. Informe médico del Hospital Psiquiátrico Julio Endara. Anexo a la petición inicial.</w:t>
      </w:r>
    </w:p>
  </w:footnote>
  <w:footnote w:id="10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0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0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11. Sistema de gestión de llamadas de la Policía Nacional del Ecuador. Anexo 8 a la petición inicial.</w:t>
      </w:r>
    </w:p>
  </w:footnote>
  <w:footnote w:id="10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0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6. Declaración jurada de Zoila Chimbó, 27 de septiembre de 2005. Anexo 3 a la petición inicial.</w:t>
      </w:r>
    </w:p>
  </w:footnote>
  <w:footnote w:id="10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0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0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0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1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1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9. Hoja de egreso del Hospital Psiquiátrico Julio Endara, 21 de enero de 2004. Anexo 6 a la petición inicial.</w:t>
      </w:r>
    </w:p>
  </w:footnote>
  <w:footnote w:id="11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9. Hoja de egreso del Hospital Psiquiátrico Julio Endara, 21 de enero de 2004. Anexo 6 a la petición inicial.</w:t>
      </w:r>
    </w:p>
  </w:footnote>
  <w:footnote w:id="11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1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1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1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1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1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1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3. Informe del Hospital Psiquiátrico Julio Endara, Trabajo Social. Anexo a la petición inicial.</w:t>
      </w:r>
    </w:p>
  </w:footnote>
  <w:footnote w:id="12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_tradnl"/>
        </w:rPr>
        <w:t xml:space="preserve"> </w:t>
      </w:r>
      <w:r w:rsidRPr="00CE4228">
        <w:rPr>
          <w:rFonts w:ascii="Cambria" w:hAnsi="Cambria"/>
          <w:sz w:val="16"/>
          <w:szCs w:val="16"/>
          <w:lang w:val="es-ES"/>
        </w:rPr>
        <w:t>Anexo 15. Oficio del Cuerpo de Bomberos del Distrito Metropolitano de Quito, 4 de octubre de 2004. Anexo a la comunicación del Estado de 20 de mayo de 2016, p. 8.</w:t>
      </w:r>
    </w:p>
  </w:footnote>
  <w:footnote w:id="12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2. Comunicación de Jenny Beltrán, Hospital Psiquiátrico Julio Endara, de 30 de junio de 2004. Anexo a la petición inicial.</w:t>
      </w:r>
    </w:p>
  </w:footnote>
  <w:footnote w:id="12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Anexo 2. </w:t>
      </w:r>
      <w:r w:rsidRPr="00CE4228">
        <w:rPr>
          <w:rFonts w:ascii="Cambria" w:hAnsi="Cambria"/>
          <w:color w:val="auto"/>
          <w:sz w:val="16"/>
          <w:szCs w:val="16"/>
          <w:lang w:val="es-ES_tradnl"/>
        </w:rPr>
        <w:t>Comunicación de Jenny Beltrán, Hospital Psiquiátrico Julio Endara, de 30 de junio de 2004. Anexo a la petición inicial.</w:t>
      </w:r>
    </w:p>
  </w:footnote>
  <w:footnote w:id="12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2. Comunicación de Jenny Beltrán, Hospital Psiquiátrico Julio Endara, de 30 de junio de 2004. Anexo a la petición inicial.</w:t>
      </w:r>
    </w:p>
  </w:footnote>
  <w:footnote w:id="13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_tradnl"/>
        </w:rPr>
        <w:t xml:space="preserve"> Anexo 2. Comunicación de Jenny Beltrán, Hospital Psiquiátrico Julio Endara, de 30 de junio de 2004. Anexo a la petición inicial.</w:t>
      </w:r>
    </w:p>
  </w:footnote>
  <w:footnote w:id="13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Anexo 2. </w:t>
      </w:r>
      <w:r w:rsidRPr="00CE4228">
        <w:rPr>
          <w:rFonts w:ascii="Cambria" w:hAnsi="Cambria"/>
          <w:color w:val="auto"/>
          <w:sz w:val="16"/>
          <w:szCs w:val="16"/>
          <w:lang w:val="es-ES_tradnl"/>
        </w:rPr>
        <w:t>Comunicación de Jenny Beltrán, Hospital Psiquiátrico Julio Endara, de 30 de junio de 2004. Anexo a la petición inicial.</w:t>
      </w:r>
    </w:p>
  </w:footnote>
  <w:footnote w:id="13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Oficios de Sonia Sánchez a Rommel </w:t>
      </w:r>
      <w:proofErr w:type="spellStart"/>
      <w:r w:rsidRPr="00CE4228">
        <w:rPr>
          <w:rFonts w:ascii="Cambria" w:hAnsi="Cambria"/>
          <w:color w:val="auto"/>
          <w:sz w:val="16"/>
          <w:szCs w:val="16"/>
          <w:lang w:val="es-ES_tradnl"/>
        </w:rPr>
        <w:t>Artieda</w:t>
      </w:r>
      <w:proofErr w:type="spellEnd"/>
      <w:r w:rsidRPr="00CE4228">
        <w:rPr>
          <w:rFonts w:ascii="Cambria" w:hAnsi="Cambria"/>
          <w:color w:val="auto"/>
          <w:sz w:val="16"/>
          <w:szCs w:val="16"/>
          <w:lang w:val="es-ES_tradnl"/>
        </w:rPr>
        <w:t xml:space="preserve">, 7 de abril de 2005.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3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Oficios de Sonia Sánchez a Rommel </w:t>
      </w:r>
      <w:proofErr w:type="spellStart"/>
      <w:r w:rsidRPr="00CE4228">
        <w:rPr>
          <w:rFonts w:ascii="Cambria" w:hAnsi="Cambria"/>
          <w:color w:val="auto"/>
          <w:sz w:val="16"/>
          <w:szCs w:val="16"/>
          <w:lang w:val="es-ES_tradnl"/>
        </w:rPr>
        <w:t>Artieda</w:t>
      </w:r>
      <w:proofErr w:type="spellEnd"/>
      <w:r w:rsidRPr="00CE4228">
        <w:rPr>
          <w:rFonts w:ascii="Cambria" w:hAnsi="Cambria"/>
          <w:color w:val="auto"/>
          <w:sz w:val="16"/>
          <w:szCs w:val="16"/>
          <w:lang w:val="es-ES_tradnl"/>
        </w:rPr>
        <w:t xml:space="preserve">, 7 de abril de 2005.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3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12. Denuncia de Zoila Chimbó, 21 de enero de 2004. Anexo 9 a la petición inicial.</w:t>
      </w:r>
    </w:p>
  </w:footnote>
  <w:footnote w:id="13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del Estado de 20 de mayo de 2016.</w:t>
      </w:r>
    </w:p>
  </w:footnote>
  <w:footnote w:id="13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3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Anexo 7. </w:t>
      </w:r>
      <w:r w:rsidRPr="00CE4228">
        <w:rPr>
          <w:rFonts w:ascii="Cambria" w:hAnsi="Cambria"/>
          <w:color w:val="auto"/>
          <w:sz w:val="16"/>
          <w:szCs w:val="16"/>
          <w:lang w:val="es-ES_tradnl"/>
        </w:rPr>
        <w:t>Declaración de Zoila Chimbó ante la Policía Judicial de Pichincha, 3 de febrero de 2004. Anexo 4 a la petición inicial.</w:t>
      </w:r>
    </w:p>
  </w:footnote>
  <w:footnote w:id="13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3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4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4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Comunicación de los peticionarios recibida el 25 de mayo de 2011.</w:t>
      </w:r>
    </w:p>
  </w:footnote>
  <w:footnote w:id="14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del Estado de 20 de mayo de 2016.</w:t>
      </w:r>
    </w:p>
  </w:footnote>
  <w:footnote w:id="14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4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del Estado de 20 de mayo de 2016.</w:t>
      </w:r>
    </w:p>
  </w:footnote>
  <w:footnote w:id="14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Declaración de </w:t>
      </w:r>
      <w:r w:rsidRPr="00CE4228">
        <w:rPr>
          <w:rFonts w:ascii="Cambria" w:hAnsi="Cambria"/>
          <w:color w:val="auto"/>
          <w:sz w:val="16"/>
          <w:szCs w:val="16"/>
          <w:lang w:val="es-ES"/>
        </w:rPr>
        <w:t xml:space="preserve">Rommel </w:t>
      </w:r>
      <w:proofErr w:type="spellStart"/>
      <w:r w:rsidRPr="00CE4228">
        <w:rPr>
          <w:rFonts w:ascii="Cambria" w:hAnsi="Cambria"/>
          <w:color w:val="auto"/>
          <w:sz w:val="16"/>
          <w:szCs w:val="16"/>
          <w:lang w:val="es-ES"/>
        </w:rPr>
        <w:t>Artieda</w:t>
      </w:r>
      <w:proofErr w:type="spellEnd"/>
      <w:r w:rsidRPr="00CE4228">
        <w:rPr>
          <w:rFonts w:ascii="Cambria" w:hAnsi="Cambria"/>
          <w:color w:val="auto"/>
          <w:sz w:val="16"/>
          <w:szCs w:val="16"/>
          <w:lang w:val="es-ES"/>
        </w:rPr>
        <w:t xml:space="preserve">, 12 de julio de 2005. Anexo a la </w:t>
      </w:r>
      <w:r w:rsidRPr="00CE4228">
        <w:rPr>
          <w:rFonts w:ascii="Cambria" w:hAnsi="Cambria"/>
          <w:color w:val="auto"/>
          <w:sz w:val="16"/>
          <w:szCs w:val="16"/>
          <w:lang w:val="es-ES_tradnl"/>
        </w:rPr>
        <w:t>comunicación de los peticionarios recibida el 25 de mayo de 2011.</w:t>
      </w:r>
    </w:p>
  </w:footnote>
  <w:footnote w:id="14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Declaración de </w:t>
      </w:r>
      <w:r w:rsidRPr="00CE4228">
        <w:rPr>
          <w:rFonts w:ascii="Cambria" w:hAnsi="Cambria"/>
          <w:color w:val="auto"/>
          <w:sz w:val="16"/>
          <w:szCs w:val="16"/>
          <w:lang w:val="es-ES"/>
        </w:rPr>
        <w:t xml:space="preserve">Rommel </w:t>
      </w:r>
      <w:proofErr w:type="spellStart"/>
      <w:r w:rsidRPr="00CE4228">
        <w:rPr>
          <w:rFonts w:ascii="Cambria" w:hAnsi="Cambria"/>
          <w:color w:val="auto"/>
          <w:sz w:val="16"/>
          <w:szCs w:val="16"/>
          <w:lang w:val="es-ES"/>
        </w:rPr>
        <w:t>Artieda</w:t>
      </w:r>
      <w:proofErr w:type="spellEnd"/>
      <w:r w:rsidRPr="00CE4228">
        <w:rPr>
          <w:rFonts w:ascii="Cambria" w:hAnsi="Cambria"/>
          <w:color w:val="auto"/>
          <w:sz w:val="16"/>
          <w:szCs w:val="16"/>
          <w:lang w:val="es-ES"/>
        </w:rPr>
        <w:t xml:space="preserve">, 12 de julio de 2005. Anexo a la </w:t>
      </w:r>
      <w:r w:rsidRPr="00CE4228">
        <w:rPr>
          <w:rFonts w:ascii="Cambria" w:hAnsi="Cambria"/>
          <w:color w:val="auto"/>
          <w:sz w:val="16"/>
          <w:szCs w:val="16"/>
          <w:lang w:val="es-ES_tradnl"/>
        </w:rPr>
        <w:t>comunicación de los peticionarios recibida el 25 de mayo de 2011.</w:t>
      </w:r>
    </w:p>
  </w:footnote>
  <w:footnote w:id="14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Declaración de </w:t>
      </w:r>
      <w:r w:rsidRPr="00CE4228">
        <w:rPr>
          <w:rFonts w:ascii="Cambria" w:hAnsi="Cambria"/>
          <w:color w:val="auto"/>
          <w:sz w:val="16"/>
          <w:szCs w:val="16"/>
          <w:lang w:val="es-ES"/>
        </w:rPr>
        <w:t xml:space="preserve">Rommel </w:t>
      </w:r>
      <w:proofErr w:type="spellStart"/>
      <w:r w:rsidRPr="00CE4228">
        <w:rPr>
          <w:rFonts w:ascii="Cambria" w:hAnsi="Cambria"/>
          <w:color w:val="auto"/>
          <w:sz w:val="16"/>
          <w:szCs w:val="16"/>
          <w:lang w:val="es-ES"/>
        </w:rPr>
        <w:t>Artieda</w:t>
      </w:r>
      <w:proofErr w:type="spellEnd"/>
      <w:r w:rsidRPr="00CE4228">
        <w:rPr>
          <w:rFonts w:ascii="Cambria" w:hAnsi="Cambria"/>
          <w:color w:val="auto"/>
          <w:sz w:val="16"/>
          <w:szCs w:val="16"/>
          <w:lang w:val="es-ES"/>
        </w:rPr>
        <w:t xml:space="preserve">, 12 de julio de 2005. Anexo a la </w:t>
      </w:r>
      <w:r w:rsidRPr="00CE4228">
        <w:rPr>
          <w:rFonts w:ascii="Cambria" w:hAnsi="Cambria"/>
          <w:color w:val="auto"/>
          <w:sz w:val="16"/>
          <w:szCs w:val="16"/>
          <w:lang w:val="es-ES_tradnl"/>
        </w:rPr>
        <w:t>comunicación de los peticionarios recibida el 25 de mayo de 2011.</w:t>
      </w:r>
    </w:p>
  </w:footnote>
  <w:footnote w:id="14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del Estado de 20 de mayo de 2016.</w:t>
      </w:r>
    </w:p>
  </w:footnote>
  <w:footnote w:id="14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6. Declaración jurada de Zoila Chimbó, 27 de septiembre de 2005. Anexo 3 a la petición inicial.</w:t>
      </w:r>
    </w:p>
  </w:footnote>
  <w:footnote w:id="15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Petición inicial. </w:t>
      </w:r>
      <w:r w:rsidRPr="00CE4228">
        <w:rPr>
          <w:rFonts w:ascii="Cambria" w:hAnsi="Cambria"/>
          <w:sz w:val="16"/>
          <w:szCs w:val="16"/>
          <w:lang w:val="es-ES"/>
        </w:rPr>
        <w:t>Comunicación del Estado de 20 de mayo de 2016.</w:t>
      </w:r>
    </w:p>
  </w:footnote>
  <w:footnote w:id="15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Petición inicial. </w:t>
      </w:r>
      <w:r w:rsidRPr="00CE4228">
        <w:rPr>
          <w:rFonts w:ascii="Cambria" w:hAnsi="Cambria"/>
          <w:sz w:val="16"/>
          <w:szCs w:val="16"/>
          <w:lang w:val="es-ES"/>
        </w:rPr>
        <w:t>Comunicación del Estado de 20 de mayo de 2016.</w:t>
      </w:r>
    </w:p>
  </w:footnote>
  <w:footnote w:id="15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sz w:val="16"/>
          <w:szCs w:val="16"/>
          <w:lang w:val="es-ES"/>
        </w:rPr>
        <w:t>Comunicación del Estado de 20 de mayo de 2016.</w:t>
      </w:r>
    </w:p>
  </w:footnote>
  <w:footnote w:id="15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5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5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5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sz w:val="16"/>
          <w:szCs w:val="16"/>
          <w:lang w:val="es-ES"/>
        </w:rPr>
        <w:t>Comunicación del Estado de 20 de mayo de 2016.</w:t>
      </w:r>
    </w:p>
  </w:footnote>
  <w:footnote w:id="15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5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5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Fiscal 4 de la Unidad de Actuaciones Administrativas de Pichincha, 4 de noviembre de 2013. Anexo a la comunicación del Estado de 7 de enero de 2015. </w:t>
      </w:r>
    </w:p>
  </w:footnote>
  <w:footnote w:id="16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Fiscal 4 de la Unidad de Actuaciones Administrativas de Pichincha, 4 de noviembre de 2013. Anexo a la comunicación del Estado de 7 de enero de 2015. </w:t>
      </w:r>
    </w:p>
  </w:footnote>
  <w:footnote w:id="16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Fiscal 4 de la Unidad de Actuaciones Administrativas de Pichincha, 4 de noviembre de 2013. Anexo a la comunicación del Estado de 7 de enero de 2015. </w:t>
      </w:r>
    </w:p>
  </w:footnote>
  <w:footnote w:id="16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Fiscal 4 de la Unidad de Actuaciones Administrativas de Pichincha, 4 de noviembre de 2013. Anexo a la comunicación del Estado de 7 de enero de 2015. </w:t>
      </w:r>
    </w:p>
  </w:footnote>
  <w:footnote w:id="16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6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6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6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6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6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6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7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7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7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7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7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Informe de la Dirección Nacional de Delitos contra la vida, muertes violentas, desapariciones, extorsión y secuestro, 22 de marzo de 2016. Anexo 19 a la comunicación del Estado de 20 de mayo de 2016.</w:t>
      </w:r>
    </w:p>
  </w:footnote>
  <w:footnote w:id="17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Ministerio de Coordinación de Seguridad, 4 de mayo de 2016. Anexo 13 a la comunicación del Estado de 20 de mayo de 2016.</w:t>
      </w:r>
    </w:p>
  </w:footnote>
  <w:footnote w:id="17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Ministerio de Coordinación de Seguridad, 4 de mayo de 2016. Anexo 13 a la comunicación del Estado de 20 de mayo de 2016.</w:t>
      </w:r>
    </w:p>
  </w:footnote>
  <w:footnote w:id="17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Ministerio de Coordinación de Seguridad, 4 de mayo de 2016. Anexo 13 a la comunicación del Estado de 20 de mayo de 2016.</w:t>
      </w:r>
    </w:p>
  </w:footnote>
  <w:footnote w:id="17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Ministerio de Coordinación de Seguridad, 4 de mayo de 2016. Anexo 13 a la comunicación del Estado de 20 de mayo de 2016.</w:t>
      </w:r>
    </w:p>
  </w:footnote>
  <w:footnote w:id="17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8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8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8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8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Anexo 15. Oficio de la Fiscalía General del Estado, 21 de marzo de 2016. Anexo 9 a la comunicación del Estado de 20 de mayo de 2016.</w:t>
      </w:r>
    </w:p>
  </w:footnote>
  <w:footnote w:id="18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sz w:val="16"/>
          <w:szCs w:val="16"/>
          <w:lang w:val="es-ES"/>
        </w:rPr>
        <w:t>Comunicación del Estado de 20 de mayo de 2016.</w:t>
      </w:r>
    </w:p>
  </w:footnote>
  <w:footnote w:id="18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 los peticionarios de 5 de julio de 2016.</w:t>
      </w:r>
    </w:p>
  </w:footnote>
  <w:footnote w:id="18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Ministerio de Justicia, Derechos Humanos y Culto, 17 de noviembre de 2016. Anexo a la comunicación del Estado de 21 de diciembre de 2016.</w:t>
      </w:r>
    </w:p>
  </w:footnote>
  <w:footnote w:id="18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Oficio del Ministerio de Justicia, Derechos Humanos y Culto, 17 de noviembre de 2016. Anexo a la comunicación del Estado de 21 de diciembre de 2016.</w:t>
      </w:r>
    </w:p>
  </w:footnote>
  <w:footnote w:id="18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Comunicación del Estado de 28 de octubre de 2016.</w:t>
      </w:r>
    </w:p>
  </w:footnote>
  <w:footnote w:id="18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19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Comunicación de los peticionarios recibida el 25 de mayo de 2011.</w:t>
      </w:r>
    </w:p>
  </w:footnote>
  <w:footnote w:id="19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la INREDH, 6 de octubre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la INREDH, 6 de octubre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la INREDH, 6 de octubre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la INREDH, 6 de octubre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Resolución de DINATED, 14 de octubre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José Oña al Ministro de Salud, 17 de febrero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José Oña al Ministro de Salud, 17 de febrero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José Oña al Ministro de Salud, 17 de febrero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19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Comunicación de José Oña al Ministro de Salud, 17 de febrero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20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 xml:space="preserve">Solicitud de hábeas corpus, 29 de noviembre de 2004. </w:t>
      </w:r>
      <w:r w:rsidRPr="00CE4228">
        <w:rPr>
          <w:rFonts w:ascii="Cambria" w:hAnsi="Cambria"/>
          <w:color w:val="auto"/>
          <w:sz w:val="16"/>
          <w:szCs w:val="16"/>
          <w:lang w:val="es-ES"/>
        </w:rPr>
        <w:t xml:space="preserve">Anexo a la </w:t>
      </w:r>
      <w:r w:rsidRPr="00CE4228">
        <w:rPr>
          <w:rFonts w:ascii="Cambria" w:hAnsi="Cambria"/>
          <w:color w:val="auto"/>
          <w:sz w:val="16"/>
          <w:szCs w:val="16"/>
          <w:lang w:val="es-ES_tradnl"/>
        </w:rPr>
        <w:t>comunicación de los peticionarios recibida el 25 de mayo de 2011.</w:t>
      </w:r>
    </w:p>
  </w:footnote>
  <w:footnote w:id="20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0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0">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1">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2">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3">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4">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5">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6">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7">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8">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Anexo 13. Resolución del Tribunal Constitucional, 6 de julio de 2006. Anexo 10 a la petición inicial.</w:t>
      </w:r>
    </w:p>
  </w:footnote>
  <w:footnote w:id="219">
    <w:p w:rsidR="00BB0B93" w:rsidRPr="00CE4228" w:rsidRDefault="00BB0B93" w:rsidP="00CE4228">
      <w:pPr>
        <w:pStyle w:val="FootnoteText"/>
        <w:tabs>
          <w:tab w:val="left" w:pos="90"/>
        </w:tabs>
        <w:jc w:val="both"/>
        <w:rPr>
          <w:rFonts w:ascii="Cambria" w:hAnsi="Cambria"/>
          <w:color w:val="auto"/>
          <w:sz w:val="16"/>
          <w:szCs w:val="16"/>
          <w:lang w:val="es-ES_tradnl"/>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olor w:val="auto"/>
          <w:sz w:val="16"/>
          <w:szCs w:val="16"/>
          <w:lang w:val="es-ES_tradnl"/>
        </w:rPr>
        <w:t>Comunicación de los peticionarios recibida el 25 de mayo de 2011.</w:t>
      </w:r>
    </w:p>
  </w:footnote>
  <w:footnote w:id="220">
    <w:p w:rsidR="00BB0B93" w:rsidRPr="00CE4228" w:rsidRDefault="00BB0B93" w:rsidP="00CE4228">
      <w:pPr>
        <w:pStyle w:val="FootnoteText"/>
        <w:tabs>
          <w:tab w:val="left" w:pos="90"/>
        </w:tabs>
        <w:jc w:val="both"/>
        <w:rPr>
          <w:rFonts w:ascii="Cambria" w:hAnsi="Cambria"/>
          <w:color w:val="auto"/>
          <w:sz w:val="16"/>
          <w:szCs w:val="16"/>
          <w:lang w:val="es-ES"/>
        </w:rPr>
      </w:pPr>
      <w:r w:rsidRPr="00CE4228">
        <w:rPr>
          <w:rStyle w:val="FootnoteReference"/>
          <w:rFonts w:ascii="Cambria" w:hAnsi="Cambria"/>
          <w:color w:val="auto"/>
          <w:sz w:val="16"/>
          <w:szCs w:val="16"/>
        </w:rPr>
        <w:footnoteRef/>
      </w:r>
      <w:r w:rsidRPr="00CE4228">
        <w:rPr>
          <w:rFonts w:ascii="Cambria" w:hAnsi="Cambria"/>
          <w:color w:val="auto"/>
          <w:sz w:val="16"/>
          <w:szCs w:val="16"/>
          <w:lang w:val="es-ES"/>
        </w:rPr>
        <w:t xml:space="preserve"> </w:t>
      </w:r>
      <w:r w:rsidRPr="00CE4228">
        <w:rPr>
          <w:rFonts w:ascii="Cambria" w:hAnsi="Cambria" w:cs="Arial"/>
          <w:color w:val="auto"/>
          <w:sz w:val="16"/>
          <w:szCs w:val="16"/>
          <w:shd w:val="clear" w:color="auto" w:fill="FFFFFF"/>
          <w:lang w:val="es-ES"/>
        </w:rPr>
        <w:t>Audiencia Pública del 157 Período de Sesiones de la Comisión Interamericana de Derechos Humanos. Disponible en: https://www.youtube.com/watch?v=8pG-hHzzZ-Y</w:t>
      </w:r>
      <w:r w:rsidRPr="00CE4228">
        <w:rPr>
          <w:rStyle w:val="apple-converted-space"/>
          <w:rFonts w:ascii="Cambria" w:hAnsi="Cambria" w:cs="Arial"/>
          <w:color w:val="auto"/>
          <w:sz w:val="16"/>
          <w:szCs w:val="16"/>
          <w:shd w:val="clear" w:color="auto" w:fill="FFFFFF"/>
          <w:lang w:val="es-ES"/>
        </w:rPr>
        <w:t> </w:t>
      </w:r>
    </w:p>
  </w:footnote>
  <w:footnote w:id="22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Volante del Ministerio del Interior. Anexo a la documentación entregada por los peticionarios en la </w:t>
      </w:r>
      <w:r w:rsidRPr="00CE4228">
        <w:rPr>
          <w:rFonts w:ascii="Cambria" w:hAnsi="Cambria" w:cs="Arial"/>
          <w:color w:val="auto"/>
          <w:sz w:val="16"/>
          <w:szCs w:val="16"/>
          <w:shd w:val="clear" w:color="auto" w:fill="FFFFFF"/>
          <w:lang w:val="es-ES"/>
        </w:rPr>
        <w:t>Audiencia Pública del 157 Período de Sesiones de la Comisión Interamericana de Derechos Humanos.</w:t>
      </w:r>
    </w:p>
  </w:footnote>
  <w:footnote w:id="222">
    <w:p w:rsidR="00BB0B93" w:rsidRPr="00CE4228" w:rsidRDefault="00BB0B93" w:rsidP="00CE4228">
      <w:pPr>
        <w:pStyle w:val="FootnoteText"/>
        <w:jc w:val="both"/>
        <w:rPr>
          <w:rFonts w:ascii="Cambria" w:hAnsi="Cambria"/>
          <w:sz w:val="16"/>
          <w:szCs w:val="16"/>
          <w:lang w:val="es-MX"/>
        </w:rPr>
      </w:pPr>
      <w:r w:rsidRPr="00CE4228">
        <w:rPr>
          <w:rStyle w:val="FootnoteReference"/>
          <w:rFonts w:ascii="Cambria" w:hAnsi="Cambria"/>
          <w:sz w:val="16"/>
          <w:szCs w:val="16"/>
        </w:rPr>
        <w:footnoteRef/>
      </w:r>
      <w:r w:rsidRPr="00CE4228">
        <w:rPr>
          <w:rFonts w:ascii="Cambria" w:hAnsi="Cambria"/>
          <w:sz w:val="16"/>
          <w:szCs w:val="16"/>
          <w:lang w:val="es-MX"/>
        </w:rPr>
        <w:t xml:space="preserve"> </w:t>
      </w:r>
      <w:r w:rsidRPr="00CE4228">
        <w:rPr>
          <w:rFonts w:ascii="Cambria" w:hAnsi="Cambria"/>
          <w:sz w:val="16"/>
          <w:szCs w:val="16"/>
          <w:lang w:val="es-ES"/>
        </w:rPr>
        <w:t xml:space="preserve">La Corte Interamericana ha establecido que la inclusión de artículos de la Convención Americana por parte de la CIDH en la etapa de fondo “no implica una vulneración al derecho de defensa [del Estado]” en casos donde el Estado ha </w:t>
      </w:r>
      <w:r w:rsidRPr="00CE4228">
        <w:rPr>
          <w:rFonts w:ascii="Cambria" w:eastAsia="Times New Roman" w:hAnsi="Cambria" w:cs="Cambria"/>
          <w:sz w:val="16"/>
          <w:szCs w:val="16"/>
          <w:lang w:val="es-ES"/>
        </w:rPr>
        <w:t>tenido</w:t>
      </w:r>
      <w:r w:rsidRPr="00CE4228">
        <w:rPr>
          <w:rFonts w:ascii="Cambria" w:hAnsi="Cambria"/>
          <w:sz w:val="16"/>
          <w:szCs w:val="16"/>
          <w:lang w:val="es-ES"/>
        </w:rPr>
        <w:t xml:space="preserve"> conocimiento de los hechos que sustentan su presunta violación.</w:t>
      </w:r>
      <w:r w:rsidRPr="00CE4228">
        <w:rPr>
          <w:rFonts w:ascii="Cambria" w:hAnsi="Cambria"/>
          <w:sz w:val="16"/>
          <w:szCs w:val="16"/>
          <w:lang w:val="es-ES_tradnl"/>
        </w:rPr>
        <w:t xml:space="preserve"> </w:t>
      </w:r>
      <w:r w:rsidRPr="00CE4228">
        <w:rPr>
          <w:rFonts w:ascii="Cambria" w:hAnsi="Cambria"/>
          <w:sz w:val="16"/>
          <w:szCs w:val="16"/>
          <w:lang w:val="es-ES"/>
        </w:rPr>
        <w:t xml:space="preserve">Véase: Corte I.D.H, </w:t>
      </w:r>
      <w:r w:rsidRPr="00CE4228">
        <w:rPr>
          <w:rFonts w:ascii="Cambria" w:hAnsi="Cambria"/>
          <w:i/>
          <w:iCs/>
          <w:sz w:val="16"/>
          <w:szCs w:val="16"/>
          <w:lang w:val="es-ES"/>
        </w:rPr>
        <w:t xml:space="preserve">Caso </w:t>
      </w:r>
      <w:proofErr w:type="spellStart"/>
      <w:r w:rsidRPr="00CE4228">
        <w:rPr>
          <w:rFonts w:ascii="Cambria" w:hAnsi="Cambria"/>
          <w:i/>
          <w:iCs/>
          <w:sz w:val="16"/>
          <w:szCs w:val="16"/>
          <w:lang w:val="es-ES"/>
        </w:rPr>
        <w:t>Furlan</w:t>
      </w:r>
      <w:proofErr w:type="spellEnd"/>
      <w:r w:rsidRPr="00CE4228">
        <w:rPr>
          <w:rFonts w:ascii="Cambria" w:hAnsi="Cambria"/>
          <w:i/>
          <w:iCs/>
          <w:sz w:val="16"/>
          <w:szCs w:val="16"/>
          <w:lang w:val="es-ES"/>
        </w:rPr>
        <w:t xml:space="preserve"> y Familiares Vs. Argentina</w:t>
      </w:r>
      <w:r w:rsidRPr="00CE4228">
        <w:rPr>
          <w:rFonts w:ascii="Cambria" w:hAnsi="Cambria"/>
          <w:sz w:val="16"/>
          <w:szCs w:val="16"/>
          <w:lang w:val="es-ES"/>
        </w:rPr>
        <w:t>. Excepciones Preliminares, Fondo, Reparaciones y Costas. Sentencia de 31 de agosto de 2012. Serie C No. 246, párr. 50.</w:t>
      </w:r>
    </w:p>
  </w:footnote>
  <w:footnote w:id="22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El artículo 3 de la Convención Americana establece: Toda persona tiene derecho al reconocimiento de su personalidad jurídica.</w:t>
      </w:r>
    </w:p>
  </w:footnote>
  <w:footnote w:id="224">
    <w:p w:rsidR="00BB0B93" w:rsidRPr="00CE4228" w:rsidRDefault="00BB0B93" w:rsidP="008A084A">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El artículo </w:t>
      </w:r>
      <w:r>
        <w:rPr>
          <w:rFonts w:ascii="Cambria" w:hAnsi="Cambria"/>
          <w:sz w:val="16"/>
          <w:szCs w:val="16"/>
          <w:lang w:val="es-ES"/>
        </w:rPr>
        <w:t>4.1</w:t>
      </w:r>
      <w:r w:rsidRPr="00CE4228">
        <w:rPr>
          <w:rFonts w:ascii="Cambria" w:hAnsi="Cambria"/>
          <w:sz w:val="16"/>
          <w:szCs w:val="16"/>
          <w:lang w:val="es-ES"/>
        </w:rPr>
        <w:t xml:space="preserve"> de la Convención Americana establece: </w:t>
      </w:r>
      <w:r w:rsidRPr="008A084A">
        <w:rPr>
          <w:rFonts w:ascii="Cambria" w:hAnsi="Cambria"/>
          <w:sz w:val="16"/>
          <w:szCs w:val="16"/>
          <w:lang w:val="es-ES"/>
        </w:rPr>
        <w:t>Toda persona tiene derecho a que se respete su vida.  Este derecho estará protegido por la ley y, en general, a partir del momento de la concepción.  Nadie puede ser pri</w:t>
      </w:r>
      <w:r>
        <w:rPr>
          <w:rFonts w:ascii="Cambria" w:hAnsi="Cambria"/>
          <w:sz w:val="16"/>
          <w:szCs w:val="16"/>
          <w:lang w:val="es-ES"/>
        </w:rPr>
        <w:t>vado de la vida arbitrariamente</w:t>
      </w:r>
      <w:r w:rsidRPr="00CE4228">
        <w:rPr>
          <w:rFonts w:ascii="Cambria" w:hAnsi="Cambria"/>
          <w:sz w:val="16"/>
          <w:szCs w:val="16"/>
          <w:lang w:val="es-ES"/>
        </w:rPr>
        <w:t>.</w:t>
      </w:r>
    </w:p>
  </w:footnote>
  <w:footnote w:id="225">
    <w:p w:rsidR="00BB0B93" w:rsidRPr="00CE4228" w:rsidRDefault="00BB0B93" w:rsidP="00CE4228">
      <w:pPr>
        <w:pStyle w:val="NormalWeb"/>
        <w:tabs>
          <w:tab w:val="left" w:pos="90"/>
        </w:tabs>
        <w:spacing w:before="0" w:beforeAutospacing="0" w:after="0" w:afterAutospacing="0"/>
        <w:ind w:right="75"/>
        <w:jc w:val="both"/>
        <w:rPr>
          <w:rFonts w:ascii="Cambria" w:eastAsia="Times New Roman" w:hAnsi="Cambria" w:cs="Tahoma"/>
          <w:color w:val="000000"/>
          <w:sz w:val="16"/>
          <w:szCs w:val="16"/>
          <w:lang w:val="es-ES" w:eastAsia="es-ES"/>
        </w:rPr>
      </w:pPr>
      <w:r w:rsidRPr="00CE4228">
        <w:rPr>
          <w:rStyle w:val="FootnoteReference"/>
          <w:rFonts w:ascii="Cambria" w:hAnsi="Cambria"/>
          <w:sz w:val="16"/>
          <w:szCs w:val="16"/>
        </w:rPr>
        <w:footnoteRef/>
      </w:r>
      <w:r w:rsidRPr="00CE4228">
        <w:rPr>
          <w:rFonts w:ascii="Cambria" w:hAnsi="Cambria"/>
          <w:sz w:val="16"/>
          <w:szCs w:val="16"/>
          <w:lang w:val="es-ES"/>
        </w:rPr>
        <w:t xml:space="preserve"> El artículo 7 de la Convención Americana establece, en lo pertinente: </w:t>
      </w:r>
      <w:r w:rsidRPr="00CE4228">
        <w:rPr>
          <w:rFonts w:ascii="Cambria" w:eastAsia="Times New Roman" w:hAnsi="Cambria" w:cs="Tahoma"/>
          <w:color w:val="000000"/>
          <w:sz w:val="16"/>
          <w:szCs w:val="16"/>
          <w:lang w:val="es-ES" w:eastAsia="es-ES"/>
        </w:rPr>
        <w:t> </w:t>
      </w:r>
    </w:p>
    <w:p w:rsidR="00BB0B93" w:rsidRPr="00CE4228" w:rsidRDefault="00BB0B93" w:rsidP="00CE4228">
      <w:pPr>
        <w:pStyle w:val="NormalWeb"/>
        <w:tabs>
          <w:tab w:val="left" w:pos="90"/>
        </w:tabs>
        <w:spacing w:before="0" w:beforeAutospacing="0" w:after="0" w:afterAutospacing="0"/>
        <w:ind w:right="75"/>
        <w:jc w:val="both"/>
        <w:rPr>
          <w:rFonts w:ascii="Cambria" w:eastAsia="Times New Roman" w:hAnsi="Cambria" w:cs="Tahoma"/>
          <w:color w:val="000000"/>
          <w:sz w:val="16"/>
          <w:szCs w:val="16"/>
          <w:lang w:val="es-ES" w:eastAsia="es-ES"/>
        </w:rPr>
      </w:pPr>
      <w:r w:rsidRPr="00CE4228">
        <w:rPr>
          <w:rFonts w:ascii="Cambria" w:eastAsia="Times New Roman" w:hAnsi="Cambria" w:cs="Tahoma"/>
          <w:color w:val="000000"/>
          <w:sz w:val="16"/>
          <w:szCs w:val="16"/>
          <w:lang w:val="es-ES" w:eastAsia="es-ES"/>
        </w:rPr>
        <w:t xml:space="preserve">1. Toda persona tiene derecho a la libertad y a </w:t>
      </w:r>
      <w:proofErr w:type="gramStart"/>
      <w:r w:rsidRPr="00CE4228">
        <w:rPr>
          <w:rFonts w:ascii="Cambria" w:eastAsia="Times New Roman" w:hAnsi="Cambria" w:cs="Tahoma"/>
          <w:color w:val="000000"/>
          <w:sz w:val="16"/>
          <w:szCs w:val="16"/>
          <w:lang w:val="es-ES" w:eastAsia="es-ES"/>
        </w:rPr>
        <w:t>la seguridad personales</w:t>
      </w:r>
      <w:proofErr w:type="gramEnd"/>
      <w:r w:rsidRPr="00CE4228">
        <w:rPr>
          <w:rFonts w:ascii="Cambria" w:eastAsia="Times New Roman" w:hAnsi="Cambria" w:cs="Tahoma"/>
          <w:color w:val="000000"/>
          <w:sz w:val="16"/>
          <w:szCs w:val="16"/>
          <w:lang w:val="es-ES" w:eastAsia="es-ES"/>
        </w:rPr>
        <w:t>.</w:t>
      </w:r>
    </w:p>
    <w:p w:rsidR="00BB0B93" w:rsidRPr="00CE4228" w:rsidRDefault="00BB0B93" w:rsidP="00CE4228">
      <w:pPr>
        <w:pStyle w:val="NormalWeb"/>
        <w:tabs>
          <w:tab w:val="left" w:pos="90"/>
        </w:tabs>
        <w:spacing w:before="0" w:beforeAutospacing="0" w:after="0" w:afterAutospacing="0"/>
        <w:ind w:right="75"/>
        <w:jc w:val="both"/>
        <w:rPr>
          <w:rFonts w:ascii="Cambria" w:eastAsia="Times New Roman" w:hAnsi="Cambria" w:cs="Tahoma"/>
          <w:color w:val="000000"/>
          <w:sz w:val="16"/>
          <w:szCs w:val="16"/>
          <w:lang w:val="es-ES" w:eastAsia="es-ES"/>
        </w:rPr>
      </w:pPr>
      <w:r w:rsidRPr="00CE4228">
        <w:rPr>
          <w:rFonts w:ascii="Cambria" w:eastAsia="Times New Roman" w:hAnsi="Cambria" w:cs="Tahoma"/>
          <w:color w:val="000000"/>
          <w:sz w:val="16"/>
          <w:szCs w:val="16"/>
          <w:lang w:val="es-ES" w:eastAsia="es-ES"/>
        </w:rPr>
        <w:t>2. Nadie puede ser privado de su libertad física, salvo por las causas y en las condiciones fijadas de antemano por las Constituciones Políticas de los Estados Partes o por las leyes dictadas conforme a ellas.</w:t>
      </w:r>
    </w:p>
    <w:p w:rsidR="00BB0B93" w:rsidRPr="00CE4228" w:rsidRDefault="00BB0B93" w:rsidP="00CE4228">
      <w:pPr>
        <w:pStyle w:val="NormalWeb"/>
        <w:tabs>
          <w:tab w:val="left" w:pos="90"/>
        </w:tabs>
        <w:spacing w:before="0" w:beforeAutospacing="0" w:after="0" w:afterAutospacing="0"/>
        <w:ind w:right="75"/>
        <w:jc w:val="both"/>
        <w:rPr>
          <w:rFonts w:ascii="Cambria" w:eastAsia="Times New Roman" w:hAnsi="Cambria" w:cs="Tahoma"/>
          <w:color w:val="000000"/>
          <w:sz w:val="16"/>
          <w:szCs w:val="16"/>
          <w:lang w:val="es-ES" w:eastAsia="es-ES"/>
        </w:rPr>
      </w:pPr>
      <w:r w:rsidRPr="00CE4228">
        <w:rPr>
          <w:rFonts w:ascii="Cambria" w:eastAsia="Times New Roman" w:hAnsi="Cambria" w:cs="Tahoma"/>
          <w:color w:val="000000"/>
          <w:sz w:val="16"/>
          <w:szCs w:val="16"/>
          <w:lang w:val="es-ES" w:eastAsia="es-ES"/>
        </w:rPr>
        <w:t>3. Nadie puede ser sometido a detención o encarcelamiento arbitrarios. (…)</w:t>
      </w:r>
    </w:p>
  </w:footnote>
  <w:footnote w:id="226">
    <w:p w:rsidR="00BB0B93" w:rsidRPr="00CE4228" w:rsidRDefault="00BB0B93" w:rsidP="00CE4228">
      <w:pPr>
        <w:tabs>
          <w:tab w:val="left" w:pos="90"/>
          <w:tab w:val="left" w:pos="360"/>
        </w:tabs>
        <w:suppressAutoHyphens/>
        <w:jc w:val="both"/>
        <w:rPr>
          <w:rFonts w:ascii="Cambria" w:hAnsi="Cambria"/>
          <w:b/>
          <w:spacing w:val="-3"/>
          <w:sz w:val="16"/>
          <w:szCs w:val="16"/>
          <w:lang w:val="es-ES"/>
        </w:rPr>
      </w:pPr>
      <w:r w:rsidRPr="00CE4228">
        <w:rPr>
          <w:rFonts w:ascii="Cambria" w:hAnsi="Cambria"/>
          <w:sz w:val="16"/>
          <w:szCs w:val="16"/>
          <w:lang w:val="es-ES"/>
        </w:rPr>
        <w:tab/>
      </w:r>
      <w:r w:rsidRPr="00CE4228">
        <w:rPr>
          <w:rStyle w:val="FootnoteReference"/>
          <w:rFonts w:ascii="Cambria" w:hAnsi="Cambria"/>
          <w:sz w:val="16"/>
          <w:szCs w:val="16"/>
        </w:rPr>
        <w:footnoteRef/>
      </w:r>
      <w:r w:rsidRPr="00CE4228">
        <w:rPr>
          <w:rFonts w:ascii="Cambria" w:hAnsi="Cambria"/>
          <w:sz w:val="16"/>
          <w:szCs w:val="16"/>
          <w:lang w:val="es-ES"/>
        </w:rPr>
        <w:t xml:space="preserve"> El artículo 5.1 de la Convención Americana señala, en lo pertinente: </w:t>
      </w:r>
      <w:r w:rsidRPr="00CE4228">
        <w:rPr>
          <w:rFonts w:ascii="Cambria" w:hAnsi="Cambria"/>
          <w:spacing w:val="-3"/>
          <w:sz w:val="16"/>
          <w:szCs w:val="16"/>
          <w:lang w:val="es-ES"/>
        </w:rPr>
        <w:t>1.</w:t>
      </w:r>
      <w:r w:rsidRPr="00CE4228">
        <w:rPr>
          <w:rFonts w:ascii="Cambria" w:hAnsi="Cambria"/>
          <w:spacing w:val="-3"/>
          <w:sz w:val="16"/>
          <w:szCs w:val="16"/>
          <w:lang w:val="es-ES"/>
        </w:rPr>
        <w:tab/>
        <w:t>Toda persona tiene derecho a que se respete su integridad física, psíquica y moral</w:t>
      </w:r>
      <w:r w:rsidRPr="00CE4228">
        <w:rPr>
          <w:rFonts w:ascii="Cambria" w:hAnsi="Cambria"/>
          <w:sz w:val="16"/>
          <w:szCs w:val="16"/>
          <w:lang w:val="es-ES"/>
        </w:rPr>
        <w:t xml:space="preserve"> (…).</w:t>
      </w:r>
    </w:p>
  </w:footnote>
  <w:footnote w:id="22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El artículo 26 de la Convención Americana establece en lo pertinente: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footnote>
  <w:footnote w:id="228">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sz w:val="16"/>
          <w:szCs w:val="16"/>
        </w:rPr>
        <w:footnoteRef/>
      </w:r>
      <w:r w:rsidRPr="00CE4228">
        <w:rPr>
          <w:rFonts w:ascii="Cambria" w:hAnsi="Cambria"/>
          <w:sz w:val="16"/>
          <w:szCs w:val="16"/>
          <w:lang w:val="es-CO"/>
        </w:rPr>
        <w:t xml:space="preserve"> El artículo 13 de la Convención Americana señala en lo pertinente: 1. </w:t>
      </w:r>
      <w:r w:rsidRPr="00CE4228">
        <w:rPr>
          <w:rFonts w:ascii="Cambria" w:hAnsi="Cambria"/>
          <w:spacing w:val="-3"/>
          <w:sz w:val="16"/>
          <w:szCs w:val="16"/>
          <w:lang w:val="es-ES"/>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229">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Style w:val="FootnoteReference"/>
          <w:rFonts w:ascii="Cambria" w:hAnsi="Cambria"/>
          <w:sz w:val="16"/>
          <w:szCs w:val="16"/>
          <w:lang w:val="es-PE"/>
        </w:rPr>
        <w:t xml:space="preserve"> </w:t>
      </w:r>
      <w:r w:rsidRPr="00CE4228">
        <w:rPr>
          <w:rFonts w:ascii="Cambria" w:hAnsi="Cambria"/>
          <w:sz w:val="16"/>
          <w:szCs w:val="16"/>
          <w:lang w:val="es-PE"/>
        </w:rPr>
        <w:t xml:space="preserve"> </w:t>
      </w:r>
      <w:r w:rsidRPr="00CE4228">
        <w:rPr>
          <w:rFonts w:ascii="Cambria" w:hAnsi="Cambria"/>
          <w:spacing w:val="-3"/>
          <w:sz w:val="16"/>
          <w:szCs w:val="16"/>
          <w:lang w:val="es-ES"/>
        </w:rPr>
        <w:t>El artículo 24 de la Convención Americana establece en lo pertinente: Todas las personas son iguales ante la ley. En consecuencia, tienen derecho, sin discriminación, a igual protección de la ley.</w:t>
      </w:r>
    </w:p>
  </w:footnote>
  <w:footnote w:id="23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CIDH, Informe No. 7/14, Caso 12.739, Fondo, María Inés Chinchilla Sandoval y otros, Guatemala, 2 de abril de 2014, párr. 157. Corte IDH. </w:t>
      </w:r>
      <w:r w:rsidRPr="00CE4228">
        <w:rPr>
          <w:rStyle w:val="Strong"/>
          <w:rFonts w:ascii="Cambria" w:hAnsi="Cambria"/>
          <w:b w:val="0"/>
          <w:i/>
          <w:sz w:val="16"/>
          <w:szCs w:val="16"/>
          <w:shd w:val="clear" w:color="auto" w:fill="FFFFFF"/>
          <w:lang w:val="es-ES"/>
        </w:rPr>
        <w:t xml:space="preserve">Caso </w:t>
      </w:r>
      <w:proofErr w:type="spellStart"/>
      <w:r w:rsidRPr="00CE4228">
        <w:rPr>
          <w:rStyle w:val="Strong"/>
          <w:rFonts w:ascii="Cambria" w:hAnsi="Cambria"/>
          <w:b w:val="0"/>
          <w:i/>
          <w:sz w:val="16"/>
          <w:szCs w:val="16"/>
          <w:shd w:val="clear" w:color="auto" w:fill="FFFFFF"/>
          <w:lang w:val="es-ES"/>
        </w:rPr>
        <w:t>Furlan</w:t>
      </w:r>
      <w:proofErr w:type="spellEnd"/>
      <w:r w:rsidRPr="00CE4228">
        <w:rPr>
          <w:rStyle w:val="Strong"/>
          <w:rFonts w:ascii="Cambria" w:hAnsi="Cambria"/>
          <w:b w:val="0"/>
          <w:i/>
          <w:sz w:val="16"/>
          <w:szCs w:val="16"/>
          <w:shd w:val="clear" w:color="auto" w:fill="FFFFFF"/>
          <w:lang w:val="es-ES"/>
        </w:rPr>
        <w:t xml:space="preserve"> y familiares Vs. Argentina</w:t>
      </w:r>
      <w:r w:rsidRPr="00CE4228">
        <w:rPr>
          <w:rStyle w:val="Strong"/>
          <w:rFonts w:ascii="Cambria" w:hAnsi="Cambria"/>
          <w:b w:val="0"/>
          <w:sz w:val="16"/>
          <w:szCs w:val="16"/>
          <w:shd w:val="clear" w:color="auto" w:fill="FFFFFF"/>
          <w:lang w:val="es-ES"/>
        </w:rPr>
        <w:t>. Excepciones Preliminares, Fondo, Reparaciones y Costas. Sentencia de 31 de agosto de 2012. Serie C No. 246, párr. 128.</w:t>
      </w:r>
    </w:p>
  </w:footnote>
  <w:footnote w:id="23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CIDH, Informe No. 7/14, Caso 12.739, Fondo, María Inés Chinchilla Sandoval y otros, Guatemala, 2 de abril de 2014, párr. 158. </w:t>
      </w:r>
    </w:p>
  </w:footnote>
  <w:footnote w:id="23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CIDH, Informe No. 7/14, Caso 12.739, Fondo, María Inés Chinchilla Sandoval y otros, Guatemala, 2 de abril de 2014, párr. 158. </w:t>
      </w:r>
    </w:p>
  </w:footnote>
  <w:footnote w:id="233">
    <w:p w:rsidR="00BB0B93" w:rsidRPr="00CE4228" w:rsidRDefault="00BB0B93" w:rsidP="00CE4228">
      <w:pPr>
        <w:tabs>
          <w:tab w:val="left" w:pos="90"/>
        </w:tabs>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Fonts w:ascii="Cambria" w:hAnsi="Cambria" w:cs="Arial"/>
          <w:sz w:val="16"/>
          <w:szCs w:val="16"/>
          <w:lang w:val="es-ES_tradnl"/>
        </w:rPr>
        <w:t xml:space="preserve">Corte IDH. </w:t>
      </w:r>
      <w:r w:rsidRPr="00CE4228">
        <w:rPr>
          <w:rFonts w:ascii="Cambria" w:hAnsi="Cambria" w:cs="Arial"/>
          <w:i/>
          <w:sz w:val="16"/>
          <w:szCs w:val="16"/>
          <w:lang w:val="es-ES_tradnl"/>
        </w:rPr>
        <w:t xml:space="preserve">Caso </w:t>
      </w:r>
      <w:proofErr w:type="spellStart"/>
      <w:r w:rsidRPr="00CE4228">
        <w:rPr>
          <w:rFonts w:ascii="Cambria" w:hAnsi="Cambria" w:cs="Arial"/>
          <w:i/>
          <w:sz w:val="16"/>
          <w:szCs w:val="16"/>
          <w:lang w:val="es-ES_tradnl"/>
        </w:rPr>
        <w:t>Furlan</w:t>
      </w:r>
      <w:proofErr w:type="spellEnd"/>
      <w:r w:rsidRPr="00CE4228">
        <w:rPr>
          <w:rFonts w:ascii="Cambria" w:hAnsi="Cambria" w:cs="Arial"/>
          <w:i/>
          <w:sz w:val="16"/>
          <w:szCs w:val="16"/>
          <w:lang w:val="es-ES_tradnl"/>
        </w:rPr>
        <w:t xml:space="preserve"> y Familiares Vs. Argentina</w:t>
      </w:r>
      <w:r w:rsidRPr="00CE4228">
        <w:rPr>
          <w:rFonts w:ascii="Cambria" w:hAnsi="Cambria" w:cs="Arial"/>
          <w:sz w:val="16"/>
          <w:szCs w:val="16"/>
          <w:lang w:val="es-ES_tradnl"/>
        </w:rPr>
        <w:t xml:space="preserve">. Excepciones Preliminares, Fondo, Reparaciones y Costas. </w:t>
      </w:r>
      <w:r w:rsidRPr="00CE4228">
        <w:rPr>
          <w:rFonts w:ascii="Cambria" w:hAnsi="Cambria" w:cs="Arial"/>
          <w:sz w:val="16"/>
          <w:szCs w:val="16"/>
          <w:lang w:val="es-PE"/>
        </w:rPr>
        <w:t>Sentencia de 31 de agosto de 2012. Serie C No. 246, párr. 134.</w:t>
      </w:r>
    </w:p>
  </w:footnote>
  <w:footnote w:id="23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Corte IDH. </w:t>
      </w:r>
      <w:r w:rsidRPr="00CE4228">
        <w:rPr>
          <w:rStyle w:val="Strong"/>
          <w:rFonts w:ascii="Cambria" w:hAnsi="Cambria"/>
          <w:b w:val="0"/>
          <w:i/>
          <w:sz w:val="16"/>
          <w:szCs w:val="16"/>
          <w:shd w:val="clear" w:color="auto" w:fill="FFFFFF"/>
          <w:lang w:val="es-ES"/>
        </w:rPr>
        <w:t>Caso Chinchilla Sandoval Vs. Guatemala</w:t>
      </w:r>
      <w:r w:rsidRPr="00CE4228">
        <w:rPr>
          <w:rStyle w:val="Strong"/>
          <w:rFonts w:ascii="Cambria" w:hAnsi="Cambria"/>
          <w:b w:val="0"/>
          <w:sz w:val="16"/>
          <w:szCs w:val="16"/>
          <w:shd w:val="clear" w:color="auto" w:fill="FFFFFF"/>
          <w:lang w:val="es-ES"/>
        </w:rPr>
        <w:t>. Excepción Preliminar, Fondo, Reparaciones y Costas. Sentencia de 29 de febrero de 2016. Serie C No. 312, párr. 208.</w:t>
      </w:r>
    </w:p>
  </w:footnote>
  <w:footnote w:id="23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Corte IDH. </w:t>
      </w:r>
      <w:r w:rsidRPr="00CE4228">
        <w:rPr>
          <w:rStyle w:val="Strong"/>
          <w:rFonts w:ascii="Cambria" w:hAnsi="Cambria"/>
          <w:b w:val="0"/>
          <w:i/>
          <w:sz w:val="16"/>
          <w:szCs w:val="16"/>
          <w:shd w:val="clear" w:color="auto" w:fill="FFFFFF"/>
          <w:lang w:val="es-ES"/>
        </w:rPr>
        <w:t>Caso Chinchilla Sandoval Vs. Guatemala</w:t>
      </w:r>
      <w:r w:rsidRPr="00CE4228">
        <w:rPr>
          <w:rStyle w:val="Strong"/>
          <w:rFonts w:ascii="Cambria" w:hAnsi="Cambria"/>
          <w:b w:val="0"/>
          <w:sz w:val="16"/>
          <w:szCs w:val="16"/>
          <w:shd w:val="clear" w:color="auto" w:fill="FFFFFF"/>
          <w:lang w:val="es-ES"/>
        </w:rPr>
        <w:t>. Excepción Preliminar, Fondo, Reparaciones y Costas. Sentencia de 29 de febrero de 2016. Serie C No. 312, párr. 208.</w:t>
      </w:r>
    </w:p>
  </w:footnote>
  <w:footnote w:id="23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de Derechos Económicos, Sociales y Culturales, Observación General No. 5, 1994, párr. 13.</w:t>
      </w:r>
    </w:p>
  </w:footnote>
  <w:footnote w:id="23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Información disponible en la página web del Departamento de Derecho Internacional de la Organización de Estados Americanos: http://www.oas.org/juridico/spanish/firmas/a-65.html</w:t>
      </w:r>
    </w:p>
  </w:footnote>
  <w:footnote w:id="238">
    <w:p w:rsidR="00BB0B93" w:rsidRPr="00CE4228" w:rsidRDefault="00BB0B93" w:rsidP="00CE4228">
      <w:pPr>
        <w:pStyle w:val="FootnoteText"/>
        <w:tabs>
          <w:tab w:val="left" w:pos="90"/>
        </w:tabs>
        <w:jc w:val="both"/>
        <w:rPr>
          <w:rFonts w:ascii="Cambria" w:hAnsi="Cambria"/>
          <w:sz w:val="16"/>
          <w:szCs w:val="16"/>
          <w:lang w:val="fr-CA"/>
        </w:rPr>
      </w:pPr>
      <w:r w:rsidRPr="00CE4228">
        <w:rPr>
          <w:rStyle w:val="FootnoteReference"/>
          <w:rFonts w:ascii="Cambria" w:hAnsi="Cambria"/>
          <w:sz w:val="16"/>
          <w:szCs w:val="16"/>
        </w:rPr>
        <w:footnoteRef/>
      </w:r>
      <w:r w:rsidRPr="00CE4228">
        <w:rPr>
          <w:rFonts w:ascii="Cambria" w:hAnsi="Cambria"/>
          <w:sz w:val="16"/>
          <w:szCs w:val="16"/>
          <w:lang w:val="fr-CA"/>
        </w:rPr>
        <w:t xml:space="preserve"> </w:t>
      </w:r>
      <w:proofErr w:type="spellStart"/>
      <w:r w:rsidRPr="00CE4228">
        <w:rPr>
          <w:rFonts w:ascii="Cambria" w:hAnsi="Cambria"/>
          <w:sz w:val="16"/>
          <w:szCs w:val="16"/>
          <w:lang w:val="fr-CA"/>
        </w:rPr>
        <w:t>Véase</w:t>
      </w:r>
      <w:proofErr w:type="spellEnd"/>
      <w:r w:rsidRPr="00CE4228">
        <w:rPr>
          <w:rFonts w:ascii="Cambria" w:hAnsi="Cambria"/>
          <w:sz w:val="16"/>
          <w:szCs w:val="16"/>
          <w:lang w:val="fr-CA"/>
        </w:rPr>
        <w:t>: https://treaties.un.org/Pages/ViewDetails.aspx?src=TREATY&amp;mtdsg_no=IV-15&amp;chapter=4&amp;clang=_en</w:t>
      </w:r>
    </w:p>
  </w:footnote>
  <w:footnote w:id="23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Convención sobre los Derechos de las Personas con Discapacidad. Artículo 1.</w:t>
      </w:r>
    </w:p>
  </w:footnote>
  <w:footnote w:id="24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Fonts w:ascii="Cambria" w:hAnsi="Cambria" w:cs="Arial"/>
          <w:sz w:val="16"/>
          <w:szCs w:val="16"/>
          <w:lang w:val="es-ES_tradnl"/>
        </w:rPr>
        <w:t xml:space="preserve">Corte IDH. </w:t>
      </w:r>
      <w:r w:rsidRPr="00CE4228">
        <w:rPr>
          <w:rFonts w:ascii="Cambria" w:hAnsi="Cambria" w:cs="Arial"/>
          <w:i/>
          <w:sz w:val="16"/>
          <w:szCs w:val="16"/>
          <w:lang w:val="es-ES_tradnl"/>
        </w:rPr>
        <w:t xml:space="preserve">Caso </w:t>
      </w:r>
      <w:proofErr w:type="spellStart"/>
      <w:r w:rsidRPr="00CE4228">
        <w:rPr>
          <w:rFonts w:ascii="Cambria" w:hAnsi="Cambria" w:cs="Arial"/>
          <w:i/>
          <w:sz w:val="16"/>
          <w:szCs w:val="16"/>
          <w:lang w:val="es-ES_tradnl"/>
        </w:rPr>
        <w:t>Furlan</w:t>
      </w:r>
      <w:proofErr w:type="spellEnd"/>
      <w:r w:rsidRPr="00CE4228">
        <w:rPr>
          <w:rFonts w:ascii="Cambria" w:hAnsi="Cambria" w:cs="Arial"/>
          <w:i/>
          <w:sz w:val="16"/>
          <w:szCs w:val="16"/>
          <w:lang w:val="es-ES_tradnl"/>
        </w:rPr>
        <w:t xml:space="preserve"> y Familiares Vs. Argentina</w:t>
      </w:r>
      <w:r w:rsidRPr="00CE4228">
        <w:rPr>
          <w:rFonts w:ascii="Cambria" w:hAnsi="Cambria" w:cs="Arial"/>
          <w:sz w:val="16"/>
          <w:szCs w:val="16"/>
          <w:lang w:val="es-ES_tradnl"/>
        </w:rPr>
        <w:t xml:space="preserve">. Excepciones Preliminares, Fondo, Reparaciones y Costas. </w:t>
      </w:r>
      <w:r w:rsidRPr="00CE4228">
        <w:rPr>
          <w:rFonts w:ascii="Cambria" w:hAnsi="Cambria" w:cs="Arial"/>
          <w:sz w:val="16"/>
          <w:szCs w:val="16"/>
          <w:lang w:val="es-ES"/>
        </w:rPr>
        <w:t>Sentencia de 31 de agosto de 2012. Serie C No. 246, párr. 133.</w:t>
      </w:r>
    </w:p>
  </w:footnote>
  <w:footnote w:id="241">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hAnsi="Cambria"/>
          <w:sz w:val="16"/>
          <w:szCs w:val="16"/>
          <w:lang w:val="es-ES"/>
        </w:rPr>
        <w:t>CIDH. Informe sobre Pobreza y Derechos Humanos en las Américas, 7 de septiembre de 2017, párr. 160</w:t>
      </w:r>
    </w:p>
  </w:footnote>
  <w:footnote w:id="242">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Style w:val="FootnoteReference"/>
          <w:rFonts w:ascii="Cambria" w:hAnsi="Cambria"/>
          <w:sz w:val="16"/>
          <w:szCs w:val="16"/>
          <w:lang w:val="es-PE"/>
        </w:rPr>
        <w:t xml:space="preserve"> </w:t>
      </w:r>
      <w:r w:rsidRPr="00CE4228">
        <w:rPr>
          <w:rFonts w:ascii="Cambria" w:hAnsi="Cambria"/>
          <w:sz w:val="16"/>
          <w:szCs w:val="16"/>
          <w:lang w:val="es-ES"/>
        </w:rPr>
        <w:t>CIDH. Informe sobre Pobreza y Derechos Humanos en las Américas. 7 de septiembre de 2017, párr. 432</w:t>
      </w:r>
    </w:p>
  </w:footnote>
  <w:footnote w:id="243">
    <w:p w:rsidR="00BB0B93" w:rsidRPr="00CE4228" w:rsidRDefault="00BB0B93" w:rsidP="00CE4228">
      <w:pPr>
        <w:jc w:val="both"/>
        <w:rPr>
          <w:rFonts w:ascii="Cambria" w:hAnsi="Cambria" w:cs="Arial"/>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Fonts w:ascii="Cambria" w:hAnsi="Cambria" w:cs="Arial"/>
          <w:sz w:val="16"/>
          <w:szCs w:val="16"/>
          <w:lang w:val="es-ES"/>
        </w:rPr>
        <w:t>CIDH, Acceso a la Justicia para las Mujeres Víctimas de Violencia en las Américas, 20 de enero de 2007, párrs. 100 y 101.</w:t>
      </w:r>
      <w:r w:rsidRPr="00CE4228">
        <w:rPr>
          <w:rFonts w:ascii="Cambria" w:hAnsi="Cambria"/>
          <w:sz w:val="16"/>
          <w:szCs w:val="16"/>
          <w:lang w:val="es-ES"/>
        </w:rPr>
        <w:t xml:space="preserve"> CIDH. Consideraciones sobre la compatibilidad de las medidas de acción afirmativa concebidas para promover la participación política de la mujer con los principios de igualdad y no discriminación, Informe Anual, 1999, 13 abril 2000, Capítulo VI.</w:t>
      </w:r>
    </w:p>
  </w:footnote>
  <w:footnote w:id="244">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Corte IDH. </w:t>
      </w:r>
      <w:r w:rsidRPr="00CE4228">
        <w:rPr>
          <w:rFonts w:ascii="Cambria" w:hAnsi="Cambria"/>
          <w:iCs/>
          <w:sz w:val="16"/>
          <w:szCs w:val="16"/>
          <w:lang w:val="es-ES"/>
        </w:rPr>
        <w:t>Condición Jurídica y Derechos de los Migrantes Indocumentados.</w:t>
      </w:r>
      <w:r w:rsidRPr="00CE4228">
        <w:rPr>
          <w:rFonts w:ascii="Cambria" w:hAnsi="Cambria"/>
          <w:sz w:val="16"/>
          <w:szCs w:val="16"/>
          <w:lang w:val="es-ES"/>
        </w:rPr>
        <w:t xml:space="preserve"> Opinión Consultiva OC-18/03 de 17 de septiembre  de 2003. Serie A No. 18, párr. 104. </w:t>
      </w:r>
    </w:p>
  </w:footnote>
  <w:footnote w:id="24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Oficina del Alto Comisionado de las Naciones Unidas para los Derechos Humanos, Manual para Parlamentarios sobre la Convención sobre los Derechos de las Personas con Discapacidad y su Protocolo Facultativo, Ginebra, 2007. p.20.</w:t>
      </w:r>
    </w:p>
  </w:footnote>
  <w:footnote w:id="24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pt-BR"/>
        </w:rPr>
        <w:t xml:space="preserve"> Corte IDH. Caso Bámaca Velásquez vs. Guatemala. </w:t>
      </w:r>
      <w:r w:rsidRPr="00CE4228">
        <w:rPr>
          <w:rFonts w:ascii="Cambria" w:hAnsi="Cambria"/>
          <w:sz w:val="16"/>
          <w:szCs w:val="16"/>
          <w:lang w:val="es-ES"/>
        </w:rPr>
        <w:t>Sentencia de 25 de noviembre de 2000. Serie C No. 70, párr. 179.</w:t>
      </w:r>
    </w:p>
  </w:footnote>
  <w:footnote w:id="24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Caso de las Niñas </w:t>
      </w:r>
      <w:proofErr w:type="spellStart"/>
      <w:r w:rsidRPr="00CE4228">
        <w:rPr>
          <w:rFonts w:ascii="Cambria" w:hAnsi="Cambria"/>
          <w:i/>
          <w:sz w:val="16"/>
          <w:szCs w:val="16"/>
          <w:lang w:val="es-ES"/>
        </w:rPr>
        <w:t>Yean</w:t>
      </w:r>
      <w:proofErr w:type="spellEnd"/>
      <w:r w:rsidRPr="00CE4228">
        <w:rPr>
          <w:rFonts w:ascii="Cambria" w:hAnsi="Cambria"/>
          <w:i/>
          <w:sz w:val="16"/>
          <w:szCs w:val="16"/>
          <w:lang w:val="es-ES"/>
        </w:rPr>
        <w:t xml:space="preserve"> y </w:t>
      </w:r>
      <w:proofErr w:type="spellStart"/>
      <w:r w:rsidRPr="00CE4228">
        <w:rPr>
          <w:rFonts w:ascii="Cambria" w:hAnsi="Cambria"/>
          <w:i/>
          <w:sz w:val="16"/>
          <w:szCs w:val="16"/>
          <w:lang w:val="es-ES"/>
        </w:rPr>
        <w:t>Bosico</w:t>
      </w:r>
      <w:proofErr w:type="spellEnd"/>
      <w:r w:rsidRPr="00CE4228">
        <w:rPr>
          <w:rFonts w:ascii="Cambria" w:hAnsi="Cambria"/>
          <w:i/>
          <w:sz w:val="16"/>
          <w:szCs w:val="16"/>
          <w:lang w:val="es-ES"/>
        </w:rPr>
        <w:t xml:space="preserve"> vs. República Dominicana</w:t>
      </w:r>
      <w:r w:rsidRPr="00CE4228">
        <w:rPr>
          <w:rFonts w:ascii="Cambria" w:hAnsi="Cambria"/>
          <w:sz w:val="16"/>
          <w:szCs w:val="16"/>
          <w:lang w:val="es-ES"/>
        </w:rPr>
        <w:t>. Excepciones Preliminares, Fondo, Reparaciones y Costas. Sentencia de 8 de septiembre de 2005. Serie C No. 130, párr. 177.</w:t>
      </w:r>
    </w:p>
  </w:footnote>
  <w:footnote w:id="24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7.</w:t>
      </w:r>
    </w:p>
  </w:footnote>
  <w:footnote w:id="24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8.</w:t>
      </w:r>
    </w:p>
  </w:footnote>
  <w:footnote w:id="25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5.</w:t>
      </w:r>
    </w:p>
  </w:footnote>
  <w:footnote w:id="25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9.</w:t>
      </w:r>
    </w:p>
  </w:footnote>
  <w:footnote w:id="25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13.</w:t>
      </w:r>
    </w:p>
  </w:footnote>
  <w:footnote w:id="25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7.</w:t>
      </w:r>
    </w:p>
  </w:footnote>
  <w:footnote w:id="25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7.</w:t>
      </w:r>
    </w:p>
  </w:footnote>
  <w:footnote w:id="25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9.</w:t>
      </w:r>
    </w:p>
  </w:footnote>
  <w:footnote w:id="25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Alta Comisionada para los Derechos Humanos. De la exclusión a la igualdad. Hacia el pleno ejercicio de los derechos de las personas con discapacidad. Ginebra: Naciones Unidas. 2007, p. 97. </w:t>
      </w:r>
    </w:p>
  </w:footnote>
  <w:footnote w:id="25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párrs. 16 y 20.</w:t>
      </w:r>
    </w:p>
  </w:footnote>
  <w:footnote w:id="25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26.</w:t>
      </w:r>
    </w:p>
  </w:footnote>
  <w:footnote w:id="25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(Corte Europea de Derechos Humanos), A.N. Vs. </w:t>
      </w:r>
      <w:r w:rsidRPr="008A084A">
        <w:rPr>
          <w:rFonts w:ascii="Cambria" w:hAnsi="Cambria"/>
          <w:sz w:val="16"/>
          <w:szCs w:val="16"/>
          <w:lang w:val="es-ES"/>
        </w:rPr>
        <w:t xml:space="preserve">Lituania. Sentencia de 31 de agosto de 2016, párr. </w:t>
      </w:r>
      <w:r w:rsidRPr="00CE4228">
        <w:rPr>
          <w:rFonts w:ascii="Cambria" w:hAnsi="Cambria"/>
          <w:sz w:val="16"/>
          <w:szCs w:val="16"/>
          <w:lang w:val="es-ES"/>
        </w:rPr>
        <w:t>90.</w:t>
      </w:r>
      <w:r w:rsidRPr="00CE4228">
        <w:rPr>
          <w:rFonts w:ascii="Cambria" w:hAnsi="Cambria"/>
          <w:sz w:val="16"/>
          <w:szCs w:val="16"/>
          <w:lang w:val="es-ES"/>
        </w:rPr>
        <w:tab/>
      </w:r>
    </w:p>
  </w:footnote>
  <w:footnote w:id="26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8A084A">
        <w:rPr>
          <w:rFonts w:ascii="Cambria" w:hAnsi="Cambria"/>
          <w:sz w:val="16"/>
          <w:szCs w:val="16"/>
          <w:lang w:val="es-ES"/>
        </w:rPr>
        <w:t xml:space="preserve"> Corte,</w:t>
      </w:r>
      <w:r w:rsidRPr="008A084A">
        <w:rPr>
          <w:rStyle w:val="Hyperlink"/>
          <w:rFonts w:ascii="Cambria" w:hAnsi="Cambria"/>
          <w:sz w:val="16"/>
          <w:szCs w:val="16"/>
          <w:u w:val="none"/>
          <w:shd w:val="clear" w:color="auto" w:fill="FFFFFF"/>
          <w:lang w:val="es-ES"/>
        </w:rPr>
        <w:t xml:space="preserve"> </w:t>
      </w:r>
      <w:r w:rsidRPr="008A084A">
        <w:rPr>
          <w:rStyle w:val="Strong"/>
          <w:rFonts w:ascii="Cambria" w:hAnsi="Cambria"/>
          <w:b w:val="0"/>
          <w:i/>
          <w:sz w:val="16"/>
          <w:szCs w:val="16"/>
          <w:shd w:val="clear" w:color="auto" w:fill="FFFFFF"/>
          <w:lang w:val="es-ES"/>
        </w:rPr>
        <w:t>Caso J. Vs. Perú</w:t>
      </w:r>
      <w:r w:rsidRPr="008A084A">
        <w:rPr>
          <w:rStyle w:val="Strong"/>
          <w:rFonts w:ascii="Cambria" w:hAnsi="Cambria"/>
          <w:b w:val="0"/>
          <w:sz w:val="16"/>
          <w:szCs w:val="16"/>
          <w:shd w:val="clear" w:color="auto" w:fill="FFFFFF"/>
          <w:lang w:val="es-ES"/>
        </w:rPr>
        <w:t xml:space="preserve">. </w:t>
      </w:r>
      <w:r w:rsidRPr="00CE4228">
        <w:rPr>
          <w:rStyle w:val="Strong"/>
          <w:rFonts w:ascii="Cambria" w:hAnsi="Cambria"/>
          <w:b w:val="0"/>
          <w:sz w:val="16"/>
          <w:szCs w:val="16"/>
          <w:shd w:val="clear" w:color="auto" w:fill="FFFFFF"/>
          <w:lang w:val="es-ES"/>
        </w:rPr>
        <w:t>Excepción Preliminar, Fondo, Reparaciones y Costas. Sentencia de 27 de noviembre de 2013. Serie C No. 275,</w:t>
      </w:r>
      <w:r w:rsidRPr="00CE4228">
        <w:rPr>
          <w:rFonts w:ascii="Cambria" w:hAnsi="Cambria"/>
          <w:sz w:val="16"/>
          <w:szCs w:val="16"/>
          <w:lang w:val="es-ES"/>
        </w:rPr>
        <w:t xml:space="preserve"> párr. 125.</w:t>
      </w:r>
    </w:p>
  </w:footnote>
  <w:footnote w:id="26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Fonts w:ascii="Cambria" w:hAnsi="Cambria"/>
          <w:bCs/>
          <w:sz w:val="16"/>
          <w:szCs w:val="16"/>
          <w:lang w:val="es-ES"/>
        </w:rPr>
        <w:t xml:space="preserve">Corte IDH. </w:t>
      </w:r>
      <w:r w:rsidRPr="00CE4228">
        <w:rPr>
          <w:rFonts w:ascii="Cambria" w:hAnsi="Cambria"/>
          <w:bCs/>
          <w:i/>
          <w:sz w:val="16"/>
          <w:szCs w:val="16"/>
          <w:lang w:val="es-ES"/>
        </w:rPr>
        <w:t xml:space="preserve">Caso </w:t>
      </w:r>
      <w:proofErr w:type="spellStart"/>
      <w:r w:rsidRPr="00CE4228">
        <w:rPr>
          <w:rFonts w:ascii="Cambria" w:hAnsi="Cambria"/>
          <w:bCs/>
          <w:i/>
          <w:sz w:val="16"/>
          <w:szCs w:val="16"/>
          <w:lang w:val="es-ES"/>
        </w:rPr>
        <w:t>Nadege</w:t>
      </w:r>
      <w:proofErr w:type="spellEnd"/>
      <w:r w:rsidRPr="00CE4228">
        <w:rPr>
          <w:rFonts w:ascii="Cambria" w:hAnsi="Cambria"/>
          <w:bCs/>
          <w:i/>
          <w:sz w:val="16"/>
          <w:szCs w:val="16"/>
          <w:lang w:val="es-ES"/>
        </w:rPr>
        <w:t xml:space="preserve"> </w:t>
      </w:r>
      <w:proofErr w:type="spellStart"/>
      <w:r w:rsidRPr="00CE4228">
        <w:rPr>
          <w:rFonts w:ascii="Cambria" w:hAnsi="Cambria"/>
          <w:bCs/>
          <w:i/>
          <w:sz w:val="16"/>
          <w:szCs w:val="16"/>
          <w:lang w:val="es-ES"/>
        </w:rPr>
        <w:t>Dorzema</w:t>
      </w:r>
      <w:proofErr w:type="spellEnd"/>
      <w:r w:rsidRPr="00CE4228">
        <w:rPr>
          <w:rFonts w:ascii="Cambria" w:hAnsi="Cambria"/>
          <w:bCs/>
          <w:i/>
          <w:sz w:val="16"/>
          <w:szCs w:val="16"/>
          <w:lang w:val="es-ES"/>
        </w:rPr>
        <w:t xml:space="preserve"> y otros Vs. República Dominicana</w:t>
      </w:r>
      <w:r w:rsidRPr="00CE4228">
        <w:rPr>
          <w:rFonts w:ascii="Cambria" w:hAnsi="Cambria"/>
          <w:bCs/>
          <w:sz w:val="16"/>
          <w:szCs w:val="16"/>
          <w:lang w:val="es-ES"/>
        </w:rPr>
        <w:t>. Fondo Reparaciones y Costas. Sentencia de 24 de octubre de 2012. Serie C No. 251, párr. 125.</w:t>
      </w:r>
    </w:p>
  </w:footnote>
  <w:footnote w:id="26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Caso Chaparro Álvarez y Lapo Íñiguez Vs. Ecuador</w:t>
      </w:r>
      <w:r w:rsidRPr="00CE4228">
        <w:rPr>
          <w:rFonts w:ascii="Cambria" w:hAnsi="Cambria"/>
          <w:sz w:val="16"/>
          <w:szCs w:val="16"/>
          <w:lang w:val="es-ES"/>
        </w:rPr>
        <w:t>. Excepciones Preliminares, Fondo, Reparaciones y Costas. Sentencia de 21 de noviembre de 2007. Serie C No. 170, párr. 54.</w:t>
      </w:r>
    </w:p>
  </w:footnote>
  <w:footnote w:id="263">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Fonts w:ascii="Cambria" w:hAnsi="Cambria"/>
          <w:sz w:val="16"/>
          <w:szCs w:val="16"/>
          <w:lang w:val="es-CO"/>
        </w:rPr>
        <w:t>CIDH. Informe sobre la Situación de Derechos Humanos en Guatemala. Aprobado el 31 de diciembre de 2017. Párr. 469. Citando:</w:t>
      </w:r>
      <w:r>
        <w:rPr>
          <w:rFonts w:ascii="Cambria" w:hAnsi="Cambria"/>
          <w:sz w:val="16"/>
          <w:szCs w:val="16"/>
          <w:lang w:val="es-CO"/>
        </w:rPr>
        <w:t xml:space="preserve"> </w:t>
      </w:r>
      <w:r w:rsidRPr="00CE4228">
        <w:rPr>
          <w:rFonts w:ascii="Cambria" w:hAnsi="Cambria"/>
          <w:sz w:val="16"/>
          <w:szCs w:val="16"/>
          <w:lang w:val="es-ES"/>
        </w:rPr>
        <w:t xml:space="preserve">Comité sobre los Derechos de las Personas con Discapacidad de la ONU, </w:t>
      </w:r>
      <w:r w:rsidRPr="00CE4228">
        <w:rPr>
          <w:rFonts w:ascii="Cambria" w:hAnsi="Cambria"/>
          <w:i/>
          <w:sz w:val="16"/>
          <w:szCs w:val="16"/>
          <w:lang w:val="es-ES"/>
        </w:rPr>
        <w:t xml:space="preserve">General </w:t>
      </w:r>
      <w:proofErr w:type="spellStart"/>
      <w:r w:rsidRPr="00CE4228">
        <w:rPr>
          <w:rFonts w:ascii="Cambria" w:hAnsi="Cambria"/>
          <w:i/>
          <w:sz w:val="16"/>
          <w:szCs w:val="16"/>
          <w:lang w:val="es-ES"/>
        </w:rPr>
        <w:t>comment</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on</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article</w:t>
      </w:r>
      <w:proofErr w:type="spellEnd"/>
      <w:r w:rsidRPr="00CE4228">
        <w:rPr>
          <w:rFonts w:ascii="Cambria" w:hAnsi="Cambria"/>
          <w:i/>
          <w:sz w:val="16"/>
          <w:szCs w:val="16"/>
          <w:lang w:val="es-ES"/>
        </w:rPr>
        <w:t xml:space="preserve"> 19: Living </w:t>
      </w:r>
      <w:proofErr w:type="spellStart"/>
      <w:r w:rsidRPr="00CE4228">
        <w:rPr>
          <w:rFonts w:ascii="Cambria" w:hAnsi="Cambria"/>
          <w:i/>
          <w:sz w:val="16"/>
          <w:szCs w:val="16"/>
          <w:lang w:val="es-ES"/>
        </w:rPr>
        <w:t>independently</w:t>
      </w:r>
      <w:proofErr w:type="spellEnd"/>
      <w:r w:rsidRPr="00CE4228">
        <w:rPr>
          <w:rFonts w:ascii="Cambria" w:hAnsi="Cambria"/>
          <w:i/>
          <w:sz w:val="16"/>
          <w:szCs w:val="16"/>
          <w:lang w:val="es-ES"/>
        </w:rPr>
        <w:t xml:space="preserve"> and </w:t>
      </w:r>
      <w:proofErr w:type="spellStart"/>
      <w:r w:rsidRPr="00CE4228">
        <w:rPr>
          <w:rFonts w:ascii="Cambria" w:hAnsi="Cambria"/>
          <w:i/>
          <w:sz w:val="16"/>
          <w:szCs w:val="16"/>
          <w:lang w:val="es-ES"/>
        </w:rPr>
        <w:t>being</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included</w:t>
      </w:r>
      <w:proofErr w:type="spellEnd"/>
      <w:r w:rsidRPr="00CE4228">
        <w:rPr>
          <w:rFonts w:ascii="Cambria" w:hAnsi="Cambria"/>
          <w:i/>
          <w:sz w:val="16"/>
          <w:szCs w:val="16"/>
          <w:lang w:val="es-ES"/>
        </w:rPr>
        <w:t xml:space="preserve"> in </w:t>
      </w:r>
      <w:proofErr w:type="spellStart"/>
      <w:r w:rsidRPr="00CE4228">
        <w:rPr>
          <w:rFonts w:ascii="Cambria" w:hAnsi="Cambria"/>
          <w:i/>
          <w:sz w:val="16"/>
          <w:szCs w:val="16"/>
          <w:lang w:val="es-ES"/>
        </w:rPr>
        <w:t>the</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community</w:t>
      </w:r>
      <w:proofErr w:type="spellEnd"/>
      <w:r w:rsidRPr="00CE4228">
        <w:rPr>
          <w:rFonts w:ascii="Cambria" w:hAnsi="Cambria"/>
          <w:sz w:val="16"/>
          <w:szCs w:val="16"/>
          <w:lang w:val="es-ES"/>
        </w:rPr>
        <w:t xml:space="preserve">, CRPD/C/18/1, 29 de agosto de 2017, párr. </w:t>
      </w:r>
      <w:r w:rsidRPr="00CE4228">
        <w:rPr>
          <w:rFonts w:ascii="Cambria" w:hAnsi="Cambria"/>
          <w:sz w:val="16"/>
          <w:szCs w:val="16"/>
          <w:lang w:val="es-CO"/>
        </w:rPr>
        <w:t>16 a).</w:t>
      </w:r>
    </w:p>
  </w:footnote>
  <w:footnote w:id="264">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sz w:val="16"/>
          <w:szCs w:val="16"/>
        </w:rPr>
        <w:footnoteRef/>
      </w:r>
      <w:r>
        <w:rPr>
          <w:rFonts w:ascii="Cambria" w:hAnsi="Cambria"/>
          <w:sz w:val="16"/>
          <w:szCs w:val="16"/>
          <w:lang w:val="es-CO"/>
        </w:rPr>
        <w:t xml:space="preserve"> </w:t>
      </w:r>
      <w:r w:rsidRPr="00CE4228">
        <w:rPr>
          <w:rFonts w:ascii="Cambria" w:hAnsi="Cambria"/>
          <w:sz w:val="16"/>
          <w:szCs w:val="16"/>
          <w:lang w:val="es-CO"/>
        </w:rPr>
        <w:t>CIDH. Informe sobre la Situación de Derechos Humanos en Guatemala. Aprobado el 31 de diciembre de 2017. Párr. 469. Citando</w:t>
      </w:r>
      <w:proofErr w:type="gramStart"/>
      <w:r w:rsidRPr="00CE4228">
        <w:rPr>
          <w:rFonts w:ascii="Cambria" w:hAnsi="Cambria"/>
          <w:sz w:val="16"/>
          <w:szCs w:val="16"/>
          <w:lang w:val="es-CO"/>
        </w:rPr>
        <w:t>:</w:t>
      </w:r>
      <w:r>
        <w:rPr>
          <w:rFonts w:ascii="Cambria" w:hAnsi="Cambria"/>
          <w:sz w:val="16"/>
          <w:szCs w:val="16"/>
          <w:lang w:val="es-CO"/>
        </w:rPr>
        <w:t xml:space="preserve"> </w:t>
      </w:r>
      <w:r w:rsidRPr="00CE4228">
        <w:rPr>
          <w:rFonts w:ascii="Cambria" w:hAnsi="Cambria"/>
          <w:sz w:val="16"/>
          <w:szCs w:val="16"/>
          <w:lang w:val="es-CO"/>
        </w:rPr>
        <w:t xml:space="preserve"> </w:t>
      </w:r>
      <w:proofErr w:type="spellStart"/>
      <w:r w:rsidRPr="00CE4228">
        <w:rPr>
          <w:rFonts w:ascii="Cambria" w:hAnsi="Cambria"/>
          <w:i/>
          <w:sz w:val="16"/>
          <w:szCs w:val="16"/>
          <w:lang w:val="es-CO"/>
        </w:rPr>
        <w:t>Ibidem</w:t>
      </w:r>
      <w:proofErr w:type="spellEnd"/>
      <w:proofErr w:type="gramEnd"/>
      <w:r w:rsidRPr="00CE4228">
        <w:rPr>
          <w:rFonts w:ascii="Cambria" w:hAnsi="Cambria"/>
          <w:i/>
          <w:sz w:val="16"/>
          <w:szCs w:val="16"/>
          <w:lang w:val="es-CO"/>
        </w:rPr>
        <w:t>,</w:t>
      </w:r>
      <w:r w:rsidRPr="00CE4228">
        <w:rPr>
          <w:rFonts w:ascii="Cambria" w:hAnsi="Cambria"/>
          <w:sz w:val="16"/>
          <w:szCs w:val="16"/>
          <w:lang w:val="es-CO"/>
        </w:rPr>
        <w:t xml:space="preserve"> párrs. 16 b) y 19.</w:t>
      </w:r>
    </w:p>
  </w:footnote>
  <w:footnote w:id="265">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sz w:val="16"/>
          <w:szCs w:val="16"/>
        </w:rPr>
        <w:footnoteRef/>
      </w:r>
      <w:r>
        <w:rPr>
          <w:rFonts w:ascii="Cambria" w:hAnsi="Cambria"/>
          <w:sz w:val="16"/>
          <w:szCs w:val="16"/>
          <w:lang w:val="es-CO"/>
        </w:rPr>
        <w:t xml:space="preserve"> </w:t>
      </w:r>
      <w:r w:rsidRPr="00CE4228">
        <w:rPr>
          <w:rFonts w:ascii="Cambria" w:hAnsi="Cambria"/>
          <w:sz w:val="16"/>
          <w:szCs w:val="16"/>
          <w:lang w:val="es-CO"/>
        </w:rPr>
        <w:t>CIDH. Informe sobre la Situación de Derechos Humanos en Guatemala. Aprobado el 31 de diciembre de 2017. Párr. 469. Citando:</w:t>
      </w:r>
      <w:r>
        <w:rPr>
          <w:rFonts w:ascii="Cambria" w:hAnsi="Cambria"/>
          <w:sz w:val="16"/>
          <w:szCs w:val="16"/>
          <w:lang w:val="es-CO"/>
        </w:rPr>
        <w:t xml:space="preserve"> </w:t>
      </w:r>
      <w:proofErr w:type="spellStart"/>
      <w:r w:rsidRPr="00CE4228">
        <w:rPr>
          <w:rFonts w:ascii="Cambria" w:hAnsi="Cambria"/>
          <w:i/>
          <w:sz w:val="16"/>
          <w:szCs w:val="16"/>
          <w:lang w:val="es-CO"/>
        </w:rPr>
        <w:t>Ibidem</w:t>
      </w:r>
      <w:proofErr w:type="spellEnd"/>
      <w:r w:rsidRPr="00CE4228">
        <w:rPr>
          <w:rFonts w:ascii="Cambria" w:hAnsi="Cambria"/>
          <w:i/>
          <w:sz w:val="16"/>
          <w:szCs w:val="16"/>
          <w:lang w:val="es-CO"/>
        </w:rPr>
        <w:t>,</w:t>
      </w:r>
      <w:r w:rsidRPr="00CE4228">
        <w:rPr>
          <w:rFonts w:ascii="Cambria" w:hAnsi="Cambria"/>
          <w:sz w:val="16"/>
          <w:szCs w:val="16"/>
          <w:lang w:val="es-CO"/>
        </w:rPr>
        <w:t xml:space="preserve"> párr. 16 c).</w:t>
      </w:r>
    </w:p>
  </w:footnote>
  <w:footnote w:id="266">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cstheme="minorHAnsi"/>
          <w:sz w:val="16"/>
          <w:szCs w:val="16"/>
        </w:rPr>
        <w:footnoteRef/>
      </w:r>
      <w:r w:rsidRPr="00CE4228">
        <w:rPr>
          <w:rFonts w:ascii="Cambria" w:hAnsi="Cambria"/>
          <w:sz w:val="16"/>
          <w:szCs w:val="16"/>
          <w:lang w:val="es-MX"/>
        </w:rPr>
        <w:t xml:space="preserve"> </w:t>
      </w:r>
      <w:r w:rsidRPr="00CE4228">
        <w:rPr>
          <w:rFonts w:ascii="Cambria" w:hAnsi="Cambria"/>
          <w:sz w:val="16"/>
          <w:szCs w:val="16"/>
          <w:lang w:val="es-CO"/>
        </w:rPr>
        <w:t xml:space="preserve">CIDH. Informe sobre la Situación de Derechos Humanos en Guatemala. </w:t>
      </w:r>
      <w:proofErr w:type="spellStart"/>
      <w:proofErr w:type="gramStart"/>
      <w:r w:rsidRPr="008A084A">
        <w:rPr>
          <w:rFonts w:ascii="Cambria" w:hAnsi="Cambria"/>
          <w:sz w:val="16"/>
          <w:szCs w:val="16"/>
        </w:rPr>
        <w:t>Aprobado</w:t>
      </w:r>
      <w:proofErr w:type="spellEnd"/>
      <w:r w:rsidRPr="008A084A">
        <w:rPr>
          <w:rFonts w:ascii="Cambria" w:hAnsi="Cambria"/>
          <w:sz w:val="16"/>
          <w:szCs w:val="16"/>
        </w:rPr>
        <w:t xml:space="preserve"> el 31 de </w:t>
      </w:r>
      <w:proofErr w:type="spellStart"/>
      <w:r w:rsidRPr="008A084A">
        <w:rPr>
          <w:rFonts w:ascii="Cambria" w:hAnsi="Cambria"/>
          <w:sz w:val="16"/>
          <w:szCs w:val="16"/>
        </w:rPr>
        <w:t>diciembre</w:t>
      </w:r>
      <w:proofErr w:type="spellEnd"/>
      <w:r w:rsidRPr="008A084A">
        <w:rPr>
          <w:rFonts w:ascii="Cambria" w:hAnsi="Cambria"/>
          <w:sz w:val="16"/>
          <w:szCs w:val="16"/>
        </w:rPr>
        <w:t xml:space="preserve"> de 2017.</w:t>
      </w:r>
      <w:proofErr w:type="gramEnd"/>
      <w:r w:rsidRPr="008A084A">
        <w:rPr>
          <w:rFonts w:ascii="Cambria" w:hAnsi="Cambria"/>
          <w:sz w:val="16"/>
          <w:szCs w:val="16"/>
        </w:rPr>
        <w:t xml:space="preserve"> </w:t>
      </w:r>
      <w:proofErr w:type="spellStart"/>
      <w:proofErr w:type="gramStart"/>
      <w:r w:rsidRPr="008A084A">
        <w:rPr>
          <w:rFonts w:ascii="Cambria" w:hAnsi="Cambria"/>
          <w:sz w:val="16"/>
          <w:szCs w:val="16"/>
        </w:rPr>
        <w:t>Párr</w:t>
      </w:r>
      <w:proofErr w:type="spellEnd"/>
      <w:r w:rsidRPr="008A084A">
        <w:rPr>
          <w:rFonts w:ascii="Cambria" w:hAnsi="Cambria"/>
          <w:sz w:val="16"/>
          <w:szCs w:val="16"/>
        </w:rPr>
        <w:t>.</w:t>
      </w:r>
      <w:proofErr w:type="gramEnd"/>
      <w:r w:rsidRPr="008A084A">
        <w:rPr>
          <w:rFonts w:ascii="Cambria" w:hAnsi="Cambria"/>
          <w:sz w:val="16"/>
          <w:szCs w:val="16"/>
        </w:rPr>
        <w:t xml:space="preserve"> 469. </w:t>
      </w:r>
      <w:proofErr w:type="spellStart"/>
      <w:r w:rsidRPr="008A084A">
        <w:rPr>
          <w:rFonts w:ascii="Cambria" w:hAnsi="Cambria"/>
          <w:sz w:val="16"/>
          <w:szCs w:val="16"/>
        </w:rPr>
        <w:t>Citando</w:t>
      </w:r>
      <w:proofErr w:type="spellEnd"/>
      <w:r w:rsidRPr="008A084A">
        <w:rPr>
          <w:rFonts w:ascii="Cambria" w:hAnsi="Cambria"/>
          <w:sz w:val="16"/>
          <w:szCs w:val="16"/>
        </w:rPr>
        <w:t xml:space="preserve">: </w:t>
      </w:r>
      <w:proofErr w:type="spellStart"/>
      <w:r w:rsidRPr="008A084A">
        <w:rPr>
          <w:rFonts w:ascii="Cambria" w:hAnsi="Cambria"/>
          <w:i/>
          <w:sz w:val="16"/>
          <w:szCs w:val="16"/>
        </w:rPr>
        <w:t>Ibidem</w:t>
      </w:r>
      <w:proofErr w:type="spellEnd"/>
      <w:r w:rsidRPr="008A084A">
        <w:rPr>
          <w:rFonts w:ascii="Cambria" w:hAnsi="Cambria"/>
          <w:i/>
          <w:sz w:val="16"/>
          <w:szCs w:val="16"/>
        </w:rPr>
        <w:t>,</w:t>
      </w:r>
      <w:r w:rsidRPr="008A084A">
        <w:rPr>
          <w:rFonts w:ascii="Cambria" w:hAnsi="Cambria"/>
          <w:sz w:val="16"/>
          <w:szCs w:val="16"/>
        </w:rPr>
        <w:t xml:space="preserve"> </w:t>
      </w:r>
      <w:proofErr w:type="spellStart"/>
      <w:r w:rsidRPr="008A084A">
        <w:rPr>
          <w:rFonts w:ascii="Cambria" w:hAnsi="Cambria"/>
          <w:sz w:val="16"/>
          <w:szCs w:val="16"/>
        </w:rPr>
        <w:t>párr</w:t>
      </w:r>
      <w:proofErr w:type="spellEnd"/>
      <w:r w:rsidRPr="008A084A">
        <w:rPr>
          <w:rFonts w:ascii="Cambria" w:hAnsi="Cambria"/>
          <w:sz w:val="16"/>
          <w:szCs w:val="16"/>
        </w:rPr>
        <w:t xml:space="preserve">. </w:t>
      </w:r>
      <w:r w:rsidRPr="00CE4228">
        <w:rPr>
          <w:rFonts w:ascii="Cambria" w:hAnsi="Cambria"/>
          <w:sz w:val="16"/>
          <w:szCs w:val="16"/>
        </w:rPr>
        <w:t xml:space="preserve">83; y </w:t>
      </w:r>
      <w:r w:rsidRPr="00CE4228">
        <w:rPr>
          <w:rFonts w:ascii="Cambria" w:eastAsia="MS Mincho" w:hAnsi="Cambria"/>
          <w:sz w:val="16"/>
          <w:szCs w:val="16"/>
        </w:rPr>
        <w:t xml:space="preserve">Guidelines on article 14 of the Convention on the Rights of Persons with Disabilities: </w:t>
      </w:r>
      <w:r w:rsidRPr="00CE4228">
        <w:rPr>
          <w:rFonts w:ascii="Cambria" w:hAnsi="Cambria"/>
          <w:sz w:val="16"/>
          <w:szCs w:val="16"/>
          <w:lang w:eastAsia="en-GB"/>
        </w:rPr>
        <w:t xml:space="preserve">The right to liberty and security of persons with disabilities, </w:t>
      </w:r>
      <w:proofErr w:type="spellStart"/>
      <w:r w:rsidRPr="00CE4228">
        <w:rPr>
          <w:rFonts w:ascii="Cambria" w:hAnsi="Cambria"/>
          <w:sz w:val="16"/>
          <w:szCs w:val="16"/>
          <w:lang w:eastAsia="en-GB"/>
        </w:rPr>
        <w:t>adoptadas</w:t>
      </w:r>
      <w:proofErr w:type="spellEnd"/>
      <w:r w:rsidRPr="00CE4228">
        <w:rPr>
          <w:rFonts w:ascii="Cambria" w:hAnsi="Cambria"/>
          <w:sz w:val="16"/>
          <w:szCs w:val="16"/>
          <w:lang w:eastAsia="en-GB"/>
        </w:rPr>
        <w:t xml:space="preserve"> </w:t>
      </w:r>
      <w:proofErr w:type="spellStart"/>
      <w:proofErr w:type="gramStart"/>
      <w:r w:rsidRPr="00CE4228">
        <w:rPr>
          <w:rFonts w:ascii="Cambria" w:hAnsi="Cambria"/>
          <w:sz w:val="16"/>
          <w:szCs w:val="16"/>
          <w:lang w:eastAsia="en-GB"/>
        </w:rPr>
        <w:t>durante</w:t>
      </w:r>
      <w:proofErr w:type="spellEnd"/>
      <w:proofErr w:type="gramEnd"/>
      <w:r w:rsidRPr="00CE4228">
        <w:rPr>
          <w:rFonts w:ascii="Cambria" w:hAnsi="Cambria"/>
          <w:sz w:val="16"/>
          <w:szCs w:val="16"/>
          <w:lang w:eastAsia="en-GB"/>
        </w:rPr>
        <w:t xml:space="preserve"> el 4 </w:t>
      </w:r>
      <w:proofErr w:type="spellStart"/>
      <w:r w:rsidRPr="00CE4228">
        <w:rPr>
          <w:rFonts w:ascii="Cambria" w:hAnsi="Cambria"/>
          <w:sz w:val="16"/>
          <w:szCs w:val="16"/>
          <w:lang w:eastAsia="en-GB"/>
        </w:rPr>
        <w:t>periodo</w:t>
      </w:r>
      <w:proofErr w:type="spellEnd"/>
      <w:r w:rsidRPr="00CE4228">
        <w:rPr>
          <w:rFonts w:ascii="Cambria" w:hAnsi="Cambria"/>
          <w:sz w:val="16"/>
          <w:szCs w:val="16"/>
          <w:lang w:eastAsia="en-GB"/>
        </w:rPr>
        <w:t xml:space="preserve"> de </w:t>
      </w:r>
      <w:proofErr w:type="spellStart"/>
      <w:r w:rsidRPr="00CE4228">
        <w:rPr>
          <w:rFonts w:ascii="Cambria" w:hAnsi="Cambria"/>
          <w:sz w:val="16"/>
          <w:szCs w:val="16"/>
          <w:lang w:eastAsia="en-GB"/>
        </w:rPr>
        <w:t>sesiones</w:t>
      </w:r>
      <w:proofErr w:type="spellEnd"/>
      <w:r w:rsidRPr="00CE4228">
        <w:rPr>
          <w:rFonts w:ascii="Cambria" w:hAnsi="Cambria"/>
          <w:sz w:val="16"/>
          <w:szCs w:val="16"/>
          <w:lang w:eastAsia="en-GB"/>
        </w:rPr>
        <w:t xml:space="preserve">, </w:t>
      </w:r>
      <w:proofErr w:type="spellStart"/>
      <w:r w:rsidRPr="00CE4228">
        <w:rPr>
          <w:rFonts w:ascii="Cambria" w:hAnsi="Cambria"/>
          <w:sz w:val="16"/>
          <w:szCs w:val="16"/>
          <w:lang w:eastAsia="en-GB"/>
        </w:rPr>
        <w:t>septiembre</w:t>
      </w:r>
      <w:proofErr w:type="spellEnd"/>
      <w:r w:rsidRPr="00CE4228">
        <w:rPr>
          <w:rFonts w:ascii="Cambria" w:hAnsi="Cambria"/>
          <w:sz w:val="16"/>
          <w:szCs w:val="16"/>
          <w:lang w:eastAsia="en-GB"/>
        </w:rPr>
        <w:t xml:space="preserve"> de </w:t>
      </w:r>
      <w:r w:rsidRPr="00CE4228">
        <w:rPr>
          <w:rFonts w:ascii="Cambria" w:eastAsia="Times New Roman" w:hAnsi="Cambria"/>
          <w:sz w:val="16"/>
          <w:szCs w:val="16"/>
          <w:lang w:eastAsia="en-GB"/>
        </w:rPr>
        <w:t xml:space="preserve">2015, </w:t>
      </w:r>
      <w:proofErr w:type="spellStart"/>
      <w:r w:rsidRPr="00CE4228">
        <w:rPr>
          <w:rFonts w:ascii="Cambria" w:eastAsia="Times New Roman" w:hAnsi="Cambria"/>
          <w:sz w:val="16"/>
          <w:szCs w:val="16"/>
          <w:lang w:eastAsia="en-GB"/>
        </w:rPr>
        <w:t>párr</w:t>
      </w:r>
      <w:proofErr w:type="spellEnd"/>
      <w:r w:rsidRPr="00CE4228">
        <w:rPr>
          <w:rFonts w:ascii="Cambria" w:eastAsia="Times New Roman" w:hAnsi="Cambria"/>
          <w:sz w:val="16"/>
          <w:szCs w:val="16"/>
          <w:lang w:eastAsia="en-GB"/>
        </w:rPr>
        <w:t xml:space="preserve">. </w:t>
      </w:r>
      <w:r w:rsidRPr="00CE4228">
        <w:rPr>
          <w:rFonts w:ascii="Cambria" w:eastAsia="Times New Roman" w:hAnsi="Cambria"/>
          <w:sz w:val="16"/>
          <w:szCs w:val="16"/>
          <w:lang w:val="es-CO" w:eastAsia="en-GB"/>
        </w:rPr>
        <w:t xml:space="preserve">8. </w:t>
      </w:r>
    </w:p>
  </w:footnote>
  <w:footnote w:id="267">
    <w:p w:rsidR="00BB0B93" w:rsidRPr="00CE4228" w:rsidRDefault="00BB0B93">
      <w:pPr>
        <w:pStyle w:val="FootnoteText"/>
        <w:rPr>
          <w:lang w:val="es-CO"/>
        </w:rPr>
      </w:pPr>
      <w:r w:rsidRPr="00CE4228">
        <w:rPr>
          <w:rStyle w:val="FootnoteReference"/>
          <w:rFonts w:ascii="Cambria" w:hAnsi="Cambria"/>
          <w:sz w:val="16"/>
          <w:szCs w:val="16"/>
        </w:rPr>
        <w:footnoteRef/>
      </w:r>
      <w:r w:rsidRPr="00CE4228">
        <w:rPr>
          <w:rFonts w:ascii="Cambria" w:hAnsi="Cambria"/>
          <w:sz w:val="16"/>
          <w:szCs w:val="16"/>
          <w:lang w:val="es-CO"/>
        </w:rPr>
        <w:t xml:space="preserve"> CIDH. Informe sobre la Situación de Derechos Humanos en Guatemala. Aprobado el 31 de diciembre de 2017. Párr. 469.</w:t>
      </w:r>
    </w:p>
  </w:footnote>
  <w:footnote w:id="268">
    <w:p w:rsidR="00BB0B93" w:rsidRPr="00CE4228" w:rsidRDefault="00BB0B93" w:rsidP="00A37649">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40.</w:t>
      </w:r>
    </w:p>
  </w:footnote>
  <w:footnote w:id="26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8A084A">
        <w:rPr>
          <w:rFonts w:ascii="Cambria" w:hAnsi="Cambria"/>
          <w:sz w:val="16"/>
          <w:szCs w:val="16"/>
          <w:lang w:val="es-ES"/>
        </w:rPr>
        <w:t xml:space="preserve"> CEDH, H.L. Vs. Reino Unido. </w:t>
      </w:r>
      <w:r w:rsidRPr="00CE4228">
        <w:rPr>
          <w:rFonts w:ascii="Cambria" w:hAnsi="Cambria"/>
          <w:sz w:val="16"/>
          <w:szCs w:val="16"/>
          <w:lang w:val="es-ES"/>
        </w:rPr>
        <w:t xml:space="preserve">Sentencia de 1 de mayo de 2005, párrs. 91-94. </w:t>
      </w:r>
    </w:p>
  </w:footnote>
  <w:footnote w:id="27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46.</w:t>
      </w:r>
    </w:p>
  </w:footnote>
  <w:footnote w:id="27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46.</w:t>
      </w:r>
    </w:p>
  </w:footnote>
  <w:footnote w:id="27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Observaciones finales sobre el informe inicial de Honduras, 12 de abril de 2017, párr. 35.</w:t>
      </w:r>
    </w:p>
  </w:footnote>
  <w:footnote w:id="27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Observaciones finales sobre el informe inicial de Jordania, 12 de abril de 2017, párr. 29. </w:t>
      </w:r>
    </w:p>
  </w:footnote>
  <w:footnote w:id="27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w:t>
      </w:r>
      <w:proofErr w:type="spellStart"/>
      <w:r w:rsidRPr="00CE4228">
        <w:rPr>
          <w:rFonts w:ascii="Cambria" w:hAnsi="Cambria"/>
          <w:sz w:val="16"/>
          <w:szCs w:val="16"/>
          <w:lang w:val="es-ES"/>
        </w:rPr>
        <w:t>Stanev</w:t>
      </w:r>
      <w:proofErr w:type="spellEnd"/>
      <w:r w:rsidRPr="00CE4228">
        <w:rPr>
          <w:rFonts w:ascii="Cambria" w:hAnsi="Cambria"/>
          <w:sz w:val="16"/>
          <w:szCs w:val="16"/>
          <w:lang w:val="es-ES"/>
        </w:rPr>
        <w:t xml:space="preserve"> Vs. Bulgaria. Sentencia de 17 de enero de 2012,  párr. 129.</w:t>
      </w:r>
    </w:p>
  </w:footnote>
  <w:footnote w:id="27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40.</w:t>
      </w:r>
    </w:p>
  </w:footnote>
  <w:footnote w:id="27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46.</w:t>
      </w:r>
    </w:p>
  </w:footnote>
  <w:footnote w:id="27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w:t>
      </w:r>
      <w:proofErr w:type="spellStart"/>
      <w:r w:rsidRPr="00CE4228">
        <w:rPr>
          <w:rFonts w:ascii="Cambria" w:hAnsi="Cambria"/>
          <w:sz w:val="16"/>
          <w:szCs w:val="16"/>
          <w:lang w:val="es-ES"/>
        </w:rPr>
        <w:t>Stanev</w:t>
      </w:r>
      <w:proofErr w:type="spellEnd"/>
      <w:r w:rsidRPr="00CE4228">
        <w:rPr>
          <w:rFonts w:ascii="Cambria" w:hAnsi="Cambria"/>
          <w:sz w:val="16"/>
          <w:szCs w:val="16"/>
          <w:lang w:val="es-ES"/>
        </w:rPr>
        <w:t xml:space="preserve"> Vs. Bulgaria. Sentencia de 17 de enero de 2012,  párr. 190.</w:t>
      </w:r>
    </w:p>
  </w:footnote>
  <w:footnote w:id="27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w:t>
      </w:r>
      <w:proofErr w:type="spellStart"/>
      <w:r w:rsidRPr="00CE4228">
        <w:rPr>
          <w:rFonts w:ascii="Cambria" w:hAnsi="Cambria"/>
          <w:sz w:val="16"/>
          <w:szCs w:val="16"/>
          <w:lang w:val="es-ES"/>
        </w:rPr>
        <w:t>Stanev</w:t>
      </w:r>
      <w:proofErr w:type="spellEnd"/>
      <w:r w:rsidRPr="00CE4228">
        <w:rPr>
          <w:rFonts w:ascii="Cambria" w:hAnsi="Cambria"/>
          <w:sz w:val="16"/>
          <w:szCs w:val="16"/>
          <w:lang w:val="es-ES"/>
        </w:rPr>
        <w:t xml:space="preserve"> Vs. Bulgaria. Sentencia de 17 de enero de 2012,  párr. 172.</w:t>
      </w:r>
    </w:p>
  </w:footnote>
  <w:footnote w:id="27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8A084A">
        <w:rPr>
          <w:rFonts w:ascii="Cambria" w:hAnsi="Cambria"/>
          <w:sz w:val="16"/>
          <w:szCs w:val="16"/>
          <w:lang w:val="es-ES"/>
        </w:rPr>
        <w:t xml:space="preserve"> Corte IDH. </w:t>
      </w:r>
      <w:r w:rsidRPr="008A084A">
        <w:rPr>
          <w:rStyle w:val="Strong"/>
          <w:rFonts w:ascii="Cambria" w:hAnsi="Cambria"/>
          <w:b w:val="0"/>
          <w:i/>
          <w:sz w:val="16"/>
          <w:szCs w:val="16"/>
          <w:lang w:val="es-ES"/>
        </w:rPr>
        <w:t xml:space="preserve">Caso Suárez Peralta Vs. </w:t>
      </w:r>
      <w:r w:rsidRPr="00CE4228">
        <w:rPr>
          <w:rStyle w:val="Strong"/>
          <w:rFonts w:ascii="Cambria" w:hAnsi="Cambria"/>
          <w:b w:val="0"/>
          <w:i/>
          <w:sz w:val="16"/>
          <w:szCs w:val="16"/>
          <w:lang w:val="es-ES"/>
        </w:rPr>
        <w:t>Ecuador</w:t>
      </w:r>
      <w:r w:rsidRPr="00CE4228">
        <w:rPr>
          <w:rStyle w:val="Strong"/>
          <w:rFonts w:ascii="Cambria" w:hAnsi="Cambria"/>
          <w:b w:val="0"/>
          <w:sz w:val="16"/>
          <w:szCs w:val="16"/>
          <w:lang w:val="es-ES"/>
        </w:rPr>
        <w:t>. Excepciones Preliminares, Fondo, Reparaciones y Costas. Sentencia de 21 de mayo de 2013. Serie C No. 261, párr. 128.</w:t>
      </w:r>
    </w:p>
  </w:footnote>
  <w:footnote w:id="28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Corte IDH. </w:t>
      </w:r>
      <w:r w:rsidRPr="00CE4228">
        <w:rPr>
          <w:rStyle w:val="Strong"/>
          <w:rFonts w:ascii="Cambria" w:hAnsi="Cambria"/>
          <w:b w:val="0"/>
          <w:i/>
          <w:sz w:val="16"/>
          <w:szCs w:val="16"/>
          <w:shd w:val="clear" w:color="auto" w:fill="FFFFFF"/>
          <w:lang w:val="es-ES"/>
        </w:rPr>
        <w:t>Caso Ximenes Lopes Vs. Brasil</w:t>
      </w:r>
      <w:r w:rsidRPr="00CE4228">
        <w:rPr>
          <w:rStyle w:val="Strong"/>
          <w:rFonts w:ascii="Cambria" w:hAnsi="Cambria"/>
          <w:b w:val="0"/>
          <w:sz w:val="16"/>
          <w:szCs w:val="16"/>
          <w:shd w:val="clear" w:color="auto" w:fill="FFFFFF"/>
          <w:lang w:val="es-ES"/>
        </w:rPr>
        <w:t xml:space="preserve">. Sentencia de 4 de julio de 2006. </w:t>
      </w:r>
      <w:r w:rsidRPr="00CE4228">
        <w:rPr>
          <w:rStyle w:val="Strong"/>
          <w:rFonts w:ascii="Cambria" w:hAnsi="Cambria"/>
          <w:b w:val="0"/>
          <w:sz w:val="16"/>
          <w:szCs w:val="16"/>
          <w:shd w:val="clear" w:color="auto" w:fill="FFFFFF"/>
          <w:lang w:val="es-CO"/>
        </w:rPr>
        <w:t>Serie C No. 149,</w:t>
      </w:r>
      <w:r w:rsidRPr="00CE4228">
        <w:rPr>
          <w:rStyle w:val="Strong"/>
          <w:rFonts w:ascii="Cambria" w:hAnsi="Cambria"/>
          <w:sz w:val="16"/>
          <w:szCs w:val="16"/>
          <w:shd w:val="clear" w:color="auto" w:fill="FFFFFF"/>
          <w:lang w:val="es-CO"/>
        </w:rPr>
        <w:t xml:space="preserve"> </w:t>
      </w:r>
      <w:r w:rsidRPr="00CE4228">
        <w:rPr>
          <w:rFonts w:ascii="Cambria" w:hAnsi="Cambria"/>
          <w:sz w:val="16"/>
          <w:szCs w:val="16"/>
          <w:lang w:val="es-ES"/>
        </w:rPr>
        <w:t>párr. 138.</w:t>
      </w:r>
    </w:p>
  </w:footnote>
  <w:footnote w:id="28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w:t>
      </w:r>
      <w:proofErr w:type="spellStart"/>
      <w:r w:rsidRPr="00CE4228">
        <w:rPr>
          <w:rFonts w:ascii="Cambria" w:hAnsi="Cambria"/>
          <w:sz w:val="16"/>
          <w:szCs w:val="16"/>
          <w:lang w:val="es-ES"/>
        </w:rPr>
        <w:t>Stanev</w:t>
      </w:r>
      <w:proofErr w:type="spellEnd"/>
      <w:r w:rsidRPr="00CE4228">
        <w:rPr>
          <w:rFonts w:ascii="Cambria" w:hAnsi="Cambria"/>
          <w:sz w:val="16"/>
          <w:szCs w:val="16"/>
          <w:lang w:val="es-ES"/>
        </w:rPr>
        <w:t xml:space="preserve"> Vs. Bulgaria. Sentencia de 17 de enero de 2012,  párr. 209.</w:t>
      </w:r>
    </w:p>
  </w:footnote>
  <w:footnote w:id="28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w:t>
      </w:r>
      <w:proofErr w:type="spellStart"/>
      <w:r w:rsidRPr="00CE4228">
        <w:rPr>
          <w:rFonts w:ascii="Cambria" w:hAnsi="Cambria"/>
          <w:sz w:val="16"/>
          <w:szCs w:val="16"/>
          <w:lang w:val="es-ES"/>
        </w:rPr>
        <w:t>Valentin</w:t>
      </w:r>
      <w:proofErr w:type="spellEnd"/>
      <w:r w:rsidRPr="00CE4228">
        <w:rPr>
          <w:rFonts w:ascii="Cambria" w:hAnsi="Cambria"/>
          <w:sz w:val="16"/>
          <w:szCs w:val="16"/>
          <w:lang w:val="es-ES"/>
        </w:rPr>
        <w:t xml:space="preserve"> </w:t>
      </w:r>
      <w:proofErr w:type="spellStart"/>
      <w:r w:rsidRPr="00CE4228">
        <w:rPr>
          <w:rFonts w:ascii="Cambria" w:hAnsi="Cambria"/>
          <w:sz w:val="16"/>
          <w:szCs w:val="16"/>
          <w:lang w:val="es-ES"/>
        </w:rPr>
        <w:t>Campeanu</w:t>
      </w:r>
      <w:proofErr w:type="spellEnd"/>
      <w:r w:rsidRPr="00CE4228">
        <w:rPr>
          <w:rFonts w:ascii="Cambria" w:hAnsi="Cambria"/>
          <w:sz w:val="16"/>
          <w:szCs w:val="16"/>
          <w:lang w:val="es-ES"/>
        </w:rPr>
        <w:t xml:space="preserve"> Vs. Rumania. Sentencia de 17 de julio de 2014,  párr. 130.</w:t>
      </w:r>
    </w:p>
  </w:footnote>
  <w:footnote w:id="283">
    <w:p w:rsidR="00BB0B93" w:rsidRPr="00CE4228" w:rsidRDefault="00BB0B93" w:rsidP="008B27B0">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Corte IDH. </w:t>
      </w:r>
      <w:r w:rsidRPr="00CE4228">
        <w:rPr>
          <w:rStyle w:val="Strong"/>
          <w:rFonts w:ascii="Cambria" w:hAnsi="Cambria"/>
          <w:b w:val="0"/>
          <w:i/>
          <w:sz w:val="16"/>
          <w:szCs w:val="16"/>
          <w:shd w:val="clear" w:color="auto" w:fill="FFFFFF"/>
          <w:lang w:val="es-ES"/>
        </w:rPr>
        <w:t>Caso Ximenes Lopes Vs. Brasil</w:t>
      </w:r>
      <w:r w:rsidRPr="00CE4228">
        <w:rPr>
          <w:rStyle w:val="Strong"/>
          <w:rFonts w:ascii="Cambria" w:hAnsi="Cambria"/>
          <w:b w:val="0"/>
          <w:sz w:val="16"/>
          <w:szCs w:val="16"/>
          <w:shd w:val="clear" w:color="auto" w:fill="FFFFFF"/>
          <w:lang w:val="es-ES"/>
        </w:rPr>
        <w:t xml:space="preserve">. Sentencia de 4 de julio de 2006. </w:t>
      </w:r>
      <w:r w:rsidRPr="00CE4228">
        <w:rPr>
          <w:rStyle w:val="Strong"/>
          <w:rFonts w:ascii="Cambria" w:hAnsi="Cambria"/>
          <w:b w:val="0"/>
          <w:sz w:val="16"/>
          <w:szCs w:val="16"/>
          <w:shd w:val="clear" w:color="auto" w:fill="FFFFFF"/>
          <w:lang w:val="es-CO"/>
        </w:rPr>
        <w:t>Serie C No. 149,</w:t>
      </w:r>
      <w:r w:rsidRPr="00CE4228">
        <w:rPr>
          <w:rStyle w:val="Strong"/>
          <w:rFonts w:ascii="Cambria" w:hAnsi="Cambria"/>
          <w:sz w:val="16"/>
          <w:szCs w:val="16"/>
          <w:shd w:val="clear" w:color="auto" w:fill="FFFFFF"/>
          <w:lang w:val="es-CO"/>
        </w:rPr>
        <w:t xml:space="preserve"> </w:t>
      </w:r>
      <w:r w:rsidRPr="00CE4228">
        <w:rPr>
          <w:rFonts w:ascii="Cambria" w:hAnsi="Cambria"/>
          <w:sz w:val="16"/>
          <w:szCs w:val="16"/>
          <w:lang w:val="es-ES"/>
        </w:rPr>
        <w:t>párr</w:t>
      </w:r>
      <w:r>
        <w:rPr>
          <w:rFonts w:ascii="Cambria" w:hAnsi="Cambria"/>
          <w:sz w:val="16"/>
          <w:szCs w:val="16"/>
          <w:lang w:val="es-ES"/>
        </w:rPr>
        <w:t>s</w:t>
      </w:r>
      <w:r w:rsidRPr="00CE4228">
        <w:rPr>
          <w:rFonts w:ascii="Cambria" w:hAnsi="Cambria"/>
          <w:sz w:val="16"/>
          <w:szCs w:val="16"/>
          <w:lang w:val="es-ES"/>
        </w:rPr>
        <w:t>.</w:t>
      </w:r>
      <w:r>
        <w:rPr>
          <w:rFonts w:ascii="Cambria" w:hAnsi="Cambria"/>
          <w:sz w:val="16"/>
          <w:szCs w:val="16"/>
          <w:lang w:val="es-ES"/>
        </w:rPr>
        <w:t xml:space="preserve"> 106-108</w:t>
      </w:r>
      <w:r w:rsidRPr="00CE4228">
        <w:rPr>
          <w:rFonts w:ascii="Cambria" w:hAnsi="Cambria"/>
          <w:sz w:val="16"/>
          <w:szCs w:val="16"/>
          <w:lang w:val="es-ES"/>
        </w:rPr>
        <w:t>.</w:t>
      </w:r>
    </w:p>
  </w:footnote>
  <w:footnote w:id="28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CIDH, Informe No. 102/13, Caso 12.723, Fondo, TGGL, Ecuador, 5 de noviembre de 2013. CIDH. Informe: Acceso a servicios de salud materna desde una perspectiva de derechos humanos. 7 de junio de 2010. Sección II.</w:t>
      </w:r>
    </w:p>
  </w:footnote>
  <w:footnote w:id="285">
    <w:p w:rsidR="00BB0B93" w:rsidRPr="00CE4228" w:rsidRDefault="00BB0B93" w:rsidP="00CE4228">
      <w:pPr>
        <w:tabs>
          <w:tab w:val="left" w:pos="90"/>
        </w:tabs>
        <w:autoSpaceDE w:val="0"/>
        <w:autoSpaceDN w:val="0"/>
        <w:adjustRightInd w:val="0"/>
        <w:contextualSpacing/>
        <w:jc w:val="both"/>
        <w:rPr>
          <w:rFonts w:ascii="Cambria" w:hAnsi="Cambria"/>
          <w:sz w:val="16"/>
          <w:szCs w:val="16"/>
          <w:lang w:val="es-CR" w:eastAsia="x-none"/>
        </w:rPr>
      </w:pPr>
      <w:r w:rsidRPr="00CE4228">
        <w:rPr>
          <w:rStyle w:val="FootnoteReference"/>
          <w:rFonts w:ascii="Cambria" w:hAnsi="Cambria"/>
          <w:sz w:val="16"/>
          <w:szCs w:val="16"/>
        </w:rPr>
        <w:footnoteRef/>
      </w:r>
      <w:r w:rsidRPr="009617A6">
        <w:rPr>
          <w:rFonts w:ascii="Cambria" w:hAnsi="Cambria"/>
          <w:sz w:val="16"/>
          <w:szCs w:val="16"/>
          <w:lang w:val="es-ES" w:eastAsia="x-none"/>
        </w:rPr>
        <w:t xml:space="preserve"> </w:t>
      </w:r>
      <w:r>
        <w:fldChar w:fldCharType="begin"/>
      </w:r>
      <w:r w:rsidRPr="00BB0B93">
        <w:rPr>
          <w:lang w:val="es-ES"/>
        </w:rPr>
        <w:instrText xml:space="preserve"> HYPERLINK "http://joomla.corteidh.or.cr:8080/joomla/es/jurisprudencia-oc-avanzado/38-jurisprudencia/2049-corte-idh-caso-suarez-peralta-vs-ecuador-excepciones-preliminares-fondo-reparaciones-y-costas-sentencia-de-21-de-mayo-de-2013-serie-c-no-261" </w:instrText>
      </w:r>
      <w:r>
        <w:fldChar w:fldCharType="separate"/>
      </w:r>
      <w:r w:rsidRPr="009617A6">
        <w:rPr>
          <w:rFonts w:ascii="Cambria" w:hAnsi="Cambria"/>
          <w:sz w:val="16"/>
          <w:szCs w:val="16"/>
          <w:lang w:val="es-ES"/>
        </w:rPr>
        <w:t xml:space="preserve">Corte IDH. </w:t>
      </w:r>
      <w:r w:rsidRPr="009617A6">
        <w:rPr>
          <w:rFonts w:ascii="Cambria" w:hAnsi="Cambria"/>
          <w:i/>
          <w:sz w:val="16"/>
          <w:szCs w:val="16"/>
          <w:lang w:val="es-ES"/>
        </w:rPr>
        <w:t xml:space="preserve">Caso Suárez Peralta Vs. </w:t>
      </w:r>
      <w:r w:rsidRPr="00CE4228">
        <w:rPr>
          <w:rFonts w:ascii="Cambria" w:hAnsi="Cambria"/>
          <w:i/>
          <w:sz w:val="16"/>
          <w:szCs w:val="16"/>
          <w:lang w:val="es-ES"/>
        </w:rPr>
        <w:t>Ecuador.</w:t>
      </w:r>
      <w:r w:rsidRPr="00CE4228">
        <w:rPr>
          <w:rFonts w:ascii="Cambria" w:hAnsi="Cambria"/>
          <w:sz w:val="16"/>
          <w:szCs w:val="16"/>
          <w:lang w:val="es-ES"/>
        </w:rPr>
        <w:t xml:space="preserve"> Excepciones Preliminares, Fondo, Reparaciones y Costas. Sentencia de 21 de mayo de 2013. Serie C No. 261</w:t>
      </w:r>
      <w:r>
        <w:rPr>
          <w:rFonts w:ascii="Cambria" w:hAnsi="Cambria"/>
          <w:sz w:val="16"/>
          <w:szCs w:val="16"/>
          <w:lang w:val="es-ES"/>
        </w:rPr>
        <w:fldChar w:fldCharType="end"/>
      </w:r>
      <w:r w:rsidRPr="00CE4228">
        <w:rPr>
          <w:rFonts w:ascii="Cambria" w:hAnsi="Cambria"/>
          <w:sz w:val="16"/>
          <w:szCs w:val="16"/>
          <w:lang w:val="es-ES"/>
        </w:rPr>
        <w:t xml:space="preserve">, párr. 130; </w:t>
      </w:r>
      <w:r w:rsidRPr="00CE4228">
        <w:rPr>
          <w:rFonts w:ascii="Cambria" w:hAnsi="Cambria"/>
          <w:sz w:val="16"/>
          <w:szCs w:val="16"/>
          <w:lang w:val="es-ES" w:eastAsia="x-none"/>
        </w:rPr>
        <w:t>y</w:t>
      </w:r>
      <w:r w:rsidRPr="00CE4228">
        <w:rPr>
          <w:rFonts w:ascii="Cambria" w:hAnsi="Cambria"/>
          <w:i/>
          <w:sz w:val="16"/>
          <w:szCs w:val="16"/>
          <w:lang w:val="es-ES" w:eastAsia="x-none"/>
        </w:rPr>
        <w:t xml:space="preserve"> Caso Vera </w:t>
      </w:r>
      <w:proofErr w:type="spellStart"/>
      <w:r w:rsidRPr="00CE4228">
        <w:rPr>
          <w:rFonts w:ascii="Cambria" w:hAnsi="Cambria"/>
          <w:i/>
          <w:sz w:val="16"/>
          <w:szCs w:val="16"/>
          <w:lang w:val="es-ES" w:eastAsia="x-none"/>
        </w:rPr>
        <w:t>Vera</w:t>
      </w:r>
      <w:proofErr w:type="spellEnd"/>
      <w:r w:rsidRPr="00CE4228">
        <w:rPr>
          <w:rFonts w:ascii="Cambria" w:hAnsi="Cambria"/>
          <w:i/>
          <w:sz w:val="16"/>
          <w:szCs w:val="16"/>
          <w:lang w:val="es-ES" w:eastAsia="x-none"/>
        </w:rPr>
        <w:t xml:space="preserve"> y otra Vs. Ecuador</w:t>
      </w:r>
      <w:r w:rsidRPr="00CE4228">
        <w:rPr>
          <w:rFonts w:ascii="Cambria" w:hAnsi="Cambria"/>
          <w:sz w:val="16"/>
          <w:szCs w:val="16"/>
          <w:lang w:val="es-ES" w:eastAsia="x-none"/>
        </w:rPr>
        <w:t xml:space="preserve">. </w:t>
      </w:r>
      <w:r w:rsidRPr="00CE4228">
        <w:rPr>
          <w:rFonts w:ascii="Cambria" w:hAnsi="Cambria"/>
          <w:i/>
          <w:sz w:val="16"/>
          <w:szCs w:val="16"/>
          <w:lang w:val="es-ES" w:eastAsia="x-none"/>
        </w:rPr>
        <w:t xml:space="preserve">Excepción Preliminar, Fondo, Reparaciones y Costas. </w:t>
      </w:r>
      <w:r w:rsidRPr="00CE4228">
        <w:rPr>
          <w:rFonts w:ascii="Cambria" w:hAnsi="Cambria"/>
          <w:sz w:val="16"/>
          <w:szCs w:val="16"/>
          <w:lang w:val="es-ES" w:eastAsia="x-none"/>
        </w:rPr>
        <w:t xml:space="preserve">Sentencia de 19 de mayo de 2011. Serie C No. 226, párr. </w:t>
      </w:r>
      <w:r w:rsidRPr="00CE4228">
        <w:rPr>
          <w:rFonts w:ascii="Cambria" w:hAnsi="Cambria"/>
          <w:sz w:val="16"/>
          <w:szCs w:val="16"/>
          <w:lang w:val="es-CR" w:eastAsia="x-none"/>
        </w:rPr>
        <w:t xml:space="preserve">43. </w:t>
      </w:r>
    </w:p>
  </w:footnote>
  <w:footnote w:id="28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9617A6">
        <w:rPr>
          <w:rFonts w:ascii="Cambria" w:hAnsi="Cambria"/>
          <w:sz w:val="16"/>
          <w:szCs w:val="16"/>
          <w:lang w:val="es-ES"/>
        </w:rPr>
        <w:t xml:space="preserve"> </w:t>
      </w:r>
      <w:r>
        <w:fldChar w:fldCharType="begin"/>
      </w:r>
      <w:r w:rsidRPr="00BB0B93">
        <w:rPr>
          <w:lang w:val="es-ES"/>
        </w:rPr>
        <w:instrText xml:space="preserve"> HYPERLINK "http://joomla.corteidh.or.cr:8080/joomla/es/jurisprudencia-oc-avanzado/38-jurisprudencia/2049-corte-idh-caso-suarez-peralta-vs-ecuador-excepciones-preliminares-fondo-reparaciones-y-costas-sentencia-de-21-de-mayo-de-2013-serie-c-no-261" </w:instrText>
      </w:r>
      <w:r>
        <w:fldChar w:fldCharType="separate"/>
      </w:r>
      <w:r w:rsidRPr="009617A6">
        <w:rPr>
          <w:rFonts w:ascii="Cambria" w:hAnsi="Cambria"/>
          <w:sz w:val="16"/>
          <w:szCs w:val="16"/>
          <w:lang w:val="es-ES"/>
        </w:rPr>
        <w:t xml:space="preserve">Corte IDH. </w:t>
      </w:r>
      <w:r w:rsidRPr="009617A6">
        <w:rPr>
          <w:rFonts w:ascii="Cambria" w:hAnsi="Cambria"/>
          <w:i/>
          <w:sz w:val="16"/>
          <w:szCs w:val="16"/>
          <w:lang w:val="es-ES"/>
        </w:rPr>
        <w:t xml:space="preserve">Caso Suárez Peralta Vs. </w:t>
      </w:r>
      <w:r w:rsidRPr="00CE4228">
        <w:rPr>
          <w:rFonts w:ascii="Cambria" w:hAnsi="Cambria"/>
          <w:i/>
          <w:sz w:val="16"/>
          <w:szCs w:val="16"/>
          <w:lang w:val="es-ES"/>
        </w:rPr>
        <w:t>Ecuador.</w:t>
      </w:r>
      <w:r w:rsidRPr="00CE4228">
        <w:rPr>
          <w:rFonts w:ascii="Cambria" w:hAnsi="Cambria"/>
          <w:sz w:val="16"/>
          <w:szCs w:val="16"/>
          <w:lang w:val="es-ES"/>
        </w:rPr>
        <w:t xml:space="preserve"> Excepciones Preliminares, Fondo, Reparaciones y Costas. Sentencia de 21 de mayo de 2013. Serie C No. 261</w:t>
      </w:r>
      <w:r>
        <w:rPr>
          <w:rFonts w:ascii="Cambria" w:hAnsi="Cambria"/>
          <w:sz w:val="16"/>
          <w:szCs w:val="16"/>
          <w:lang w:val="es-ES"/>
        </w:rPr>
        <w:fldChar w:fldCharType="end"/>
      </w:r>
      <w:r w:rsidRPr="00CE4228">
        <w:rPr>
          <w:rFonts w:ascii="Cambria" w:hAnsi="Cambria"/>
          <w:sz w:val="16"/>
          <w:szCs w:val="16"/>
          <w:lang w:val="es-ES"/>
        </w:rPr>
        <w:t>, párr. 130</w:t>
      </w:r>
      <w:r w:rsidRPr="00CE4228">
        <w:rPr>
          <w:rFonts w:ascii="Cambria" w:hAnsi="Cambria"/>
          <w:sz w:val="16"/>
          <w:szCs w:val="16"/>
          <w:lang w:val="es-CR"/>
        </w:rPr>
        <w:t xml:space="preserve">; </w:t>
      </w:r>
      <w:r w:rsidRPr="00CE4228">
        <w:rPr>
          <w:rFonts w:ascii="Cambria" w:hAnsi="Cambria"/>
          <w:i/>
          <w:sz w:val="16"/>
          <w:szCs w:val="16"/>
          <w:lang w:val="es-CR"/>
        </w:rPr>
        <w:t xml:space="preserve">Caso Tibi Vs. Ecuador. </w:t>
      </w:r>
      <w:r w:rsidRPr="00CE4228">
        <w:rPr>
          <w:rFonts w:ascii="Cambria" w:hAnsi="Cambria"/>
          <w:sz w:val="16"/>
          <w:szCs w:val="16"/>
          <w:lang w:val="es-CR"/>
        </w:rPr>
        <w:t>Excepciones Preliminares, Fondos, Reparaciones y Costas.</w:t>
      </w:r>
      <w:r w:rsidRPr="00CE4228">
        <w:rPr>
          <w:rFonts w:ascii="Cambria" w:hAnsi="Cambria"/>
          <w:i/>
          <w:sz w:val="16"/>
          <w:szCs w:val="16"/>
          <w:lang w:val="es-CR"/>
        </w:rPr>
        <w:t xml:space="preserve"> </w:t>
      </w:r>
      <w:r w:rsidRPr="00CE4228">
        <w:rPr>
          <w:rFonts w:ascii="Cambria" w:hAnsi="Cambria"/>
          <w:sz w:val="16"/>
          <w:szCs w:val="16"/>
          <w:lang w:val="es-CR"/>
        </w:rPr>
        <w:t xml:space="preserve">Sentencia de 7 de septiembre de 2004. Serie C No. 114, párr. 157, y </w:t>
      </w:r>
      <w:r w:rsidRPr="00CE4228">
        <w:rPr>
          <w:rFonts w:ascii="Cambria" w:hAnsi="Cambria"/>
          <w:i/>
          <w:sz w:val="16"/>
          <w:szCs w:val="16"/>
          <w:lang w:val="es-ES"/>
        </w:rPr>
        <w:t xml:space="preserve">Caso Vera </w:t>
      </w:r>
      <w:proofErr w:type="spellStart"/>
      <w:r w:rsidRPr="00CE4228">
        <w:rPr>
          <w:rFonts w:ascii="Cambria" w:hAnsi="Cambria"/>
          <w:i/>
          <w:sz w:val="16"/>
          <w:szCs w:val="16"/>
          <w:lang w:val="es-ES"/>
        </w:rPr>
        <w:t>Vera</w:t>
      </w:r>
      <w:proofErr w:type="spellEnd"/>
      <w:r w:rsidRPr="00CE4228">
        <w:rPr>
          <w:rFonts w:ascii="Cambria" w:hAnsi="Cambria"/>
          <w:i/>
          <w:sz w:val="16"/>
          <w:szCs w:val="16"/>
          <w:lang w:val="es-ES"/>
        </w:rPr>
        <w:t xml:space="preserve"> y otra Vs. Ecuador</w:t>
      </w:r>
      <w:r w:rsidRPr="00CE4228">
        <w:rPr>
          <w:rFonts w:ascii="Cambria" w:hAnsi="Cambria"/>
          <w:sz w:val="16"/>
          <w:szCs w:val="16"/>
          <w:lang w:val="es-ES"/>
        </w:rPr>
        <w:t xml:space="preserve">. </w:t>
      </w:r>
      <w:r w:rsidRPr="00CE4228">
        <w:rPr>
          <w:rFonts w:ascii="Cambria" w:hAnsi="Cambria"/>
          <w:i/>
          <w:sz w:val="16"/>
          <w:szCs w:val="16"/>
          <w:lang w:val="es-ES"/>
        </w:rPr>
        <w:t>E</w:t>
      </w:r>
      <w:r w:rsidRPr="00CE4228">
        <w:rPr>
          <w:rFonts w:ascii="Cambria" w:hAnsi="Cambria"/>
          <w:sz w:val="16"/>
          <w:szCs w:val="16"/>
          <w:lang w:val="es-ES"/>
        </w:rPr>
        <w:t xml:space="preserve">xcepción Preliminar, Fondo, Reparaciones y Costas. Sentencia de 19 de mayo de 2011. Serie C No. 226, párr. </w:t>
      </w:r>
      <w:r w:rsidRPr="00CE4228">
        <w:rPr>
          <w:rFonts w:ascii="Cambria" w:hAnsi="Cambria"/>
          <w:sz w:val="16"/>
          <w:szCs w:val="16"/>
          <w:lang w:val="es-CR"/>
        </w:rPr>
        <w:t>44.</w:t>
      </w:r>
    </w:p>
  </w:footnote>
  <w:footnote w:id="28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bCs/>
          <w:i/>
          <w:sz w:val="16"/>
          <w:szCs w:val="16"/>
          <w:lang w:val="es-ES"/>
        </w:rPr>
        <w:t xml:space="preserve">Caso Acevedo Buendía y otros (“Cesantes y Jubilados de la Contraloría”) Vs. Perú. </w:t>
      </w:r>
      <w:r w:rsidRPr="00CE4228">
        <w:rPr>
          <w:rFonts w:ascii="Cambria" w:hAnsi="Cambria"/>
          <w:i/>
          <w:sz w:val="16"/>
          <w:szCs w:val="16"/>
          <w:lang w:val="es-ES"/>
        </w:rPr>
        <w:t>E</w:t>
      </w:r>
      <w:r w:rsidRPr="00CE4228">
        <w:rPr>
          <w:rFonts w:ascii="Cambria" w:hAnsi="Cambria"/>
          <w:sz w:val="16"/>
          <w:szCs w:val="16"/>
          <w:lang w:val="es-ES"/>
        </w:rPr>
        <w:t>xcepción Preliminar, Fondo, Reparaciones y Costas.</w:t>
      </w:r>
      <w:r w:rsidRPr="00CE4228">
        <w:rPr>
          <w:rFonts w:ascii="Cambria" w:hAnsi="Cambria"/>
          <w:i/>
          <w:sz w:val="16"/>
          <w:szCs w:val="16"/>
          <w:lang w:val="es-ES"/>
        </w:rPr>
        <w:t xml:space="preserve"> </w:t>
      </w:r>
      <w:r w:rsidRPr="00CE4228">
        <w:rPr>
          <w:rFonts w:ascii="Cambria" w:hAnsi="Cambria"/>
          <w:sz w:val="16"/>
          <w:szCs w:val="16"/>
          <w:lang w:val="es-ES"/>
        </w:rPr>
        <w:t>Sentencia de 1 de julio de 2009. Serie C No. 198, párr. 101. En el mismo sentido, véase: ONU.</w:t>
      </w:r>
      <w:r w:rsidRPr="00CE4228">
        <w:rPr>
          <w:rFonts w:ascii="Cambria" w:hAnsi="Cambria"/>
          <w:i/>
          <w:sz w:val="16"/>
          <w:szCs w:val="16"/>
          <w:lang w:val="es-ES"/>
        </w:rPr>
        <w:t xml:space="preserve"> </w:t>
      </w:r>
      <w:r w:rsidRPr="00CE4228">
        <w:rPr>
          <w:rFonts w:ascii="Cambria" w:hAnsi="Cambria"/>
          <w:sz w:val="16"/>
          <w:szCs w:val="16"/>
          <w:lang w:val="es-ES"/>
        </w:rPr>
        <w:t xml:space="preserve">Comité de Derechos Económicos, Sociales y Culturales. Observación General Número 9, párr. 10. </w:t>
      </w:r>
    </w:p>
  </w:footnote>
  <w:footnote w:id="288">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sz w:val="16"/>
          <w:szCs w:val="16"/>
        </w:rPr>
        <w:footnoteRef/>
      </w:r>
      <w:r w:rsidRPr="00CE4228">
        <w:rPr>
          <w:rFonts w:ascii="Cambria" w:hAnsi="Cambria"/>
          <w:sz w:val="16"/>
          <w:szCs w:val="16"/>
          <w:lang w:val="es-CO"/>
        </w:rPr>
        <w:t xml:space="preserve"> Ver por ejemplo algunos informes de admisibilidad en los cuales se ha admitido la posible violación del artículo 26 de la Convención: </w:t>
      </w:r>
      <w:r w:rsidRPr="00CE4228">
        <w:rPr>
          <w:rFonts w:ascii="Cambria" w:hAnsi="Cambria" w:cs="Helvetica"/>
          <w:color w:val="141413"/>
          <w:sz w:val="16"/>
          <w:szCs w:val="16"/>
          <w:lang w:val="es-CO" w:bidi="en-US"/>
        </w:rPr>
        <w:t xml:space="preserve">Informe 29/01. Caso 12.249. Jorge </w:t>
      </w:r>
      <w:proofErr w:type="spellStart"/>
      <w:r w:rsidRPr="00CE4228">
        <w:rPr>
          <w:rFonts w:ascii="Cambria" w:hAnsi="Cambria" w:cs="Helvetica"/>
          <w:color w:val="141413"/>
          <w:sz w:val="16"/>
          <w:szCs w:val="16"/>
          <w:lang w:val="es-CO" w:bidi="en-US"/>
        </w:rPr>
        <w:t>Odir</w:t>
      </w:r>
      <w:proofErr w:type="spellEnd"/>
      <w:r w:rsidRPr="00CE4228">
        <w:rPr>
          <w:rFonts w:ascii="Cambria" w:hAnsi="Cambria" w:cs="Helvetica"/>
          <w:color w:val="141413"/>
          <w:sz w:val="16"/>
          <w:szCs w:val="16"/>
          <w:lang w:val="es-CO" w:bidi="en-US"/>
        </w:rPr>
        <w:t xml:space="preserve"> Miranda Cortez y otros. El Salvador, 7 de marzo de 2001; e Informe 70/04. Petición 667/01. Admisibilidad. Jesús Manuel Naranjo Cárdenas y otros (Jubilados de la Empresa Venezolana de Aviación </w:t>
      </w:r>
      <w:proofErr w:type="spellStart"/>
      <w:r w:rsidRPr="00CE4228">
        <w:rPr>
          <w:rFonts w:ascii="Cambria" w:hAnsi="Cambria" w:cs="Helvetica"/>
          <w:color w:val="141413"/>
          <w:sz w:val="16"/>
          <w:szCs w:val="16"/>
          <w:lang w:val="es-CO" w:bidi="en-US"/>
        </w:rPr>
        <w:t>viasa</w:t>
      </w:r>
      <w:proofErr w:type="spellEnd"/>
      <w:r w:rsidRPr="00CE4228">
        <w:rPr>
          <w:rFonts w:ascii="Cambria" w:hAnsi="Cambria" w:cs="Helvetica"/>
          <w:color w:val="141413"/>
          <w:sz w:val="16"/>
          <w:szCs w:val="16"/>
          <w:lang w:val="es-CO" w:bidi="en-US"/>
        </w:rPr>
        <w:t>).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w:t>
      </w:r>
    </w:p>
  </w:footnote>
  <w:footnote w:id="289">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El Estado ecuatoriano ratificó dicho Protocolo el 25 de marzo de 1993. </w:t>
      </w:r>
    </w:p>
  </w:footnote>
  <w:footnote w:id="290">
    <w:p w:rsidR="00BB0B93" w:rsidRPr="00CE4228" w:rsidRDefault="00BB0B93" w:rsidP="00CE4228">
      <w:pPr>
        <w:jc w:val="both"/>
        <w:rPr>
          <w:rFonts w:ascii="Cambria" w:hAnsi="Cambria"/>
          <w:color w:val="000000"/>
          <w:sz w:val="16"/>
          <w:szCs w:val="16"/>
          <w:lang w:val="es-AR"/>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hAnsi="Cambria"/>
          <w:color w:val="000000"/>
          <w:sz w:val="16"/>
          <w:szCs w:val="16"/>
          <w:lang w:val="es-AR"/>
        </w:rPr>
        <w:t xml:space="preserve">CIDH. Informe No. 38/09. Caso 12.670. </w:t>
      </w:r>
      <w:proofErr w:type="spellStart"/>
      <w:r w:rsidRPr="00CE4228">
        <w:rPr>
          <w:rFonts w:ascii="Cambria" w:hAnsi="Cambria"/>
          <w:color w:val="000000"/>
          <w:sz w:val="16"/>
          <w:szCs w:val="16"/>
          <w:lang w:val="es-AR"/>
        </w:rPr>
        <w:t>Adminisibilidad</w:t>
      </w:r>
      <w:proofErr w:type="spellEnd"/>
      <w:r w:rsidRPr="00CE4228">
        <w:rPr>
          <w:rFonts w:ascii="Cambria" w:hAnsi="Cambria"/>
          <w:color w:val="000000"/>
          <w:sz w:val="16"/>
          <w:szCs w:val="16"/>
          <w:lang w:val="es-AR"/>
        </w:rPr>
        <w:t xml:space="preserve"> y fondo. Asociación Nacional de Ex Servidores del Instituto Peruano de Seguridad Social y otras. Perú. 27 de marzo de 2009. Párr. 134.</w:t>
      </w:r>
    </w:p>
  </w:footnote>
  <w:footnote w:id="291">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El Estado brasileño se adhirió a dicho tratado el 24 de enero de 1992. </w:t>
      </w:r>
    </w:p>
  </w:footnote>
  <w:footnote w:id="292">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Según esta disposición “</w:t>
      </w:r>
      <w:r w:rsidRPr="00CE4228">
        <w:rPr>
          <w:rFonts w:ascii="Cambria" w:hAnsi="Cambria"/>
          <w:sz w:val="16"/>
          <w:szCs w:val="16"/>
          <w:shd w:val="clear" w:color="auto" w:fill="FFFFFF"/>
          <w:lang w:val="es-PE"/>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CE4228">
        <w:rPr>
          <w:rFonts w:ascii="Cambria" w:hAnsi="Cambria"/>
          <w:sz w:val="16"/>
          <w:szCs w:val="16"/>
          <w:lang w:val="es-PE"/>
        </w:rPr>
        <w:t>”</w:t>
      </w:r>
    </w:p>
  </w:footnote>
  <w:footnote w:id="293">
    <w:p w:rsidR="00BB0B93" w:rsidRPr="00CE4228" w:rsidRDefault="00BB0B93" w:rsidP="00CE4228">
      <w:pPr>
        <w:jc w:val="both"/>
        <w:rPr>
          <w:rFonts w:ascii="Cambria" w:hAnsi="Cambria"/>
          <w:color w:val="000000"/>
          <w:sz w:val="16"/>
          <w:szCs w:val="16"/>
          <w:lang w:val="es-AR"/>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hAnsi="Cambria"/>
          <w:color w:val="000000"/>
          <w:sz w:val="16"/>
          <w:szCs w:val="16"/>
          <w:lang w:val="es-AR"/>
        </w:rPr>
        <w:t xml:space="preserve">CIDH. Informe No. 38/09. Caso 12.670. </w:t>
      </w:r>
      <w:proofErr w:type="spellStart"/>
      <w:r w:rsidRPr="00CE4228">
        <w:rPr>
          <w:rFonts w:ascii="Cambria" w:hAnsi="Cambria"/>
          <w:color w:val="000000"/>
          <w:sz w:val="16"/>
          <w:szCs w:val="16"/>
          <w:lang w:val="es-AR"/>
        </w:rPr>
        <w:t>Adminisibilidad</w:t>
      </w:r>
      <w:proofErr w:type="spellEnd"/>
      <w:r w:rsidRPr="00CE4228">
        <w:rPr>
          <w:rFonts w:ascii="Cambria" w:hAnsi="Cambria"/>
          <w:color w:val="000000"/>
          <w:sz w:val="16"/>
          <w:szCs w:val="16"/>
          <w:lang w:val="es-AR"/>
        </w:rPr>
        <w:t xml:space="preserve"> y fondo. Asociación Nacional de Ex Servidores del Instituto Peruano de Seguridad Social y otras. Perú. 27 de marzo de 2009. Párr. 136. </w:t>
      </w:r>
    </w:p>
  </w:footnote>
  <w:footnote w:id="294">
    <w:p w:rsidR="00BB0B93" w:rsidRPr="00CE4228" w:rsidRDefault="00BB0B93" w:rsidP="00CE4228">
      <w:pPr>
        <w:jc w:val="both"/>
        <w:rPr>
          <w:rFonts w:ascii="Cambria" w:eastAsia="Times New Roman"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eastAsia="Times New Roman" w:hAnsi="Cambria"/>
          <w:color w:val="000000"/>
          <w:sz w:val="16"/>
          <w:szCs w:val="16"/>
          <w:lang w:val="es-PE"/>
        </w:rPr>
        <w:t>Comité de Derechos Económicos, Sociales y Culturales de Naciones Unidas,</w:t>
      </w:r>
      <w:r w:rsidRPr="00CE4228">
        <w:rPr>
          <w:rStyle w:val="apple-converted-space"/>
          <w:rFonts w:ascii="Cambria" w:eastAsia="Times New Roman" w:hAnsi="Cambria"/>
          <w:color w:val="000000"/>
          <w:sz w:val="16"/>
          <w:szCs w:val="16"/>
          <w:lang w:val="es-PE"/>
        </w:rPr>
        <w:t> </w:t>
      </w:r>
      <w:r w:rsidRPr="00CE4228">
        <w:rPr>
          <w:rFonts w:ascii="Cambria" w:eastAsia="Times New Roman" w:hAnsi="Cambria"/>
          <w:iCs/>
          <w:color w:val="000000"/>
          <w:sz w:val="16"/>
          <w:szCs w:val="16"/>
          <w:lang w:val="es-PE"/>
        </w:rPr>
        <w:t>Observación general 3: La índole de las obligaciones de los Estados Partes (párrafo 1 del artículo 2 del Pacto)</w:t>
      </w:r>
      <w:r w:rsidRPr="00CE4228">
        <w:rPr>
          <w:rFonts w:ascii="Cambria" w:eastAsia="Times New Roman" w:hAnsi="Cambria"/>
          <w:color w:val="000000"/>
          <w:sz w:val="16"/>
          <w:szCs w:val="16"/>
          <w:lang w:val="es-PE"/>
        </w:rPr>
        <w:t>, 1990.</w:t>
      </w:r>
    </w:p>
  </w:footnote>
  <w:footnote w:id="295">
    <w:p w:rsidR="00BB0B93" w:rsidRPr="00CE4228" w:rsidRDefault="00BB0B93" w:rsidP="00CE4228">
      <w:pPr>
        <w:jc w:val="both"/>
        <w:rPr>
          <w:rFonts w:ascii="Cambria" w:eastAsia="Times New Roman"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eastAsia="Times New Roman" w:hAnsi="Cambria"/>
          <w:color w:val="000000"/>
          <w:sz w:val="16"/>
          <w:szCs w:val="16"/>
          <w:lang w:val="es-PE"/>
        </w:rPr>
        <w:t>Comité de Derechos Económicos, Sociales y Culturales de Naciones Unidas,</w:t>
      </w:r>
      <w:r w:rsidRPr="00CE4228">
        <w:rPr>
          <w:rStyle w:val="apple-converted-space"/>
          <w:rFonts w:ascii="Cambria" w:eastAsia="Times New Roman" w:hAnsi="Cambria"/>
          <w:color w:val="000000"/>
          <w:sz w:val="16"/>
          <w:szCs w:val="16"/>
          <w:lang w:val="es-PE"/>
        </w:rPr>
        <w:t> </w:t>
      </w:r>
      <w:r w:rsidRPr="00CE4228">
        <w:rPr>
          <w:rFonts w:ascii="Cambria" w:eastAsia="Times New Roman" w:hAnsi="Cambria"/>
          <w:iCs/>
          <w:color w:val="000000"/>
          <w:sz w:val="16"/>
          <w:szCs w:val="16"/>
          <w:lang w:val="es-PE"/>
        </w:rPr>
        <w:t>Observación general 3: La índole de las obligaciones de los Estados Partes (párrafo 1 del artículo 2 del Pacto)</w:t>
      </w:r>
      <w:r w:rsidRPr="00CE4228">
        <w:rPr>
          <w:rFonts w:ascii="Cambria" w:eastAsia="Times New Roman" w:hAnsi="Cambria"/>
          <w:color w:val="000000"/>
          <w:sz w:val="16"/>
          <w:szCs w:val="16"/>
          <w:lang w:val="es-PE"/>
        </w:rPr>
        <w:t xml:space="preserve">,  1990. En ese sentido ver: </w:t>
      </w:r>
      <w:r w:rsidRPr="00CE4228">
        <w:rPr>
          <w:rFonts w:ascii="Cambria" w:hAnsi="Cambria"/>
          <w:sz w:val="16"/>
          <w:szCs w:val="16"/>
          <w:lang w:val="es-PE"/>
        </w:rPr>
        <w:t>CIDH. Informe sobre pobreza y derechos humanos en las Américas OEA/</w:t>
      </w:r>
      <w:proofErr w:type="spellStart"/>
      <w:r w:rsidRPr="00CE4228">
        <w:rPr>
          <w:rFonts w:ascii="Cambria" w:hAnsi="Cambria"/>
          <w:sz w:val="16"/>
          <w:szCs w:val="16"/>
          <w:lang w:val="es-PE"/>
        </w:rPr>
        <w:t>Ser.L</w:t>
      </w:r>
      <w:proofErr w:type="spellEnd"/>
      <w:r w:rsidRPr="00CE4228">
        <w:rPr>
          <w:rFonts w:ascii="Cambria" w:hAnsi="Cambria"/>
          <w:sz w:val="16"/>
          <w:szCs w:val="16"/>
          <w:lang w:val="es-PE"/>
        </w:rPr>
        <w:t>/V/II.164 Doc. 147 (7 de septiembre de 2017) párrs. 236 y 237.</w:t>
      </w:r>
    </w:p>
  </w:footnote>
  <w:footnote w:id="296">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hAnsi="Cambria"/>
          <w:sz w:val="16"/>
          <w:szCs w:val="16"/>
          <w:lang w:val="es-ES"/>
        </w:rPr>
        <w:t>Son particularmente importantes el Pacto Internacional de Derechos Económicos, Sociales y Culturales, el Protocolo Adicional a la Convención Americana sobre Derechos Humanos en Materia de Derechos Económicos, Sociales y Culturales (Protocolo de San Salvador) y aún otros tratados como la Convención sobre los Derechos del Niño, la Convención para la Eliminación de Toda Forma de Discriminación contra la Mujer y los Convenios de la Organización Internacional del Trabajo.</w:t>
      </w:r>
    </w:p>
  </w:footnote>
  <w:footnote w:id="297">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de Derechos Económicos, Sociales y Culturales. Observación General Número 14, E/C.12/2000/4, 11 de agosto de 2000, párr. 12.</w:t>
      </w:r>
    </w:p>
  </w:footnote>
  <w:footnote w:id="298">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rPr>
        <w:footnoteRef/>
      </w:r>
      <w:r w:rsidRPr="00CE4228">
        <w:rPr>
          <w:rStyle w:val="FootnoteReference"/>
          <w:rFonts w:ascii="Cambria" w:hAnsi="Cambria"/>
          <w:sz w:val="16"/>
          <w:szCs w:val="16"/>
          <w:lang w:val="es-PE"/>
        </w:rPr>
        <w:t xml:space="preserve"> </w:t>
      </w:r>
      <w:r w:rsidRPr="00CE4228">
        <w:rPr>
          <w:rFonts w:ascii="Cambria" w:hAnsi="Cambria"/>
          <w:sz w:val="16"/>
          <w:szCs w:val="16"/>
          <w:lang w:val="es-ES"/>
        </w:rPr>
        <w:t xml:space="preserve">CIDH. Informe No 2/16. Caso 12.484. Fondo. </w:t>
      </w:r>
      <w:proofErr w:type="spellStart"/>
      <w:r w:rsidRPr="00CE4228">
        <w:rPr>
          <w:rFonts w:ascii="Cambria" w:hAnsi="Cambria"/>
          <w:sz w:val="16"/>
          <w:szCs w:val="16"/>
          <w:lang w:val="es-ES"/>
        </w:rPr>
        <w:t>Cuscul</w:t>
      </w:r>
      <w:proofErr w:type="spellEnd"/>
      <w:r w:rsidRPr="00CE4228">
        <w:rPr>
          <w:rFonts w:ascii="Cambria" w:hAnsi="Cambria"/>
          <w:sz w:val="16"/>
          <w:szCs w:val="16"/>
          <w:lang w:val="es-ES"/>
        </w:rPr>
        <w:t xml:space="preserve"> </w:t>
      </w:r>
      <w:proofErr w:type="spellStart"/>
      <w:r w:rsidRPr="00CE4228">
        <w:rPr>
          <w:rFonts w:ascii="Cambria" w:hAnsi="Cambria"/>
          <w:sz w:val="16"/>
          <w:szCs w:val="16"/>
          <w:lang w:val="es-ES"/>
        </w:rPr>
        <w:t>Pivaral</w:t>
      </w:r>
      <w:proofErr w:type="spellEnd"/>
      <w:r w:rsidRPr="00CE4228">
        <w:rPr>
          <w:rFonts w:ascii="Cambria" w:hAnsi="Cambria"/>
          <w:sz w:val="16"/>
          <w:szCs w:val="16"/>
          <w:lang w:val="es-ES"/>
        </w:rPr>
        <w:t xml:space="preserve"> y otros. Guatemala, 13 de abril de 2016, párr. 106; Corte IDH. Caso Poblete Vilches y otros Vs. Chile. Fondo, Reparaciones y Costas. Sentencia de 8 de marzo de 2018. Serie C No. 349. párr. 120.</w:t>
      </w:r>
    </w:p>
  </w:footnote>
  <w:footnote w:id="299">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hAnsi="Cambria"/>
          <w:sz w:val="16"/>
          <w:szCs w:val="16"/>
          <w:lang w:val="es-ES"/>
        </w:rPr>
        <w:t xml:space="preserve">Informe del Relator Especial sobre el derecho de toda persona al disfrute del más alto nivel posible de salud física y mental, UN Doc. E/CN.4/2005/51, 14 de febrero de 2005, párr. 14; </w:t>
      </w:r>
      <w:r w:rsidRPr="00CE4228">
        <w:rPr>
          <w:rFonts w:ascii="Cambria" w:hAnsi="Cambria"/>
          <w:sz w:val="16"/>
          <w:szCs w:val="16"/>
          <w:lang w:val="es-ES"/>
        </w:rPr>
        <w:footnoteRef/>
      </w:r>
      <w:r w:rsidRPr="00CE4228">
        <w:rPr>
          <w:rFonts w:ascii="Cambria" w:hAnsi="Cambria"/>
          <w:sz w:val="16"/>
          <w:szCs w:val="16"/>
          <w:lang w:val="es-ES"/>
        </w:rPr>
        <w:t xml:space="preserve"> Informe del Relator Especial sobre el derecho de toda persona al disfrute del más alto nivel posible de salud física y mental, UN Doc. A/HRC/35/21, 28 de marzo de 2017, párrs. 39, 55, 61 y 94.a</w:t>
      </w:r>
    </w:p>
  </w:footnote>
  <w:footnote w:id="300">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lang w:val="es-ES"/>
        </w:rPr>
        <w:footnoteRef/>
      </w:r>
      <w:r w:rsidRPr="00CE4228">
        <w:rPr>
          <w:rFonts w:ascii="Cambria" w:hAnsi="Cambria"/>
          <w:sz w:val="16"/>
          <w:szCs w:val="16"/>
          <w:lang w:val="es-PE"/>
        </w:rPr>
        <w:t xml:space="preserve"> </w:t>
      </w:r>
      <w:r w:rsidRPr="00CE4228">
        <w:rPr>
          <w:rFonts w:ascii="Cambria" w:hAnsi="Cambria"/>
          <w:sz w:val="16"/>
          <w:szCs w:val="16"/>
          <w:lang w:val="es-ES"/>
        </w:rPr>
        <w:t xml:space="preserve">Informe del Relator Especial sobre el derecho de toda persona al disfrute del más alto nivel posible de salud física y mental, UN Doc. A/HRC/35/21, 28 de marzo de 2017, párr. </w:t>
      </w:r>
      <w:r w:rsidRPr="00CE4228">
        <w:rPr>
          <w:rFonts w:ascii="Cambria" w:eastAsia="Times New Roman" w:hAnsi="Cambria" w:cs="Times New Roman"/>
          <w:iCs/>
          <w:sz w:val="16"/>
          <w:szCs w:val="16"/>
          <w:lang w:val="es-PE" w:eastAsia="en-US"/>
        </w:rPr>
        <w:t>58.</w:t>
      </w:r>
    </w:p>
  </w:footnote>
  <w:footnote w:id="301">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Corte I.D.H., </w:t>
      </w:r>
      <w:r w:rsidRPr="00CE4228">
        <w:rPr>
          <w:rFonts w:ascii="Cambria" w:hAnsi="Cambria"/>
          <w:i/>
          <w:sz w:val="16"/>
          <w:szCs w:val="16"/>
          <w:lang w:val="es-ES"/>
        </w:rPr>
        <w:t>Caso Claude Reyes y otros Vs. Chile</w:t>
      </w:r>
      <w:r w:rsidRPr="00CE4228">
        <w:rPr>
          <w:rFonts w:ascii="Cambria" w:hAnsi="Cambria"/>
          <w:sz w:val="16"/>
          <w:szCs w:val="16"/>
          <w:lang w:val="es-ES"/>
        </w:rPr>
        <w:t>, Fondo, Reparaciones y Costas, Sentencia de 19 de septiembre de 2006, Serie C No. 151, párr. 77.</w:t>
      </w:r>
    </w:p>
  </w:footnote>
  <w:footnote w:id="302">
    <w:p w:rsidR="00BB0B93" w:rsidRPr="00CE4228" w:rsidRDefault="00BB0B93" w:rsidP="00CE4228">
      <w:pPr>
        <w:autoSpaceDE w:val="0"/>
        <w:autoSpaceDN w:val="0"/>
        <w:adjustRightInd w:val="0"/>
        <w:jc w:val="both"/>
        <w:rPr>
          <w:rFonts w:ascii="Cambria" w:hAnsi="Cambria" w:cs="Calibri"/>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115. Citando. 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xml:space="preserve">, 22 de noviembre de 2011; CIDH. </w:t>
      </w:r>
      <w:r w:rsidRPr="00CE4228">
        <w:rPr>
          <w:rFonts w:ascii="Cambria" w:hAnsi="Cambria"/>
          <w:i/>
          <w:sz w:val="16"/>
          <w:szCs w:val="16"/>
          <w:lang w:val="es-ES"/>
        </w:rPr>
        <w:t>Lineamientos para la elaboración de indicadores de progreso en material de derechos económicos, sociales y culturales</w:t>
      </w:r>
      <w:r w:rsidRPr="00CE4228">
        <w:rPr>
          <w:rFonts w:ascii="Cambria" w:hAnsi="Cambria"/>
          <w:sz w:val="16"/>
          <w:szCs w:val="16"/>
          <w:lang w:val="es-ES"/>
        </w:rPr>
        <w:t>, 19 de julio de 2008, indicadores del derecho a la salud, pág. 48.</w:t>
      </w:r>
    </w:p>
  </w:footnote>
  <w:footnote w:id="303">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115. Citando. 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xml:space="preserve">, 22 de noviembre de 2011, párr. 43. </w:t>
      </w:r>
    </w:p>
  </w:footnote>
  <w:footnote w:id="304">
    <w:p w:rsidR="00BB0B93" w:rsidRPr="00CE4228" w:rsidRDefault="00BB0B93" w:rsidP="00CE4228">
      <w:pPr>
        <w:pStyle w:val="Footnotes"/>
        <w:spacing w:after="0"/>
        <w:ind w:firstLine="0"/>
        <w:rPr>
          <w:szCs w:val="16"/>
          <w:lang w:val="es-ES"/>
        </w:rPr>
      </w:pPr>
      <w:r w:rsidRPr="00CE4228">
        <w:rPr>
          <w:rStyle w:val="FootnoteReference"/>
          <w:szCs w:val="16"/>
          <w:lang w:val="es-ES"/>
        </w:rPr>
        <w:footnoteRef/>
      </w:r>
      <w:r w:rsidRPr="00CE4228">
        <w:rPr>
          <w:szCs w:val="16"/>
          <w:lang w:val="es-ES"/>
        </w:rPr>
        <w:t xml:space="preserve"> Corte Europea de Derechos Humanos, </w:t>
      </w:r>
      <w:r w:rsidRPr="00CE4228">
        <w:rPr>
          <w:i/>
          <w:szCs w:val="16"/>
          <w:lang w:val="es-ES"/>
        </w:rPr>
        <w:t xml:space="preserve">Case of RR v. </w:t>
      </w:r>
      <w:proofErr w:type="spellStart"/>
      <w:r w:rsidRPr="00CE4228">
        <w:rPr>
          <w:i/>
          <w:szCs w:val="16"/>
          <w:lang w:val="es-ES"/>
        </w:rPr>
        <w:t>Poland</w:t>
      </w:r>
      <w:proofErr w:type="spellEnd"/>
      <w:r w:rsidRPr="00CE4228">
        <w:rPr>
          <w:szCs w:val="16"/>
          <w:lang w:val="es-ES"/>
        </w:rPr>
        <w:t xml:space="preserve">, Aplicación 27617/04, 26 de mayo de 2011, párr. 188. Ver también: CIDH, </w:t>
      </w:r>
      <w:r w:rsidRPr="00CE4228">
        <w:rPr>
          <w:i/>
          <w:szCs w:val="16"/>
          <w:lang w:val="es-ES"/>
        </w:rPr>
        <w:t>Acceso a la información en materia reproductiva desde una perspectiva de derechos humanos</w:t>
      </w:r>
      <w:r w:rsidRPr="00CE4228">
        <w:rPr>
          <w:szCs w:val="16"/>
          <w:lang w:val="es-ES"/>
        </w:rPr>
        <w:t xml:space="preserve">, 22 de noviembre de 2011, párr. 61. Asimismo, para otros tratamientos de materias relacionadas en el ámbito internacional, ver: Naciones Unidas, Consejo de Derechos Humanos, </w:t>
      </w:r>
      <w:r w:rsidRPr="00CE4228">
        <w:rPr>
          <w:i/>
          <w:szCs w:val="16"/>
          <w:lang w:val="es-ES"/>
        </w:rPr>
        <w:t>Informe del Relator Especial sobre la tortura y otros tratos crueles, inhumanos y degradantes, Juan E. Méndez</w:t>
      </w:r>
      <w:r w:rsidRPr="00CE4228">
        <w:rPr>
          <w:szCs w:val="16"/>
          <w:lang w:val="es-ES"/>
        </w:rPr>
        <w:t>, A/HRC/22/53, 1 de febrero de 2013, párr. 32, 46 y 48.</w:t>
      </w:r>
    </w:p>
  </w:footnote>
  <w:footnote w:id="305">
    <w:p w:rsidR="00BB0B93" w:rsidRPr="00CE4228" w:rsidRDefault="00BB0B93" w:rsidP="00CE4228">
      <w:pPr>
        <w:pStyle w:val="FootnoteText"/>
        <w:jc w:val="both"/>
        <w:rPr>
          <w:rFonts w:ascii="Cambria" w:hAnsi="Cambria"/>
          <w:sz w:val="16"/>
          <w:szCs w:val="16"/>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116. El término “consentimiento informado” es el término más utilizado comúnmente. Sin embargo, hay quienes sostienen que el término puede ser malinterpretado y que debería ser reemplazado por el término “elección informada”. Ello debido a que la elección de no consentir es esencial al concepto integrado de voluntario o consentimiento otorgado voluntariamente. </w:t>
      </w:r>
      <w:proofErr w:type="spellStart"/>
      <w:r w:rsidRPr="00CE4228">
        <w:rPr>
          <w:rFonts w:ascii="Cambria" w:hAnsi="Cambria"/>
          <w:sz w:val="16"/>
          <w:szCs w:val="16"/>
        </w:rPr>
        <w:t>Véase</w:t>
      </w:r>
      <w:proofErr w:type="spellEnd"/>
      <w:r w:rsidRPr="00CE4228">
        <w:rPr>
          <w:rFonts w:ascii="Cambria" w:hAnsi="Cambria"/>
          <w:sz w:val="16"/>
          <w:szCs w:val="16"/>
        </w:rPr>
        <w:t xml:space="preserve">, B.M. Dickens, R.J Cook, </w:t>
      </w:r>
      <w:r w:rsidRPr="00CE4228">
        <w:rPr>
          <w:rFonts w:ascii="Cambria" w:hAnsi="Cambria"/>
          <w:i/>
          <w:sz w:val="16"/>
          <w:szCs w:val="16"/>
        </w:rPr>
        <w:t>Dimensions of informed consent to treatment, Ethical and legal issues in reproductive health</w:t>
      </w:r>
      <w:r w:rsidRPr="00CE4228">
        <w:rPr>
          <w:rFonts w:ascii="Cambria" w:hAnsi="Cambria"/>
          <w:sz w:val="16"/>
          <w:szCs w:val="16"/>
        </w:rPr>
        <w:t xml:space="preserve">, International Journal of Gynecology &amp; Obstetrics 85 (2004), pp. 309‐314. </w:t>
      </w:r>
    </w:p>
  </w:footnote>
  <w:footnote w:id="306">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116. Citando. Naciones Unidas, </w:t>
      </w:r>
      <w:r w:rsidRPr="00CE4228">
        <w:rPr>
          <w:rFonts w:ascii="Cambria" w:hAnsi="Cambria"/>
          <w:i/>
          <w:sz w:val="16"/>
          <w:szCs w:val="16"/>
          <w:lang w:val="es-ES"/>
        </w:rPr>
        <w:t xml:space="preserve">Informe del Relator Especial Relator Especial sobre el derecho de toda persona al disfrute del más alto nivel posible de salud física y mental, </w:t>
      </w:r>
      <w:proofErr w:type="spellStart"/>
      <w:r w:rsidRPr="00CE4228">
        <w:rPr>
          <w:rFonts w:ascii="Cambria" w:hAnsi="Cambria"/>
          <w:i/>
          <w:sz w:val="16"/>
          <w:szCs w:val="16"/>
          <w:lang w:val="es-ES"/>
        </w:rPr>
        <w:t>Anand</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Grover</w:t>
      </w:r>
      <w:proofErr w:type="spellEnd"/>
      <w:r w:rsidRPr="00CE4228">
        <w:rPr>
          <w:rFonts w:ascii="Cambria" w:hAnsi="Cambria"/>
          <w:sz w:val="16"/>
          <w:szCs w:val="16"/>
          <w:lang w:val="es-ES"/>
        </w:rPr>
        <w:t xml:space="preserve">, presentado de conformidad con la resolución 6/29 del Consejo de Derechos Humanos, A/64/272 de 10 de agosto de 2009; Naciones Unidas, Comité para la Eliminación de la Discriminación contra la Mujer, </w:t>
      </w:r>
      <w:r w:rsidRPr="00CE4228">
        <w:rPr>
          <w:rFonts w:ascii="Cambria" w:hAnsi="Cambria"/>
          <w:i/>
          <w:sz w:val="16"/>
          <w:szCs w:val="16"/>
          <w:lang w:val="es-ES"/>
        </w:rPr>
        <w:t>Comunicación No. 4/2004, Caso A.S. vs. Hungría</w:t>
      </w:r>
      <w:r w:rsidRPr="00CE4228">
        <w:rPr>
          <w:rFonts w:ascii="Cambria" w:hAnsi="Cambria"/>
          <w:sz w:val="16"/>
          <w:szCs w:val="16"/>
          <w:lang w:val="es-ES"/>
        </w:rPr>
        <w:t>, 29 de agosto de 2006, CEDAW/C/36/D/4/2004, párr. 11.3.</w:t>
      </w:r>
      <w:r w:rsidRPr="00CE4228">
        <w:rPr>
          <w:rFonts w:ascii="Cambria" w:hAnsi="Cambria" w:cs="Arial"/>
          <w:sz w:val="16"/>
          <w:szCs w:val="16"/>
          <w:lang w:val="es-ES"/>
        </w:rPr>
        <w:t xml:space="preserve"> Por ejemplo, </w:t>
      </w:r>
      <w:r w:rsidRPr="00CE4228">
        <w:rPr>
          <w:rFonts w:ascii="Cambria" w:hAnsi="Cambria"/>
          <w:sz w:val="16"/>
          <w:szCs w:val="16"/>
          <w:lang w:val="es-ES"/>
        </w:rPr>
        <w:t>la Declaración de Ámsterdam sobre los Derechos de los Pacientes, dispone que: “[l]os pacientes tienen derecho a ser informados en detalle sobre su estado de salud, incluyendo los datos médicos sobre su estado; sobre los procedimientos médicos propuestos, junto a los riesgos potenciales y beneficios de cada procedimiento; sobre alternativas a los procedimientos propuestos, incluyendo el efecto de no aplicar un tratamiento; y sobre el diagnóstico, pronóstico y progreso del tratamiento” (ICP/HLE 121, 1994).</w:t>
      </w:r>
    </w:p>
  </w:footnote>
  <w:footnote w:id="307">
    <w:p w:rsidR="00BB0B93" w:rsidRPr="00CE4228" w:rsidRDefault="00BB0B93" w:rsidP="00CE4228">
      <w:pPr>
        <w:jc w:val="both"/>
        <w:rPr>
          <w:rFonts w:ascii="Cambria" w:hAnsi="Cambria"/>
          <w:sz w:val="16"/>
          <w:szCs w:val="16"/>
          <w:lang w:val="es-CO"/>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118. Citando. 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xml:space="preserve">, 22 de noviembre de 2011, párr. </w:t>
      </w:r>
      <w:r w:rsidRPr="00CE4228">
        <w:rPr>
          <w:rFonts w:ascii="Cambria" w:hAnsi="Cambria"/>
          <w:sz w:val="16"/>
          <w:szCs w:val="16"/>
          <w:lang w:val="es-CO"/>
        </w:rPr>
        <w:t xml:space="preserve">42. </w:t>
      </w:r>
    </w:p>
  </w:footnote>
  <w:footnote w:id="308">
    <w:p w:rsidR="00BB0B93" w:rsidRPr="00CE4228" w:rsidRDefault="00BB0B93" w:rsidP="00CE4228">
      <w:pPr>
        <w:pStyle w:val="FootnoteText"/>
        <w:jc w:val="both"/>
        <w:rPr>
          <w:rFonts w:ascii="Cambria" w:hAnsi="Cambria"/>
          <w:sz w:val="16"/>
          <w:szCs w:val="16"/>
          <w:lang w:val="es-CO"/>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117. Citando. Naciones Unidas, </w:t>
      </w:r>
      <w:r w:rsidRPr="00CE4228">
        <w:rPr>
          <w:rFonts w:ascii="Cambria" w:hAnsi="Cambria"/>
          <w:i/>
          <w:sz w:val="16"/>
          <w:szCs w:val="16"/>
          <w:lang w:val="es-ES"/>
        </w:rPr>
        <w:t>Informe del Relator Especial Relator Especial sobre el derecho de toda persona al disfrute del más alto nivel posible de salud física y mental</w:t>
      </w:r>
      <w:r w:rsidRPr="00CE4228">
        <w:rPr>
          <w:rFonts w:ascii="Cambria" w:hAnsi="Cambria"/>
          <w:sz w:val="16"/>
          <w:szCs w:val="16"/>
          <w:lang w:val="es-ES"/>
        </w:rPr>
        <w:t xml:space="preserve">, </w:t>
      </w:r>
      <w:proofErr w:type="spellStart"/>
      <w:r w:rsidRPr="00CE4228">
        <w:rPr>
          <w:rFonts w:ascii="Cambria" w:hAnsi="Cambria"/>
          <w:i/>
          <w:sz w:val="16"/>
          <w:szCs w:val="16"/>
          <w:lang w:val="es-ES"/>
        </w:rPr>
        <w:t>Anand</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Grover</w:t>
      </w:r>
      <w:proofErr w:type="spellEnd"/>
      <w:r w:rsidRPr="00CE4228">
        <w:rPr>
          <w:rFonts w:ascii="Cambria" w:hAnsi="Cambria"/>
          <w:sz w:val="16"/>
          <w:szCs w:val="16"/>
          <w:lang w:val="es-ES"/>
        </w:rPr>
        <w:t xml:space="preserve">, presentado de conformidad con la resolución 6/29 del Consejo de Derechos Humanos, A/64/272 de 10 de agosto de 2009, párr. </w:t>
      </w:r>
      <w:r w:rsidRPr="00CE4228">
        <w:rPr>
          <w:rFonts w:ascii="Cambria" w:hAnsi="Cambria"/>
          <w:sz w:val="16"/>
          <w:szCs w:val="16"/>
          <w:lang w:val="es-CO"/>
        </w:rPr>
        <w:t xml:space="preserve">9. </w:t>
      </w:r>
    </w:p>
  </w:footnote>
  <w:footnote w:id="309">
    <w:p w:rsidR="00BB0B93" w:rsidRPr="00765C1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w:t>
      </w:r>
      <w:r w:rsidRPr="00765C18">
        <w:rPr>
          <w:rFonts w:ascii="Cambria" w:hAnsi="Cambria"/>
          <w:sz w:val="16"/>
          <w:szCs w:val="16"/>
          <w:lang w:val="es-ES"/>
        </w:rPr>
        <w:t xml:space="preserve">Párr. 116. Citando. Consejo de Europa, </w:t>
      </w:r>
      <w:proofErr w:type="spellStart"/>
      <w:r w:rsidRPr="00765C18">
        <w:rPr>
          <w:rFonts w:ascii="Cambria" w:hAnsi="Cambria"/>
          <w:i/>
          <w:sz w:val="16"/>
          <w:szCs w:val="16"/>
          <w:lang w:val="es-ES"/>
        </w:rPr>
        <w:t>Convention</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for</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the</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Protection</w:t>
      </w:r>
      <w:proofErr w:type="spellEnd"/>
      <w:r w:rsidRPr="00765C18">
        <w:rPr>
          <w:rFonts w:ascii="Cambria" w:hAnsi="Cambria"/>
          <w:i/>
          <w:sz w:val="16"/>
          <w:szCs w:val="16"/>
          <w:lang w:val="es-ES"/>
        </w:rPr>
        <w:t xml:space="preserve"> of Human </w:t>
      </w:r>
      <w:proofErr w:type="spellStart"/>
      <w:r w:rsidRPr="00765C18">
        <w:rPr>
          <w:rFonts w:ascii="Cambria" w:hAnsi="Cambria"/>
          <w:i/>
          <w:sz w:val="16"/>
          <w:szCs w:val="16"/>
          <w:lang w:val="es-ES"/>
        </w:rPr>
        <w:t>Rights</w:t>
      </w:r>
      <w:proofErr w:type="spellEnd"/>
      <w:r w:rsidRPr="00765C18">
        <w:rPr>
          <w:rFonts w:ascii="Cambria" w:hAnsi="Cambria"/>
          <w:i/>
          <w:sz w:val="16"/>
          <w:szCs w:val="16"/>
          <w:lang w:val="es-ES"/>
        </w:rPr>
        <w:t xml:space="preserve"> and </w:t>
      </w:r>
      <w:proofErr w:type="spellStart"/>
      <w:r w:rsidRPr="00765C18">
        <w:rPr>
          <w:rFonts w:ascii="Cambria" w:hAnsi="Cambria"/>
          <w:i/>
          <w:sz w:val="16"/>
          <w:szCs w:val="16"/>
          <w:lang w:val="es-ES"/>
        </w:rPr>
        <w:t>Dignity</w:t>
      </w:r>
      <w:proofErr w:type="spellEnd"/>
      <w:r w:rsidRPr="00765C18">
        <w:rPr>
          <w:rFonts w:ascii="Cambria" w:hAnsi="Cambria"/>
          <w:i/>
          <w:sz w:val="16"/>
          <w:szCs w:val="16"/>
          <w:lang w:val="es-ES"/>
        </w:rPr>
        <w:t xml:space="preserve"> of </w:t>
      </w:r>
      <w:proofErr w:type="spellStart"/>
      <w:r w:rsidRPr="00765C18">
        <w:rPr>
          <w:rFonts w:ascii="Cambria" w:hAnsi="Cambria"/>
          <w:i/>
          <w:sz w:val="16"/>
          <w:szCs w:val="16"/>
          <w:lang w:val="es-ES"/>
        </w:rPr>
        <w:t>the</w:t>
      </w:r>
      <w:proofErr w:type="spellEnd"/>
      <w:r w:rsidRPr="00765C18">
        <w:rPr>
          <w:rFonts w:ascii="Cambria" w:hAnsi="Cambria"/>
          <w:i/>
          <w:sz w:val="16"/>
          <w:szCs w:val="16"/>
          <w:lang w:val="es-ES"/>
        </w:rPr>
        <w:t xml:space="preserve"> Human </w:t>
      </w:r>
      <w:proofErr w:type="spellStart"/>
      <w:r w:rsidRPr="00765C18">
        <w:rPr>
          <w:rFonts w:ascii="Cambria" w:hAnsi="Cambria"/>
          <w:i/>
          <w:sz w:val="16"/>
          <w:szCs w:val="16"/>
          <w:lang w:val="es-ES"/>
        </w:rPr>
        <w:t>Being</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with</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regard</w:t>
      </w:r>
      <w:proofErr w:type="spellEnd"/>
      <w:r w:rsidRPr="00765C18">
        <w:rPr>
          <w:rFonts w:ascii="Cambria" w:hAnsi="Cambria"/>
          <w:i/>
          <w:sz w:val="16"/>
          <w:szCs w:val="16"/>
          <w:lang w:val="es-ES"/>
        </w:rPr>
        <w:t xml:space="preserve"> to </w:t>
      </w:r>
      <w:proofErr w:type="spellStart"/>
      <w:r w:rsidRPr="00765C18">
        <w:rPr>
          <w:rFonts w:ascii="Cambria" w:hAnsi="Cambria"/>
          <w:i/>
          <w:sz w:val="16"/>
          <w:szCs w:val="16"/>
          <w:lang w:val="es-ES"/>
        </w:rPr>
        <w:t>the</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Application</w:t>
      </w:r>
      <w:proofErr w:type="spellEnd"/>
      <w:r w:rsidRPr="00765C18">
        <w:rPr>
          <w:rFonts w:ascii="Cambria" w:hAnsi="Cambria"/>
          <w:i/>
          <w:sz w:val="16"/>
          <w:szCs w:val="16"/>
          <w:lang w:val="es-ES"/>
        </w:rPr>
        <w:t xml:space="preserve"> of </w:t>
      </w:r>
      <w:proofErr w:type="spellStart"/>
      <w:r w:rsidRPr="00765C18">
        <w:rPr>
          <w:rFonts w:ascii="Cambria" w:hAnsi="Cambria"/>
          <w:i/>
          <w:sz w:val="16"/>
          <w:szCs w:val="16"/>
          <w:lang w:val="es-ES"/>
        </w:rPr>
        <w:t>Biology</w:t>
      </w:r>
      <w:proofErr w:type="spellEnd"/>
      <w:r w:rsidRPr="00765C18">
        <w:rPr>
          <w:rFonts w:ascii="Cambria" w:hAnsi="Cambria"/>
          <w:i/>
          <w:sz w:val="16"/>
          <w:szCs w:val="16"/>
          <w:lang w:val="es-ES"/>
        </w:rPr>
        <w:t xml:space="preserve"> and Medicine: </w:t>
      </w:r>
      <w:proofErr w:type="spellStart"/>
      <w:r w:rsidRPr="00765C18">
        <w:rPr>
          <w:rFonts w:ascii="Cambria" w:hAnsi="Cambria"/>
          <w:i/>
          <w:sz w:val="16"/>
          <w:szCs w:val="16"/>
          <w:lang w:val="es-ES"/>
        </w:rPr>
        <w:t>Convention</w:t>
      </w:r>
      <w:proofErr w:type="spellEnd"/>
      <w:r w:rsidRPr="00765C18">
        <w:rPr>
          <w:rFonts w:ascii="Cambria" w:hAnsi="Cambria"/>
          <w:i/>
          <w:sz w:val="16"/>
          <w:szCs w:val="16"/>
          <w:lang w:val="es-ES"/>
        </w:rPr>
        <w:t xml:space="preserve"> </w:t>
      </w:r>
      <w:proofErr w:type="spellStart"/>
      <w:r w:rsidRPr="00765C18">
        <w:rPr>
          <w:rFonts w:ascii="Cambria" w:hAnsi="Cambria"/>
          <w:i/>
          <w:sz w:val="16"/>
          <w:szCs w:val="16"/>
          <w:lang w:val="es-ES"/>
        </w:rPr>
        <w:t>on</w:t>
      </w:r>
      <w:proofErr w:type="spellEnd"/>
      <w:r w:rsidRPr="00765C18">
        <w:rPr>
          <w:rFonts w:ascii="Cambria" w:hAnsi="Cambria"/>
          <w:i/>
          <w:sz w:val="16"/>
          <w:szCs w:val="16"/>
          <w:lang w:val="es-ES"/>
        </w:rPr>
        <w:t xml:space="preserve"> Human </w:t>
      </w:r>
      <w:proofErr w:type="spellStart"/>
      <w:r w:rsidRPr="00765C18">
        <w:rPr>
          <w:rFonts w:ascii="Cambria" w:hAnsi="Cambria"/>
          <w:i/>
          <w:sz w:val="16"/>
          <w:szCs w:val="16"/>
          <w:lang w:val="es-ES"/>
        </w:rPr>
        <w:t>Rights</w:t>
      </w:r>
      <w:proofErr w:type="spellEnd"/>
      <w:r w:rsidRPr="00765C18">
        <w:rPr>
          <w:rFonts w:ascii="Cambria" w:hAnsi="Cambria"/>
          <w:i/>
          <w:sz w:val="16"/>
          <w:szCs w:val="16"/>
          <w:lang w:val="es-ES"/>
        </w:rPr>
        <w:t xml:space="preserve"> and </w:t>
      </w:r>
      <w:proofErr w:type="spellStart"/>
      <w:r w:rsidRPr="00765C18">
        <w:rPr>
          <w:rFonts w:ascii="Cambria" w:hAnsi="Cambria"/>
          <w:i/>
          <w:sz w:val="16"/>
          <w:szCs w:val="16"/>
          <w:lang w:val="es-ES"/>
        </w:rPr>
        <w:t>Biomedicine</w:t>
      </w:r>
      <w:proofErr w:type="spellEnd"/>
      <w:r w:rsidRPr="00765C18">
        <w:rPr>
          <w:rFonts w:ascii="Cambria" w:hAnsi="Cambria"/>
          <w:sz w:val="16"/>
          <w:szCs w:val="16"/>
          <w:lang w:val="es-ES"/>
        </w:rPr>
        <w:t xml:space="preserve">, firmada el 4 de abril de 1997 en Oviedo, España, entrada en vigencia el 1 de diciembre de 1999. </w:t>
      </w:r>
    </w:p>
  </w:footnote>
  <w:footnote w:id="310">
    <w:p w:rsidR="00BB0B93" w:rsidRPr="00CE4228" w:rsidRDefault="00BB0B93" w:rsidP="00CE4228">
      <w:pPr>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119. Citando. 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xml:space="preserve">, 22 de noviembre de 2011, párr. 44. </w:t>
      </w:r>
    </w:p>
  </w:footnote>
  <w:footnote w:id="311">
    <w:p w:rsidR="00BB0B93" w:rsidRPr="00CE4228" w:rsidRDefault="00BB0B93" w:rsidP="00CE4228">
      <w:pPr>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120. Citando. 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22 de noviembre de 2011, párr. 45.</w:t>
      </w:r>
    </w:p>
  </w:footnote>
  <w:footnote w:id="312">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15 de agosto de 2014. Párr. 120. Citando. Naciones Unidas, </w:t>
      </w:r>
      <w:r w:rsidRPr="00CE4228">
        <w:rPr>
          <w:rFonts w:ascii="Cambria" w:hAnsi="Cambria"/>
          <w:i/>
          <w:sz w:val="16"/>
          <w:szCs w:val="16"/>
          <w:lang w:val="es-ES"/>
        </w:rPr>
        <w:t xml:space="preserve">Informe del Relator Especial Relator Especial sobre el derecho de toda persona al disfrute del más alto nivel posible de salud física y mental, </w:t>
      </w:r>
      <w:proofErr w:type="spellStart"/>
      <w:r w:rsidRPr="00CE4228">
        <w:rPr>
          <w:rFonts w:ascii="Cambria" w:hAnsi="Cambria"/>
          <w:i/>
          <w:sz w:val="16"/>
          <w:szCs w:val="16"/>
          <w:lang w:val="es-ES"/>
        </w:rPr>
        <w:t>Anand</w:t>
      </w:r>
      <w:proofErr w:type="spellEnd"/>
      <w:r w:rsidRPr="00CE4228">
        <w:rPr>
          <w:rFonts w:ascii="Cambria" w:hAnsi="Cambria"/>
          <w:i/>
          <w:sz w:val="16"/>
          <w:szCs w:val="16"/>
          <w:lang w:val="es-ES"/>
        </w:rPr>
        <w:t xml:space="preserve"> </w:t>
      </w:r>
      <w:proofErr w:type="spellStart"/>
      <w:r w:rsidRPr="00CE4228">
        <w:rPr>
          <w:rFonts w:ascii="Cambria" w:hAnsi="Cambria"/>
          <w:i/>
          <w:sz w:val="16"/>
          <w:szCs w:val="16"/>
          <w:lang w:val="es-ES"/>
        </w:rPr>
        <w:t>Grover</w:t>
      </w:r>
      <w:proofErr w:type="spellEnd"/>
      <w:r w:rsidRPr="00CE4228">
        <w:rPr>
          <w:rFonts w:ascii="Cambria" w:hAnsi="Cambria"/>
          <w:sz w:val="16"/>
          <w:szCs w:val="16"/>
          <w:lang w:val="es-ES"/>
        </w:rPr>
        <w:t xml:space="preserve">, presentado de conformidad con la resolución 6/29 del Consejo de Derechos Humanos, A/64/272 de 10 de agosto de 2009, párr. 23. </w:t>
      </w:r>
    </w:p>
  </w:footnote>
  <w:footnote w:id="313">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CIDH. Informe No. 72/14. Caso 12.655. Fondo. I.V. Bolivia. 15 de agosto de 2014. Párr. 121. </w:t>
      </w:r>
    </w:p>
  </w:footnote>
  <w:footnote w:id="314">
    <w:p w:rsidR="00BB0B93" w:rsidRPr="00CE4228" w:rsidRDefault="00BB0B93" w:rsidP="00CE4228">
      <w:pPr>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Informe No. 72/14. Caso 12.655. Fondo. I.V. Bolivia. </w:t>
      </w:r>
      <w:r w:rsidRPr="00CE4228">
        <w:rPr>
          <w:rFonts w:ascii="Cambria" w:hAnsi="Cambria"/>
          <w:sz w:val="16"/>
          <w:szCs w:val="16"/>
          <w:lang w:val="pt-BR"/>
        </w:rPr>
        <w:t xml:space="preserve">15 de agosto de 2014. Párr. 122. Citando. </w:t>
      </w:r>
      <w:r w:rsidRPr="00CE4228">
        <w:rPr>
          <w:rFonts w:ascii="Cambria" w:hAnsi="Cambria"/>
          <w:sz w:val="16"/>
          <w:szCs w:val="16"/>
          <w:lang w:val="es-ES"/>
        </w:rPr>
        <w:t xml:space="preserve">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xml:space="preserve">, 22 de noviembre de 2011, párr. 72. </w:t>
      </w:r>
    </w:p>
  </w:footnote>
  <w:footnote w:id="315">
    <w:p w:rsidR="00BB0B93" w:rsidRPr="00CE4228" w:rsidRDefault="00BB0B93" w:rsidP="00CE4228">
      <w:pPr>
        <w:jc w:val="both"/>
        <w:rPr>
          <w:rFonts w:ascii="Cambria" w:hAnsi="Cambria"/>
          <w:sz w:val="16"/>
          <w:szCs w:val="16"/>
          <w:lang w:val="es-ES"/>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CIDH, </w:t>
      </w:r>
      <w:r w:rsidRPr="00CE4228">
        <w:rPr>
          <w:rFonts w:ascii="Cambria" w:hAnsi="Cambria"/>
          <w:i/>
          <w:sz w:val="16"/>
          <w:szCs w:val="16"/>
          <w:lang w:val="es-ES"/>
        </w:rPr>
        <w:t>Acceso a la información en materia reproductiva desde una perspectiva de derechos humanos</w:t>
      </w:r>
      <w:r w:rsidRPr="00CE4228">
        <w:rPr>
          <w:rFonts w:ascii="Cambria" w:hAnsi="Cambria"/>
          <w:sz w:val="16"/>
          <w:szCs w:val="16"/>
          <w:lang w:val="es-ES"/>
        </w:rPr>
        <w:t xml:space="preserve">, 22 de noviembre de 2011, párr. 74. </w:t>
      </w:r>
    </w:p>
  </w:footnote>
  <w:footnote w:id="31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Dictamen, Marlon James Noble, Australia, 10 de octubre de 2016, párr. 8.9.</w:t>
      </w:r>
    </w:p>
  </w:footnote>
  <w:footnote w:id="31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42.</w:t>
      </w:r>
    </w:p>
  </w:footnote>
  <w:footnote w:id="31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8.</w:t>
      </w:r>
    </w:p>
  </w:footnote>
  <w:footnote w:id="31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de los derechos de las personas con discapacidad. Observaciones finales sobre el informe de Brasil, 4 de septiembre de 2015, párrs. 46 y 47.</w:t>
      </w:r>
    </w:p>
  </w:footnote>
  <w:footnote w:id="32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42.</w:t>
      </w:r>
    </w:p>
  </w:footnote>
  <w:footnote w:id="32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42.</w:t>
      </w:r>
    </w:p>
  </w:footnote>
  <w:footnote w:id="32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41.</w:t>
      </w:r>
    </w:p>
  </w:footnote>
  <w:footnote w:id="32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41.</w:t>
      </w:r>
    </w:p>
  </w:footnote>
  <w:footnote w:id="32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42.</w:t>
      </w:r>
    </w:p>
  </w:footnote>
  <w:footnote w:id="32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Véase: ONU, Comité sobre los Derechos de las Personas con Discapacidad. </w:t>
      </w:r>
      <w:r>
        <w:fldChar w:fldCharType="begin"/>
      </w:r>
      <w:r w:rsidRPr="00BB0B93">
        <w:rPr>
          <w:lang w:val="es-ES"/>
        </w:rPr>
        <w:instrText xml:space="preserve"> HYPERLINK "https://documents-dds-ny.un.org/doc/UNDOC/GEN/G14/112/20/PDF/G1411220.pdf?OpenElement+" </w:instrText>
      </w:r>
      <w:r>
        <w:fldChar w:fldCharType="separate"/>
      </w:r>
      <w:r w:rsidRPr="00CE4228">
        <w:rPr>
          <w:rStyle w:val="Hyperlink"/>
          <w:rFonts w:ascii="Cambria" w:hAnsi="Cambria"/>
          <w:sz w:val="16"/>
          <w:szCs w:val="16"/>
          <w:u w:val="none"/>
          <w:lang w:val="es-ES"/>
        </w:rPr>
        <w:t>Lista de cuestiones relativa al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7 de Agosto de 2014.</w:t>
      </w:r>
    </w:p>
  </w:footnote>
  <w:footnote w:id="32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w:t>
      </w:r>
      <w:r>
        <w:fldChar w:fldCharType="begin"/>
      </w:r>
      <w:r w:rsidRPr="00BB0B93">
        <w:rPr>
          <w:lang w:val="es-ES"/>
        </w:rPr>
        <w:instrText xml:space="preserve"> HYPERLINK "http://docstore.ohchr.org/SelfServices/FilesHandler.ashx?enc=6QkG1d%2fPPRiCAqhKb7yhsocXytluzOs83fWWVlzUSPWEY3i2MPneAItDx32YbiDNoBSFxJe89zNUXHff3j2eYOfwk09EJebYA2f6n55ArMfrEgIEyEql%2bzc9%2fWnroDpP" </w:instrText>
      </w:r>
      <w:r>
        <w:fldChar w:fldCharType="separate"/>
      </w:r>
      <w:r w:rsidRPr="00CE4228">
        <w:rPr>
          <w:rStyle w:val="Hyperlink"/>
          <w:rFonts w:ascii="Cambria" w:hAnsi="Cambria"/>
          <w:sz w:val="16"/>
          <w:szCs w:val="16"/>
          <w:u w:val="none"/>
          <w:lang w:val="es-ES"/>
        </w:rPr>
        <w:t>Observaciones finales sobre el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27 de octubre de 2014, párrs. 8 y 24.</w:t>
      </w:r>
    </w:p>
  </w:footnote>
  <w:footnote w:id="32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w:t>
      </w:r>
      <w:r>
        <w:fldChar w:fldCharType="begin"/>
      </w:r>
      <w:r w:rsidRPr="00BB0B93">
        <w:rPr>
          <w:lang w:val="es-ES"/>
        </w:rPr>
        <w:instrText xml:space="preserve"> HYPERLINK "http://docstore.ohchr.org/SelfServices/FilesHandler.ashx?enc=6QkG1d%2fPPRiCAqhKb7yhsocXytluzOs83fWWVlzUSPWEY3i2MPneAItDx32YbiDNoBSFxJe89zNUXHff3j2eYOfwk09EJebYA2f6n55ArMfrEgIEyEql%2bzc9%2fWnroDpP" </w:instrText>
      </w:r>
      <w:r>
        <w:fldChar w:fldCharType="separate"/>
      </w:r>
      <w:r w:rsidRPr="00CE4228">
        <w:rPr>
          <w:rStyle w:val="Hyperlink"/>
          <w:rFonts w:ascii="Cambria" w:hAnsi="Cambria"/>
          <w:sz w:val="16"/>
          <w:szCs w:val="16"/>
          <w:u w:val="none"/>
          <w:lang w:val="es-ES"/>
        </w:rPr>
        <w:t>Observaciones finales sobre el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27 de octubre de 2014, párrs. 8 y 24.</w:t>
      </w:r>
    </w:p>
  </w:footnote>
  <w:footnote w:id="32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w:t>
      </w:r>
      <w:r>
        <w:fldChar w:fldCharType="begin"/>
      </w:r>
      <w:r w:rsidRPr="00BB0B93">
        <w:rPr>
          <w:lang w:val="es-ES"/>
        </w:rPr>
        <w:instrText xml:space="preserve"> HYPERLINK "http://docstore.ohchr.org/SelfServices/FilesHandler.ashx?enc=6QkG1d%2fPPRiCAqhKb7yhsocXytluzOs83fWWVlzUSPWEY3i2MPneAItDx32YbiDNoBSFxJe89zNUXHff3j2eYOfwk09EJebYA2f6n55ArMfrEgIEyEql%2bzc9%2fWnroDpP" </w:instrText>
      </w:r>
      <w:r>
        <w:fldChar w:fldCharType="separate"/>
      </w:r>
      <w:r w:rsidRPr="00CE4228">
        <w:rPr>
          <w:rStyle w:val="Hyperlink"/>
          <w:rFonts w:ascii="Cambria" w:hAnsi="Cambria"/>
          <w:sz w:val="16"/>
          <w:szCs w:val="16"/>
          <w:u w:val="none"/>
          <w:lang w:val="es-ES"/>
        </w:rPr>
        <w:t>Observaciones finales sobre el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27 de octubre de 2014, párr. 28.</w:t>
      </w:r>
    </w:p>
  </w:footnote>
  <w:footnote w:id="32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w:t>
      </w:r>
      <w:r>
        <w:fldChar w:fldCharType="begin"/>
      </w:r>
      <w:r w:rsidRPr="00BB0B93">
        <w:rPr>
          <w:lang w:val="es-ES"/>
        </w:rPr>
        <w:instrText xml:space="preserve"> HYPERLINK "https://documents-dds-ny.un.org/doc/UNDOC/GEN/G14/112/20/PDF/G1411220.pdf?OpenElement+" </w:instrText>
      </w:r>
      <w:r>
        <w:fldChar w:fldCharType="separate"/>
      </w:r>
      <w:r w:rsidRPr="00CE4228">
        <w:rPr>
          <w:rStyle w:val="Hyperlink"/>
          <w:rFonts w:ascii="Cambria" w:hAnsi="Cambria"/>
          <w:sz w:val="16"/>
          <w:szCs w:val="16"/>
          <w:u w:val="none"/>
          <w:lang w:val="es-ES"/>
        </w:rPr>
        <w:t>Lista de cuestiones relativa al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7 de Agosto de 2014, párr. 16.3.</w:t>
      </w:r>
    </w:p>
  </w:footnote>
  <w:footnote w:id="330">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Informe del Relator Especial sobre el derecho de toda persona al disfrute del más alto nivel posible de salud física y mental, UN Doc. A/HRC/38/36, 10 de abril de 2018, párr. 6</w:t>
      </w:r>
    </w:p>
  </w:footnote>
  <w:footnote w:id="331">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Informe del Relator Especial sobre el derecho de toda persona al disfrute del más alto nivel posible de salud física y mental, UN Doc. A/HRC/38/36, 10 de abril de 2018, párr. 33; Informe del Relator Especial sobre el derecho de toda persona al disfrute del más alto nivel posible de salud física y mental, UN Doc. A/HRC/35/21, 28 de marzo de 2017, párr. 67</w:t>
      </w:r>
    </w:p>
  </w:footnote>
  <w:footnote w:id="33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w:t>
      </w:r>
      <w:r>
        <w:fldChar w:fldCharType="begin"/>
      </w:r>
      <w:r w:rsidRPr="00BB0B93">
        <w:rPr>
          <w:lang w:val="es-ES"/>
        </w:rPr>
        <w:instrText xml:space="preserve"> HYPERLINK "http://docstore.ohchr.org/SelfServices/FilesHandler.ashx?enc=6QkG1d%2fPPRiCAqhKb7yhsocXytluzOs83fWWVlzUSPWEY3i2MPneAItDx32YbiDNoBSFxJe89zNUXHff3j2eYOfwk09EJebYA2f6n55ArMfrEgIEyEql%2bzc9%2fWnroDpP" </w:instrText>
      </w:r>
      <w:r>
        <w:fldChar w:fldCharType="separate"/>
      </w:r>
      <w:r w:rsidRPr="00CE4228">
        <w:rPr>
          <w:rStyle w:val="Hyperlink"/>
          <w:rFonts w:ascii="Cambria" w:hAnsi="Cambria"/>
          <w:sz w:val="16"/>
          <w:szCs w:val="16"/>
          <w:u w:val="none"/>
          <w:lang w:val="es-ES"/>
        </w:rPr>
        <w:t>Observaciones finales sobre el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27 de octubre de 2014, párr. 29.</w:t>
      </w:r>
    </w:p>
  </w:footnote>
  <w:footnote w:id="33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w:t>
      </w:r>
      <w:r>
        <w:fldChar w:fldCharType="begin"/>
      </w:r>
      <w:r w:rsidRPr="00BB0B93">
        <w:rPr>
          <w:lang w:val="es-ES"/>
        </w:rPr>
        <w:instrText xml:space="preserve"> HYPERLINK "http://docstore.ohchr.org/SelfServices/FilesHandler.ashx?enc=6QkG1d%2fPPRiCAqhKb7yhsocXytluzOs83fWWVlzUSPWEY3i2MPneAItDx32YbiDNoBSFxJe89zNUXHff3j2eYOfwk09EJebYA2f6n55ArMfrEgIEyEql%2bzc9%2fWnroDpP" </w:instrText>
      </w:r>
      <w:r>
        <w:fldChar w:fldCharType="separate"/>
      </w:r>
      <w:r w:rsidRPr="00CE4228">
        <w:rPr>
          <w:rStyle w:val="Hyperlink"/>
          <w:rFonts w:ascii="Cambria" w:hAnsi="Cambria"/>
          <w:sz w:val="16"/>
          <w:szCs w:val="16"/>
          <w:u w:val="none"/>
          <w:lang w:val="es-ES"/>
        </w:rPr>
        <w:t>Observaciones finales sobre el informe inicial del Ecuador</w:t>
      </w:r>
      <w:r>
        <w:rPr>
          <w:rStyle w:val="Hyperlink"/>
          <w:rFonts w:ascii="Cambria" w:hAnsi="Cambria"/>
          <w:sz w:val="16"/>
          <w:szCs w:val="16"/>
          <w:u w:val="none"/>
          <w:lang w:val="es-ES"/>
        </w:rPr>
        <w:fldChar w:fldCharType="end"/>
      </w:r>
      <w:r w:rsidRPr="00CE4228">
        <w:rPr>
          <w:rFonts w:ascii="Cambria" w:hAnsi="Cambria"/>
          <w:sz w:val="16"/>
          <w:szCs w:val="16"/>
          <w:lang w:val="es-ES"/>
        </w:rPr>
        <w:t>, 27 de octubre de 2014, párr. 29.</w:t>
      </w:r>
    </w:p>
  </w:footnote>
  <w:footnote w:id="33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CEDH, </w:t>
      </w:r>
      <w:proofErr w:type="spellStart"/>
      <w:r w:rsidRPr="00CE4228">
        <w:rPr>
          <w:rFonts w:ascii="Cambria" w:hAnsi="Cambria"/>
          <w:sz w:val="16"/>
          <w:szCs w:val="16"/>
          <w:lang w:val="es-ES"/>
        </w:rPr>
        <w:t>Valentin</w:t>
      </w:r>
      <w:proofErr w:type="spellEnd"/>
      <w:r w:rsidRPr="00CE4228">
        <w:rPr>
          <w:rFonts w:ascii="Cambria" w:hAnsi="Cambria"/>
          <w:sz w:val="16"/>
          <w:szCs w:val="16"/>
          <w:lang w:val="es-ES"/>
        </w:rPr>
        <w:t xml:space="preserve"> </w:t>
      </w:r>
      <w:proofErr w:type="spellStart"/>
      <w:r w:rsidRPr="00CE4228">
        <w:rPr>
          <w:rFonts w:ascii="Cambria" w:hAnsi="Cambria"/>
          <w:sz w:val="16"/>
          <w:szCs w:val="16"/>
          <w:lang w:val="es-ES"/>
        </w:rPr>
        <w:t>Campeanu</w:t>
      </w:r>
      <w:proofErr w:type="spellEnd"/>
      <w:r w:rsidRPr="00CE4228">
        <w:rPr>
          <w:rFonts w:ascii="Cambria" w:hAnsi="Cambria"/>
          <w:sz w:val="16"/>
          <w:szCs w:val="16"/>
          <w:lang w:val="es-ES"/>
        </w:rPr>
        <w:t xml:space="preserve"> Vs. Rumania. Sentencia de 17 de julio de 2014,  párr. 131.</w:t>
      </w:r>
    </w:p>
  </w:footnote>
  <w:footnote w:id="33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9617A6">
        <w:rPr>
          <w:rFonts w:ascii="Cambria" w:hAnsi="Cambria"/>
          <w:sz w:val="16"/>
          <w:szCs w:val="16"/>
          <w:lang w:val="es-ES"/>
        </w:rPr>
        <w:t xml:space="preserve"> Corte IDH. </w:t>
      </w:r>
      <w:r>
        <w:fldChar w:fldCharType="begin"/>
      </w:r>
      <w:r w:rsidRPr="00BB0B93">
        <w:rPr>
          <w:lang w:val="es-ES"/>
        </w:rPr>
        <w:instrText xml:space="preserve"> HYPERLINK "http://joomla.corteidh.or.cr:8080/joomla/es/casos-contenciosos/38-jurisprudencia/2120-corte-idh-caso-j-vs-peru-excepcion-preliminar-fondo-reparaciones-y-costas-sentencia-de-27-de-noviembre-de-2013-serie-c-no-275" </w:instrText>
      </w:r>
      <w:r>
        <w:fldChar w:fldCharType="separate"/>
      </w:r>
      <w:r w:rsidRPr="00627EC0">
        <w:rPr>
          <w:rStyle w:val="Hyperlink"/>
          <w:rFonts w:ascii="Cambria" w:hAnsi="Cambria" w:cs="Arial"/>
          <w:i/>
          <w:color w:val="auto"/>
          <w:sz w:val="16"/>
          <w:szCs w:val="16"/>
          <w:u w:val="none"/>
          <w:shd w:val="clear" w:color="auto" w:fill="FFFFFF"/>
          <w:lang w:val="es-PE"/>
        </w:rPr>
        <w:t xml:space="preserve">Caso J. Vs. </w:t>
      </w:r>
      <w:r w:rsidRPr="00CE4228">
        <w:rPr>
          <w:rStyle w:val="Hyperlink"/>
          <w:rFonts w:ascii="Cambria" w:hAnsi="Cambria" w:cs="Arial"/>
          <w:i/>
          <w:color w:val="auto"/>
          <w:sz w:val="16"/>
          <w:szCs w:val="16"/>
          <w:u w:val="none"/>
          <w:shd w:val="clear" w:color="auto" w:fill="FFFFFF"/>
          <w:lang w:val="es-ES"/>
        </w:rPr>
        <w:t>Perú</w:t>
      </w:r>
      <w:r w:rsidRPr="00CE4228">
        <w:rPr>
          <w:rStyle w:val="Hyperlink"/>
          <w:rFonts w:ascii="Cambria" w:hAnsi="Cambria" w:cs="Arial"/>
          <w:color w:val="auto"/>
          <w:sz w:val="16"/>
          <w:szCs w:val="16"/>
          <w:u w:val="none"/>
          <w:shd w:val="clear" w:color="auto" w:fill="FFFFFF"/>
          <w:lang w:val="es-ES"/>
        </w:rPr>
        <w:t>. Excepción Preliminar, Fondo, Reparaciones y Costas. Sentencia de 27 de noviembre de 2013. Serie C No. 275</w:t>
      </w:r>
      <w:r>
        <w:rPr>
          <w:rStyle w:val="Hyperlink"/>
          <w:rFonts w:ascii="Cambria" w:hAnsi="Cambria" w:cs="Arial"/>
          <w:color w:val="auto"/>
          <w:sz w:val="16"/>
          <w:szCs w:val="16"/>
          <w:u w:val="none"/>
          <w:shd w:val="clear" w:color="auto" w:fill="FFFFFF"/>
          <w:lang w:val="es-ES"/>
        </w:rPr>
        <w:fldChar w:fldCharType="end"/>
      </w:r>
      <w:r w:rsidRPr="00CE4228">
        <w:rPr>
          <w:rFonts w:ascii="Cambria" w:hAnsi="Cambria"/>
          <w:sz w:val="16"/>
          <w:szCs w:val="16"/>
          <w:lang w:val="es-ES"/>
        </w:rPr>
        <w:t>, párr. 353.</w:t>
      </w:r>
    </w:p>
  </w:footnote>
  <w:footnote w:id="336">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9617A6">
        <w:rPr>
          <w:rFonts w:ascii="Cambria" w:hAnsi="Cambria"/>
          <w:sz w:val="16"/>
          <w:szCs w:val="16"/>
          <w:lang w:val="es-ES"/>
        </w:rPr>
        <w:t xml:space="preserve"> Corte IDH. </w:t>
      </w:r>
      <w:r>
        <w:fldChar w:fldCharType="begin"/>
      </w:r>
      <w:r w:rsidRPr="00BB0B93">
        <w:rPr>
          <w:lang w:val="es-ES"/>
        </w:rPr>
        <w:instrText xml:space="preserve"> HYPERLINK "http://joomla.corteidh.or.cr:8080/joomla/es/casos-contenciosos/38-jurisprudencia/2120-corte-idh-caso-j-vs-peru-excepcion-preliminar-fondo-reparaciones-y-costas-sentencia-de-27-de-noviembre-de-2013-serie-c-no-275" </w:instrText>
      </w:r>
      <w:r>
        <w:fldChar w:fldCharType="separate"/>
      </w:r>
      <w:r w:rsidRPr="00627EC0">
        <w:rPr>
          <w:rStyle w:val="Hyperlink"/>
          <w:rFonts w:ascii="Cambria" w:hAnsi="Cambria" w:cs="Arial"/>
          <w:i/>
          <w:color w:val="auto"/>
          <w:sz w:val="16"/>
          <w:szCs w:val="16"/>
          <w:u w:val="none"/>
          <w:shd w:val="clear" w:color="auto" w:fill="FFFFFF"/>
          <w:lang w:val="es-PE"/>
        </w:rPr>
        <w:t xml:space="preserve">Caso J. Vs. </w:t>
      </w:r>
      <w:r w:rsidRPr="00CE4228">
        <w:rPr>
          <w:rStyle w:val="Hyperlink"/>
          <w:rFonts w:ascii="Cambria" w:hAnsi="Cambria" w:cs="Arial"/>
          <w:i/>
          <w:color w:val="auto"/>
          <w:sz w:val="16"/>
          <w:szCs w:val="16"/>
          <w:u w:val="none"/>
          <w:shd w:val="clear" w:color="auto" w:fill="FFFFFF"/>
          <w:lang w:val="es-ES"/>
        </w:rPr>
        <w:t>Perú</w:t>
      </w:r>
      <w:r w:rsidRPr="00CE4228">
        <w:rPr>
          <w:rStyle w:val="Hyperlink"/>
          <w:rFonts w:ascii="Cambria" w:hAnsi="Cambria" w:cs="Arial"/>
          <w:color w:val="auto"/>
          <w:sz w:val="16"/>
          <w:szCs w:val="16"/>
          <w:u w:val="none"/>
          <w:shd w:val="clear" w:color="auto" w:fill="FFFFFF"/>
          <w:lang w:val="es-ES"/>
        </w:rPr>
        <w:t>. Excepción Preliminar, Fondo, Reparaciones y Costas. Sentencia de 27 de noviembre de 2013. Serie C No. 275</w:t>
      </w:r>
      <w:r>
        <w:rPr>
          <w:rStyle w:val="Hyperlink"/>
          <w:rFonts w:ascii="Cambria" w:hAnsi="Cambria" w:cs="Arial"/>
          <w:color w:val="auto"/>
          <w:sz w:val="16"/>
          <w:szCs w:val="16"/>
          <w:u w:val="none"/>
          <w:shd w:val="clear" w:color="auto" w:fill="FFFFFF"/>
          <w:lang w:val="es-ES"/>
        </w:rPr>
        <w:fldChar w:fldCharType="end"/>
      </w:r>
      <w:r w:rsidRPr="00CE4228">
        <w:rPr>
          <w:rFonts w:ascii="Cambria" w:hAnsi="Cambria"/>
          <w:sz w:val="16"/>
          <w:szCs w:val="16"/>
          <w:lang w:val="es-ES"/>
        </w:rPr>
        <w:t>, párr. 354.</w:t>
      </w:r>
    </w:p>
  </w:footnote>
  <w:footnote w:id="337">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Artículo 8.1 de la Convención Americana:</w:t>
      </w:r>
      <w:r w:rsidRPr="00CE4228">
        <w:rPr>
          <w:rFonts w:ascii="Cambria" w:hAnsi="Cambria" w:cs="Tahoma"/>
          <w:sz w:val="16"/>
          <w:szCs w:val="16"/>
          <w:lang w:val="es-ES"/>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38">
    <w:p w:rsidR="00BB0B93" w:rsidRPr="00CE4228" w:rsidRDefault="00BB0B93" w:rsidP="00CE4228">
      <w:pPr>
        <w:pStyle w:val="FootnoteText"/>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Artículo 25.1 de la Convención Americana: </w:t>
      </w:r>
      <w:r w:rsidRPr="00CE4228">
        <w:rPr>
          <w:rFonts w:ascii="Cambria" w:hAnsi="Cambria" w:cs="Tahom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39">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pt-BR"/>
        </w:rPr>
        <w:t xml:space="preserve"> Corte IDH. </w:t>
      </w:r>
      <w:r w:rsidRPr="00CE4228">
        <w:rPr>
          <w:rFonts w:ascii="Cambria" w:hAnsi="Cambria"/>
          <w:i/>
          <w:sz w:val="16"/>
          <w:szCs w:val="16"/>
          <w:lang w:val="pt-BR"/>
        </w:rPr>
        <w:t xml:space="preserve">Caso Barrios Altos Vs. </w:t>
      </w:r>
      <w:r w:rsidRPr="00CE4228">
        <w:rPr>
          <w:rFonts w:ascii="Cambria" w:hAnsi="Cambria"/>
          <w:i/>
          <w:sz w:val="16"/>
          <w:szCs w:val="16"/>
          <w:lang w:val="es-ES"/>
        </w:rPr>
        <w:t>Perú</w:t>
      </w:r>
      <w:r w:rsidRPr="00CE4228">
        <w:rPr>
          <w:rFonts w:ascii="Cambria" w:hAnsi="Cambria"/>
          <w:sz w:val="16"/>
          <w:szCs w:val="16"/>
          <w:lang w:val="es-ES"/>
        </w:rPr>
        <w:t>. Fondo. Sentencia de 14 de marzo de 2001. Serie C No. 75, párr. 48.</w:t>
      </w:r>
    </w:p>
  </w:footnote>
  <w:footnote w:id="340">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Caso Loayza Tamayo Vs. Perú.</w:t>
      </w:r>
      <w:r w:rsidRPr="00CE4228">
        <w:rPr>
          <w:rFonts w:ascii="Cambria" w:hAnsi="Cambria"/>
          <w:sz w:val="16"/>
          <w:szCs w:val="16"/>
          <w:lang w:val="es-ES"/>
        </w:rPr>
        <w:t xml:space="preserve"> Reparaciones y Costas. Sentencia de 27 de noviembre de 1998. Serie C No. 42, párr. 169</w:t>
      </w:r>
    </w:p>
  </w:footnote>
  <w:footnote w:id="34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Caso Juan Humberto Sánchez Vs. Honduras</w:t>
      </w:r>
      <w:r w:rsidRPr="00CE4228">
        <w:rPr>
          <w:rFonts w:ascii="Cambria" w:hAnsi="Cambria"/>
          <w:sz w:val="16"/>
          <w:szCs w:val="16"/>
          <w:lang w:val="es-ES"/>
        </w:rPr>
        <w:t>. Excepción Preliminar, Fondo, Reparaciones y Costas. Sentencia de 7 de junio de 2003. Serie C No. 99, párr. 121.</w:t>
      </w:r>
    </w:p>
  </w:footnote>
  <w:footnote w:id="34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Caso Juan Humberto Sánchez Vs. Honduras</w:t>
      </w:r>
      <w:r w:rsidRPr="00CE4228">
        <w:rPr>
          <w:rFonts w:ascii="Cambria" w:hAnsi="Cambria"/>
          <w:sz w:val="16"/>
          <w:szCs w:val="16"/>
          <w:lang w:val="es-ES"/>
        </w:rPr>
        <w:t>. Excepción Preliminar, Fondo, Reparaciones y Costas. Sentencia de 7 de junio de 2003. Serie C No. 99, párr. 121.</w:t>
      </w:r>
    </w:p>
  </w:footnote>
  <w:footnote w:id="34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Observación General No. 1. Artículo 12: Igual reconocimiento como persona ante la ley, 19 de mayo de 2014, párr. 38.</w:t>
      </w:r>
    </w:p>
  </w:footnote>
  <w:footnote w:id="34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Caso </w:t>
      </w:r>
      <w:proofErr w:type="spellStart"/>
      <w:r w:rsidRPr="00CE4228">
        <w:rPr>
          <w:rFonts w:ascii="Cambria" w:hAnsi="Cambria"/>
          <w:i/>
          <w:sz w:val="16"/>
          <w:szCs w:val="16"/>
          <w:lang w:val="es-ES"/>
        </w:rPr>
        <w:t>Furlan</w:t>
      </w:r>
      <w:proofErr w:type="spellEnd"/>
      <w:r w:rsidRPr="00CE4228">
        <w:rPr>
          <w:rFonts w:ascii="Cambria" w:hAnsi="Cambria"/>
          <w:i/>
          <w:sz w:val="16"/>
          <w:szCs w:val="16"/>
          <w:lang w:val="es-ES"/>
        </w:rPr>
        <w:t xml:space="preserve"> y Familiares Vs. Argentina</w:t>
      </w:r>
      <w:r w:rsidRPr="00CE4228">
        <w:rPr>
          <w:rFonts w:ascii="Cambria" w:hAnsi="Cambria"/>
          <w:sz w:val="16"/>
          <w:szCs w:val="16"/>
          <w:lang w:val="es-ES"/>
        </w:rPr>
        <w:t>. Excepciones Preliminares, Fondo, Reparaciones y Costas. Sentencia de 31 de agosto de 2012. Serie C No. 246, párr. 196.</w:t>
      </w:r>
    </w:p>
  </w:footnote>
  <w:footnote w:id="34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Caso </w:t>
      </w:r>
      <w:proofErr w:type="spellStart"/>
      <w:r w:rsidRPr="00CE4228">
        <w:rPr>
          <w:rFonts w:ascii="Cambria" w:hAnsi="Cambria"/>
          <w:i/>
          <w:sz w:val="16"/>
          <w:szCs w:val="16"/>
          <w:lang w:val="es-ES"/>
        </w:rPr>
        <w:t>Furlan</w:t>
      </w:r>
      <w:proofErr w:type="spellEnd"/>
      <w:r w:rsidRPr="00CE4228">
        <w:rPr>
          <w:rFonts w:ascii="Cambria" w:hAnsi="Cambria"/>
          <w:i/>
          <w:sz w:val="16"/>
          <w:szCs w:val="16"/>
          <w:lang w:val="es-ES"/>
        </w:rPr>
        <w:t xml:space="preserve"> y Familiares Vs. Argentina</w:t>
      </w:r>
      <w:r w:rsidRPr="00CE4228">
        <w:rPr>
          <w:rFonts w:ascii="Cambria" w:hAnsi="Cambria"/>
          <w:sz w:val="16"/>
          <w:szCs w:val="16"/>
          <w:lang w:val="es-ES"/>
        </w:rPr>
        <w:t>. Excepciones Preliminares, Fondo, Reparaciones y Costas. Sentencia de 31 de agosto de 2012. Serie C No. 246, párr. 196.</w:t>
      </w:r>
    </w:p>
  </w:footnote>
  <w:footnote w:id="346">
    <w:p w:rsidR="00BB0B93" w:rsidRPr="00CE4228" w:rsidRDefault="00BB0B93" w:rsidP="00CE4228">
      <w:pPr>
        <w:pStyle w:val="FootnoteText"/>
        <w:tabs>
          <w:tab w:val="left" w:pos="90"/>
        </w:tabs>
        <w:jc w:val="both"/>
        <w:rPr>
          <w:rFonts w:ascii="Cambria" w:hAnsi="Cambria"/>
          <w:sz w:val="16"/>
          <w:szCs w:val="16"/>
          <w:lang w:val="es-ES_tradnl"/>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Corte IDH. </w:t>
      </w:r>
      <w:r w:rsidRPr="00CE4228">
        <w:rPr>
          <w:rFonts w:ascii="Cambria" w:hAnsi="Cambria"/>
          <w:i/>
          <w:iCs/>
          <w:sz w:val="16"/>
          <w:szCs w:val="16"/>
          <w:lang w:val="es-ES"/>
        </w:rPr>
        <w:t>Caso García Prieto y otros Vs. El Salvador</w:t>
      </w:r>
      <w:r w:rsidRPr="00CE4228">
        <w:rPr>
          <w:rFonts w:ascii="Cambria" w:hAnsi="Cambria"/>
          <w:iCs/>
          <w:sz w:val="16"/>
          <w:szCs w:val="16"/>
          <w:lang w:val="es-ES"/>
        </w:rPr>
        <w:t>.</w:t>
      </w:r>
      <w:r w:rsidRPr="00CE4228">
        <w:rPr>
          <w:rFonts w:ascii="Cambria" w:hAnsi="Cambria"/>
          <w:bCs/>
          <w:sz w:val="16"/>
          <w:szCs w:val="16"/>
          <w:lang w:val="es-ES"/>
        </w:rPr>
        <w:t xml:space="preserve"> </w:t>
      </w:r>
      <w:r>
        <w:fldChar w:fldCharType="begin"/>
      </w:r>
      <w:r w:rsidRPr="00BB0B93">
        <w:rPr>
          <w:lang w:val="es-ES"/>
        </w:rPr>
        <w:instrText xml:space="preserve"> HYPERLINK "http://joomla.corteidh.or.cr:8080/joomla/es/casos-contenciosos/38-jurisprudencia/754-corte-idh-caso-garcia-prieto-y-otro-vs-el-salvador-excepciones-preliminares-fondo-reparaciones-y-costas-sentencia-de-20-de-noviembre-de-2007-serie-c-no-168" </w:instrText>
      </w:r>
      <w:r>
        <w:fldChar w:fldCharType="separate"/>
      </w:r>
      <w:r w:rsidRPr="00CE4228">
        <w:rPr>
          <w:rStyle w:val="Hyperlink"/>
          <w:rFonts w:ascii="Cambria" w:hAnsi="Cambria" w:cs="Arial"/>
          <w:color w:val="auto"/>
          <w:sz w:val="16"/>
          <w:szCs w:val="16"/>
          <w:u w:val="none"/>
          <w:shd w:val="clear" w:color="auto" w:fill="FFFFFF"/>
          <w:lang w:val="es-ES"/>
        </w:rPr>
        <w:t>Excepciones Preliminares, Fondo, Reparaciones y Costas. Sentencia de 20 de noviembre de 2007. Serie C No. 168</w:t>
      </w:r>
      <w:r>
        <w:rPr>
          <w:rStyle w:val="Hyperlink"/>
          <w:rFonts w:ascii="Cambria" w:hAnsi="Cambria" w:cs="Arial"/>
          <w:color w:val="auto"/>
          <w:sz w:val="16"/>
          <w:szCs w:val="16"/>
          <w:u w:val="none"/>
          <w:shd w:val="clear" w:color="auto" w:fill="FFFFFF"/>
          <w:lang w:val="es-ES"/>
        </w:rPr>
        <w:fldChar w:fldCharType="end"/>
      </w:r>
      <w:r w:rsidRPr="00CE4228">
        <w:rPr>
          <w:rFonts w:ascii="Cambria" w:hAnsi="Cambria"/>
          <w:sz w:val="16"/>
          <w:szCs w:val="16"/>
          <w:lang w:val="es-ES_tradnl"/>
        </w:rPr>
        <w:t xml:space="preserve">, párr. </w:t>
      </w:r>
      <w:r w:rsidRPr="00CE4228">
        <w:rPr>
          <w:rFonts w:ascii="Cambria" w:hAnsi="Cambria"/>
          <w:sz w:val="16"/>
          <w:szCs w:val="16"/>
          <w:lang w:val="es-ES"/>
        </w:rPr>
        <w:t xml:space="preserve">101. </w:t>
      </w:r>
      <w:r w:rsidRPr="00CE4228">
        <w:rPr>
          <w:rFonts w:ascii="Cambria" w:hAnsi="Cambria"/>
          <w:iCs/>
          <w:sz w:val="16"/>
          <w:szCs w:val="16"/>
          <w:lang w:val="es-ES"/>
        </w:rPr>
        <w:t> </w:t>
      </w:r>
    </w:p>
  </w:footnote>
  <w:footnote w:id="347">
    <w:p w:rsidR="00BB0B93" w:rsidRPr="00CE4228" w:rsidRDefault="00BB0B93" w:rsidP="00CE4228">
      <w:pPr>
        <w:pStyle w:val="FootnoteText"/>
        <w:tabs>
          <w:tab w:val="left" w:pos="90"/>
        </w:tabs>
        <w:jc w:val="both"/>
        <w:rPr>
          <w:rFonts w:ascii="Cambria" w:hAnsi="Cambria"/>
          <w:sz w:val="16"/>
          <w:szCs w:val="16"/>
          <w:lang w:val="es-ES_tradnl"/>
        </w:rPr>
      </w:pPr>
      <w:r w:rsidRPr="00CE4228">
        <w:rPr>
          <w:rStyle w:val="FootnoteReference"/>
          <w:rFonts w:ascii="Cambria" w:hAnsi="Cambria"/>
          <w:sz w:val="16"/>
          <w:szCs w:val="16"/>
          <w:lang w:val="es-ES"/>
        </w:rPr>
        <w:footnoteRef/>
      </w:r>
      <w:r w:rsidRPr="00CE4228">
        <w:rPr>
          <w:rStyle w:val="FootnoteReference"/>
          <w:rFonts w:ascii="Cambria" w:hAnsi="Cambria"/>
          <w:sz w:val="16"/>
          <w:szCs w:val="16"/>
          <w:lang w:val="es-ES"/>
        </w:rPr>
        <w:t xml:space="preserve"> </w:t>
      </w:r>
      <w:r w:rsidRPr="00CE4228">
        <w:rPr>
          <w:rFonts w:ascii="Cambria" w:hAnsi="Cambria"/>
          <w:sz w:val="16"/>
          <w:szCs w:val="16"/>
          <w:lang w:val="es-ES"/>
        </w:rPr>
        <w:t xml:space="preserve">Corte IDH. </w:t>
      </w:r>
      <w:r w:rsidRPr="00CE4228">
        <w:rPr>
          <w:rFonts w:ascii="Cambria" w:hAnsi="Cambria"/>
          <w:i/>
          <w:sz w:val="16"/>
          <w:szCs w:val="16"/>
          <w:lang w:val="es-ES"/>
        </w:rPr>
        <w:t xml:space="preserve">Caso de los Hermanos Gómez </w:t>
      </w:r>
      <w:proofErr w:type="spellStart"/>
      <w:r w:rsidRPr="00CE4228">
        <w:rPr>
          <w:rFonts w:ascii="Cambria" w:hAnsi="Cambria"/>
          <w:i/>
          <w:sz w:val="16"/>
          <w:szCs w:val="16"/>
          <w:lang w:val="es-ES"/>
        </w:rPr>
        <w:t>Paquiyauri</w:t>
      </w:r>
      <w:proofErr w:type="spellEnd"/>
      <w:r w:rsidRPr="00CE4228">
        <w:rPr>
          <w:rFonts w:ascii="Cambria" w:hAnsi="Cambria"/>
          <w:i/>
          <w:sz w:val="16"/>
          <w:szCs w:val="16"/>
          <w:lang w:val="es-ES"/>
        </w:rPr>
        <w:t xml:space="preserve"> Vs. Perú</w:t>
      </w:r>
      <w:r w:rsidRPr="00CE4228">
        <w:rPr>
          <w:rFonts w:ascii="Cambria" w:hAnsi="Cambria"/>
          <w:sz w:val="16"/>
          <w:szCs w:val="16"/>
          <w:lang w:val="es-ES"/>
        </w:rPr>
        <w:t xml:space="preserve">. Sentencia de 8 de julio de 2004. Serie C No. 110, párr. 146; y </w:t>
      </w:r>
      <w:r w:rsidRPr="00CE4228">
        <w:rPr>
          <w:rFonts w:ascii="Cambria" w:hAnsi="Cambria"/>
          <w:bCs/>
          <w:i/>
          <w:sz w:val="16"/>
          <w:szCs w:val="16"/>
          <w:lang w:val="es-ES"/>
        </w:rPr>
        <w:t xml:space="preserve">Caso Cantoral </w:t>
      </w:r>
      <w:proofErr w:type="spellStart"/>
      <w:r w:rsidRPr="00CE4228">
        <w:rPr>
          <w:rFonts w:ascii="Cambria" w:hAnsi="Cambria"/>
          <w:bCs/>
          <w:i/>
          <w:sz w:val="16"/>
          <w:szCs w:val="16"/>
          <w:lang w:val="es-ES"/>
        </w:rPr>
        <w:t>Huamaní</w:t>
      </w:r>
      <w:proofErr w:type="spellEnd"/>
      <w:r w:rsidRPr="00CE4228">
        <w:rPr>
          <w:rFonts w:ascii="Cambria" w:hAnsi="Cambria"/>
          <w:bCs/>
          <w:i/>
          <w:sz w:val="16"/>
          <w:szCs w:val="16"/>
          <w:lang w:val="es-ES"/>
        </w:rPr>
        <w:t xml:space="preserve"> y García Santa Cruz Vs. Perú</w:t>
      </w:r>
      <w:r w:rsidRPr="00CE4228">
        <w:rPr>
          <w:rFonts w:ascii="Cambria" w:hAnsi="Cambria"/>
          <w:bCs/>
          <w:sz w:val="16"/>
          <w:szCs w:val="16"/>
          <w:lang w:val="es-ES"/>
        </w:rPr>
        <w:t xml:space="preserve">. </w:t>
      </w:r>
      <w:r w:rsidRPr="00CE4228">
        <w:rPr>
          <w:rFonts w:ascii="Cambria" w:hAnsi="Cambria"/>
          <w:sz w:val="16"/>
          <w:szCs w:val="16"/>
          <w:lang w:val="es-ES"/>
        </w:rPr>
        <w:t xml:space="preserve">Sentencia de 10 de julio de 2007. Serie C No. 167, párr. 130.  </w:t>
      </w:r>
    </w:p>
  </w:footnote>
  <w:footnote w:id="348">
    <w:p w:rsidR="00BB0B93" w:rsidRPr="00CE4228" w:rsidRDefault="00BB0B93" w:rsidP="00CE4228">
      <w:pPr>
        <w:pStyle w:val="FootnoteText"/>
        <w:tabs>
          <w:tab w:val="left" w:pos="90"/>
        </w:tabs>
        <w:jc w:val="both"/>
        <w:rPr>
          <w:rFonts w:ascii="Cambria" w:hAnsi="Cambria"/>
          <w:sz w:val="16"/>
          <w:szCs w:val="16"/>
          <w:lang w:val="es-ES_tradnl"/>
        </w:rPr>
      </w:pPr>
      <w:r w:rsidRPr="00CE4228">
        <w:rPr>
          <w:rStyle w:val="FootnoteReference"/>
          <w:rFonts w:ascii="Cambria" w:hAnsi="Cambria"/>
          <w:sz w:val="16"/>
          <w:szCs w:val="16"/>
        </w:rPr>
        <w:footnoteRef/>
      </w:r>
      <w:r w:rsidRPr="00CE4228">
        <w:rPr>
          <w:rFonts w:ascii="Cambria" w:hAnsi="Cambria"/>
          <w:sz w:val="16"/>
          <w:szCs w:val="16"/>
          <w:lang w:val="es-ES_tradnl"/>
        </w:rPr>
        <w:t xml:space="preserve"> Corte IDH. </w:t>
      </w:r>
      <w:r w:rsidRPr="00CE4228">
        <w:rPr>
          <w:rFonts w:ascii="Cambria" w:hAnsi="Cambria"/>
          <w:i/>
          <w:iCs/>
          <w:sz w:val="16"/>
          <w:szCs w:val="16"/>
          <w:lang w:val="es-ES_tradnl"/>
        </w:rPr>
        <w:t>Caso Zambrano Vélez y otros Vs. Ecuador</w:t>
      </w:r>
      <w:r w:rsidRPr="00CE4228">
        <w:rPr>
          <w:rFonts w:ascii="Cambria" w:hAnsi="Cambria"/>
          <w:iCs/>
          <w:sz w:val="16"/>
          <w:szCs w:val="16"/>
          <w:lang w:val="es-ES_tradnl"/>
        </w:rPr>
        <w:t>.</w:t>
      </w:r>
      <w:r w:rsidRPr="00CE4228">
        <w:rPr>
          <w:rFonts w:ascii="Cambria" w:hAnsi="Cambria"/>
          <w:bCs/>
          <w:sz w:val="16"/>
          <w:szCs w:val="16"/>
          <w:lang w:val="es-ES_tradnl"/>
        </w:rPr>
        <w:t xml:space="preserve"> </w:t>
      </w:r>
      <w:r w:rsidRPr="00CE4228">
        <w:rPr>
          <w:rFonts w:ascii="Cambria" w:hAnsi="Cambria"/>
          <w:sz w:val="16"/>
          <w:szCs w:val="16"/>
          <w:lang w:val="es-ES_tradnl"/>
        </w:rPr>
        <w:t xml:space="preserve">Fondo, Reparaciones y Costas. Sentencia de 4 de julio de 2007. Serie C No. 166. Párr. 121.  </w:t>
      </w:r>
    </w:p>
  </w:footnote>
  <w:footnote w:id="349">
    <w:p w:rsidR="00BB0B93" w:rsidRPr="00CE4228" w:rsidRDefault="00BB0B93" w:rsidP="00CE4228">
      <w:pPr>
        <w:tabs>
          <w:tab w:val="left" w:pos="90"/>
        </w:tabs>
        <w:jc w:val="both"/>
        <w:rPr>
          <w:rFonts w:ascii="Cambria" w:hAnsi="Cambria"/>
          <w:sz w:val="16"/>
          <w:szCs w:val="16"/>
          <w:lang w:val="es-ES"/>
        </w:rPr>
      </w:pPr>
      <w:r w:rsidRPr="00CE4228">
        <w:rPr>
          <w:rStyle w:val="FootnoteReference"/>
          <w:rFonts w:ascii="Cambria" w:hAnsi="Cambria"/>
          <w:sz w:val="16"/>
          <w:szCs w:val="16"/>
          <w:lang w:val="es-ES_tradnl"/>
        </w:rPr>
        <w:footnoteRef/>
      </w:r>
      <w:r w:rsidRPr="00CE4228">
        <w:rPr>
          <w:rStyle w:val="FootnoteReference"/>
          <w:rFonts w:ascii="Cambria" w:hAnsi="Cambria"/>
          <w:sz w:val="16"/>
          <w:szCs w:val="16"/>
          <w:lang w:val="es-ES"/>
        </w:rPr>
        <w:t xml:space="preserve"> </w:t>
      </w:r>
      <w:r w:rsidRPr="00CE4228">
        <w:rPr>
          <w:rFonts w:ascii="Cambria" w:hAnsi="Cambria" w:cs="Arial"/>
          <w:sz w:val="16"/>
          <w:szCs w:val="16"/>
          <w:lang w:val="es-ES"/>
        </w:rPr>
        <w:t xml:space="preserve">Corte IDH. </w:t>
      </w:r>
      <w:r w:rsidRPr="00CE4228">
        <w:rPr>
          <w:rFonts w:ascii="Cambria" w:hAnsi="Cambria" w:cs="Arial"/>
          <w:i/>
          <w:sz w:val="16"/>
          <w:szCs w:val="16"/>
          <w:lang w:val="es-ES"/>
        </w:rPr>
        <w:t>Caso Myrna Mack Chang Vs. Guatemala</w:t>
      </w:r>
      <w:r w:rsidRPr="00CE4228">
        <w:rPr>
          <w:rFonts w:ascii="Cambria" w:hAnsi="Cambria" w:cs="Arial"/>
          <w:sz w:val="16"/>
          <w:szCs w:val="16"/>
          <w:lang w:val="es-ES"/>
        </w:rPr>
        <w:t xml:space="preserve">. Sentencia de 25 de noviembre de 2003. Serie C No. 101, párr. 167. </w:t>
      </w:r>
      <w:r w:rsidRPr="00CE4228">
        <w:rPr>
          <w:rFonts w:ascii="Cambria" w:hAnsi="Cambria"/>
          <w:sz w:val="16"/>
          <w:szCs w:val="16"/>
          <w:lang w:val="es-ES" w:eastAsia="es-ES"/>
        </w:rPr>
        <w:t>CIDH, Informe No. 37/00, Caso 11.481, Fondo, Monseñor Oscar Arnulfo Romero y Galdámez, El Salvador, 13 de abril de 2000, párr. 85.</w:t>
      </w:r>
    </w:p>
  </w:footnote>
  <w:footnote w:id="350">
    <w:p w:rsidR="00BB0B93" w:rsidRPr="00CE4228" w:rsidRDefault="00BB0B93" w:rsidP="00CE4228">
      <w:pPr>
        <w:tabs>
          <w:tab w:val="left" w:pos="90"/>
          <w:tab w:val="left" w:pos="9240"/>
        </w:tabs>
        <w:autoSpaceDE w:val="0"/>
        <w:autoSpaceDN w:val="0"/>
        <w:adjustRightInd w:val="0"/>
        <w:jc w:val="both"/>
        <w:rPr>
          <w:rFonts w:ascii="Cambria" w:hAnsi="Cambria"/>
          <w:sz w:val="16"/>
          <w:szCs w:val="16"/>
          <w:lang w:val="es-ES_tradnl"/>
        </w:rPr>
      </w:pPr>
      <w:r w:rsidRPr="00CE4228">
        <w:rPr>
          <w:rStyle w:val="FootnoteReference"/>
          <w:rFonts w:ascii="Cambria" w:hAnsi="Cambria"/>
          <w:sz w:val="16"/>
          <w:szCs w:val="16"/>
          <w:lang w:val="es-ES"/>
        </w:rPr>
        <w:footnoteRef/>
      </w:r>
      <w:r w:rsidRPr="00CE4228">
        <w:rPr>
          <w:rFonts w:ascii="Cambria" w:hAnsi="Cambria"/>
          <w:sz w:val="16"/>
          <w:szCs w:val="16"/>
          <w:lang w:val="es-ES"/>
        </w:rPr>
        <w:t xml:space="preserve"> Corte IDH. </w:t>
      </w:r>
      <w:r w:rsidRPr="00CE4228">
        <w:rPr>
          <w:rFonts w:ascii="Cambria" w:hAnsi="Cambria" w:cs="ACaslonPro-Italic"/>
          <w:i/>
          <w:iCs/>
          <w:sz w:val="16"/>
          <w:szCs w:val="16"/>
          <w:lang w:val="es-ES"/>
        </w:rPr>
        <w:t xml:space="preserve">Caso Cantoral </w:t>
      </w:r>
      <w:proofErr w:type="spellStart"/>
      <w:r w:rsidRPr="00CE4228">
        <w:rPr>
          <w:rFonts w:ascii="Cambria" w:hAnsi="Cambria" w:cs="ACaslonPro-Italic"/>
          <w:i/>
          <w:iCs/>
          <w:sz w:val="16"/>
          <w:szCs w:val="16"/>
          <w:lang w:val="es-ES"/>
        </w:rPr>
        <w:t>Huamaní</w:t>
      </w:r>
      <w:proofErr w:type="spellEnd"/>
      <w:r w:rsidRPr="00CE4228">
        <w:rPr>
          <w:rFonts w:ascii="Cambria" w:hAnsi="Cambria" w:cs="ACaslonPro-Italic"/>
          <w:i/>
          <w:iCs/>
          <w:sz w:val="16"/>
          <w:szCs w:val="16"/>
          <w:lang w:val="es-ES"/>
        </w:rPr>
        <w:t xml:space="preserve"> y García Santa Cruz Vs. Perú</w:t>
      </w:r>
      <w:r w:rsidRPr="00CE4228">
        <w:rPr>
          <w:rFonts w:ascii="Cambria" w:hAnsi="Cambria" w:cs="ACaslonPro-Italic"/>
          <w:iCs/>
          <w:sz w:val="16"/>
          <w:szCs w:val="16"/>
          <w:lang w:val="es-ES"/>
        </w:rPr>
        <w:t xml:space="preserve">. </w:t>
      </w:r>
      <w:r w:rsidRPr="00CE4228">
        <w:rPr>
          <w:rFonts w:ascii="Cambria" w:hAnsi="Cambria"/>
          <w:sz w:val="16"/>
          <w:szCs w:val="16"/>
          <w:lang w:val="es-ES"/>
        </w:rPr>
        <w:t xml:space="preserve">Sentencia del 10 de julio de 2007. Serie C No. 167,  párr. </w:t>
      </w:r>
      <w:r w:rsidRPr="00CE4228">
        <w:rPr>
          <w:rFonts w:ascii="Cambria" w:hAnsi="Cambria"/>
          <w:sz w:val="16"/>
          <w:szCs w:val="16"/>
          <w:lang w:val="es-ES_tradnl"/>
        </w:rPr>
        <w:t>133.</w:t>
      </w:r>
    </w:p>
  </w:footnote>
  <w:footnote w:id="351">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Véase: Corte IDH. </w:t>
      </w:r>
      <w:r w:rsidRPr="00CE4228">
        <w:rPr>
          <w:rFonts w:ascii="Cambria" w:hAnsi="Cambria"/>
          <w:i/>
          <w:sz w:val="16"/>
          <w:szCs w:val="16"/>
          <w:lang w:val="es-ES"/>
        </w:rPr>
        <w:t xml:space="preserve">Asunto Guerrero </w:t>
      </w:r>
      <w:proofErr w:type="spellStart"/>
      <w:r w:rsidRPr="00CE4228">
        <w:rPr>
          <w:rFonts w:ascii="Cambria" w:hAnsi="Cambria"/>
          <w:i/>
          <w:sz w:val="16"/>
          <w:szCs w:val="16"/>
          <w:lang w:val="es-ES"/>
        </w:rPr>
        <w:t>Larez</w:t>
      </w:r>
      <w:proofErr w:type="spellEnd"/>
      <w:r w:rsidRPr="00CE4228">
        <w:rPr>
          <w:rFonts w:ascii="Cambria" w:hAnsi="Cambria"/>
          <w:i/>
          <w:sz w:val="16"/>
          <w:szCs w:val="16"/>
          <w:lang w:val="es-ES"/>
        </w:rPr>
        <w:t xml:space="preserve"> respecto de Venezuela</w:t>
      </w:r>
      <w:r w:rsidRPr="00CE4228">
        <w:rPr>
          <w:rFonts w:ascii="Cambria" w:hAnsi="Cambria"/>
          <w:sz w:val="16"/>
          <w:szCs w:val="16"/>
          <w:lang w:val="es-ES"/>
        </w:rPr>
        <w:t xml:space="preserve">. Medidas Provisionales. </w:t>
      </w:r>
      <w:r w:rsidRPr="00CE4228">
        <w:rPr>
          <w:rStyle w:val="Strong"/>
          <w:rFonts w:ascii="Cambria" w:hAnsi="Cambria"/>
          <w:b w:val="0"/>
          <w:sz w:val="16"/>
          <w:szCs w:val="16"/>
          <w:shd w:val="clear" w:color="auto" w:fill="FFFFFF"/>
          <w:lang w:val="es-ES"/>
        </w:rPr>
        <w:t xml:space="preserve">Resolución de 19 de agosto de 2013; </w:t>
      </w:r>
      <w:r w:rsidRPr="00CE4228">
        <w:rPr>
          <w:rStyle w:val="Strong"/>
          <w:rFonts w:ascii="Cambria" w:hAnsi="Cambria"/>
          <w:b w:val="0"/>
          <w:i/>
          <w:sz w:val="16"/>
          <w:szCs w:val="16"/>
          <w:shd w:val="clear" w:color="auto" w:fill="FFFFFF"/>
          <w:lang w:val="es-ES"/>
        </w:rPr>
        <w:t>Asunto Natera Balboa respecto de Venezuela</w:t>
      </w:r>
      <w:r w:rsidRPr="00CE4228">
        <w:rPr>
          <w:rStyle w:val="Strong"/>
          <w:rFonts w:ascii="Cambria" w:hAnsi="Cambria"/>
          <w:b w:val="0"/>
          <w:sz w:val="16"/>
          <w:szCs w:val="16"/>
          <w:shd w:val="clear" w:color="auto" w:fill="FFFFFF"/>
          <w:lang w:val="es-ES"/>
        </w:rPr>
        <w:t>. Medidas Provisionales. Resolución de 19 de agosto de 2013.</w:t>
      </w:r>
    </w:p>
  </w:footnote>
  <w:footnote w:id="352">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Asunto Guerrero </w:t>
      </w:r>
      <w:proofErr w:type="spellStart"/>
      <w:r w:rsidRPr="00CE4228">
        <w:rPr>
          <w:rFonts w:ascii="Cambria" w:hAnsi="Cambria"/>
          <w:i/>
          <w:sz w:val="16"/>
          <w:szCs w:val="16"/>
          <w:lang w:val="es-ES"/>
        </w:rPr>
        <w:t>Larez</w:t>
      </w:r>
      <w:proofErr w:type="spellEnd"/>
      <w:r w:rsidRPr="00CE4228">
        <w:rPr>
          <w:rFonts w:ascii="Cambria" w:hAnsi="Cambria"/>
          <w:i/>
          <w:sz w:val="16"/>
          <w:szCs w:val="16"/>
          <w:lang w:val="es-ES"/>
        </w:rPr>
        <w:t xml:space="preserve"> respecto de Venezuela</w:t>
      </w:r>
      <w:r w:rsidRPr="00CE4228">
        <w:rPr>
          <w:rFonts w:ascii="Cambria" w:hAnsi="Cambria"/>
          <w:sz w:val="16"/>
          <w:szCs w:val="16"/>
          <w:lang w:val="es-ES"/>
        </w:rPr>
        <w:t xml:space="preserve">. Medidas Provisionales. Resolución de 19 de agosto de 2013, considerando 6. </w:t>
      </w:r>
    </w:p>
  </w:footnote>
  <w:footnote w:id="353">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Asunto Guerrero </w:t>
      </w:r>
      <w:proofErr w:type="spellStart"/>
      <w:r w:rsidRPr="00CE4228">
        <w:rPr>
          <w:rFonts w:ascii="Cambria" w:hAnsi="Cambria"/>
          <w:i/>
          <w:sz w:val="16"/>
          <w:szCs w:val="16"/>
          <w:lang w:val="es-ES"/>
        </w:rPr>
        <w:t>Larez</w:t>
      </w:r>
      <w:proofErr w:type="spellEnd"/>
      <w:r w:rsidRPr="00CE4228">
        <w:rPr>
          <w:rFonts w:ascii="Cambria" w:hAnsi="Cambria"/>
          <w:i/>
          <w:sz w:val="16"/>
          <w:szCs w:val="16"/>
          <w:lang w:val="es-ES"/>
        </w:rPr>
        <w:t xml:space="preserve"> respecto de Venezuela</w:t>
      </w:r>
      <w:r w:rsidRPr="00CE4228">
        <w:rPr>
          <w:rFonts w:ascii="Cambria" w:hAnsi="Cambria"/>
          <w:sz w:val="16"/>
          <w:szCs w:val="16"/>
          <w:lang w:val="es-ES"/>
        </w:rPr>
        <w:t xml:space="preserve">. Medidas Provisionales. Resolución de 19 de agosto de 2013, considerando 6. </w:t>
      </w:r>
    </w:p>
  </w:footnote>
  <w:footnote w:id="354">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Asunto Guerrero </w:t>
      </w:r>
      <w:proofErr w:type="spellStart"/>
      <w:r w:rsidRPr="00CE4228">
        <w:rPr>
          <w:rFonts w:ascii="Cambria" w:hAnsi="Cambria"/>
          <w:i/>
          <w:sz w:val="16"/>
          <w:szCs w:val="16"/>
          <w:lang w:val="es-ES"/>
        </w:rPr>
        <w:t>Larez</w:t>
      </w:r>
      <w:proofErr w:type="spellEnd"/>
      <w:r w:rsidRPr="00CE4228">
        <w:rPr>
          <w:rFonts w:ascii="Cambria" w:hAnsi="Cambria"/>
          <w:i/>
          <w:sz w:val="16"/>
          <w:szCs w:val="16"/>
          <w:lang w:val="es-ES"/>
        </w:rPr>
        <w:t xml:space="preserve"> respecto de Venezuela</w:t>
      </w:r>
      <w:r w:rsidRPr="00CE4228">
        <w:rPr>
          <w:rFonts w:ascii="Cambria" w:hAnsi="Cambria"/>
          <w:sz w:val="16"/>
          <w:szCs w:val="16"/>
          <w:lang w:val="es-ES"/>
        </w:rPr>
        <w:t xml:space="preserve">. Medidas Provisionales. Resolución de 19 de agosto de 2013, considerando 6. </w:t>
      </w:r>
    </w:p>
  </w:footnote>
  <w:footnote w:id="35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fldChar w:fldCharType="begin"/>
      </w:r>
      <w:r w:rsidRPr="00BB0B93">
        <w:rPr>
          <w:lang w:val="es-ES"/>
        </w:rPr>
        <w:instrText xml:space="preserve"> HYPERLINK "http://joomla.corteidh.or.cr:8080/joomla/es/casos-contenciosos/38-jurisprudencia/1951-corte-idh-caso-garcia-y-familiares-vs-guatemala-fondo-reparaciones-y-costas-sentencia-de-29-noviembre-de-2012-serie-c-no-258" </w:instrText>
      </w:r>
      <w:r>
        <w:fldChar w:fldCharType="separate"/>
      </w:r>
      <w:r w:rsidRPr="00CE4228">
        <w:rPr>
          <w:rStyle w:val="Hyperlink"/>
          <w:rFonts w:ascii="Cambria" w:hAnsi="Cambria" w:cs="Arial"/>
          <w:i/>
          <w:color w:val="auto"/>
          <w:sz w:val="16"/>
          <w:szCs w:val="16"/>
          <w:u w:val="none"/>
          <w:shd w:val="clear" w:color="auto" w:fill="FFFFFF"/>
          <w:lang w:val="es-ES"/>
        </w:rPr>
        <w:t>Caso García y Familiares Vs. Guatemala</w:t>
      </w:r>
      <w:r w:rsidRPr="00CE4228">
        <w:rPr>
          <w:rStyle w:val="Hyperlink"/>
          <w:rFonts w:ascii="Cambria" w:hAnsi="Cambria" w:cs="Arial"/>
          <w:color w:val="auto"/>
          <w:sz w:val="16"/>
          <w:szCs w:val="16"/>
          <w:u w:val="none"/>
          <w:shd w:val="clear" w:color="auto" w:fill="FFFFFF"/>
          <w:lang w:val="es-ES"/>
        </w:rPr>
        <w:t>. Fondo Reparaciones y Costas. Sentencia de 29 noviembre de 2012 Serie C No. 258</w:t>
      </w:r>
      <w:r>
        <w:rPr>
          <w:rStyle w:val="Hyperlink"/>
          <w:rFonts w:ascii="Cambria" w:hAnsi="Cambria" w:cs="Arial"/>
          <w:color w:val="auto"/>
          <w:sz w:val="16"/>
          <w:szCs w:val="16"/>
          <w:u w:val="none"/>
          <w:shd w:val="clear" w:color="auto" w:fill="FFFFFF"/>
          <w:lang w:val="es-ES"/>
        </w:rPr>
        <w:fldChar w:fldCharType="end"/>
      </w:r>
      <w:r w:rsidRPr="00CE4228">
        <w:rPr>
          <w:rFonts w:ascii="Cambria" w:hAnsi="Cambria"/>
          <w:sz w:val="16"/>
          <w:szCs w:val="16"/>
          <w:lang w:val="es-ES"/>
        </w:rPr>
        <w:t>, párr. 143.</w:t>
      </w:r>
    </w:p>
  </w:footnote>
  <w:footnote w:id="356">
    <w:p w:rsidR="00BB0B93" w:rsidRPr="00CE4228" w:rsidRDefault="00BB0B93" w:rsidP="00CE4228">
      <w:pPr>
        <w:pStyle w:val="FootnoteText"/>
        <w:jc w:val="both"/>
        <w:rPr>
          <w:rFonts w:ascii="Cambria" w:hAnsi="Cambria"/>
          <w:sz w:val="16"/>
          <w:szCs w:val="16"/>
          <w:lang w:val="es-PE"/>
        </w:rPr>
      </w:pPr>
      <w:r w:rsidRPr="00CE4228">
        <w:rPr>
          <w:rStyle w:val="FootnoteReference"/>
          <w:rFonts w:ascii="Cambria" w:hAnsi="Cambria"/>
          <w:sz w:val="16"/>
          <w:szCs w:val="16"/>
        </w:rPr>
        <w:footnoteRef/>
      </w:r>
      <w:r w:rsidRPr="00CE4228">
        <w:rPr>
          <w:rFonts w:ascii="Cambria" w:hAnsi="Cambria"/>
          <w:sz w:val="16"/>
          <w:szCs w:val="16"/>
          <w:lang w:val="es-PE"/>
        </w:rPr>
        <w:t xml:space="preserve"> </w:t>
      </w:r>
      <w:r w:rsidRPr="00CE4228">
        <w:rPr>
          <w:rFonts w:ascii="Cambria" w:hAnsi="Cambria"/>
          <w:sz w:val="16"/>
          <w:szCs w:val="16"/>
          <w:lang w:val="es-ES"/>
        </w:rPr>
        <w:t xml:space="preserve">CIDH, </w:t>
      </w:r>
      <w:r>
        <w:fldChar w:fldCharType="begin"/>
      </w:r>
      <w:r w:rsidRPr="00BB0B93">
        <w:rPr>
          <w:lang w:val="es-ES"/>
        </w:rPr>
        <w:instrText xml:space="preserve"> HYPERLINK "https://www.youtube.com/watch?v=8pG-hHzzZ-Y" </w:instrText>
      </w:r>
      <w:r>
        <w:fldChar w:fldCharType="separate"/>
      </w:r>
      <w:r w:rsidRPr="00CE4228">
        <w:rPr>
          <w:rStyle w:val="Hyperlink"/>
          <w:rFonts w:ascii="Cambria" w:hAnsi="Cambria" w:cs="Arial"/>
          <w:color w:val="auto"/>
          <w:sz w:val="16"/>
          <w:szCs w:val="16"/>
          <w:u w:val="none"/>
          <w:shd w:val="clear" w:color="auto" w:fill="FFFFFF"/>
          <w:lang w:val="es-ES"/>
        </w:rPr>
        <w:t>Audiencia pública</w:t>
      </w:r>
      <w:r>
        <w:rPr>
          <w:rStyle w:val="Hyperlink"/>
          <w:rFonts w:ascii="Cambria" w:hAnsi="Cambria" w:cs="Arial"/>
          <w:color w:val="auto"/>
          <w:sz w:val="16"/>
          <w:szCs w:val="16"/>
          <w:u w:val="none"/>
          <w:shd w:val="clear" w:color="auto" w:fill="FFFFFF"/>
          <w:lang w:val="es-ES"/>
        </w:rPr>
        <w:fldChar w:fldCharType="end"/>
      </w:r>
      <w:r w:rsidRPr="00CE4228">
        <w:rPr>
          <w:rStyle w:val="Hyperlink"/>
          <w:rFonts w:ascii="Cambria" w:hAnsi="Cambria" w:cs="Arial"/>
          <w:sz w:val="16"/>
          <w:szCs w:val="16"/>
          <w:u w:val="none"/>
          <w:shd w:val="clear" w:color="auto" w:fill="FFFFFF"/>
          <w:lang w:val="es-CO"/>
        </w:rPr>
        <w:t>, 4 de abril de 2016.</w:t>
      </w:r>
    </w:p>
  </w:footnote>
  <w:footnote w:id="357">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ONU, Comité sobre los Derechos de las Personas con Discapacidad, Observaciones finales sobre el informe inicial de Etiopía, 04 de noviembre de 2016, párr. 31. </w:t>
      </w:r>
    </w:p>
  </w:footnote>
  <w:footnote w:id="358">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CIDH, Informe No. 111/09, Caso 11.324, Fondo, Narciso González Medina, República Dominicana, 10 de noviembre de 2009, párr. 225.</w:t>
      </w:r>
    </w:p>
  </w:footnote>
  <w:footnote w:id="359">
    <w:p w:rsidR="00BB0B93" w:rsidRPr="00CE4228" w:rsidRDefault="00BB0B93" w:rsidP="00CE4228">
      <w:pPr>
        <w:pStyle w:val="FootnoteText"/>
        <w:tabs>
          <w:tab w:val="left" w:pos="90"/>
        </w:tabs>
        <w:jc w:val="both"/>
        <w:rPr>
          <w:rFonts w:ascii="Cambria" w:hAnsi="Cambria"/>
          <w:sz w:val="16"/>
          <w:szCs w:val="16"/>
          <w:lang w:val="pt-BR"/>
        </w:rPr>
      </w:pPr>
      <w:r w:rsidRPr="00CE4228">
        <w:rPr>
          <w:rStyle w:val="FootnoteReference"/>
          <w:rFonts w:ascii="Cambria" w:hAnsi="Cambria"/>
          <w:sz w:val="16"/>
          <w:szCs w:val="16"/>
        </w:rPr>
        <w:footnoteRef/>
      </w:r>
      <w:r w:rsidRPr="00CE4228">
        <w:rPr>
          <w:rFonts w:ascii="Cambria" w:hAnsi="Cambria" w:cs="Arial"/>
          <w:sz w:val="16"/>
          <w:szCs w:val="16"/>
          <w:lang w:val="es-ES"/>
        </w:rPr>
        <w:t xml:space="preserve"> </w:t>
      </w:r>
      <w:r w:rsidRPr="00CE4228">
        <w:rPr>
          <w:rFonts w:ascii="Cambria" w:hAnsi="Cambria"/>
          <w:sz w:val="16"/>
          <w:szCs w:val="16"/>
          <w:lang w:val="es-ES_tradnl"/>
        </w:rPr>
        <w:t xml:space="preserve">Corte IDH. </w:t>
      </w:r>
      <w:r w:rsidRPr="00CE4228">
        <w:rPr>
          <w:rFonts w:ascii="Cambria" w:hAnsi="Cambria"/>
          <w:i/>
          <w:sz w:val="16"/>
          <w:szCs w:val="16"/>
          <w:lang w:val="es-ES_tradnl"/>
        </w:rPr>
        <w:t xml:space="preserve">Caso García </w:t>
      </w:r>
      <w:proofErr w:type="spellStart"/>
      <w:r w:rsidRPr="00CE4228">
        <w:rPr>
          <w:rFonts w:ascii="Cambria" w:hAnsi="Cambria"/>
          <w:i/>
          <w:sz w:val="16"/>
          <w:szCs w:val="16"/>
          <w:lang w:val="es-ES_tradnl"/>
        </w:rPr>
        <w:t>Asto</w:t>
      </w:r>
      <w:proofErr w:type="spellEnd"/>
      <w:r w:rsidRPr="00CE4228">
        <w:rPr>
          <w:rFonts w:ascii="Cambria" w:hAnsi="Cambria"/>
          <w:i/>
          <w:sz w:val="16"/>
          <w:szCs w:val="16"/>
          <w:lang w:val="es-ES_tradnl"/>
        </w:rPr>
        <w:t xml:space="preserve"> y Ramírez Rojas Vs. Perú</w:t>
      </w:r>
      <w:r w:rsidRPr="00CE4228">
        <w:rPr>
          <w:rFonts w:ascii="Cambria" w:hAnsi="Cambria"/>
          <w:sz w:val="16"/>
          <w:szCs w:val="16"/>
          <w:lang w:val="es-ES_tradnl"/>
        </w:rPr>
        <w:t>. Sentencia de 25 de noviembre de 2005. Serie C No. 137</w:t>
      </w:r>
      <w:r w:rsidRPr="00CE4228">
        <w:rPr>
          <w:rFonts w:ascii="Cambria" w:hAnsi="Cambria" w:cs="Arial"/>
          <w:iCs/>
          <w:sz w:val="16"/>
          <w:szCs w:val="16"/>
          <w:lang w:val="es-ES"/>
        </w:rPr>
        <w:t xml:space="preserve">, párr. </w:t>
      </w:r>
      <w:r w:rsidRPr="00CE4228">
        <w:rPr>
          <w:rFonts w:ascii="Cambria" w:hAnsi="Cambria" w:cs="Arial"/>
          <w:iCs/>
          <w:sz w:val="16"/>
          <w:szCs w:val="16"/>
          <w:lang w:val="pt-BR"/>
        </w:rPr>
        <w:t>166.</w:t>
      </w:r>
    </w:p>
  </w:footnote>
  <w:footnote w:id="360">
    <w:p w:rsidR="00BB0B93" w:rsidRPr="00CE4228" w:rsidRDefault="00BB0B93" w:rsidP="00CE4228">
      <w:pPr>
        <w:pStyle w:val="FootnoteText"/>
        <w:tabs>
          <w:tab w:val="left" w:pos="90"/>
        </w:tabs>
        <w:jc w:val="both"/>
        <w:rPr>
          <w:rFonts w:ascii="Cambria" w:hAnsi="Cambria"/>
          <w:sz w:val="16"/>
          <w:szCs w:val="16"/>
          <w:lang w:val="pt-BR"/>
        </w:rPr>
      </w:pPr>
      <w:r w:rsidRPr="00CE4228">
        <w:rPr>
          <w:rStyle w:val="FootnoteReference"/>
          <w:rFonts w:ascii="Cambria" w:hAnsi="Cambria"/>
          <w:sz w:val="16"/>
          <w:szCs w:val="16"/>
        </w:rPr>
        <w:footnoteRef/>
      </w:r>
      <w:r w:rsidRPr="00CE4228">
        <w:rPr>
          <w:rFonts w:ascii="Cambria" w:hAnsi="Cambria"/>
          <w:sz w:val="16"/>
          <w:szCs w:val="16"/>
          <w:lang w:val="pt-BR"/>
        </w:rPr>
        <w:t xml:space="preserve"> Corte IDH. </w:t>
      </w:r>
      <w:r w:rsidRPr="00CE4228">
        <w:rPr>
          <w:rFonts w:ascii="Cambria" w:hAnsi="Cambria"/>
          <w:i/>
          <w:sz w:val="16"/>
          <w:szCs w:val="16"/>
          <w:lang w:val="pt-BR"/>
        </w:rPr>
        <w:t>Caso Ricardo Canese Vs. Paraguay</w:t>
      </w:r>
      <w:r w:rsidRPr="00CE4228">
        <w:rPr>
          <w:rFonts w:ascii="Cambria" w:hAnsi="Cambria"/>
          <w:sz w:val="16"/>
          <w:szCs w:val="16"/>
          <w:lang w:val="pt-BR"/>
        </w:rPr>
        <w:t>. Sentencia de 31 de agosto de 2004. Serie C No. 111</w:t>
      </w:r>
      <w:r w:rsidRPr="00CE4228">
        <w:rPr>
          <w:rFonts w:ascii="Cambria" w:hAnsi="Cambria" w:cs="Arial"/>
          <w:sz w:val="16"/>
          <w:szCs w:val="16"/>
          <w:lang w:val="pt-BR"/>
        </w:rPr>
        <w:t xml:space="preserve">, </w:t>
      </w:r>
      <w:r w:rsidRPr="00CE4228">
        <w:rPr>
          <w:rFonts w:ascii="Cambria" w:hAnsi="Cambria" w:cs="Arial"/>
          <w:sz w:val="16"/>
          <w:szCs w:val="16"/>
          <w:lang w:val="pt-BR"/>
        </w:rPr>
        <w:br/>
        <w:t>párr. 142.</w:t>
      </w:r>
    </w:p>
  </w:footnote>
  <w:footnote w:id="361">
    <w:p w:rsidR="00BB0B93" w:rsidRPr="00CE4228" w:rsidRDefault="00BB0B93" w:rsidP="00CE4228">
      <w:pPr>
        <w:pStyle w:val="FootnoteText"/>
        <w:tabs>
          <w:tab w:val="left" w:pos="90"/>
        </w:tabs>
        <w:jc w:val="both"/>
        <w:rPr>
          <w:rFonts w:ascii="Cambria" w:hAnsi="Cambria"/>
          <w:sz w:val="16"/>
          <w:szCs w:val="16"/>
          <w:lang w:val="pt-BR"/>
        </w:rPr>
      </w:pPr>
      <w:r w:rsidRPr="00CE4228">
        <w:rPr>
          <w:rStyle w:val="FootnoteReference"/>
          <w:rFonts w:ascii="Cambria" w:hAnsi="Cambria"/>
          <w:sz w:val="16"/>
          <w:szCs w:val="16"/>
        </w:rPr>
        <w:footnoteRef/>
      </w:r>
      <w:r w:rsidRPr="00CE4228">
        <w:rPr>
          <w:rFonts w:ascii="Cambria" w:hAnsi="Cambria" w:cs="Arial"/>
          <w:sz w:val="16"/>
          <w:szCs w:val="16"/>
          <w:lang w:val="pt-BR"/>
        </w:rPr>
        <w:t xml:space="preserve"> CIDH, Informe No. 77/02, Caso 11.506, Fondo, Waldemar Gerónimo Pinheiro y José Víctor dos Santos, Paraguay, 27 de diciembre de 2002, párr. 76.</w:t>
      </w:r>
    </w:p>
  </w:footnote>
  <w:footnote w:id="362">
    <w:p w:rsidR="00BB0B93" w:rsidRPr="00CE4228" w:rsidRDefault="00BB0B93" w:rsidP="00CE4228">
      <w:pPr>
        <w:pStyle w:val="FootnoteText"/>
        <w:tabs>
          <w:tab w:val="left" w:pos="90"/>
        </w:tabs>
        <w:jc w:val="both"/>
        <w:rPr>
          <w:rFonts w:ascii="Cambria" w:hAnsi="Cambria"/>
          <w:sz w:val="16"/>
          <w:szCs w:val="16"/>
          <w:lang w:val="es-ES_tradnl"/>
        </w:rPr>
      </w:pPr>
      <w:r w:rsidRPr="00CE4228">
        <w:rPr>
          <w:rStyle w:val="FootnoteReference"/>
          <w:rFonts w:ascii="Cambria" w:hAnsi="Cambria"/>
          <w:sz w:val="16"/>
          <w:szCs w:val="16"/>
        </w:rPr>
        <w:footnoteRef/>
      </w:r>
      <w:r w:rsidRPr="00CE4228">
        <w:rPr>
          <w:rFonts w:ascii="Cambria" w:hAnsi="Cambria" w:cs="Arial"/>
          <w:sz w:val="16"/>
          <w:szCs w:val="16"/>
          <w:lang w:val="pt-BR"/>
        </w:rPr>
        <w:t xml:space="preserve"> Corte IDH. </w:t>
      </w:r>
      <w:r w:rsidRPr="00CE4228">
        <w:rPr>
          <w:rFonts w:ascii="Cambria" w:hAnsi="Cambria" w:cs="Arial"/>
          <w:i/>
          <w:sz w:val="16"/>
          <w:szCs w:val="16"/>
          <w:shd w:val="clear" w:color="auto" w:fill="FFFFFF"/>
          <w:lang w:val="pt-BR"/>
        </w:rPr>
        <w:t>Caso Masacre de Santo Domingo Vs. Colombia</w:t>
      </w:r>
      <w:r w:rsidRPr="00CE4228">
        <w:rPr>
          <w:rFonts w:ascii="Cambria" w:hAnsi="Cambria" w:cs="Arial"/>
          <w:sz w:val="16"/>
          <w:szCs w:val="16"/>
          <w:shd w:val="clear" w:color="auto" w:fill="FFFFFF"/>
          <w:lang w:val="pt-BR"/>
        </w:rPr>
        <w:t>. Excepciones Preliminares, Fondo y Reparaciones. Sentencia de 30 de noviembre de 2012. Serie C No. 259,</w:t>
      </w:r>
      <w:r w:rsidRPr="00CE4228">
        <w:rPr>
          <w:rFonts w:ascii="Cambria" w:hAnsi="Cambria" w:cs="Arial"/>
          <w:sz w:val="16"/>
          <w:szCs w:val="16"/>
          <w:lang w:val="pt-BR"/>
        </w:rPr>
        <w:t xml:space="preserve"> párr. </w:t>
      </w:r>
      <w:r w:rsidRPr="00CE4228">
        <w:rPr>
          <w:rFonts w:ascii="Cambria" w:hAnsi="Cambria" w:cs="Arial"/>
          <w:sz w:val="16"/>
          <w:szCs w:val="16"/>
          <w:lang w:val="es-ES"/>
        </w:rPr>
        <w:t>164.</w:t>
      </w:r>
    </w:p>
  </w:footnote>
  <w:footnote w:id="363">
    <w:p w:rsidR="00BB0B93" w:rsidRPr="00CE4228" w:rsidRDefault="00BB0B93" w:rsidP="00CE4228">
      <w:pPr>
        <w:pStyle w:val="FootnoteText"/>
        <w:tabs>
          <w:tab w:val="left" w:pos="90"/>
        </w:tabs>
        <w:jc w:val="both"/>
        <w:rPr>
          <w:rFonts w:ascii="Cambria" w:hAnsi="Cambria"/>
          <w:sz w:val="16"/>
          <w:szCs w:val="16"/>
          <w:lang w:val="es-ES_tradnl"/>
        </w:rPr>
      </w:pPr>
      <w:r w:rsidRPr="00CE4228">
        <w:rPr>
          <w:rStyle w:val="FootnoteReference"/>
          <w:rFonts w:ascii="Cambria" w:hAnsi="Cambria"/>
          <w:sz w:val="16"/>
          <w:szCs w:val="16"/>
        </w:rPr>
        <w:footnoteRef/>
      </w:r>
      <w:r w:rsidRPr="00CE4228">
        <w:rPr>
          <w:rFonts w:ascii="Cambria" w:hAnsi="Cambria"/>
          <w:sz w:val="16"/>
          <w:szCs w:val="16"/>
          <w:lang w:val="es-ES"/>
        </w:rPr>
        <w:t xml:space="preserve"> Corte IDH. </w:t>
      </w:r>
      <w:r w:rsidRPr="00CE4228">
        <w:rPr>
          <w:rFonts w:ascii="Cambria" w:hAnsi="Cambria"/>
          <w:i/>
          <w:sz w:val="16"/>
          <w:szCs w:val="16"/>
          <w:lang w:val="es-ES"/>
        </w:rPr>
        <w:t xml:space="preserve">Caso Familia Barrios Vs. </w:t>
      </w:r>
      <w:r w:rsidRPr="00CE4228">
        <w:rPr>
          <w:rFonts w:ascii="Cambria" w:hAnsi="Cambria"/>
          <w:i/>
          <w:sz w:val="16"/>
          <w:szCs w:val="16"/>
          <w:lang w:val="es-ES_tradnl"/>
        </w:rPr>
        <w:t>Venezuela</w:t>
      </w:r>
      <w:r w:rsidRPr="00CE4228">
        <w:rPr>
          <w:rFonts w:ascii="Cambria" w:hAnsi="Cambria"/>
          <w:sz w:val="16"/>
          <w:szCs w:val="16"/>
          <w:lang w:val="es-ES_tradnl"/>
        </w:rPr>
        <w:t xml:space="preserve">. </w:t>
      </w:r>
      <w:r w:rsidRPr="00CE4228">
        <w:rPr>
          <w:rFonts w:ascii="Cambria" w:hAnsi="Cambria" w:cs="Arial"/>
          <w:sz w:val="16"/>
          <w:szCs w:val="16"/>
          <w:shd w:val="clear" w:color="auto" w:fill="FFFFFF"/>
          <w:lang w:val="es-ES_tradnl"/>
        </w:rPr>
        <w:t>Fondo, Reparaciones y Costas</w:t>
      </w:r>
      <w:r w:rsidRPr="00CE4228">
        <w:rPr>
          <w:rFonts w:ascii="Cambria" w:hAnsi="Cambria"/>
          <w:sz w:val="16"/>
          <w:szCs w:val="16"/>
          <w:lang w:val="es-ES_tradnl"/>
        </w:rPr>
        <w:t>. Sentencia de 24 de noviembre de 2011. Serie C No. 237, párr. 275.</w:t>
      </w:r>
    </w:p>
  </w:footnote>
  <w:footnote w:id="364">
    <w:p w:rsidR="00BB0B93" w:rsidRPr="00CE4228" w:rsidRDefault="00BB0B93" w:rsidP="00CE4228">
      <w:pPr>
        <w:pStyle w:val="FootnoteText"/>
        <w:tabs>
          <w:tab w:val="left" w:pos="90"/>
        </w:tabs>
        <w:jc w:val="both"/>
        <w:rPr>
          <w:rFonts w:ascii="Cambria" w:hAnsi="Cambria"/>
          <w:sz w:val="16"/>
          <w:szCs w:val="16"/>
          <w:lang w:val="es-ES_tradnl"/>
        </w:rPr>
      </w:pPr>
      <w:r w:rsidRPr="00CE4228">
        <w:rPr>
          <w:rStyle w:val="FootnoteReference"/>
          <w:rFonts w:ascii="Cambria" w:hAnsi="Cambria"/>
          <w:sz w:val="16"/>
          <w:szCs w:val="16"/>
        </w:rPr>
        <w:footnoteRef/>
      </w:r>
      <w:r w:rsidRPr="009617A6">
        <w:rPr>
          <w:rFonts w:ascii="Cambria" w:hAnsi="Cambria"/>
          <w:sz w:val="16"/>
          <w:szCs w:val="16"/>
          <w:lang w:val="es-ES"/>
        </w:rPr>
        <w:t xml:space="preserve"> Corte IDH. </w:t>
      </w:r>
      <w:r>
        <w:fldChar w:fldCharType="begin"/>
      </w:r>
      <w:r w:rsidRPr="00BB0B93">
        <w:rPr>
          <w:lang w:val="es-ES"/>
        </w:rPr>
        <w:instrText xml:space="preserve"> HYPERLINK "http://joomla.corteidh.or.cr:8080/joomla/es/casos-contenciosos/38-jurisprudencia/824-corte-idh-caso-kawas-fernandez-vs-honduras-fondo-reparaciones-y-costas-sentencia-de-3-de-abril-de-2009-serie-c-no-196" </w:instrText>
      </w:r>
      <w:r>
        <w:fldChar w:fldCharType="separate"/>
      </w:r>
      <w:r w:rsidRPr="00627EC0">
        <w:rPr>
          <w:rStyle w:val="Hyperlink"/>
          <w:rFonts w:ascii="Cambria" w:hAnsi="Cambria" w:cs="Arial"/>
          <w:i/>
          <w:color w:val="auto"/>
          <w:sz w:val="16"/>
          <w:szCs w:val="16"/>
          <w:u w:val="none"/>
          <w:shd w:val="clear" w:color="auto" w:fill="FFFFFF"/>
          <w:lang w:val="es-PE"/>
        </w:rPr>
        <w:t xml:space="preserve">Caso </w:t>
      </w:r>
      <w:proofErr w:type="spellStart"/>
      <w:r w:rsidRPr="00627EC0">
        <w:rPr>
          <w:rStyle w:val="Hyperlink"/>
          <w:rFonts w:ascii="Cambria" w:hAnsi="Cambria" w:cs="Arial"/>
          <w:i/>
          <w:color w:val="auto"/>
          <w:sz w:val="16"/>
          <w:szCs w:val="16"/>
          <w:u w:val="none"/>
          <w:shd w:val="clear" w:color="auto" w:fill="FFFFFF"/>
          <w:lang w:val="es-PE"/>
        </w:rPr>
        <w:t>Kawas</w:t>
      </w:r>
      <w:proofErr w:type="spellEnd"/>
      <w:r w:rsidRPr="00627EC0">
        <w:rPr>
          <w:rStyle w:val="Hyperlink"/>
          <w:rFonts w:ascii="Cambria" w:hAnsi="Cambria" w:cs="Arial"/>
          <w:i/>
          <w:color w:val="auto"/>
          <w:sz w:val="16"/>
          <w:szCs w:val="16"/>
          <w:u w:val="none"/>
          <w:shd w:val="clear" w:color="auto" w:fill="FFFFFF"/>
          <w:lang w:val="es-PE"/>
        </w:rPr>
        <w:t xml:space="preserve"> Fernández Vs. </w:t>
      </w:r>
      <w:r w:rsidRPr="00CE4228">
        <w:rPr>
          <w:rStyle w:val="Hyperlink"/>
          <w:rFonts w:ascii="Cambria" w:hAnsi="Cambria" w:cs="Arial"/>
          <w:i/>
          <w:color w:val="auto"/>
          <w:sz w:val="16"/>
          <w:szCs w:val="16"/>
          <w:u w:val="none"/>
          <w:shd w:val="clear" w:color="auto" w:fill="FFFFFF"/>
          <w:lang w:val="es-ES"/>
        </w:rPr>
        <w:t>Honduras</w:t>
      </w:r>
      <w:r w:rsidRPr="00CE4228">
        <w:rPr>
          <w:rStyle w:val="Hyperlink"/>
          <w:rFonts w:ascii="Cambria" w:hAnsi="Cambria" w:cs="Arial"/>
          <w:color w:val="auto"/>
          <w:sz w:val="16"/>
          <w:szCs w:val="16"/>
          <w:u w:val="none"/>
          <w:shd w:val="clear" w:color="auto" w:fill="FFFFFF"/>
          <w:lang w:val="es-ES"/>
        </w:rPr>
        <w:t>. Fondo, Reparaciones y Costas. Sentencia de 3 de abril de 2009 Serie C No. 196</w:t>
      </w:r>
      <w:r>
        <w:rPr>
          <w:rStyle w:val="Hyperlink"/>
          <w:rFonts w:ascii="Cambria" w:hAnsi="Cambria" w:cs="Arial"/>
          <w:color w:val="auto"/>
          <w:sz w:val="16"/>
          <w:szCs w:val="16"/>
          <w:u w:val="none"/>
          <w:shd w:val="clear" w:color="auto" w:fill="FFFFFF"/>
          <w:lang w:val="es-ES"/>
        </w:rPr>
        <w:fldChar w:fldCharType="end"/>
      </w:r>
      <w:r w:rsidRPr="00CE4228">
        <w:rPr>
          <w:rFonts w:ascii="Cambria" w:hAnsi="Cambria"/>
          <w:sz w:val="16"/>
          <w:szCs w:val="16"/>
          <w:lang w:val="es-ES_tradnl"/>
        </w:rPr>
        <w:t>, párr. 115.</w:t>
      </w:r>
    </w:p>
  </w:footnote>
  <w:footnote w:id="365">
    <w:p w:rsidR="00BB0B93" w:rsidRPr="00CE4228" w:rsidRDefault="00BB0B93" w:rsidP="00CE4228">
      <w:pPr>
        <w:pStyle w:val="FootnoteText"/>
        <w:tabs>
          <w:tab w:val="left" w:pos="90"/>
        </w:tabs>
        <w:jc w:val="both"/>
        <w:rPr>
          <w:rFonts w:ascii="Cambria" w:hAnsi="Cambria"/>
          <w:sz w:val="16"/>
          <w:szCs w:val="16"/>
          <w:lang w:val="es-ES"/>
        </w:rPr>
      </w:pPr>
      <w:r w:rsidRPr="00CE4228">
        <w:rPr>
          <w:rStyle w:val="FootnoteReference"/>
          <w:rFonts w:ascii="Cambria" w:hAnsi="Cambria"/>
          <w:sz w:val="16"/>
          <w:szCs w:val="16"/>
        </w:rPr>
        <w:footnoteRef/>
      </w:r>
      <w:r w:rsidRPr="00CE4228">
        <w:rPr>
          <w:rFonts w:ascii="Cambria" w:hAnsi="Cambria"/>
          <w:sz w:val="16"/>
          <w:szCs w:val="16"/>
          <w:lang w:val="es-ES"/>
        </w:rPr>
        <w:t xml:space="preserve"> </w:t>
      </w:r>
      <w:r w:rsidRPr="00CE4228">
        <w:rPr>
          <w:rStyle w:val="Strong"/>
          <w:rFonts w:ascii="Cambria" w:hAnsi="Cambria"/>
          <w:b w:val="0"/>
          <w:sz w:val="16"/>
          <w:szCs w:val="16"/>
          <w:shd w:val="clear" w:color="auto" w:fill="FFFFFF"/>
          <w:lang w:val="es-ES"/>
        </w:rPr>
        <w:t xml:space="preserve">Corte IDH. </w:t>
      </w:r>
      <w:r w:rsidRPr="00CE4228">
        <w:rPr>
          <w:rStyle w:val="Strong"/>
          <w:rFonts w:ascii="Cambria" w:hAnsi="Cambria"/>
          <w:b w:val="0"/>
          <w:i/>
          <w:sz w:val="16"/>
          <w:szCs w:val="16"/>
          <w:shd w:val="clear" w:color="auto" w:fill="FFFFFF"/>
          <w:lang w:val="es-ES"/>
        </w:rPr>
        <w:t xml:space="preserve">Caso </w:t>
      </w:r>
      <w:proofErr w:type="spellStart"/>
      <w:r w:rsidRPr="00CE4228">
        <w:rPr>
          <w:rStyle w:val="Strong"/>
          <w:rFonts w:ascii="Cambria" w:hAnsi="Cambria"/>
          <w:b w:val="0"/>
          <w:i/>
          <w:sz w:val="16"/>
          <w:szCs w:val="16"/>
          <w:shd w:val="clear" w:color="auto" w:fill="FFFFFF"/>
          <w:lang w:val="es-ES"/>
        </w:rPr>
        <w:t>Furlan</w:t>
      </w:r>
      <w:proofErr w:type="spellEnd"/>
      <w:r w:rsidRPr="00CE4228">
        <w:rPr>
          <w:rStyle w:val="Strong"/>
          <w:rFonts w:ascii="Cambria" w:hAnsi="Cambria"/>
          <w:b w:val="0"/>
          <w:i/>
          <w:sz w:val="16"/>
          <w:szCs w:val="16"/>
          <w:shd w:val="clear" w:color="auto" w:fill="FFFFFF"/>
          <w:lang w:val="es-ES"/>
        </w:rPr>
        <w:t xml:space="preserve"> y familiares Vs. Argentina</w:t>
      </w:r>
      <w:r w:rsidRPr="00CE4228">
        <w:rPr>
          <w:rStyle w:val="Strong"/>
          <w:rFonts w:ascii="Cambria" w:hAnsi="Cambria"/>
          <w:b w:val="0"/>
          <w:sz w:val="16"/>
          <w:szCs w:val="16"/>
          <w:shd w:val="clear" w:color="auto" w:fill="FFFFFF"/>
          <w:lang w:val="es-ES"/>
        </w:rPr>
        <w:t>. Excepciones Preliminares, Fondo, Reparaciones y Costas. Sentencia de 31 de agosto de 2012. Serie C No. 246, párr. 196.</w:t>
      </w:r>
    </w:p>
  </w:footnote>
  <w:footnote w:id="366">
    <w:p w:rsidR="00BB0B93" w:rsidRPr="00CE4228" w:rsidRDefault="00BB0B93" w:rsidP="00CE4228">
      <w:pPr>
        <w:tabs>
          <w:tab w:val="left" w:pos="1080"/>
        </w:tabs>
        <w:jc w:val="both"/>
        <w:rPr>
          <w:rFonts w:ascii="Cambria" w:hAnsi="Cambria"/>
          <w:sz w:val="16"/>
          <w:szCs w:val="16"/>
          <w:lang w:val="es-ES_tradnl"/>
        </w:rPr>
      </w:pPr>
      <w:r w:rsidRPr="00CE4228">
        <w:rPr>
          <w:rStyle w:val="FootnoteReference"/>
          <w:rFonts w:ascii="Cambria" w:hAnsi="Cambria" w:cs="Arial"/>
          <w:sz w:val="16"/>
          <w:szCs w:val="16"/>
          <w:lang w:val="es-SV"/>
        </w:rPr>
        <w:footnoteRef/>
      </w:r>
      <w:r w:rsidRPr="00CE4228">
        <w:rPr>
          <w:rFonts w:ascii="Cambria" w:hAnsi="Cambria" w:cs="Arial"/>
          <w:sz w:val="16"/>
          <w:szCs w:val="16"/>
          <w:lang w:val="es-ES"/>
        </w:rPr>
        <w:t xml:space="preserve"> Corte IDH. </w:t>
      </w:r>
      <w:r w:rsidRPr="00CE4228">
        <w:rPr>
          <w:rFonts w:ascii="Cambria" w:hAnsi="Cambria" w:cs="Arial"/>
          <w:bCs/>
          <w:i/>
          <w:sz w:val="16"/>
          <w:szCs w:val="16"/>
          <w:lang w:val="es-ES"/>
        </w:rPr>
        <w:t xml:space="preserve">Caso </w:t>
      </w:r>
      <w:proofErr w:type="spellStart"/>
      <w:r w:rsidRPr="00CE4228">
        <w:rPr>
          <w:rFonts w:ascii="Cambria" w:hAnsi="Cambria" w:cs="Arial"/>
          <w:bCs/>
          <w:i/>
          <w:sz w:val="16"/>
          <w:szCs w:val="16"/>
          <w:lang w:val="es-ES"/>
        </w:rPr>
        <w:t>Cant</w:t>
      </w:r>
      <w:proofErr w:type="spellEnd"/>
      <w:r w:rsidRPr="00CE4228">
        <w:rPr>
          <w:rFonts w:ascii="Cambria" w:hAnsi="Cambria" w:cs="Arial"/>
          <w:bCs/>
          <w:i/>
          <w:sz w:val="16"/>
          <w:szCs w:val="16"/>
          <w:lang w:val="es-ES_tradnl"/>
        </w:rPr>
        <w:t xml:space="preserve">oral </w:t>
      </w:r>
      <w:proofErr w:type="spellStart"/>
      <w:r w:rsidRPr="00CE4228">
        <w:rPr>
          <w:rFonts w:ascii="Cambria" w:hAnsi="Cambria" w:cs="Arial"/>
          <w:bCs/>
          <w:i/>
          <w:sz w:val="16"/>
          <w:szCs w:val="16"/>
          <w:lang w:val="es-ES_tradnl"/>
        </w:rPr>
        <w:t>Huamaní</w:t>
      </w:r>
      <w:proofErr w:type="spellEnd"/>
      <w:r w:rsidRPr="00CE4228">
        <w:rPr>
          <w:rFonts w:ascii="Cambria" w:hAnsi="Cambria" w:cs="Arial"/>
          <w:bCs/>
          <w:i/>
          <w:sz w:val="16"/>
          <w:szCs w:val="16"/>
          <w:lang w:val="es-ES_tradnl"/>
        </w:rPr>
        <w:t xml:space="preserve"> y García Santa Cruz Vs. Perú</w:t>
      </w:r>
      <w:r w:rsidRPr="00CE4228">
        <w:rPr>
          <w:rFonts w:ascii="Cambria" w:hAnsi="Cambria" w:cs="Arial"/>
          <w:bCs/>
          <w:sz w:val="16"/>
          <w:szCs w:val="16"/>
          <w:lang w:val="es-ES_tradnl"/>
        </w:rPr>
        <w:t>.</w:t>
      </w:r>
      <w:r w:rsidRPr="00CE4228">
        <w:rPr>
          <w:rFonts w:ascii="Cambria" w:hAnsi="Cambria" w:cs="Arial"/>
          <w:b/>
          <w:bCs/>
          <w:sz w:val="16"/>
          <w:szCs w:val="16"/>
          <w:lang w:val="es-ES_tradnl"/>
        </w:rPr>
        <w:t xml:space="preserve"> </w:t>
      </w:r>
      <w:r w:rsidRPr="00CE4228">
        <w:rPr>
          <w:rFonts w:ascii="Cambria" w:hAnsi="Cambria" w:cs="Arial"/>
          <w:sz w:val="16"/>
          <w:szCs w:val="16"/>
          <w:lang w:val="es-ES_tradnl"/>
        </w:rPr>
        <w:t xml:space="preserve">Excepción Preliminar, Fondo, Reparaciones y Costas. Sentencia de 10 de julio de 2007. Serie C No. 167. </w:t>
      </w:r>
      <w:r w:rsidRPr="00CE4228">
        <w:rPr>
          <w:rFonts w:ascii="Cambria" w:hAnsi="Cambria" w:cs="Arial"/>
          <w:sz w:val="16"/>
          <w:szCs w:val="16"/>
          <w:lang w:val="es-CL"/>
        </w:rPr>
        <w:t xml:space="preserve">párr. 112; </w:t>
      </w:r>
      <w:r w:rsidRPr="00CE4228">
        <w:rPr>
          <w:rFonts w:ascii="Cambria" w:hAnsi="Cambria" w:cs="Arial"/>
          <w:sz w:val="16"/>
          <w:szCs w:val="16"/>
          <w:lang w:val="es-ES_tradnl"/>
        </w:rPr>
        <w:t xml:space="preserve">y </w:t>
      </w:r>
      <w:r w:rsidRPr="00CE4228">
        <w:rPr>
          <w:rFonts w:ascii="Cambria" w:hAnsi="Cambria" w:cs="Arial"/>
          <w:i/>
          <w:sz w:val="16"/>
          <w:szCs w:val="16"/>
          <w:lang w:val="es-ES_tradnl"/>
        </w:rPr>
        <w:t>Caso Bueno Alves Vs. Argentina</w:t>
      </w:r>
      <w:r w:rsidRPr="00CE4228">
        <w:rPr>
          <w:rFonts w:ascii="Cambria" w:hAnsi="Cambria" w:cs="Arial"/>
          <w:sz w:val="16"/>
          <w:szCs w:val="16"/>
          <w:lang w:val="es-ES_tradnl"/>
        </w:rPr>
        <w:t xml:space="preserve">. Fondo, Reparaciones y Costas. </w:t>
      </w:r>
      <w:r w:rsidRPr="00CE4228">
        <w:rPr>
          <w:rFonts w:ascii="Cambria" w:hAnsi="Cambria" w:cs="Arial"/>
          <w:sz w:val="16"/>
          <w:szCs w:val="16"/>
          <w:lang w:val="es-ES"/>
        </w:rPr>
        <w:t xml:space="preserve">Sentencia de 11 de mayo de 2007. Serie C. No. 164. </w:t>
      </w:r>
      <w:r w:rsidRPr="00CE4228">
        <w:rPr>
          <w:rFonts w:ascii="Cambria" w:hAnsi="Cambria" w:cs="Arial"/>
          <w:sz w:val="16"/>
          <w:szCs w:val="16"/>
          <w:lang w:val="es-ES_tradnl"/>
        </w:rPr>
        <w:t>párr. 102.</w:t>
      </w:r>
      <w:r w:rsidRPr="00CE4228">
        <w:rPr>
          <w:rFonts w:ascii="Cambria" w:hAnsi="Cambria" w:cs="Arial"/>
          <w:sz w:val="16"/>
          <w:szCs w:val="16"/>
          <w:lang w:val="es-CL"/>
        </w:rPr>
        <w:t xml:space="preserve"> </w:t>
      </w:r>
    </w:p>
  </w:footnote>
  <w:footnote w:id="367">
    <w:p w:rsidR="00BB0B93" w:rsidRPr="00CE4228" w:rsidRDefault="00BB0B93" w:rsidP="00CE4228">
      <w:pPr>
        <w:tabs>
          <w:tab w:val="left" w:pos="1080"/>
        </w:tabs>
        <w:jc w:val="both"/>
        <w:rPr>
          <w:rFonts w:ascii="Cambria" w:hAnsi="Cambria"/>
          <w:sz w:val="16"/>
          <w:szCs w:val="16"/>
          <w:lang w:val="es-ES_tradnl"/>
        </w:rPr>
      </w:pPr>
      <w:r w:rsidRPr="00CE4228">
        <w:rPr>
          <w:rStyle w:val="FootnoteReference"/>
          <w:rFonts w:ascii="Cambria" w:hAnsi="Cambria" w:cs="Arial"/>
          <w:sz w:val="16"/>
          <w:szCs w:val="16"/>
          <w:lang w:val="es-SV"/>
        </w:rPr>
        <w:footnoteRef/>
      </w:r>
      <w:r w:rsidRPr="00CE4228">
        <w:rPr>
          <w:rFonts w:ascii="Cambria" w:hAnsi="Cambria" w:cs="Arial"/>
          <w:sz w:val="16"/>
          <w:szCs w:val="16"/>
          <w:lang w:val="es-ES"/>
        </w:rPr>
        <w:t xml:space="preserve"> Corte IDH. </w:t>
      </w:r>
      <w:r w:rsidRPr="00CE4228">
        <w:rPr>
          <w:rFonts w:ascii="Cambria" w:hAnsi="Cambria" w:cs="Arial"/>
          <w:i/>
          <w:sz w:val="16"/>
          <w:szCs w:val="16"/>
          <w:lang w:val="es-ES"/>
        </w:rPr>
        <w:t xml:space="preserve">Caso Vargas </w:t>
      </w:r>
      <w:proofErr w:type="spellStart"/>
      <w:r w:rsidRPr="00CE4228">
        <w:rPr>
          <w:rFonts w:ascii="Cambria" w:hAnsi="Cambria" w:cs="Arial"/>
          <w:i/>
          <w:sz w:val="16"/>
          <w:szCs w:val="16"/>
          <w:lang w:val="es-ES"/>
        </w:rPr>
        <w:t>Areco</w:t>
      </w:r>
      <w:proofErr w:type="spellEnd"/>
      <w:r w:rsidRPr="00CE4228">
        <w:rPr>
          <w:rFonts w:ascii="Cambria" w:hAnsi="Cambria" w:cs="Arial"/>
          <w:i/>
          <w:sz w:val="16"/>
          <w:szCs w:val="16"/>
          <w:lang w:val="es-ES"/>
        </w:rPr>
        <w:t xml:space="preserve"> Vs. </w:t>
      </w:r>
      <w:r w:rsidRPr="00CE4228">
        <w:rPr>
          <w:rFonts w:ascii="Cambria" w:hAnsi="Cambria" w:cs="Arial"/>
          <w:i/>
          <w:sz w:val="16"/>
          <w:szCs w:val="16"/>
          <w:lang w:val="es-ES_tradnl"/>
        </w:rPr>
        <w:t>Paraguay</w:t>
      </w:r>
      <w:r w:rsidRPr="00CE4228">
        <w:rPr>
          <w:rFonts w:ascii="Cambria" w:hAnsi="Cambria" w:cs="Arial"/>
          <w:sz w:val="16"/>
          <w:szCs w:val="16"/>
          <w:lang w:val="es-ES_tradnl"/>
        </w:rPr>
        <w:t xml:space="preserve">. Sentencia de 26 de septiembre de 2006. Serie C No. 155. párr. </w:t>
      </w:r>
      <w:r w:rsidRPr="00CE4228">
        <w:rPr>
          <w:rFonts w:ascii="Cambria" w:hAnsi="Cambria" w:cs="Arial"/>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3" w:rsidRDefault="00BB0B93" w:rsidP="008933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B0B93" w:rsidRDefault="00BB0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3" w:rsidRDefault="00BB0B93" w:rsidP="00A50FCF">
    <w:pPr>
      <w:pStyle w:val="Header"/>
      <w:tabs>
        <w:tab w:val="clear" w:pos="4320"/>
        <w:tab w:val="clear" w:pos="8640"/>
      </w:tabs>
      <w:jc w:val="center"/>
      <w:rPr>
        <w:sz w:val="22"/>
        <w:szCs w:val="22"/>
      </w:rPr>
    </w:pPr>
    <w:r w:rsidRPr="007372D2">
      <w:rPr>
        <w:noProof/>
        <w:sz w:val="22"/>
        <w:szCs w:val="22"/>
        <w:lang w:val="es-ES" w:eastAsia="es-ES"/>
      </w:rPr>
      <w:drawing>
        <wp:inline distT="0" distB="0" distL="0" distR="0">
          <wp:extent cx="1971675" cy="104775"/>
          <wp:effectExtent l="0" t="0" r="9525" b="9525"/>
          <wp:docPr id="1"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BB0B93" w:rsidRPr="00EC7D62" w:rsidRDefault="00BB0B9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F8"/>
    <w:multiLevelType w:val="multilevel"/>
    <w:tmpl w:val="563EEE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748ED6E0"/>
    <w:lvl w:ilvl="0" w:tplc="498CEE10">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6B0058BA">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26699C"/>
    <w:multiLevelType w:val="hybridMultilevel"/>
    <w:tmpl w:val="44D4E0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3979AB"/>
    <w:multiLevelType w:val="hybridMultilevel"/>
    <w:tmpl w:val="68F03888"/>
    <w:lvl w:ilvl="0" w:tplc="300E0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C8862D6"/>
    <w:multiLevelType w:val="hybridMultilevel"/>
    <w:tmpl w:val="50A89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00C8E"/>
    <w:multiLevelType w:val="hybridMultilevel"/>
    <w:tmpl w:val="3BBCE86C"/>
    <w:lvl w:ilvl="0" w:tplc="FA90187E">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6A5012"/>
    <w:multiLevelType w:val="multilevel"/>
    <w:tmpl w:val="10144D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FE6E836C"/>
    <w:lvl w:ilvl="0" w:tplc="35DC9680">
      <w:start w:val="1"/>
      <w:numFmt w:val="upperRoman"/>
      <w:pStyle w:val="Heading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3"/>
  </w:num>
  <w:num w:numId="5">
    <w:abstractNumId w:val="49"/>
  </w:num>
  <w:num w:numId="6">
    <w:abstractNumId w:val="28"/>
  </w:num>
  <w:num w:numId="7">
    <w:abstractNumId w:val="7"/>
  </w:num>
  <w:num w:numId="8">
    <w:abstractNumId w:val="19"/>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3"/>
  </w:num>
  <w:num w:numId="16">
    <w:abstractNumId w:val="8"/>
  </w:num>
  <w:num w:numId="17">
    <w:abstractNumId w:val="10"/>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2"/>
  </w:num>
  <w:num w:numId="40">
    <w:abstractNumId w:val="43"/>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4"/>
  </w:num>
  <w:num w:numId="53">
    <w:abstractNumId w:val="52"/>
  </w:num>
  <w:num w:numId="54">
    <w:abstractNumId w:val="47"/>
  </w:num>
  <w:num w:numId="55">
    <w:abstractNumId w:val="6"/>
  </w:num>
  <w:num w:numId="56">
    <w:abstractNumId w:val="13"/>
  </w:num>
  <w:num w:numId="57">
    <w:abstractNumId w:val="30"/>
  </w:num>
  <w:num w:numId="58">
    <w:abstractNumId w:val="35"/>
  </w:num>
  <w:num w:numId="59">
    <w:abstractNumId w:val="9"/>
  </w:num>
  <w:num w:numId="60">
    <w:abstractNumId w:val="39"/>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A66"/>
    <w:rsid w:val="00000C74"/>
    <w:rsid w:val="00000CDA"/>
    <w:rsid w:val="00001847"/>
    <w:rsid w:val="00001CFA"/>
    <w:rsid w:val="00002497"/>
    <w:rsid w:val="00003382"/>
    <w:rsid w:val="00003ABD"/>
    <w:rsid w:val="0000599D"/>
    <w:rsid w:val="000066F7"/>
    <w:rsid w:val="00006E1F"/>
    <w:rsid w:val="000070D7"/>
    <w:rsid w:val="00007506"/>
    <w:rsid w:val="00007D4C"/>
    <w:rsid w:val="0001073D"/>
    <w:rsid w:val="000109F5"/>
    <w:rsid w:val="00011662"/>
    <w:rsid w:val="00011DC0"/>
    <w:rsid w:val="0001348F"/>
    <w:rsid w:val="00014F41"/>
    <w:rsid w:val="000166C8"/>
    <w:rsid w:val="00016C80"/>
    <w:rsid w:val="0001788C"/>
    <w:rsid w:val="00020808"/>
    <w:rsid w:val="000219F1"/>
    <w:rsid w:val="00021E67"/>
    <w:rsid w:val="00022C5C"/>
    <w:rsid w:val="00022D00"/>
    <w:rsid w:val="000230A1"/>
    <w:rsid w:val="00024307"/>
    <w:rsid w:val="000246B3"/>
    <w:rsid w:val="00026248"/>
    <w:rsid w:val="0002788B"/>
    <w:rsid w:val="000308B6"/>
    <w:rsid w:val="000311E7"/>
    <w:rsid w:val="00031275"/>
    <w:rsid w:val="000316D4"/>
    <w:rsid w:val="0003283D"/>
    <w:rsid w:val="00032910"/>
    <w:rsid w:val="000342A0"/>
    <w:rsid w:val="00036148"/>
    <w:rsid w:val="000363A9"/>
    <w:rsid w:val="000371C7"/>
    <w:rsid w:val="00040467"/>
    <w:rsid w:val="00040C3A"/>
    <w:rsid w:val="000416D4"/>
    <w:rsid w:val="00041997"/>
    <w:rsid w:val="00042630"/>
    <w:rsid w:val="00044A35"/>
    <w:rsid w:val="000451D1"/>
    <w:rsid w:val="00045D4D"/>
    <w:rsid w:val="00051CE0"/>
    <w:rsid w:val="00053E54"/>
    <w:rsid w:val="000579FA"/>
    <w:rsid w:val="000614FF"/>
    <w:rsid w:val="00061A8D"/>
    <w:rsid w:val="00062177"/>
    <w:rsid w:val="0006236A"/>
    <w:rsid w:val="00063A43"/>
    <w:rsid w:val="00063B94"/>
    <w:rsid w:val="00065BCB"/>
    <w:rsid w:val="00066FDC"/>
    <w:rsid w:val="00067B92"/>
    <w:rsid w:val="0007094B"/>
    <w:rsid w:val="000716C5"/>
    <w:rsid w:val="00072C61"/>
    <w:rsid w:val="00075E23"/>
    <w:rsid w:val="00076B7D"/>
    <w:rsid w:val="000802BC"/>
    <w:rsid w:val="00082BA8"/>
    <w:rsid w:val="000836B5"/>
    <w:rsid w:val="000842C9"/>
    <w:rsid w:val="0008461D"/>
    <w:rsid w:val="0008599D"/>
    <w:rsid w:val="00085A2B"/>
    <w:rsid w:val="000862FE"/>
    <w:rsid w:val="00087E19"/>
    <w:rsid w:val="00087F71"/>
    <w:rsid w:val="0009344A"/>
    <w:rsid w:val="00093556"/>
    <w:rsid w:val="00093C55"/>
    <w:rsid w:val="00094FF7"/>
    <w:rsid w:val="00095606"/>
    <w:rsid w:val="00095822"/>
    <w:rsid w:val="00095D01"/>
    <w:rsid w:val="00097CAD"/>
    <w:rsid w:val="000A16F3"/>
    <w:rsid w:val="000A17A5"/>
    <w:rsid w:val="000A2001"/>
    <w:rsid w:val="000A392E"/>
    <w:rsid w:val="000A575F"/>
    <w:rsid w:val="000A6D63"/>
    <w:rsid w:val="000A772F"/>
    <w:rsid w:val="000A7BF4"/>
    <w:rsid w:val="000A7E9C"/>
    <w:rsid w:val="000B1294"/>
    <w:rsid w:val="000B20D8"/>
    <w:rsid w:val="000B2106"/>
    <w:rsid w:val="000B32AA"/>
    <w:rsid w:val="000B42EC"/>
    <w:rsid w:val="000B53FA"/>
    <w:rsid w:val="000B73DF"/>
    <w:rsid w:val="000B74FA"/>
    <w:rsid w:val="000B7C4C"/>
    <w:rsid w:val="000C0647"/>
    <w:rsid w:val="000C140C"/>
    <w:rsid w:val="000C187A"/>
    <w:rsid w:val="000C19E1"/>
    <w:rsid w:val="000C1DAE"/>
    <w:rsid w:val="000C264E"/>
    <w:rsid w:val="000C2D9C"/>
    <w:rsid w:val="000C3EE4"/>
    <w:rsid w:val="000C476F"/>
    <w:rsid w:val="000C7D25"/>
    <w:rsid w:val="000D099D"/>
    <w:rsid w:val="000D10DB"/>
    <w:rsid w:val="000D1BCF"/>
    <w:rsid w:val="000D263E"/>
    <w:rsid w:val="000D3687"/>
    <w:rsid w:val="000D41F2"/>
    <w:rsid w:val="000D4910"/>
    <w:rsid w:val="000D4A57"/>
    <w:rsid w:val="000D5652"/>
    <w:rsid w:val="000D6D00"/>
    <w:rsid w:val="000E1302"/>
    <w:rsid w:val="000E274C"/>
    <w:rsid w:val="000E4D28"/>
    <w:rsid w:val="000E513D"/>
    <w:rsid w:val="000E5EB5"/>
    <w:rsid w:val="000E7947"/>
    <w:rsid w:val="000E7C05"/>
    <w:rsid w:val="000F0053"/>
    <w:rsid w:val="000F1BBE"/>
    <w:rsid w:val="000F2057"/>
    <w:rsid w:val="000F35D3"/>
    <w:rsid w:val="000F35ED"/>
    <w:rsid w:val="000F43A8"/>
    <w:rsid w:val="000F48D5"/>
    <w:rsid w:val="000F494B"/>
    <w:rsid w:val="000F5186"/>
    <w:rsid w:val="00100309"/>
    <w:rsid w:val="00100CDF"/>
    <w:rsid w:val="001010AD"/>
    <w:rsid w:val="001010E3"/>
    <w:rsid w:val="00102688"/>
    <w:rsid w:val="00102AF7"/>
    <w:rsid w:val="00102B7B"/>
    <w:rsid w:val="00102BA9"/>
    <w:rsid w:val="00104943"/>
    <w:rsid w:val="00105B00"/>
    <w:rsid w:val="00107131"/>
    <w:rsid w:val="0010736F"/>
    <w:rsid w:val="0011191A"/>
    <w:rsid w:val="0011248A"/>
    <w:rsid w:val="00112588"/>
    <w:rsid w:val="00113F73"/>
    <w:rsid w:val="0011576B"/>
    <w:rsid w:val="00115F81"/>
    <w:rsid w:val="001170AA"/>
    <w:rsid w:val="0012071F"/>
    <w:rsid w:val="00121CC2"/>
    <w:rsid w:val="001220B7"/>
    <w:rsid w:val="00122727"/>
    <w:rsid w:val="00122CDA"/>
    <w:rsid w:val="00123129"/>
    <w:rsid w:val="001237DE"/>
    <w:rsid w:val="0012504A"/>
    <w:rsid w:val="00126607"/>
    <w:rsid w:val="00131497"/>
    <w:rsid w:val="00133619"/>
    <w:rsid w:val="001337A7"/>
    <w:rsid w:val="00133EE5"/>
    <w:rsid w:val="001354F5"/>
    <w:rsid w:val="00135978"/>
    <w:rsid w:val="0013664D"/>
    <w:rsid w:val="00136C0C"/>
    <w:rsid w:val="001407F5"/>
    <w:rsid w:val="00143EB5"/>
    <w:rsid w:val="00145E11"/>
    <w:rsid w:val="00145FEC"/>
    <w:rsid w:val="001474B4"/>
    <w:rsid w:val="001475B8"/>
    <w:rsid w:val="001518D0"/>
    <w:rsid w:val="00152D31"/>
    <w:rsid w:val="00153078"/>
    <w:rsid w:val="00153276"/>
    <w:rsid w:val="00154644"/>
    <w:rsid w:val="00156981"/>
    <w:rsid w:val="001575BF"/>
    <w:rsid w:val="00157868"/>
    <w:rsid w:val="00157A5A"/>
    <w:rsid w:val="00161414"/>
    <w:rsid w:val="0016237C"/>
    <w:rsid w:val="00162A5A"/>
    <w:rsid w:val="0016477E"/>
    <w:rsid w:val="001665A3"/>
    <w:rsid w:val="00167A34"/>
    <w:rsid w:val="0017052C"/>
    <w:rsid w:val="00172538"/>
    <w:rsid w:val="0017372C"/>
    <w:rsid w:val="00174313"/>
    <w:rsid w:val="0017533B"/>
    <w:rsid w:val="00175BA1"/>
    <w:rsid w:val="0017691B"/>
    <w:rsid w:val="0017778A"/>
    <w:rsid w:val="001801CE"/>
    <w:rsid w:val="001802A0"/>
    <w:rsid w:val="00182D3B"/>
    <w:rsid w:val="0018354E"/>
    <w:rsid w:val="00184955"/>
    <w:rsid w:val="0019050C"/>
    <w:rsid w:val="00191BCE"/>
    <w:rsid w:val="00191F23"/>
    <w:rsid w:val="00192533"/>
    <w:rsid w:val="00194536"/>
    <w:rsid w:val="00194611"/>
    <w:rsid w:val="00194C02"/>
    <w:rsid w:val="001953D1"/>
    <w:rsid w:val="00196BE9"/>
    <w:rsid w:val="001970B3"/>
    <w:rsid w:val="00197403"/>
    <w:rsid w:val="00197E50"/>
    <w:rsid w:val="001A1C70"/>
    <w:rsid w:val="001A2F3A"/>
    <w:rsid w:val="001A4058"/>
    <w:rsid w:val="001A4D09"/>
    <w:rsid w:val="001A6EF3"/>
    <w:rsid w:val="001A746B"/>
    <w:rsid w:val="001A7870"/>
    <w:rsid w:val="001A7F7A"/>
    <w:rsid w:val="001B07CF"/>
    <w:rsid w:val="001B17B8"/>
    <w:rsid w:val="001B1BE6"/>
    <w:rsid w:val="001B49DD"/>
    <w:rsid w:val="001B6D5C"/>
    <w:rsid w:val="001C050A"/>
    <w:rsid w:val="001C0E33"/>
    <w:rsid w:val="001C0F16"/>
    <w:rsid w:val="001C13D3"/>
    <w:rsid w:val="001C1B41"/>
    <w:rsid w:val="001C1C68"/>
    <w:rsid w:val="001C1CF8"/>
    <w:rsid w:val="001C1DBD"/>
    <w:rsid w:val="001C2B50"/>
    <w:rsid w:val="001C315C"/>
    <w:rsid w:val="001C3273"/>
    <w:rsid w:val="001C34E0"/>
    <w:rsid w:val="001C36AB"/>
    <w:rsid w:val="001C3B7A"/>
    <w:rsid w:val="001C619D"/>
    <w:rsid w:val="001C6669"/>
    <w:rsid w:val="001C6C41"/>
    <w:rsid w:val="001C6CB2"/>
    <w:rsid w:val="001C71FC"/>
    <w:rsid w:val="001C731C"/>
    <w:rsid w:val="001C7FA8"/>
    <w:rsid w:val="001D0061"/>
    <w:rsid w:val="001D0FC6"/>
    <w:rsid w:val="001D12F0"/>
    <w:rsid w:val="001D2CDD"/>
    <w:rsid w:val="001D34D3"/>
    <w:rsid w:val="001D3631"/>
    <w:rsid w:val="001D372E"/>
    <w:rsid w:val="001D551C"/>
    <w:rsid w:val="001D65EF"/>
    <w:rsid w:val="001D6AE9"/>
    <w:rsid w:val="001D7539"/>
    <w:rsid w:val="001D76C6"/>
    <w:rsid w:val="001E0261"/>
    <w:rsid w:val="001E1D04"/>
    <w:rsid w:val="001E28DA"/>
    <w:rsid w:val="001E3062"/>
    <w:rsid w:val="001E31B5"/>
    <w:rsid w:val="001E4262"/>
    <w:rsid w:val="001E45AA"/>
    <w:rsid w:val="001E5359"/>
    <w:rsid w:val="001E5F6D"/>
    <w:rsid w:val="001E7FAD"/>
    <w:rsid w:val="001F0CC1"/>
    <w:rsid w:val="001F4AFC"/>
    <w:rsid w:val="001F611B"/>
    <w:rsid w:val="001F69B8"/>
    <w:rsid w:val="002016D9"/>
    <w:rsid w:val="00201C3C"/>
    <w:rsid w:val="002027C1"/>
    <w:rsid w:val="00202DCF"/>
    <w:rsid w:val="0020369B"/>
    <w:rsid w:val="0020514F"/>
    <w:rsid w:val="002052A3"/>
    <w:rsid w:val="0020556A"/>
    <w:rsid w:val="0020581A"/>
    <w:rsid w:val="00206E7F"/>
    <w:rsid w:val="002072B6"/>
    <w:rsid w:val="002114CC"/>
    <w:rsid w:val="00212554"/>
    <w:rsid w:val="002125A0"/>
    <w:rsid w:val="0021263F"/>
    <w:rsid w:val="0021540E"/>
    <w:rsid w:val="0022054D"/>
    <w:rsid w:val="00221825"/>
    <w:rsid w:val="0022297B"/>
    <w:rsid w:val="00222A5F"/>
    <w:rsid w:val="002231DC"/>
    <w:rsid w:val="00223D2C"/>
    <w:rsid w:val="002250A3"/>
    <w:rsid w:val="002254CC"/>
    <w:rsid w:val="00225513"/>
    <w:rsid w:val="00225BAD"/>
    <w:rsid w:val="002272F6"/>
    <w:rsid w:val="002279A1"/>
    <w:rsid w:val="00232AB2"/>
    <w:rsid w:val="002345A6"/>
    <w:rsid w:val="00235217"/>
    <w:rsid w:val="0023586D"/>
    <w:rsid w:val="002371AF"/>
    <w:rsid w:val="00237CE6"/>
    <w:rsid w:val="00240112"/>
    <w:rsid w:val="00240C2D"/>
    <w:rsid w:val="00243876"/>
    <w:rsid w:val="00245670"/>
    <w:rsid w:val="00245BF1"/>
    <w:rsid w:val="002468B3"/>
    <w:rsid w:val="00246D1F"/>
    <w:rsid w:val="00247403"/>
    <w:rsid w:val="00247542"/>
    <w:rsid w:val="00247C1B"/>
    <w:rsid w:val="002506D8"/>
    <w:rsid w:val="00250C17"/>
    <w:rsid w:val="00252024"/>
    <w:rsid w:val="00256486"/>
    <w:rsid w:val="002570D9"/>
    <w:rsid w:val="00261335"/>
    <w:rsid w:val="00262013"/>
    <w:rsid w:val="00265636"/>
    <w:rsid w:val="00266B61"/>
    <w:rsid w:val="00267083"/>
    <w:rsid w:val="0026712A"/>
    <w:rsid w:val="0026749B"/>
    <w:rsid w:val="002704DB"/>
    <w:rsid w:val="002730AE"/>
    <w:rsid w:val="00273BB5"/>
    <w:rsid w:val="00273E61"/>
    <w:rsid w:val="002767AA"/>
    <w:rsid w:val="00276A3A"/>
    <w:rsid w:val="00277F25"/>
    <w:rsid w:val="00282E21"/>
    <w:rsid w:val="00283C1A"/>
    <w:rsid w:val="002840D4"/>
    <w:rsid w:val="00286EB3"/>
    <w:rsid w:val="00287AAE"/>
    <w:rsid w:val="00291D3A"/>
    <w:rsid w:val="0029565A"/>
    <w:rsid w:val="0029607A"/>
    <w:rsid w:val="00296A13"/>
    <w:rsid w:val="00296AF6"/>
    <w:rsid w:val="00296DAF"/>
    <w:rsid w:val="002A01C8"/>
    <w:rsid w:val="002A0AAE"/>
    <w:rsid w:val="002A16E0"/>
    <w:rsid w:val="002A2085"/>
    <w:rsid w:val="002A2FE6"/>
    <w:rsid w:val="002A5820"/>
    <w:rsid w:val="002A742E"/>
    <w:rsid w:val="002A7C5A"/>
    <w:rsid w:val="002B161B"/>
    <w:rsid w:val="002B1654"/>
    <w:rsid w:val="002B20A8"/>
    <w:rsid w:val="002B259B"/>
    <w:rsid w:val="002B38EE"/>
    <w:rsid w:val="002B48C0"/>
    <w:rsid w:val="002C2953"/>
    <w:rsid w:val="002C2B64"/>
    <w:rsid w:val="002C39B8"/>
    <w:rsid w:val="002C4346"/>
    <w:rsid w:val="002C4ABE"/>
    <w:rsid w:val="002C4D3A"/>
    <w:rsid w:val="002C7150"/>
    <w:rsid w:val="002C7F04"/>
    <w:rsid w:val="002D0077"/>
    <w:rsid w:val="002D08E4"/>
    <w:rsid w:val="002D0AFB"/>
    <w:rsid w:val="002D0B9D"/>
    <w:rsid w:val="002D1591"/>
    <w:rsid w:val="002D1CDF"/>
    <w:rsid w:val="002D2459"/>
    <w:rsid w:val="002D2B26"/>
    <w:rsid w:val="002D3818"/>
    <w:rsid w:val="002D3CBB"/>
    <w:rsid w:val="002D3E9F"/>
    <w:rsid w:val="002D4023"/>
    <w:rsid w:val="002D6DF8"/>
    <w:rsid w:val="002D7EA2"/>
    <w:rsid w:val="002E0BEA"/>
    <w:rsid w:val="002E187C"/>
    <w:rsid w:val="002E1D03"/>
    <w:rsid w:val="002E643A"/>
    <w:rsid w:val="002E7A95"/>
    <w:rsid w:val="002F0391"/>
    <w:rsid w:val="002F3885"/>
    <w:rsid w:val="002F5775"/>
    <w:rsid w:val="002F616C"/>
    <w:rsid w:val="002F7F44"/>
    <w:rsid w:val="003010E3"/>
    <w:rsid w:val="0030179B"/>
    <w:rsid w:val="00302733"/>
    <w:rsid w:val="00303487"/>
    <w:rsid w:val="003057C4"/>
    <w:rsid w:val="00306657"/>
    <w:rsid w:val="00310C67"/>
    <w:rsid w:val="00311F6D"/>
    <w:rsid w:val="003122CD"/>
    <w:rsid w:val="00312F14"/>
    <w:rsid w:val="0031342D"/>
    <w:rsid w:val="00314078"/>
    <w:rsid w:val="0031535D"/>
    <w:rsid w:val="00315CC9"/>
    <w:rsid w:val="00315F35"/>
    <w:rsid w:val="00315F73"/>
    <w:rsid w:val="003174DB"/>
    <w:rsid w:val="003178E3"/>
    <w:rsid w:val="003179DE"/>
    <w:rsid w:val="003200FC"/>
    <w:rsid w:val="003205B4"/>
    <w:rsid w:val="00325574"/>
    <w:rsid w:val="00330414"/>
    <w:rsid w:val="00330C8A"/>
    <w:rsid w:val="0033169F"/>
    <w:rsid w:val="00332DF4"/>
    <w:rsid w:val="00332FF1"/>
    <w:rsid w:val="003336FD"/>
    <w:rsid w:val="00333FA2"/>
    <w:rsid w:val="00334430"/>
    <w:rsid w:val="003347FF"/>
    <w:rsid w:val="00335D5F"/>
    <w:rsid w:val="00336C6A"/>
    <w:rsid w:val="00336D4C"/>
    <w:rsid w:val="00337F4A"/>
    <w:rsid w:val="00340677"/>
    <w:rsid w:val="0034109A"/>
    <w:rsid w:val="00341512"/>
    <w:rsid w:val="00341914"/>
    <w:rsid w:val="00342FFC"/>
    <w:rsid w:val="00344A14"/>
    <w:rsid w:val="00345256"/>
    <w:rsid w:val="00345500"/>
    <w:rsid w:val="00345D7A"/>
    <w:rsid w:val="00345D92"/>
    <w:rsid w:val="00346637"/>
    <w:rsid w:val="00346C95"/>
    <w:rsid w:val="00350625"/>
    <w:rsid w:val="0035073E"/>
    <w:rsid w:val="00351D17"/>
    <w:rsid w:val="0035450C"/>
    <w:rsid w:val="00356185"/>
    <w:rsid w:val="003562A0"/>
    <w:rsid w:val="00356BE7"/>
    <w:rsid w:val="00356C16"/>
    <w:rsid w:val="0035731A"/>
    <w:rsid w:val="00360380"/>
    <w:rsid w:val="00360828"/>
    <w:rsid w:val="003608E7"/>
    <w:rsid w:val="003616F3"/>
    <w:rsid w:val="003633DF"/>
    <w:rsid w:val="003636D3"/>
    <w:rsid w:val="00364C39"/>
    <w:rsid w:val="00366D69"/>
    <w:rsid w:val="00367AF5"/>
    <w:rsid w:val="003723A2"/>
    <w:rsid w:val="00372E5B"/>
    <w:rsid w:val="003732CA"/>
    <w:rsid w:val="00373870"/>
    <w:rsid w:val="00373B91"/>
    <w:rsid w:val="00374BBE"/>
    <w:rsid w:val="00374EBB"/>
    <w:rsid w:val="0037519E"/>
    <w:rsid w:val="003759D7"/>
    <w:rsid w:val="00380CB9"/>
    <w:rsid w:val="00381524"/>
    <w:rsid w:val="00383748"/>
    <w:rsid w:val="0038599A"/>
    <w:rsid w:val="00385E10"/>
    <w:rsid w:val="00386CF0"/>
    <w:rsid w:val="00392B60"/>
    <w:rsid w:val="00393310"/>
    <w:rsid w:val="003938DC"/>
    <w:rsid w:val="003942F0"/>
    <w:rsid w:val="003955D7"/>
    <w:rsid w:val="003A04E9"/>
    <w:rsid w:val="003A1F2D"/>
    <w:rsid w:val="003A2E71"/>
    <w:rsid w:val="003A2EFF"/>
    <w:rsid w:val="003A357C"/>
    <w:rsid w:val="003A3C1C"/>
    <w:rsid w:val="003A4457"/>
    <w:rsid w:val="003A4606"/>
    <w:rsid w:val="003A4D96"/>
    <w:rsid w:val="003A4E74"/>
    <w:rsid w:val="003A55AF"/>
    <w:rsid w:val="003A6CAF"/>
    <w:rsid w:val="003A75A9"/>
    <w:rsid w:val="003B0498"/>
    <w:rsid w:val="003B0DFD"/>
    <w:rsid w:val="003B1947"/>
    <w:rsid w:val="003B35E5"/>
    <w:rsid w:val="003C003B"/>
    <w:rsid w:val="003C0407"/>
    <w:rsid w:val="003C0944"/>
    <w:rsid w:val="003C0AEE"/>
    <w:rsid w:val="003C0BE8"/>
    <w:rsid w:val="003C0ECB"/>
    <w:rsid w:val="003C1298"/>
    <w:rsid w:val="003C1841"/>
    <w:rsid w:val="003C26CC"/>
    <w:rsid w:val="003C2FB8"/>
    <w:rsid w:val="003C3917"/>
    <w:rsid w:val="003C4117"/>
    <w:rsid w:val="003C587E"/>
    <w:rsid w:val="003C5EDE"/>
    <w:rsid w:val="003C676B"/>
    <w:rsid w:val="003C7B50"/>
    <w:rsid w:val="003D065D"/>
    <w:rsid w:val="003D06FB"/>
    <w:rsid w:val="003D14B0"/>
    <w:rsid w:val="003D17FC"/>
    <w:rsid w:val="003D3BC2"/>
    <w:rsid w:val="003D3C8E"/>
    <w:rsid w:val="003D4AE8"/>
    <w:rsid w:val="003D4FE0"/>
    <w:rsid w:val="003D5ABF"/>
    <w:rsid w:val="003D64B2"/>
    <w:rsid w:val="003D660D"/>
    <w:rsid w:val="003D7FDB"/>
    <w:rsid w:val="003E096E"/>
    <w:rsid w:val="003E0AE4"/>
    <w:rsid w:val="003E0D23"/>
    <w:rsid w:val="003E2A93"/>
    <w:rsid w:val="003E377A"/>
    <w:rsid w:val="003E5A05"/>
    <w:rsid w:val="003E6CA1"/>
    <w:rsid w:val="003E7B7A"/>
    <w:rsid w:val="003F02A7"/>
    <w:rsid w:val="003F0AA6"/>
    <w:rsid w:val="003F0AC4"/>
    <w:rsid w:val="003F13D8"/>
    <w:rsid w:val="003F14FD"/>
    <w:rsid w:val="003F1AC1"/>
    <w:rsid w:val="003F1D4C"/>
    <w:rsid w:val="003F2582"/>
    <w:rsid w:val="003F38D1"/>
    <w:rsid w:val="003F4F99"/>
    <w:rsid w:val="003F53C1"/>
    <w:rsid w:val="003F648A"/>
    <w:rsid w:val="003F6B5C"/>
    <w:rsid w:val="003F75AF"/>
    <w:rsid w:val="004008F4"/>
    <w:rsid w:val="004107D3"/>
    <w:rsid w:val="0041189F"/>
    <w:rsid w:val="00411CA3"/>
    <w:rsid w:val="00412465"/>
    <w:rsid w:val="004152E3"/>
    <w:rsid w:val="004157EA"/>
    <w:rsid w:val="00416520"/>
    <w:rsid w:val="004165C2"/>
    <w:rsid w:val="00421CD5"/>
    <w:rsid w:val="00422551"/>
    <w:rsid w:val="00423B3C"/>
    <w:rsid w:val="00423B50"/>
    <w:rsid w:val="00426488"/>
    <w:rsid w:val="00426B4D"/>
    <w:rsid w:val="004302FF"/>
    <w:rsid w:val="0043254D"/>
    <w:rsid w:val="00433D39"/>
    <w:rsid w:val="00434A77"/>
    <w:rsid w:val="00435AA5"/>
    <w:rsid w:val="004370F7"/>
    <w:rsid w:val="004372F8"/>
    <w:rsid w:val="00440C66"/>
    <w:rsid w:val="00441C84"/>
    <w:rsid w:val="00441CFA"/>
    <w:rsid w:val="00441ECB"/>
    <w:rsid w:val="004428C9"/>
    <w:rsid w:val="00444C2B"/>
    <w:rsid w:val="00444E09"/>
    <w:rsid w:val="00447C2D"/>
    <w:rsid w:val="00450640"/>
    <w:rsid w:val="00454534"/>
    <w:rsid w:val="00454991"/>
    <w:rsid w:val="00455F1C"/>
    <w:rsid w:val="00464619"/>
    <w:rsid w:val="00467B7E"/>
    <w:rsid w:val="004713CF"/>
    <w:rsid w:val="00471FC6"/>
    <w:rsid w:val="00471FCE"/>
    <w:rsid w:val="00472F62"/>
    <w:rsid w:val="0047379F"/>
    <w:rsid w:val="00474FF3"/>
    <w:rsid w:val="0047536B"/>
    <w:rsid w:val="0047599E"/>
    <w:rsid w:val="00476D08"/>
    <w:rsid w:val="00477592"/>
    <w:rsid w:val="004775C4"/>
    <w:rsid w:val="004778B8"/>
    <w:rsid w:val="0048196B"/>
    <w:rsid w:val="00482072"/>
    <w:rsid w:val="00483F40"/>
    <w:rsid w:val="00485EF4"/>
    <w:rsid w:val="00486BA1"/>
    <w:rsid w:val="00486F1C"/>
    <w:rsid w:val="004905B3"/>
    <w:rsid w:val="0049205B"/>
    <w:rsid w:val="004921E5"/>
    <w:rsid w:val="00492923"/>
    <w:rsid w:val="00493631"/>
    <w:rsid w:val="0049419D"/>
    <w:rsid w:val="004945D6"/>
    <w:rsid w:val="00495600"/>
    <w:rsid w:val="004A1166"/>
    <w:rsid w:val="004A2DEB"/>
    <w:rsid w:val="004A3F4E"/>
    <w:rsid w:val="004A43C3"/>
    <w:rsid w:val="004A5A21"/>
    <w:rsid w:val="004A66C0"/>
    <w:rsid w:val="004A725A"/>
    <w:rsid w:val="004A7E3C"/>
    <w:rsid w:val="004B14E7"/>
    <w:rsid w:val="004B1589"/>
    <w:rsid w:val="004B1D51"/>
    <w:rsid w:val="004B21EC"/>
    <w:rsid w:val="004B29EF"/>
    <w:rsid w:val="004B2B7A"/>
    <w:rsid w:val="004B3170"/>
    <w:rsid w:val="004B4121"/>
    <w:rsid w:val="004B67AE"/>
    <w:rsid w:val="004B7DC3"/>
    <w:rsid w:val="004C20D2"/>
    <w:rsid w:val="004C41DF"/>
    <w:rsid w:val="004C4B62"/>
    <w:rsid w:val="004C54C9"/>
    <w:rsid w:val="004C60F1"/>
    <w:rsid w:val="004C6B03"/>
    <w:rsid w:val="004C6EF3"/>
    <w:rsid w:val="004C6FF2"/>
    <w:rsid w:val="004C7566"/>
    <w:rsid w:val="004C7891"/>
    <w:rsid w:val="004D00EA"/>
    <w:rsid w:val="004D289F"/>
    <w:rsid w:val="004D2931"/>
    <w:rsid w:val="004D2C59"/>
    <w:rsid w:val="004D2D6F"/>
    <w:rsid w:val="004D3251"/>
    <w:rsid w:val="004D32FF"/>
    <w:rsid w:val="004D3FA4"/>
    <w:rsid w:val="004D6025"/>
    <w:rsid w:val="004D65A3"/>
    <w:rsid w:val="004D70F4"/>
    <w:rsid w:val="004E18C9"/>
    <w:rsid w:val="004E2094"/>
    <w:rsid w:val="004E2649"/>
    <w:rsid w:val="004E3113"/>
    <w:rsid w:val="004E4B05"/>
    <w:rsid w:val="004E5B5C"/>
    <w:rsid w:val="004E5F84"/>
    <w:rsid w:val="004E6F2A"/>
    <w:rsid w:val="004F307D"/>
    <w:rsid w:val="004F4B14"/>
    <w:rsid w:val="004F5531"/>
    <w:rsid w:val="004F65E4"/>
    <w:rsid w:val="004F6E25"/>
    <w:rsid w:val="004F788A"/>
    <w:rsid w:val="00501399"/>
    <w:rsid w:val="00501887"/>
    <w:rsid w:val="00502011"/>
    <w:rsid w:val="00502E96"/>
    <w:rsid w:val="005032AA"/>
    <w:rsid w:val="0050366B"/>
    <w:rsid w:val="00503E41"/>
    <w:rsid w:val="00504D47"/>
    <w:rsid w:val="005056C5"/>
    <w:rsid w:val="0050633D"/>
    <w:rsid w:val="00506E03"/>
    <w:rsid w:val="00507BC4"/>
    <w:rsid w:val="0051084C"/>
    <w:rsid w:val="00510BE7"/>
    <w:rsid w:val="005119D1"/>
    <w:rsid w:val="00511A2C"/>
    <w:rsid w:val="00511AF5"/>
    <w:rsid w:val="00512068"/>
    <w:rsid w:val="005128E4"/>
    <w:rsid w:val="005133DB"/>
    <w:rsid w:val="00513E67"/>
    <w:rsid w:val="00515E1C"/>
    <w:rsid w:val="00516470"/>
    <w:rsid w:val="005177BE"/>
    <w:rsid w:val="00522398"/>
    <w:rsid w:val="00523BEB"/>
    <w:rsid w:val="00525560"/>
    <w:rsid w:val="00525CC8"/>
    <w:rsid w:val="005276CE"/>
    <w:rsid w:val="005358D0"/>
    <w:rsid w:val="00536014"/>
    <w:rsid w:val="00537156"/>
    <w:rsid w:val="00541570"/>
    <w:rsid w:val="0054190E"/>
    <w:rsid w:val="00541999"/>
    <w:rsid w:val="00542E76"/>
    <w:rsid w:val="00543D73"/>
    <w:rsid w:val="00544C49"/>
    <w:rsid w:val="00545658"/>
    <w:rsid w:val="00545B6E"/>
    <w:rsid w:val="00545CD0"/>
    <w:rsid w:val="005507C6"/>
    <w:rsid w:val="00550F4E"/>
    <w:rsid w:val="005516A1"/>
    <w:rsid w:val="00552F96"/>
    <w:rsid w:val="00553A4E"/>
    <w:rsid w:val="00555B44"/>
    <w:rsid w:val="00555CA5"/>
    <w:rsid w:val="00556117"/>
    <w:rsid w:val="005570F0"/>
    <w:rsid w:val="0055713B"/>
    <w:rsid w:val="00557343"/>
    <w:rsid w:val="00557554"/>
    <w:rsid w:val="005576D0"/>
    <w:rsid w:val="00557885"/>
    <w:rsid w:val="00560036"/>
    <w:rsid w:val="00561A78"/>
    <w:rsid w:val="00563C20"/>
    <w:rsid w:val="00563CC4"/>
    <w:rsid w:val="0056444B"/>
    <w:rsid w:val="00564CE1"/>
    <w:rsid w:val="00565AE6"/>
    <w:rsid w:val="0056776F"/>
    <w:rsid w:val="00572624"/>
    <w:rsid w:val="00572BF9"/>
    <w:rsid w:val="0057402A"/>
    <w:rsid w:val="00574B68"/>
    <w:rsid w:val="00575466"/>
    <w:rsid w:val="00576977"/>
    <w:rsid w:val="00576DD5"/>
    <w:rsid w:val="005771D0"/>
    <w:rsid w:val="005773E2"/>
    <w:rsid w:val="00577A6C"/>
    <w:rsid w:val="005850DC"/>
    <w:rsid w:val="0058519E"/>
    <w:rsid w:val="005858A4"/>
    <w:rsid w:val="00585EC8"/>
    <w:rsid w:val="005863CA"/>
    <w:rsid w:val="00590147"/>
    <w:rsid w:val="0059088D"/>
    <w:rsid w:val="00590C8C"/>
    <w:rsid w:val="00590E0F"/>
    <w:rsid w:val="0059191A"/>
    <w:rsid w:val="005921FF"/>
    <w:rsid w:val="0059251A"/>
    <w:rsid w:val="00593F72"/>
    <w:rsid w:val="00595BC2"/>
    <w:rsid w:val="00596E37"/>
    <w:rsid w:val="005A1E24"/>
    <w:rsid w:val="005A22A9"/>
    <w:rsid w:val="005A2988"/>
    <w:rsid w:val="005A2F94"/>
    <w:rsid w:val="005A348C"/>
    <w:rsid w:val="005A4488"/>
    <w:rsid w:val="005A6068"/>
    <w:rsid w:val="005A6288"/>
    <w:rsid w:val="005A6D0E"/>
    <w:rsid w:val="005B04F3"/>
    <w:rsid w:val="005B0E87"/>
    <w:rsid w:val="005B1CE2"/>
    <w:rsid w:val="005B246E"/>
    <w:rsid w:val="005B382F"/>
    <w:rsid w:val="005B3F3D"/>
    <w:rsid w:val="005B3F9D"/>
    <w:rsid w:val="005B4749"/>
    <w:rsid w:val="005B52B0"/>
    <w:rsid w:val="005B5CF4"/>
    <w:rsid w:val="005B5E48"/>
    <w:rsid w:val="005B661A"/>
    <w:rsid w:val="005B6631"/>
    <w:rsid w:val="005B6806"/>
    <w:rsid w:val="005B7FDA"/>
    <w:rsid w:val="005C005B"/>
    <w:rsid w:val="005C04AD"/>
    <w:rsid w:val="005C0AC5"/>
    <w:rsid w:val="005C0F66"/>
    <w:rsid w:val="005C4225"/>
    <w:rsid w:val="005C42CD"/>
    <w:rsid w:val="005C438F"/>
    <w:rsid w:val="005C75CF"/>
    <w:rsid w:val="005C76C4"/>
    <w:rsid w:val="005C7A11"/>
    <w:rsid w:val="005D1F59"/>
    <w:rsid w:val="005D24F8"/>
    <w:rsid w:val="005D289A"/>
    <w:rsid w:val="005D3B25"/>
    <w:rsid w:val="005D4522"/>
    <w:rsid w:val="005D4D8C"/>
    <w:rsid w:val="005D55C3"/>
    <w:rsid w:val="005D62BC"/>
    <w:rsid w:val="005D64E4"/>
    <w:rsid w:val="005E03E9"/>
    <w:rsid w:val="005E0A5D"/>
    <w:rsid w:val="005E10E1"/>
    <w:rsid w:val="005E14F9"/>
    <w:rsid w:val="005E3193"/>
    <w:rsid w:val="005E3693"/>
    <w:rsid w:val="005E372A"/>
    <w:rsid w:val="005E4A8D"/>
    <w:rsid w:val="005E6031"/>
    <w:rsid w:val="005E7027"/>
    <w:rsid w:val="005F0DAD"/>
    <w:rsid w:val="005F0F33"/>
    <w:rsid w:val="005F254C"/>
    <w:rsid w:val="005F3CB4"/>
    <w:rsid w:val="005F4C3A"/>
    <w:rsid w:val="005F56F7"/>
    <w:rsid w:val="005F5E68"/>
    <w:rsid w:val="005F5FA1"/>
    <w:rsid w:val="005F7295"/>
    <w:rsid w:val="005F7E6D"/>
    <w:rsid w:val="00600738"/>
    <w:rsid w:val="00600DEB"/>
    <w:rsid w:val="0060108F"/>
    <w:rsid w:val="0060166C"/>
    <w:rsid w:val="006025FE"/>
    <w:rsid w:val="00602747"/>
    <w:rsid w:val="0060385E"/>
    <w:rsid w:val="00605782"/>
    <w:rsid w:val="00606BD2"/>
    <w:rsid w:val="0061014C"/>
    <w:rsid w:val="00611C09"/>
    <w:rsid w:val="00611D1B"/>
    <w:rsid w:val="00612013"/>
    <w:rsid w:val="00614C63"/>
    <w:rsid w:val="006158E9"/>
    <w:rsid w:val="0061619F"/>
    <w:rsid w:val="00616FBC"/>
    <w:rsid w:val="0061793C"/>
    <w:rsid w:val="00617C06"/>
    <w:rsid w:val="00621726"/>
    <w:rsid w:val="00621CC8"/>
    <w:rsid w:val="006229BF"/>
    <w:rsid w:val="006241C6"/>
    <w:rsid w:val="00624F35"/>
    <w:rsid w:val="00624F61"/>
    <w:rsid w:val="00625735"/>
    <w:rsid w:val="0062780E"/>
    <w:rsid w:val="00627C9F"/>
    <w:rsid w:val="00627EC0"/>
    <w:rsid w:val="00630540"/>
    <w:rsid w:val="006305F3"/>
    <w:rsid w:val="00630827"/>
    <w:rsid w:val="0063118B"/>
    <w:rsid w:val="006311E9"/>
    <w:rsid w:val="00632354"/>
    <w:rsid w:val="0063414B"/>
    <w:rsid w:val="00634ECA"/>
    <w:rsid w:val="00635450"/>
    <w:rsid w:val="0063554E"/>
    <w:rsid w:val="00635A13"/>
    <w:rsid w:val="00636832"/>
    <w:rsid w:val="00637852"/>
    <w:rsid w:val="0064083D"/>
    <w:rsid w:val="00640E59"/>
    <w:rsid w:val="00641344"/>
    <w:rsid w:val="00642750"/>
    <w:rsid w:val="00642810"/>
    <w:rsid w:val="006432D2"/>
    <w:rsid w:val="006478E1"/>
    <w:rsid w:val="00651143"/>
    <w:rsid w:val="00652333"/>
    <w:rsid w:val="0066032C"/>
    <w:rsid w:val="00661421"/>
    <w:rsid w:val="006623F4"/>
    <w:rsid w:val="0066428B"/>
    <w:rsid w:val="0066481C"/>
    <w:rsid w:val="00664D43"/>
    <w:rsid w:val="00664FF8"/>
    <w:rsid w:val="00665089"/>
    <w:rsid w:val="006664D5"/>
    <w:rsid w:val="00671C11"/>
    <w:rsid w:val="006722DC"/>
    <w:rsid w:val="00673A64"/>
    <w:rsid w:val="00673E50"/>
    <w:rsid w:val="006741A1"/>
    <w:rsid w:val="0067470D"/>
    <w:rsid w:val="00676B40"/>
    <w:rsid w:val="00676DA4"/>
    <w:rsid w:val="0068009E"/>
    <w:rsid w:val="00680EA8"/>
    <w:rsid w:val="00683F25"/>
    <w:rsid w:val="006864AD"/>
    <w:rsid w:val="00686757"/>
    <w:rsid w:val="00686B9F"/>
    <w:rsid w:val="00690302"/>
    <w:rsid w:val="00690C47"/>
    <w:rsid w:val="00691163"/>
    <w:rsid w:val="00692053"/>
    <w:rsid w:val="00692219"/>
    <w:rsid w:val="00692AE2"/>
    <w:rsid w:val="00695D81"/>
    <w:rsid w:val="006A0440"/>
    <w:rsid w:val="006A0F60"/>
    <w:rsid w:val="006A17D2"/>
    <w:rsid w:val="006A364B"/>
    <w:rsid w:val="006A473C"/>
    <w:rsid w:val="006A4A10"/>
    <w:rsid w:val="006A57A5"/>
    <w:rsid w:val="006A5D68"/>
    <w:rsid w:val="006A73E6"/>
    <w:rsid w:val="006A7737"/>
    <w:rsid w:val="006B006D"/>
    <w:rsid w:val="006B027D"/>
    <w:rsid w:val="006B0DDC"/>
    <w:rsid w:val="006B2D5C"/>
    <w:rsid w:val="006B3CBD"/>
    <w:rsid w:val="006B3DDD"/>
    <w:rsid w:val="006B4281"/>
    <w:rsid w:val="006C4EB1"/>
    <w:rsid w:val="006C58A8"/>
    <w:rsid w:val="006C644A"/>
    <w:rsid w:val="006C6ACB"/>
    <w:rsid w:val="006C6E5C"/>
    <w:rsid w:val="006C72D1"/>
    <w:rsid w:val="006D2D18"/>
    <w:rsid w:val="006D3683"/>
    <w:rsid w:val="006E0162"/>
    <w:rsid w:val="006E0166"/>
    <w:rsid w:val="006E0C18"/>
    <w:rsid w:val="006E13C3"/>
    <w:rsid w:val="006E143B"/>
    <w:rsid w:val="006E19D8"/>
    <w:rsid w:val="006E2EE2"/>
    <w:rsid w:val="006E3CBE"/>
    <w:rsid w:val="006E439D"/>
    <w:rsid w:val="006E4988"/>
    <w:rsid w:val="006E5380"/>
    <w:rsid w:val="006E5B1D"/>
    <w:rsid w:val="006E5CBF"/>
    <w:rsid w:val="006E74ED"/>
    <w:rsid w:val="006E7B34"/>
    <w:rsid w:val="006E7E15"/>
    <w:rsid w:val="006F0B5B"/>
    <w:rsid w:val="006F0E5B"/>
    <w:rsid w:val="006F11B5"/>
    <w:rsid w:val="006F18C8"/>
    <w:rsid w:val="006F723A"/>
    <w:rsid w:val="007008EB"/>
    <w:rsid w:val="0070114F"/>
    <w:rsid w:val="007012EB"/>
    <w:rsid w:val="00701862"/>
    <w:rsid w:val="00702255"/>
    <w:rsid w:val="00702517"/>
    <w:rsid w:val="00703939"/>
    <w:rsid w:val="00704555"/>
    <w:rsid w:val="007054F2"/>
    <w:rsid w:val="0070619C"/>
    <w:rsid w:val="0070697F"/>
    <w:rsid w:val="00706A4C"/>
    <w:rsid w:val="0071023D"/>
    <w:rsid w:val="007102A7"/>
    <w:rsid w:val="007109B0"/>
    <w:rsid w:val="00710A35"/>
    <w:rsid w:val="00713295"/>
    <w:rsid w:val="007139AB"/>
    <w:rsid w:val="007139BB"/>
    <w:rsid w:val="00713EA7"/>
    <w:rsid w:val="00716096"/>
    <w:rsid w:val="00716666"/>
    <w:rsid w:val="00717195"/>
    <w:rsid w:val="00717B07"/>
    <w:rsid w:val="00720920"/>
    <w:rsid w:val="00720F64"/>
    <w:rsid w:val="0072199C"/>
    <w:rsid w:val="00721B2F"/>
    <w:rsid w:val="00722C9F"/>
    <w:rsid w:val="007244BB"/>
    <w:rsid w:val="00724D78"/>
    <w:rsid w:val="00725174"/>
    <w:rsid w:val="007253B8"/>
    <w:rsid w:val="00726E25"/>
    <w:rsid w:val="0072744E"/>
    <w:rsid w:val="007277E3"/>
    <w:rsid w:val="00727D76"/>
    <w:rsid w:val="0073036B"/>
    <w:rsid w:val="007312B7"/>
    <w:rsid w:val="0073130C"/>
    <w:rsid w:val="00731F01"/>
    <w:rsid w:val="00731FE7"/>
    <w:rsid w:val="007326FB"/>
    <w:rsid w:val="00733D92"/>
    <w:rsid w:val="007372D2"/>
    <w:rsid w:val="0073741F"/>
    <w:rsid w:val="0073789E"/>
    <w:rsid w:val="00740F20"/>
    <w:rsid w:val="007444AA"/>
    <w:rsid w:val="00745243"/>
    <w:rsid w:val="00745577"/>
    <w:rsid w:val="00745794"/>
    <w:rsid w:val="00747996"/>
    <w:rsid w:val="00747BBB"/>
    <w:rsid w:val="00750051"/>
    <w:rsid w:val="0075032D"/>
    <w:rsid w:val="007504E2"/>
    <w:rsid w:val="007514E9"/>
    <w:rsid w:val="00753FAE"/>
    <w:rsid w:val="00754414"/>
    <w:rsid w:val="007552AC"/>
    <w:rsid w:val="007559BB"/>
    <w:rsid w:val="007569F0"/>
    <w:rsid w:val="0075722E"/>
    <w:rsid w:val="0076001F"/>
    <w:rsid w:val="00761810"/>
    <w:rsid w:val="00761AB4"/>
    <w:rsid w:val="00762E68"/>
    <w:rsid w:val="00765C18"/>
    <w:rsid w:val="00765C1F"/>
    <w:rsid w:val="0076643F"/>
    <w:rsid w:val="00767CDB"/>
    <w:rsid w:val="00774D9F"/>
    <w:rsid w:val="00775B1B"/>
    <w:rsid w:val="0077693C"/>
    <w:rsid w:val="00776BFB"/>
    <w:rsid w:val="0077746B"/>
    <w:rsid w:val="00777F63"/>
    <w:rsid w:val="007813E6"/>
    <w:rsid w:val="0078141F"/>
    <w:rsid w:val="00782845"/>
    <w:rsid w:val="00782EF0"/>
    <w:rsid w:val="00784610"/>
    <w:rsid w:val="00785183"/>
    <w:rsid w:val="00786C7E"/>
    <w:rsid w:val="00786F19"/>
    <w:rsid w:val="007902D2"/>
    <w:rsid w:val="00790E41"/>
    <w:rsid w:val="00792B26"/>
    <w:rsid w:val="007933EC"/>
    <w:rsid w:val="00793E90"/>
    <w:rsid w:val="00793EDB"/>
    <w:rsid w:val="0079426C"/>
    <w:rsid w:val="00794EF6"/>
    <w:rsid w:val="00796302"/>
    <w:rsid w:val="007A12CB"/>
    <w:rsid w:val="007A2C58"/>
    <w:rsid w:val="007A4B98"/>
    <w:rsid w:val="007A4C8E"/>
    <w:rsid w:val="007A5817"/>
    <w:rsid w:val="007A5ED9"/>
    <w:rsid w:val="007A721E"/>
    <w:rsid w:val="007A75D4"/>
    <w:rsid w:val="007A7A9E"/>
    <w:rsid w:val="007B0084"/>
    <w:rsid w:val="007B03C5"/>
    <w:rsid w:val="007B0F47"/>
    <w:rsid w:val="007B1F5C"/>
    <w:rsid w:val="007B27B5"/>
    <w:rsid w:val="007B5119"/>
    <w:rsid w:val="007B60E9"/>
    <w:rsid w:val="007B6C18"/>
    <w:rsid w:val="007B6CC3"/>
    <w:rsid w:val="007B719B"/>
    <w:rsid w:val="007B7342"/>
    <w:rsid w:val="007B7478"/>
    <w:rsid w:val="007B7D98"/>
    <w:rsid w:val="007C10B3"/>
    <w:rsid w:val="007C263D"/>
    <w:rsid w:val="007C3334"/>
    <w:rsid w:val="007C390E"/>
    <w:rsid w:val="007C5585"/>
    <w:rsid w:val="007C58C2"/>
    <w:rsid w:val="007C58FD"/>
    <w:rsid w:val="007C5C27"/>
    <w:rsid w:val="007C5FA1"/>
    <w:rsid w:val="007C680F"/>
    <w:rsid w:val="007C76B9"/>
    <w:rsid w:val="007D1025"/>
    <w:rsid w:val="007D19B1"/>
    <w:rsid w:val="007D2B98"/>
    <w:rsid w:val="007D3BD1"/>
    <w:rsid w:val="007D4121"/>
    <w:rsid w:val="007D46C8"/>
    <w:rsid w:val="007D56B6"/>
    <w:rsid w:val="007D6EC8"/>
    <w:rsid w:val="007D74B2"/>
    <w:rsid w:val="007E0BE6"/>
    <w:rsid w:val="007E21BC"/>
    <w:rsid w:val="007E2E66"/>
    <w:rsid w:val="007E4162"/>
    <w:rsid w:val="007E5FB8"/>
    <w:rsid w:val="007E61D9"/>
    <w:rsid w:val="007E77A3"/>
    <w:rsid w:val="007F0979"/>
    <w:rsid w:val="007F0DD4"/>
    <w:rsid w:val="007F0FB0"/>
    <w:rsid w:val="007F1975"/>
    <w:rsid w:val="007F1F5F"/>
    <w:rsid w:val="007F3989"/>
    <w:rsid w:val="007F4BA4"/>
    <w:rsid w:val="007F6DB8"/>
    <w:rsid w:val="007F753C"/>
    <w:rsid w:val="008005F9"/>
    <w:rsid w:val="0080295C"/>
    <w:rsid w:val="008036B2"/>
    <w:rsid w:val="00803F1C"/>
    <w:rsid w:val="00804361"/>
    <w:rsid w:val="00804771"/>
    <w:rsid w:val="00805A81"/>
    <w:rsid w:val="0080600E"/>
    <w:rsid w:val="0081268C"/>
    <w:rsid w:val="0081424D"/>
    <w:rsid w:val="00814721"/>
    <w:rsid w:val="00815498"/>
    <w:rsid w:val="008165C5"/>
    <w:rsid w:val="00817574"/>
    <w:rsid w:val="00817612"/>
    <w:rsid w:val="00822990"/>
    <w:rsid w:val="008230B7"/>
    <w:rsid w:val="0082513C"/>
    <w:rsid w:val="0082542B"/>
    <w:rsid w:val="008255D2"/>
    <w:rsid w:val="0082617E"/>
    <w:rsid w:val="008318EB"/>
    <w:rsid w:val="008338A4"/>
    <w:rsid w:val="00833D69"/>
    <w:rsid w:val="008343E5"/>
    <w:rsid w:val="00834518"/>
    <w:rsid w:val="00835599"/>
    <w:rsid w:val="0083606B"/>
    <w:rsid w:val="00837C45"/>
    <w:rsid w:val="00844730"/>
    <w:rsid w:val="00844929"/>
    <w:rsid w:val="008454A5"/>
    <w:rsid w:val="008457C2"/>
    <w:rsid w:val="00845B72"/>
    <w:rsid w:val="00845EEB"/>
    <w:rsid w:val="00846B5E"/>
    <w:rsid w:val="00846C8C"/>
    <w:rsid w:val="008520A5"/>
    <w:rsid w:val="00852456"/>
    <w:rsid w:val="00853640"/>
    <w:rsid w:val="00853731"/>
    <w:rsid w:val="0085455C"/>
    <w:rsid w:val="00854C66"/>
    <w:rsid w:val="008565DE"/>
    <w:rsid w:val="00856781"/>
    <w:rsid w:val="008570D2"/>
    <w:rsid w:val="00857A82"/>
    <w:rsid w:val="008626A3"/>
    <w:rsid w:val="00862A67"/>
    <w:rsid w:val="00863A8B"/>
    <w:rsid w:val="00864065"/>
    <w:rsid w:val="00866579"/>
    <w:rsid w:val="00867174"/>
    <w:rsid w:val="00867197"/>
    <w:rsid w:val="00867827"/>
    <w:rsid w:val="008700FE"/>
    <w:rsid w:val="00871A9B"/>
    <w:rsid w:val="00871C28"/>
    <w:rsid w:val="00873836"/>
    <w:rsid w:val="00873949"/>
    <w:rsid w:val="00873DC1"/>
    <w:rsid w:val="00877F14"/>
    <w:rsid w:val="00884CCC"/>
    <w:rsid w:val="00885737"/>
    <w:rsid w:val="00887255"/>
    <w:rsid w:val="0088785C"/>
    <w:rsid w:val="0089024A"/>
    <w:rsid w:val="00890650"/>
    <w:rsid w:val="008907A3"/>
    <w:rsid w:val="00890912"/>
    <w:rsid w:val="008929D8"/>
    <w:rsid w:val="0089339B"/>
    <w:rsid w:val="008935F3"/>
    <w:rsid w:val="00894AEA"/>
    <w:rsid w:val="0089508A"/>
    <w:rsid w:val="00895D4F"/>
    <w:rsid w:val="00895ED0"/>
    <w:rsid w:val="008963E4"/>
    <w:rsid w:val="00896AD8"/>
    <w:rsid w:val="00897947"/>
    <w:rsid w:val="00897E12"/>
    <w:rsid w:val="008A084A"/>
    <w:rsid w:val="008A2B81"/>
    <w:rsid w:val="008A2D21"/>
    <w:rsid w:val="008A30B7"/>
    <w:rsid w:val="008A337B"/>
    <w:rsid w:val="008A5106"/>
    <w:rsid w:val="008A7E0F"/>
    <w:rsid w:val="008B12F5"/>
    <w:rsid w:val="008B1A55"/>
    <w:rsid w:val="008B27B0"/>
    <w:rsid w:val="008B3B36"/>
    <w:rsid w:val="008B43A5"/>
    <w:rsid w:val="008B550B"/>
    <w:rsid w:val="008B62DD"/>
    <w:rsid w:val="008B66A6"/>
    <w:rsid w:val="008C00E4"/>
    <w:rsid w:val="008C01A8"/>
    <w:rsid w:val="008C07D1"/>
    <w:rsid w:val="008C082F"/>
    <w:rsid w:val="008C1E3F"/>
    <w:rsid w:val="008C28BB"/>
    <w:rsid w:val="008C54B5"/>
    <w:rsid w:val="008C5D1D"/>
    <w:rsid w:val="008D051B"/>
    <w:rsid w:val="008D2098"/>
    <w:rsid w:val="008D25CE"/>
    <w:rsid w:val="008D2CDB"/>
    <w:rsid w:val="008D44AC"/>
    <w:rsid w:val="008D5E06"/>
    <w:rsid w:val="008D5F5C"/>
    <w:rsid w:val="008D768D"/>
    <w:rsid w:val="008D7F16"/>
    <w:rsid w:val="008E0EFD"/>
    <w:rsid w:val="008E20B3"/>
    <w:rsid w:val="008E3759"/>
    <w:rsid w:val="008E50CE"/>
    <w:rsid w:val="008E67AD"/>
    <w:rsid w:val="008E762C"/>
    <w:rsid w:val="008F09DF"/>
    <w:rsid w:val="008F1912"/>
    <w:rsid w:val="008F20DC"/>
    <w:rsid w:val="008F2263"/>
    <w:rsid w:val="008F316B"/>
    <w:rsid w:val="008F49F9"/>
    <w:rsid w:val="008F7B6C"/>
    <w:rsid w:val="009002DA"/>
    <w:rsid w:val="00900D13"/>
    <w:rsid w:val="0090270B"/>
    <w:rsid w:val="0090304F"/>
    <w:rsid w:val="009041DC"/>
    <w:rsid w:val="00907C0E"/>
    <w:rsid w:val="00910B87"/>
    <w:rsid w:val="00910DA6"/>
    <w:rsid w:val="00915822"/>
    <w:rsid w:val="00916994"/>
    <w:rsid w:val="009171D3"/>
    <w:rsid w:val="00917B5A"/>
    <w:rsid w:val="00917C56"/>
    <w:rsid w:val="00920398"/>
    <w:rsid w:val="00920A58"/>
    <w:rsid w:val="00920A8C"/>
    <w:rsid w:val="00920ACE"/>
    <w:rsid w:val="00921CE1"/>
    <w:rsid w:val="0092272F"/>
    <w:rsid w:val="00922B97"/>
    <w:rsid w:val="0092378F"/>
    <w:rsid w:val="00925535"/>
    <w:rsid w:val="00925599"/>
    <w:rsid w:val="00926A10"/>
    <w:rsid w:val="0092749A"/>
    <w:rsid w:val="00931872"/>
    <w:rsid w:val="009326EF"/>
    <w:rsid w:val="00933AF6"/>
    <w:rsid w:val="00934443"/>
    <w:rsid w:val="00934A2C"/>
    <w:rsid w:val="00935166"/>
    <w:rsid w:val="00935C8F"/>
    <w:rsid w:val="009423E7"/>
    <w:rsid w:val="0094367A"/>
    <w:rsid w:val="00943D6E"/>
    <w:rsid w:val="00943DC0"/>
    <w:rsid w:val="0094505F"/>
    <w:rsid w:val="009455B1"/>
    <w:rsid w:val="00947322"/>
    <w:rsid w:val="00953850"/>
    <w:rsid w:val="00953924"/>
    <w:rsid w:val="009556D2"/>
    <w:rsid w:val="00955D75"/>
    <w:rsid w:val="00956064"/>
    <w:rsid w:val="00957C4E"/>
    <w:rsid w:val="00960B2D"/>
    <w:rsid w:val="00960B8F"/>
    <w:rsid w:val="009617A6"/>
    <w:rsid w:val="00961B02"/>
    <w:rsid w:val="009637D6"/>
    <w:rsid w:val="00965726"/>
    <w:rsid w:val="0096706E"/>
    <w:rsid w:val="00967945"/>
    <w:rsid w:val="0097114D"/>
    <w:rsid w:val="00971DA7"/>
    <w:rsid w:val="0097393D"/>
    <w:rsid w:val="00975C4E"/>
    <w:rsid w:val="00977129"/>
    <w:rsid w:val="00977E33"/>
    <w:rsid w:val="00981D4D"/>
    <w:rsid w:val="00981FBA"/>
    <w:rsid w:val="00982323"/>
    <w:rsid w:val="00984F78"/>
    <w:rsid w:val="00986B17"/>
    <w:rsid w:val="009876B0"/>
    <w:rsid w:val="009902E1"/>
    <w:rsid w:val="00991679"/>
    <w:rsid w:val="009919E0"/>
    <w:rsid w:val="00992A4F"/>
    <w:rsid w:val="0099636E"/>
    <w:rsid w:val="009976F7"/>
    <w:rsid w:val="00997AC5"/>
    <w:rsid w:val="00997BC5"/>
    <w:rsid w:val="009A0011"/>
    <w:rsid w:val="009A00CD"/>
    <w:rsid w:val="009A0B31"/>
    <w:rsid w:val="009A23E6"/>
    <w:rsid w:val="009A259A"/>
    <w:rsid w:val="009A4B18"/>
    <w:rsid w:val="009A4F41"/>
    <w:rsid w:val="009A697D"/>
    <w:rsid w:val="009B0B10"/>
    <w:rsid w:val="009B0B37"/>
    <w:rsid w:val="009B0CB9"/>
    <w:rsid w:val="009B1199"/>
    <w:rsid w:val="009B1798"/>
    <w:rsid w:val="009B1E64"/>
    <w:rsid w:val="009B2758"/>
    <w:rsid w:val="009B2E1F"/>
    <w:rsid w:val="009B381B"/>
    <w:rsid w:val="009B383B"/>
    <w:rsid w:val="009B3A5B"/>
    <w:rsid w:val="009B6C20"/>
    <w:rsid w:val="009C0184"/>
    <w:rsid w:val="009C0460"/>
    <w:rsid w:val="009C30E4"/>
    <w:rsid w:val="009C31E6"/>
    <w:rsid w:val="009C5B12"/>
    <w:rsid w:val="009C7B72"/>
    <w:rsid w:val="009D0824"/>
    <w:rsid w:val="009D1020"/>
    <w:rsid w:val="009D1753"/>
    <w:rsid w:val="009D2747"/>
    <w:rsid w:val="009D501A"/>
    <w:rsid w:val="009D5590"/>
    <w:rsid w:val="009D7534"/>
    <w:rsid w:val="009D7611"/>
    <w:rsid w:val="009D7F9C"/>
    <w:rsid w:val="009E040E"/>
    <w:rsid w:val="009E0B61"/>
    <w:rsid w:val="009E10B8"/>
    <w:rsid w:val="009E1680"/>
    <w:rsid w:val="009E2800"/>
    <w:rsid w:val="009E309F"/>
    <w:rsid w:val="009E350F"/>
    <w:rsid w:val="009E41EF"/>
    <w:rsid w:val="009E53DE"/>
    <w:rsid w:val="009E7FD5"/>
    <w:rsid w:val="009F05ED"/>
    <w:rsid w:val="009F0CFB"/>
    <w:rsid w:val="009F2D67"/>
    <w:rsid w:val="009F3B5F"/>
    <w:rsid w:val="009F4210"/>
    <w:rsid w:val="009F4219"/>
    <w:rsid w:val="009F5563"/>
    <w:rsid w:val="009F559F"/>
    <w:rsid w:val="009F591C"/>
    <w:rsid w:val="009F5ED8"/>
    <w:rsid w:val="009F6BCA"/>
    <w:rsid w:val="009F6E28"/>
    <w:rsid w:val="00A0100E"/>
    <w:rsid w:val="00A018FC"/>
    <w:rsid w:val="00A01EF3"/>
    <w:rsid w:val="00A033CC"/>
    <w:rsid w:val="00A03648"/>
    <w:rsid w:val="00A0558A"/>
    <w:rsid w:val="00A0587A"/>
    <w:rsid w:val="00A05A06"/>
    <w:rsid w:val="00A05ED3"/>
    <w:rsid w:val="00A072CC"/>
    <w:rsid w:val="00A1090E"/>
    <w:rsid w:val="00A11620"/>
    <w:rsid w:val="00A11A3E"/>
    <w:rsid w:val="00A11A56"/>
    <w:rsid w:val="00A11F95"/>
    <w:rsid w:val="00A13635"/>
    <w:rsid w:val="00A13AEC"/>
    <w:rsid w:val="00A14BC2"/>
    <w:rsid w:val="00A153CA"/>
    <w:rsid w:val="00A16BA4"/>
    <w:rsid w:val="00A174A2"/>
    <w:rsid w:val="00A17F16"/>
    <w:rsid w:val="00A22868"/>
    <w:rsid w:val="00A24008"/>
    <w:rsid w:val="00A24E3A"/>
    <w:rsid w:val="00A26E93"/>
    <w:rsid w:val="00A272C2"/>
    <w:rsid w:val="00A3084C"/>
    <w:rsid w:val="00A3176C"/>
    <w:rsid w:val="00A31FA7"/>
    <w:rsid w:val="00A32788"/>
    <w:rsid w:val="00A328B3"/>
    <w:rsid w:val="00A33BE7"/>
    <w:rsid w:val="00A34DFE"/>
    <w:rsid w:val="00A3714C"/>
    <w:rsid w:val="00A37649"/>
    <w:rsid w:val="00A37FF2"/>
    <w:rsid w:val="00A401A2"/>
    <w:rsid w:val="00A4125B"/>
    <w:rsid w:val="00A42B29"/>
    <w:rsid w:val="00A42D3E"/>
    <w:rsid w:val="00A43CFA"/>
    <w:rsid w:val="00A4440A"/>
    <w:rsid w:val="00A45B56"/>
    <w:rsid w:val="00A50FCF"/>
    <w:rsid w:val="00A51349"/>
    <w:rsid w:val="00A518C8"/>
    <w:rsid w:val="00A528D1"/>
    <w:rsid w:val="00A52B43"/>
    <w:rsid w:val="00A5414A"/>
    <w:rsid w:val="00A5517D"/>
    <w:rsid w:val="00A5636A"/>
    <w:rsid w:val="00A56777"/>
    <w:rsid w:val="00A60EC3"/>
    <w:rsid w:val="00A610CD"/>
    <w:rsid w:val="00A612B5"/>
    <w:rsid w:val="00A61A73"/>
    <w:rsid w:val="00A64B4F"/>
    <w:rsid w:val="00A65C92"/>
    <w:rsid w:val="00A66084"/>
    <w:rsid w:val="00A6747E"/>
    <w:rsid w:val="00A71D1F"/>
    <w:rsid w:val="00A724B3"/>
    <w:rsid w:val="00A72CF8"/>
    <w:rsid w:val="00A73A4D"/>
    <w:rsid w:val="00A74DB5"/>
    <w:rsid w:val="00A759E6"/>
    <w:rsid w:val="00A7654A"/>
    <w:rsid w:val="00A80BD0"/>
    <w:rsid w:val="00A81092"/>
    <w:rsid w:val="00A81146"/>
    <w:rsid w:val="00A813CA"/>
    <w:rsid w:val="00A83582"/>
    <w:rsid w:val="00A8445F"/>
    <w:rsid w:val="00A84D61"/>
    <w:rsid w:val="00A85F7B"/>
    <w:rsid w:val="00A9235C"/>
    <w:rsid w:val="00A94F8B"/>
    <w:rsid w:val="00A96A77"/>
    <w:rsid w:val="00A97A2A"/>
    <w:rsid w:val="00A97EBC"/>
    <w:rsid w:val="00AA098A"/>
    <w:rsid w:val="00AA09A2"/>
    <w:rsid w:val="00AA199B"/>
    <w:rsid w:val="00AA1AE5"/>
    <w:rsid w:val="00AA21D8"/>
    <w:rsid w:val="00AA4C9B"/>
    <w:rsid w:val="00AA5D9C"/>
    <w:rsid w:val="00AA7996"/>
    <w:rsid w:val="00AA7E6D"/>
    <w:rsid w:val="00AB00C7"/>
    <w:rsid w:val="00AB0FFF"/>
    <w:rsid w:val="00AB17B5"/>
    <w:rsid w:val="00AB3A72"/>
    <w:rsid w:val="00AB3CA6"/>
    <w:rsid w:val="00AB3F0F"/>
    <w:rsid w:val="00AB45ED"/>
    <w:rsid w:val="00AB529E"/>
    <w:rsid w:val="00AB7253"/>
    <w:rsid w:val="00AB7645"/>
    <w:rsid w:val="00AB7A94"/>
    <w:rsid w:val="00AC0390"/>
    <w:rsid w:val="00AC09A3"/>
    <w:rsid w:val="00AC0BE7"/>
    <w:rsid w:val="00AC19CB"/>
    <w:rsid w:val="00AC1E62"/>
    <w:rsid w:val="00AC3C41"/>
    <w:rsid w:val="00AC4605"/>
    <w:rsid w:val="00AC486F"/>
    <w:rsid w:val="00AC555D"/>
    <w:rsid w:val="00AC5861"/>
    <w:rsid w:val="00AC59E5"/>
    <w:rsid w:val="00AC78AA"/>
    <w:rsid w:val="00AD0817"/>
    <w:rsid w:val="00AD3047"/>
    <w:rsid w:val="00AD3C32"/>
    <w:rsid w:val="00AD51CF"/>
    <w:rsid w:val="00AD7770"/>
    <w:rsid w:val="00AE0059"/>
    <w:rsid w:val="00AE1572"/>
    <w:rsid w:val="00AE5488"/>
    <w:rsid w:val="00AE6F91"/>
    <w:rsid w:val="00AF0AC0"/>
    <w:rsid w:val="00AF215F"/>
    <w:rsid w:val="00AF2A06"/>
    <w:rsid w:val="00AF2AD4"/>
    <w:rsid w:val="00AF2D4B"/>
    <w:rsid w:val="00AF5571"/>
    <w:rsid w:val="00AF78E3"/>
    <w:rsid w:val="00AF7F5C"/>
    <w:rsid w:val="00B00408"/>
    <w:rsid w:val="00B00ECF"/>
    <w:rsid w:val="00B01552"/>
    <w:rsid w:val="00B04226"/>
    <w:rsid w:val="00B0430F"/>
    <w:rsid w:val="00B04B87"/>
    <w:rsid w:val="00B04E3C"/>
    <w:rsid w:val="00B063DC"/>
    <w:rsid w:val="00B07341"/>
    <w:rsid w:val="00B07547"/>
    <w:rsid w:val="00B111D9"/>
    <w:rsid w:val="00B11390"/>
    <w:rsid w:val="00B114CB"/>
    <w:rsid w:val="00B12579"/>
    <w:rsid w:val="00B1258B"/>
    <w:rsid w:val="00B12795"/>
    <w:rsid w:val="00B13304"/>
    <w:rsid w:val="00B13D91"/>
    <w:rsid w:val="00B15356"/>
    <w:rsid w:val="00B15877"/>
    <w:rsid w:val="00B15F5E"/>
    <w:rsid w:val="00B16583"/>
    <w:rsid w:val="00B17B52"/>
    <w:rsid w:val="00B20D3C"/>
    <w:rsid w:val="00B20DEA"/>
    <w:rsid w:val="00B21DD7"/>
    <w:rsid w:val="00B2264F"/>
    <w:rsid w:val="00B22EF2"/>
    <w:rsid w:val="00B235A4"/>
    <w:rsid w:val="00B24F89"/>
    <w:rsid w:val="00B25EBA"/>
    <w:rsid w:val="00B278EF"/>
    <w:rsid w:val="00B27E01"/>
    <w:rsid w:val="00B30539"/>
    <w:rsid w:val="00B314DB"/>
    <w:rsid w:val="00B31CC6"/>
    <w:rsid w:val="00B329C1"/>
    <w:rsid w:val="00B34152"/>
    <w:rsid w:val="00B34D68"/>
    <w:rsid w:val="00B350F7"/>
    <w:rsid w:val="00B358FB"/>
    <w:rsid w:val="00B361F2"/>
    <w:rsid w:val="00B368E3"/>
    <w:rsid w:val="00B3718B"/>
    <w:rsid w:val="00B40E2F"/>
    <w:rsid w:val="00B42239"/>
    <w:rsid w:val="00B42F96"/>
    <w:rsid w:val="00B432E3"/>
    <w:rsid w:val="00B44689"/>
    <w:rsid w:val="00B447EE"/>
    <w:rsid w:val="00B44E73"/>
    <w:rsid w:val="00B4508F"/>
    <w:rsid w:val="00B455C0"/>
    <w:rsid w:val="00B46166"/>
    <w:rsid w:val="00B4632A"/>
    <w:rsid w:val="00B4682B"/>
    <w:rsid w:val="00B47419"/>
    <w:rsid w:val="00B47A70"/>
    <w:rsid w:val="00B47AA9"/>
    <w:rsid w:val="00B519E2"/>
    <w:rsid w:val="00B530F1"/>
    <w:rsid w:val="00B55324"/>
    <w:rsid w:val="00B55C8A"/>
    <w:rsid w:val="00B612DF"/>
    <w:rsid w:val="00B62AFC"/>
    <w:rsid w:val="00B62C81"/>
    <w:rsid w:val="00B63129"/>
    <w:rsid w:val="00B63D9A"/>
    <w:rsid w:val="00B63E1C"/>
    <w:rsid w:val="00B641E4"/>
    <w:rsid w:val="00B649B7"/>
    <w:rsid w:val="00B65B57"/>
    <w:rsid w:val="00B67AFB"/>
    <w:rsid w:val="00B67E22"/>
    <w:rsid w:val="00B7067D"/>
    <w:rsid w:val="00B71866"/>
    <w:rsid w:val="00B71B11"/>
    <w:rsid w:val="00B71C5E"/>
    <w:rsid w:val="00B72031"/>
    <w:rsid w:val="00B726B1"/>
    <w:rsid w:val="00B73E45"/>
    <w:rsid w:val="00B74DC2"/>
    <w:rsid w:val="00B74F99"/>
    <w:rsid w:val="00B772BF"/>
    <w:rsid w:val="00B808D5"/>
    <w:rsid w:val="00B809F6"/>
    <w:rsid w:val="00B82018"/>
    <w:rsid w:val="00B836D5"/>
    <w:rsid w:val="00B83C67"/>
    <w:rsid w:val="00B85530"/>
    <w:rsid w:val="00B85E36"/>
    <w:rsid w:val="00B87354"/>
    <w:rsid w:val="00B906BA"/>
    <w:rsid w:val="00B907A3"/>
    <w:rsid w:val="00B90B97"/>
    <w:rsid w:val="00B927A6"/>
    <w:rsid w:val="00B93C69"/>
    <w:rsid w:val="00B9573A"/>
    <w:rsid w:val="00B9598D"/>
    <w:rsid w:val="00B95DDC"/>
    <w:rsid w:val="00B96D9D"/>
    <w:rsid w:val="00B972EA"/>
    <w:rsid w:val="00BA1DA2"/>
    <w:rsid w:val="00BA21B5"/>
    <w:rsid w:val="00BA276C"/>
    <w:rsid w:val="00BA3D36"/>
    <w:rsid w:val="00BA4500"/>
    <w:rsid w:val="00BA591A"/>
    <w:rsid w:val="00BB0AE9"/>
    <w:rsid w:val="00BB0B7A"/>
    <w:rsid w:val="00BB0B93"/>
    <w:rsid w:val="00BB306F"/>
    <w:rsid w:val="00BB31CE"/>
    <w:rsid w:val="00BB346E"/>
    <w:rsid w:val="00BB373C"/>
    <w:rsid w:val="00BB377F"/>
    <w:rsid w:val="00BC0EE9"/>
    <w:rsid w:val="00BC1021"/>
    <w:rsid w:val="00BC2F2B"/>
    <w:rsid w:val="00BC3BA1"/>
    <w:rsid w:val="00BC4E6B"/>
    <w:rsid w:val="00BC5511"/>
    <w:rsid w:val="00BC585D"/>
    <w:rsid w:val="00BC6263"/>
    <w:rsid w:val="00BD17AC"/>
    <w:rsid w:val="00BD1C4B"/>
    <w:rsid w:val="00BD2A0F"/>
    <w:rsid w:val="00BD2A17"/>
    <w:rsid w:val="00BD2A19"/>
    <w:rsid w:val="00BD4B89"/>
    <w:rsid w:val="00BD6114"/>
    <w:rsid w:val="00BD7B2D"/>
    <w:rsid w:val="00BE047B"/>
    <w:rsid w:val="00BE0A3E"/>
    <w:rsid w:val="00BE0B43"/>
    <w:rsid w:val="00BE4623"/>
    <w:rsid w:val="00BE4AB4"/>
    <w:rsid w:val="00BE4B65"/>
    <w:rsid w:val="00BE6F7F"/>
    <w:rsid w:val="00BF01DD"/>
    <w:rsid w:val="00BF0A9E"/>
    <w:rsid w:val="00BF1819"/>
    <w:rsid w:val="00BF284C"/>
    <w:rsid w:val="00BF2C80"/>
    <w:rsid w:val="00BF3632"/>
    <w:rsid w:val="00BF391C"/>
    <w:rsid w:val="00BF3941"/>
    <w:rsid w:val="00BF6FD8"/>
    <w:rsid w:val="00BF773C"/>
    <w:rsid w:val="00C01745"/>
    <w:rsid w:val="00C02E1B"/>
    <w:rsid w:val="00C031C8"/>
    <w:rsid w:val="00C03680"/>
    <w:rsid w:val="00C04768"/>
    <w:rsid w:val="00C04806"/>
    <w:rsid w:val="00C054DF"/>
    <w:rsid w:val="00C06FC9"/>
    <w:rsid w:val="00C07A85"/>
    <w:rsid w:val="00C1298A"/>
    <w:rsid w:val="00C14996"/>
    <w:rsid w:val="00C15FC6"/>
    <w:rsid w:val="00C16455"/>
    <w:rsid w:val="00C17B60"/>
    <w:rsid w:val="00C2042B"/>
    <w:rsid w:val="00C2069A"/>
    <w:rsid w:val="00C209D9"/>
    <w:rsid w:val="00C21762"/>
    <w:rsid w:val="00C22B87"/>
    <w:rsid w:val="00C230F9"/>
    <w:rsid w:val="00C238DE"/>
    <w:rsid w:val="00C243BE"/>
    <w:rsid w:val="00C24543"/>
    <w:rsid w:val="00C256A2"/>
    <w:rsid w:val="00C265BB"/>
    <w:rsid w:val="00C27924"/>
    <w:rsid w:val="00C27D46"/>
    <w:rsid w:val="00C33557"/>
    <w:rsid w:val="00C341EB"/>
    <w:rsid w:val="00C37525"/>
    <w:rsid w:val="00C40420"/>
    <w:rsid w:val="00C4098E"/>
    <w:rsid w:val="00C41080"/>
    <w:rsid w:val="00C417B6"/>
    <w:rsid w:val="00C43AC2"/>
    <w:rsid w:val="00C44B14"/>
    <w:rsid w:val="00C45C0C"/>
    <w:rsid w:val="00C461FA"/>
    <w:rsid w:val="00C471F8"/>
    <w:rsid w:val="00C4754A"/>
    <w:rsid w:val="00C47B79"/>
    <w:rsid w:val="00C5028A"/>
    <w:rsid w:val="00C5048D"/>
    <w:rsid w:val="00C50E19"/>
    <w:rsid w:val="00C51515"/>
    <w:rsid w:val="00C519AE"/>
    <w:rsid w:val="00C52875"/>
    <w:rsid w:val="00C54B39"/>
    <w:rsid w:val="00C5660B"/>
    <w:rsid w:val="00C56A2E"/>
    <w:rsid w:val="00C57930"/>
    <w:rsid w:val="00C57CB3"/>
    <w:rsid w:val="00C6017D"/>
    <w:rsid w:val="00C60FAB"/>
    <w:rsid w:val="00C61314"/>
    <w:rsid w:val="00C61CBE"/>
    <w:rsid w:val="00C61E87"/>
    <w:rsid w:val="00C61EF6"/>
    <w:rsid w:val="00C627CC"/>
    <w:rsid w:val="00C62E3B"/>
    <w:rsid w:val="00C634D2"/>
    <w:rsid w:val="00C65675"/>
    <w:rsid w:val="00C6617F"/>
    <w:rsid w:val="00C664E9"/>
    <w:rsid w:val="00C66B72"/>
    <w:rsid w:val="00C66D21"/>
    <w:rsid w:val="00C66D96"/>
    <w:rsid w:val="00C67524"/>
    <w:rsid w:val="00C70059"/>
    <w:rsid w:val="00C70267"/>
    <w:rsid w:val="00C715CB"/>
    <w:rsid w:val="00C71A76"/>
    <w:rsid w:val="00C72412"/>
    <w:rsid w:val="00C7253F"/>
    <w:rsid w:val="00C7306E"/>
    <w:rsid w:val="00C77962"/>
    <w:rsid w:val="00C77C48"/>
    <w:rsid w:val="00C836BC"/>
    <w:rsid w:val="00C870E4"/>
    <w:rsid w:val="00C8784F"/>
    <w:rsid w:val="00C91893"/>
    <w:rsid w:val="00C91919"/>
    <w:rsid w:val="00C9434F"/>
    <w:rsid w:val="00C94536"/>
    <w:rsid w:val="00C9567A"/>
    <w:rsid w:val="00C95B66"/>
    <w:rsid w:val="00C962AB"/>
    <w:rsid w:val="00C97BD5"/>
    <w:rsid w:val="00CA155F"/>
    <w:rsid w:val="00CA29EB"/>
    <w:rsid w:val="00CA4727"/>
    <w:rsid w:val="00CB0AB8"/>
    <w:rsid w:val="00CB11C7"/>
    <w:rsid w:val="00CB145D"/>
    <w:rsid w:val="00CB212D"/>
    <w:rsid w:val="00CB2425"/>
    <w:rsid w:val="00CB2660"/>
    <w:rsid w:val="00CB3DB2"/>
    <w:rsid w:val="00CB507D"/>
    <w:rsid w:val="00CB5425"/>
    <w:rsid w:val="00CB6937"/>
    <w:rsid w:val="00CC28FD"/>
    <w:rsid w:val="00CC2F59"/>
    <w:rsid w:val="00CC2FA5"/>
    <w:rsid w:val="00CC381D"/>
    <w:rsid w:val="00CC3A65"/>
    <w:rsid w:val="00CC3C56"/>
    <w:rsid w:val="00CC50D2"/>
    <w:rsid w:val="00CC5E90"/>
    <w:rsid w:val="00CC7D3F"/>
    <w:rsid w:val="00CD046C"/>
    <w:rsid w:val="00CD1404"/>
    <w:rsid w:val="00CD6822"/>
    <w:rsid w:val="00CD7205"/>
    <w:rsid w:val="00CE076C"/>
    <w:rsid w:val="00CE2DAB"/>
    <w:rsid w:val="00CE330B"/>
    <w:rsid w:val="00CE378C"/>
    <w:rsid w:val="00CE39DA"/>
    <w:rsid w:val="00CE3A26"/>
    <w:rsid w:val="00CE4228"/>
    <w:rsid w:val="00CE4AB5"/>
    <w:rsid w:val="00CE5199"/>
    <w:rsid w:val="00CE66D5"/>
    <w:rsid w:val="00CE7E51"/>
    <w:rsid w:val="00CF2321"/>
    <w:rsid w:val="00CF5391"/>
    <w:rsid w:val="00CF637A"/>
    <w:rsid w:val="00CF654A"/>
    <w:rsid w:val="00D00F87"/>
    <w:rsid w:val="00D01FEC"/>
    <w:rsid w:val="00D020EA"/>
    <w:rsid w:val="00D02646"/>
    <w:rsid w:val="00D02F5F"/>
    <w:rsid w:val="00D059DE"/>
    <w:rsid w:val="00D07386"/>
    <w:rsid w:val="00D10089"/>
    <w:rsid w:val="00D10650"/>
    <w:rsid w:val="00D1065D"/>
    <w:rsid w:val="00D1219D"/>
    <w:rsid w:val="00D12F3C"/>
    <w:rsid w:val="00D1361F"/>
    <w:rsid w:val="00D13BB8"/>
    <w:rsid w:val="00D13FCE"/>
    <w:rsid w:val="00D14646"/>
    <w:rsid w:val="00D14F44"/>
    <w:rsid w:val="00D158C2"/>
    <w:rsid w:val="00D159B3"/>
    <w:rsid w:val="00D15BDE"/>
    <w:rsid w:val="00D16E3B"/>
    <w:rsid w:val="00D172B9"/>
    <w:rsid w:val="00D17B73"/>
    <w:rsid w:val="00D2066A"/>
    <w:rsid w:val="00D24554"/>
    <w:rsid w:val="00D245FA"/>
    <w:rsid w:val="00D262AF"/>
    <w:rsid w:val="00D267F3"/>
    <w:rsid w:val="00D26D3B"/>
    <w:rsid w:val="00D2746C"/>
    <w:rsid w:val="00D303F1"/>
    <w:rsid w:val="00D306D1"/>
    <w:rsid w:val="00D311E2"/>
    <w:rsid w:val="00D313F0"/>
    <w:rsid w:val="00D3166D"/>
    <w:rsid w:val="00D31DD3"/>
    <w:rsid w:val="00D32032"/>
    <w:rsid w:val="00D32BF9"/>
    <w:rsid w:val="00D32D54"/>
    <w:rsid w:val="00D343A5"/>
    <w:rsid w:val="00D34786"/>
    <w:rsid w:val="00D37988"/>
    <w:rsid w:val="00D37BFC"/>
    <w:rsid w:val="00D40644"/>
    <w:rsid w:val="00D4121D"/>
    <w:rsid w:val="00D42955"/>
    <w:rsid w:val="00D42DF7"/>
    <w:rsid w:val="00D43EEE"/>
    <w:rsid w:val="00D45A5D"/>
    <w:rsid w:val="00D4689A"/>
    <w:rsid w:val="00D46CA7"/>
    <w:rsid w:val="00D478E6"/>
    <w:rsid w:val="00D47A8E"/>
    <w:rsid w:val="00D502FB"/>
    <w:rsid w:val="00D50763"/>
    <w:rsid w:val="00D50E01"/>
    <w:rsid w:val="00D51AF8"/>
    <w:rsid w:val="00D521EE"/>
    <w:rsid w:val="00D5275F"/>
    <w:rsid w:val="00D52791"/>
    <w:rsid w:val="00D52C22"/>
    <w:rsid w:val="00D52D14"/>
    <w:rsid w:val="00D53243"/>
    <w:rsid w:val="00D53C69"/>
    <w:rsid w:val="00D55686"/>
    <w:rsid w:val="00D560E5"/>
    <w:rsid w:val="00D6196C"/>
    <w:rsid w:val="00D6432F"/>
    <w:rsid w:val="00D64776"/>
    <w:rsid w:val="00D64F6A"/>
    <w:rsid w:val="00D652C2"/>
    <w:rsid w:val="00D65519"/>
    <w:rsid w:val="00D65742"/>
    <w:rsid w:val="00D65E17"/>
    <w:rsid w:val="00D67CF6"/>
    <w:rsid w:val="00D70964"/>
    <w:rsid w:val="00D712D3"/>
    <w:rsid w:val="00D71305"/>
    <w:rsid w:val="00D71422"/>
    <w:rsid w:val="00D71E6C"/>
    <w:rsid w:val="00D72DA9"/>
    <w:rsid w:val="00D72DC6"/>
    <w:rsid w:val="00D72DE5"/>
    <w:rsid w:val="00D7301F"/>
    <w:rsid w:val="00D7524E"/>
    <w:rsid w:val="00D7558D"/>
    <w:rsid w:val="00D756CC"/>
    <w:rsid w:val="00D75C64"/>
    <w:rsid w:val="00D77120"/>
    <w:rsid w:val="00D812B2"/>
    <w:rsid w:val="00D81410"/>
    <w:rsid w:val="00D8142B"/>
    <w:rsid w:val="00D81B89"/>
    <w:rsid w:val="00D81D92"/>
    <w:rsid w:val="00D83944"/>
    <w:rsid w:val="00D869C6"/>
    <w:rsid w:val="00D8754B"/>
    <w:rsid w:val="00D91D6C"/>
    <w:rsid w:val="00D92EBD"/>
    <w:rsid w:val="00D945C6"/>
    <w:rsid w:val="00D94994"/>
    <w:rsid w:val="00D976C9"/>
    <w:rsid w:val="00D97F4C"/>
    <w:rsid w:val="00DA09F4"/>
    <w:rsid w:val="00DA0E3D"/>
    <w:rsid w:val="00DA1363"/>
    <w:rsid w:val="00DA2E33"/>
    <w:rsid w:val="00DA3556"/>
    <w:rsid w:val="00DA3A11"/>
    <w:rsid w:val="00DA5A2B"/>
    <w:rsid w:val="00DA67BA"/>
    <w:rsid w:val="00DA7176"/>
    <w:rsid w:val="00DA7AB4"/>
    <w:rsid w:val="00DA7B5F"/>
    <w:rsid w:val="00DA7E9C"/>
    <w:rsid w:val="00DB1036"/>
    <w:rsid w:val="00DB1133"/>
    <w:rsid w:val="00DB26F8"/>
    <w:rsid w:val="00DB2CD4"/>
    <w:rsid w:val="00DB6809"/>
    <w:rsid w:val="00DB68D7"/>
    <w:rsid w:val="00DC08A6"/>
    <w:rsid w:val="00DC11E7"/>
    <w:rsid w:val="00DC3CDA"/>
    <w:rsid w:val="00DC3FA5"/>
    <w:rsid w:val="00DC582F"/>
    <w:rsid w:val="00DC5CC9"/>
    <w:rsid w:val="00DC7023"/>
    <w:rsid w:val="00DC70EA"/>
    <w:rsid w:val="00DC769A"/>
    <w:rsid w:val="00DD10AB"/>
    <w:rsid w:val="00DD1A23"/>
    <w:rsid w:val="00DD3D86"/>
    <w:rsid w:val="00DD4841"/>
    <w:rsid w:val="00DD54EA"/>
    <w:rsid w:val="00DD7768"/>
    <w:rsid w:val="00DE02C7"/>
    <w:rsid w:val="00DE0F68"/>
    <w:rsid w:val="00DE17C0"/>
    <w:rsid w:val="00DE1DD5"/>
    <w:rsid w:val="00DE1FF5"/>
    <w:rsid w:val="00DE2A3F"/>
    <w:rsid w:val="00DE3AB7"/>
    <w:rsid w:val="00DE5D98"/>
    <w:rsid w:val="00DE64AE"/>
    <w:rsid w:val="00DE7F06"/>
    <w:rsid w:val="00DF0961"/>
    <w:rsid w:val="00DF1EC4"/>
    <w:rsid w:val="00DF3483"/>
    <w:rsid w:val="00DF5AB4"/>
    <w:rsid w:val="00DF7139"/>
    <w:rsid w:val="00DF7DD3"/>
    <w:rsid w:val="00E0097F"/>
    <w:rsid w:val="00E0156C"/>
    <w:rsid w:val="00E0340B"/>
    <w:rsid w:val="00E037EC"/>
    <w:rsid w:val="00E046B0"/>
    <w:rsid w:val="00E04A90"/>
    <w:rsid w:val="00E07E14"/>
    <w:rsid w:val="00E1013D"/>
    <w:rsid w:val="00E12A4D"/>
    <w:rsid w:val="00E13398"/>
    <w:rsid w:val="00E13609"/>
    <w:rsid w:val="00E1362A"/>
    <w:rsid w:val="00E15AFE"/>
    <w:rsid w:val="00E160FD"/>
    <w:rsid w:val="00E16697"/>
    <w:rsid w:val="00E170BC"/>
    <w:rsid w:val="00E17705"/>
    <w:rsid w:val="00E219C7"/>
    <w:rsid w:val="00E23FF2"/>
    <w:rsid w:val="00E24A29"/>
    <w:rsid w:val="00E254EC"/>
    <w:rsid w:val="00E255BA"/>
    <w:rsid w:val="00E267EF"/>
    <w:rsid w:val="00E279AA"/>
    <w:rsid w:val="00E30C38"/>
    <w:rsid w:val="00E34E9F"/>
    <w:rsid w:val="00E35039"/>
    <w:rsid w:val="00E35676"/>
    <w:rsid w:val="00E368DD"/>
    <w:rsid w:val="00E36DFB"/>
    <w:rsid w:val="00E376CA"/>
    <w:rsid w:val="00E40E3B"/>
    <w:rsid w:val="00E41247"/>
    <w:rsid w:val="00E413FC"/>
    <w:rsid w:val="00E42B75"/>
    <w:rsid w:val="00E42F8F"/>
    <w:rsid w:val="00E43157"/>
    <w:rsid w:val="00E435E7"/>
    <w:rsid w:val="00E43F8B"/>
    <w:rsid w:val="00E46061"/>
    <w:rsid w:val="00E461CE"/>
    <w:rsid w:val="00E46BA6"/>
    <w:rsid w:val="00E46DF2"/>
    <w:rsid w:val="00E51468"/>
    <w:rsid w:val="00E516C7"/>
    <w:rsid w:val="00E52BAE"/>
    <w:rsid w:val="00E54DF6"/>
    <w:rsid w:val="00E551BA"/>
    <w:rsid w:val="00E57A44"/>
    <w:rsid w:val="00E63317"/>
    <w:rsid w:val="00E64BC4"/>
    <w:rsid w:val="00E64D1B"/>
    <w:rsid w:val="00E64D61"/>
    <w:rsid w:val="00E67945"/>
    <w:rsid w:val="00E70B4B"/>
    <w:rsid w:val="00E712C7"/>
    <w:rsid w:val="00E71C32"/>
    <w:rsid w:val="00E71F0D"/>
    <w:rsid w:val="00E720CA"/>
    <w:rsid w:val="00E7291D"/>
    <w:rsid w:val="00E72FBE"/>
    <w:rsid w:val="00E75290"/>
    <w:rsid w:val="00E75BF5"/>
    <w:rsid w:val="00E76B54"/>
    <w:rsid w:val="00E778D2"/>
    <w:rsid w:val="00E80221"/>
    <w:rsid w:val="00E807F0"/>
    <w:rsid w:val="00E81057"/>
    <w:rsid w:val="00E81EEE"/>
    <w:rsid w:val="00E82A98"/>
    <w:rsid w:val="00E83CB2"/>
    <w:rsid w:val="00E84520"/>
    <w:rsid w:val="00E84C64"/>
    <w:rsid w:val="00E84EB5"/>
    <w:rsid w:val="00E85662"/>
    <w:rsid w:val="00E8765E"/>
    <w:rsid w:val="00E8789F"/>
    <w:rsid w:val="00E87914"/>
    <w:rsid w:val="00E913E0"/>
    <w:rsid w:val="00E9277B"/>
    <w:rsid w:val="00E944BB"/>
    <w:rsid w:val="00E95184"/>
    <w:rsid w:val="00E96766"/>
    <w:rsid w:val="00E97B71"/>
    <w:rsid w:val="00EA20EE"/>
    <w:rsid w:val="00EA3D34"/>
    <w:rsid w:val="00EA47EE"/>
    <w:rsid w:val="00EA52A1"/>
    <w:rsid w:val="00EA72D5"/>
    <w:rsid w:val="00EA7CE3"/>
    <w:rsid w:val="00EB1BA9"/>
    <w:rsid w:val="00EB28E9"/>
    <w:rsid w:val="00EB3B1E"/>
    <w:rsid w:val="00EB3BA5"/>
    <w:rsid w:val="00EB3EC8"/>
    <w:rsid w:val="00EB425B"/>
    <w:rsid w:val="00EB454D"/>
    <w:rsid w:val="00EB4B2D"/>
    <w:rsid w:val="00EB5245"/>
    <w:rsid w:val="00EB5260"/>
    <w:rsid w:val="00EB6E5F"/>
    <w:rsid w:val="00EC1932"/>
    <w:rsid w:val="00EC3847"/>
    <w:rsid w:val="00EC5609"/>
    <w:rsid w:val="00EC63E8"/>
    <w:rsid w:val="00EC6C1F"/>
    <w:rsid w:val="00EC7078"/>
    <w:rsid w:val="00EC781C"/>
    <w:rsid w:val="00EC7ECC"/>
    <w:rsid w:val="00EC7F15"/>
    <w:rsid w:val="00ED01DC"/>
    <w:rsid w:val="00ED19E4"/>
    <w:rsid w:val="00ED3E67"/>
    <w:rsid w:val="00ED4052"/>
    <w:rsid w:val="00ED535D"/>
    <w:rsid w:val="00ED5B00"/>
    <w:rsid w:val="00ED62E3"/>
    <w:rsid w:val="00ED71B7"/>
    <w:rsid w:val="00ED75F3"/>
    <w:rsid w:val="00ED76BE"/>
    <w:rsid w:val="00ED7E7D"/>
    <w:rsid w:val="00EE08FD"/>
    <w:rsid w:val="00EE0A4A"/>
    <w:rsid w:val="00EE0ACA"/>
    <w:rsid w:val="00EE0FE5"/>
    <w:rsid w:val="00EE3F98"/>
    <w:rsid w:val="00EE6554"/>
    <w:rsid w:val="00EF0B3E"/>
    <w:rsid w:val="00EF0FDA"/>
    <w:rsid w:val="00EF2ACB"/>
    <w:rsid w:val="00EF553F"/>
    <w:rsid w:val="00EF55A2"/>
    <w:rsid w:val="00EF55ED"/>
    <w:rsid w:val="00EF5BAA"/>
    <w:rsid w:val="00EF5C96"/>
    <w:rsid w:val="00EF619B"/>
    <w:rsid w:val="00EF7DDB"/>
    <w:rsid w:val="00F00B55"/>
    <w:rsid w:val="00F011C1"/>
    <w:rsid w:val="00F01D10"/>
    <w:rsid w:val="00F02801"/>
    <w:rsid w:val="00F02AD1"/>
    <w:rsid w:val="00F03E85"/>
    <w:rsid w:val="00F052FA"/>
    <w:rsid w:val="00F061A1"/>
    <w:rsid w:val="00F12E51"/>
    <w:rsid w:val="00F1313B"/>
    <w:rsid w:val="00F13A02"/>
    <w:rsid w:val="00F14952"/>
    <w:rsid w:val="00F15868"/>
    <w:rsid w:val="00F169C5"/>
    <w:rsid w:val="00F17678"/>
    <w:rsid w:val="00F1767B"/>
    <w:rsid w:val="00F17D0D"/>
    <w:rsid w:val="00F2152E"/>
    <w:rsid w:val="00F21ECC"/>
    <w:rsid w:val="00F2296E"/>
    <w:rsid w:val="00F230DA"/>
    <w:rsid w:val="00F24C42"/>
    <w:rsid w:val="00F24C74"/>
    <w:rsid w:val="00F253CC"/>
    <w:rsid w:val="00F25446"/>
    <w:rsid w:val="00F26708"/>
    <w:rsid w:val="00F26921"/>
    <w:rsid w:val="00F27D1F"/>
    <w:rsid w:val="00F27F2C"/>
    <w:rsid w:val="00F30368"/>
    <w:rsid w:val="00F30768"/>
    <w:rsid w:val="00F30888"/>
    <w:rsid w:val="00F319D0"/>
    <w:rsid w:val="00F33DA0"/>
    <w:rsid w:val="00F34321"/>
    <w:rsid w:val="00F34E3F"/>
    <w:rsid w:val="00F363D3"/>
    <w:rsid w:val="00F37106"/>
    <w:rsid w:val="00F42183"/>
    <w:rsid w:val="00F42A5E"/>
    <w:rsid w:val="00F43697"/>
    <w:rsid w:val="00F448EE"/>
    <w:rsid w:val="00F44CAB"/>
    <w:rsid w:val="00F47B54"/>
    <w:rsid w:val="00F50BBC"/>
    <w:rsid w:val="00F51010"/>
    <w:rsid w:val="00F519CF"/>
    <w:rsid w:val="00F51D27"/>
    <w:rsid w:val="00F52AAF"/>
    <w:rsid w:val="00F52C8E"/>
    <w:rsid w:val="00F55907"/>
    <w:rsid w:val="00F55DE7"/>
    <w:rsid w:val="00F568D7"/>
    <w:rsid w:val="00F569E1"/>
    <w:rsid w:val="00F56BA5"/>
    <w:rsid w:val="00F60D9C"/>
    <w:rsid w:val="00F60E22"/>
    <w:rsid w:val="00F61771"/>
    <w:rsid w:val="00F65FA6"/>
    <w:rsid w:val="00F6639D"/>
    <w:rsid w:val="00F664CD"/>
    <w:rsid w:val="00F666E4"/>
    <w:rsid w:val="00F66F31"/>
    <w:rsid w:val="00F66F87"/>
    <w:rsid w:val="00F672E6"/>
    <w:rsid w:val="00F7002B"/>
    <w:rsid w:val="00F70C3A"/>
    <w:rsid w:val="00F71BE2"/>
    <w:rsid w:val="00F725C2"/>
    <w:rsid w:val="00F73817"/>
    <w:rsid w:val="00F74B21"/>
    <w:rsid w:val="00F74B2C"/>
    <w:rsid w:val="00F7577F"/>
    <w:rsid w:val="00F759A8"/>
    <w:rsid w:val="00F77613"/>
    <w:rsid w:val="00F77CFD"/>
    <w:rsid w:val="00F8002E"/>
    <w:rsid w:val="00F809CA"/>
    <w:rsid w:val="00F81395"/>
    <w:rsid w:val="00F81404"/>
    <w:rsid w:val="00F830CC"/>
    <w:rsid w:val="00F84012"/>
    <w:rsid w:val="00F8472B"/>
    <w:rsid w:val="00F84EB8"/>
    <w:rsid w:val="00F85DF6"/>
    <w:rsid w:val="00F86DF8"/>
    <w:rsid w:val="00F87213"/>
    <w:rsid w:val="00F9169A"/>
    <w:rsid w:val="00F917D1"/>
    <w:rsid w:val="00F91ED2"/>
    <w:rsid w:val="00F92CBC"/>
    <w:rsid w:val="00F9351F"/>
    <w:rsid w:val="00F94F2D"/>
    <w:rsid w:val="00F9653B"/>
    <w:rsid w:val="00F97DF6"/>
    <w:rsid w:val="00FA21AD"/>
    <w:rsid w:val="00FA4569"/>
    <w:rsid w:val="00FA4605"/>
    <w:rsid w:val="00FA47E8"/>
    <w:rsid w:val="00FA4DAA"/>
    <w:rsid w:val="00FA52DE"/>
    <w:rsid w:val="00FA5A0F"/>
    <w:rsid w:val="00FA5F18"/>
    <w:rsid w:val="00FA6A10"/>
    <w:rsid w:val="00FB1307"/>
    <w:rsid w:val="00FB2A16"/>
    <w:rsid w:val="00FB42AB"/>
    <w:rsid w:val="00FB4694"/>
    <w:rsid w:val="00FB527C"/>
    <w:rsid w:val="00FB542E"/>
    <w:rsid w:val="00FB61F6"/>
    <w:rsid w:val="00FB62CF"/>
    <w:rsid w:val="00FB7039"/>
    <w:rsid w:val="00FB7A7E"/>
    <w:rsid w:val="00FC0347"/>
    <w:rsid w:val="00FC1217"/>
    <w:rsid w:val="00FC1734"/>
    <w:rsid w:val="00FC1D50"/>
    <w:rsid w:val="00FC20D7"/>
    <w:rsid w:val="00FC2D46"/>
    <w:rsid w:val="00FC32F4"/>
    <w:rsid w:val="00FC33E1"/>
    <w:rsid w:val="00FC44CC"/>
    <w:rsid w:val="00FC5555"/>
    <w:rsid w:val="00FC5749"/>
    <w:rsid w:val="00FC598E"/>
    <w:rsid w:val="00FC72CE"/>
    <w:rsid w:val="00FD045C"/>
    <w:rsid w:val="00FD16FA"/>
    <w:rsid w:val="00FD3704"/>
    <w:rsid w:val="00FD3C3B"/>
    <w:rsid w:val="00FD4BBA"/>
    <w:rsid w:val="00FD65F6"/>
    <w:rsid w:val="00FD69FF"/>
    <w:rsid w:val="00FD6AD2"/>
    <w:rsid w:val="00FD7742"/>
    <w:rsid w:val="00FD781E"/>
    <w:rsid w:val="00FE34D6"/>
    <w:rsid w:val="00FE3C3E"/>
    <w:rsid w:val="00FE3E2B"/>
    <w:rsid w:val="00FE4D5D"/>
    <w:rsid w:val="00FE6160"/>
    <w:rsid w:val="00FE6B45"/>
    <w:rsid w:val="00FE7FA4"/>
    <w:rsid w:val="00FF028F"/>
    <w:rsid w:val="00FF1817"/>
    <w:rsid w:val="00FF1AA0"/>
    <w:rsid w:val="00FF453C"/>
    <w:rsid w:val="00FF55F3"/>
    <w:rsid w:val="00FF5851"/>
    <w:rsid w:val="00FF59B9"/>
    <w:rsid w:val="00FF5D34"/>
    <w:rsid w:val="00FF64E6"/>
    <w:rsid w:val="00FF67DF"/>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ghtList-Accent51">
    <w:name w:val="Light List - Accent 5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b/>
      <w:bCs/>
      <w:color w:val="365F91"/>
      <w:sz w:val="28"/>
      <w:szCs w:val="28"/>
      <w:bdr w:val="nil"/>
    </w:rPr>
  </w:style>
  <w:style w:type="table" w:styleId="ColorfulShading-Accent4">
    <w:name w:val="Colorful Shading Accent 4"/>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MediumList2-Accent41">
    <w:name w:val="Medium List 2 - Accent 4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MediumList1-Accent41">
    <w:name w:val="Medium List 1 - Accent 41"/>
    <w:hidden/>
    <w:uiPriority w:val="99"/>
    <w:semiHidden/>
    <w:rsid w:val="000A16F3"/>
    <w:rPr>
      <w:sz w:val="24"/>
      <w:szCs w:val="24"/>
      <w:bdr w:val="nil"/>
    </w:rPr>
  </w:style>
  <w:style w:type="paragraph" w:customStyle="1" w:styleId="ColorfulShading-Accent31">
    <w:name w:val="Colorful Shading - Accent 31"/>
    <w:basedOn w:val="Normal"/>
    <w:uiPriority w:val="72"/>
    <w:qFormat/>
    <w:rsid w:val="003D06FB"/>
    <w:pPr>
      <w:ind w:left="720"/>
    </w:pPr>
  </w:style>
  <w:style w:type="paragraph" w:customStyle="1" w:styleId="LightGrid-Accent31">
    <w:name w:val="Light Grid - Accent 31"/>
    <w:basedOn w:val="Normal"/>
    <w:uiPriority w:val="72"/>
    <w:qFormat/>
    <w:rsid w:val="00572624"/>
    <w:pPr>
      <w:ind w:left="720"/>
    </w:pPr>
  </w:style>
  <w:style w:type="paragraph" w:customStyle="1" w:styleId="MediumGrid1-Accent21">
    <w:name w:val="Medium Grid 1 - Accent 21"/>
    <w:basedOn w:val="Normal"/>
    <w:uiPriority w:val="72"/>
    <w:qFormat/>
    <w:rsid w:val="00A03648"/>
    <w:pPr>
      <w:ind w:left="720"/>
    </w:pPr>
  </w:style>
  <w:style w:type="paragraph" w:customStyle="1" w:styleId="ColorfulList-Accent11">
    <w:name w:val="Colorful List - Accent 11"/>
    <w:basedOn w:val="Normal"/>
    <w:uiPriority w:val="72"/>
    <w:qFormat/>
    <w:rsid w:val="00CB5425"/>
    <w:pPr>
      <w:ind w:left="720"/>
    </w:pPr>
  </w:style>
  <w:style w:type="character" w:styleId="Emphasis">
    <w:name w:val="Emphasis"/>
    <w:uiPriority w:val="20"/>
    <w:qFormat/>
    <w:rsid w:val="009455B1"/>
    <w:rPr>
      <w:i/>
      <w:iCs/>
    </w:rPr>
  </w:style>
  <w:style w:type="character" w:styleId="Strong">
    <w:name w:val="Strong"/>
    <w:uiPriority w:val="22"/>
    <w:qFormat/>
    <w:rsid w:val="004008F4"/>
    <w:rPr>
      <w:b/>
      <w:bCs/>
    </w:rPr>
  </w:style>
  <w:style w:type="paragraph" w:styleId="DocumentMap">
    <w:name w:val="Document Map"/>
    <w:basedOn w:val="Normal"/>
    <w:link w:val="DocumentMapChar"/>
    <w:uiPriority w:val="99"/>
    <w:semiHidden/>
    <w:unhideWhenUsed/>
    <w:rsid w:val="00F51010"/>
  </w:style>
  <w:style w:type="character" w:customStyle="1" w:styleId="DocumentMapChar">
    <w:name w:val="Document Map Char"/>
    <w:link w:val="DocumentMap"/>
    <w:uiPriority w:val="99"/>
    <w:semiHidden/>
    <w:rsid w:val="00F51010"/>
    <w:rPr>
      <w:sz w:val="24"/>
      <w:szCs w:val="24"/>
      <w:bdr w:val="nil"/>
    </w:rPr>
  </w:style>
  <w:style w:type="paragraph" w:customStyle="1" w:styleId="ColorfulShading-Accent11">
    <w:name w:val="Colorful Shading - Accent 11"/>
    <w:hidden/>
    <w:uiPriority w:val="99"/>
    <w:semiHidden/>
    <w:rsid w:val="00F51010"/>
    <w:rPr>
      <w:sz w:val="24"/>
      <w:szCs w:val="24"/>
      <w:bdr w:val="ni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B17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ListParagraph">
    <w:name w:val="List Paragraph"/>
    <w:basedOn w:val="Normal"/>
    <w:uiPriority w:val="34"/>
    <w:qFormat/>
    <w:rsid w:val="00984F78"/>
    <w:pPr>
      <w:ind w:left="720"/>
    </w:pPr>
  </w:style>
  <w:style w:type="paragraph" w:customStyle="1" w:styleId="Listavistosa-nfasis11">
    <w:name w:val="Lista vistosa - Énfasis 11"/>
    <w:aliases w:val="Párrafo de lista1,List Paragraph1,List Paragraph11,List Paragraph2"/>
    <w:basedOn w:val="Normal"/>
    <w:qFormat/>
    <w:rsid w:val="00C94536"/>
    <w:pPr>
      <w:ind w:left="720"/>
    </w:pPr>
  </w:style>
  <w:style w:type="paragraph" w:customStyle="1" w:styleId="Footnotes">
    <w:name w:val="Footnotes"/>
    <w:basedOn w:val="FootnoteText"/>
    <w:autoRedefine/>
    <w:qFormat/>
    <w:rsid w:val="00FD774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paragraph" w:customStyle="1" w:styleId="Char2">
    <w:name w:val="Char2"/>
    <w:basedOn w:val="Normal"/>
    <w:uiPriority w:val="99"/>
    <w:rsid w:val="00A05A0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ghtList-Accent51">
    <w:name w:val="Light List - Accent 5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b/>
      <w:bCs/>
      <w:color w:val="365F91"/>
      <w:sz w:val="28"/>
      <w:szCs w:val="28"/>
      <w:bdr w:val="nil"/>
    </w:rPr>
  </w:style>
  <w:style w:type="table" w:styleId="ColorfulShading-Accent4">
    <w:name w:val="Colorful Shading Accent 4"/>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MediumList2-Accent41">
    <w:name w:val="Medium List 2 - Accent 4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MediumList1-Accent41">
    <w:name w:val="Medium List 1 - Accent 41"/>
    <w:hidden/>
    <w:uiPriority w:val="99"/>
    <w:semiHidden/>
    <w:rsid w:val="000A16F3"/>
    <w:rPr>
      <w:sz w:val="24"/>
      <w:szCs w:val="24"/>
      <w:bdr w:val="nil"/>
    </w:rPr>
  </w:style>
  <w:style w:type="paragraph" w:customStyle="1" w:styleId="ColorfulShading-Accent31">
    <w:name w:val="Colorful Shading - Accent 31"/>
    <w:basedOn w:val="Normal"/>
    <w:uiPriority w:val="72"/>
    <w:qFormat/>
    <w:rsid w:val="003D06FB"/>
    <w:pPr>
      <w:ind w:left="720"/>
    </w:pPr>
  </w:style>
  <w:style w:type="paragraph" w:customStyle="1" w:styleId="LightGrid-Accent31">
    <w:name w:val="Light Grid - Accent 31"/>
    <w:basedOn w:val="Normal"/>
    <w:uiPriority w:val="72"/>
    <w:qFormat/>
    <w:rsid w:val="00572624"/>
    <w:pPr>
      <w:ind w:left="720"/>
    </w:pPr>
  </w:style>
  <w:style w:type="paragraph" w:customStyle="1" w:styleId="MediumGrid1-Accent21">
    <w:name w:val="Medium Grid 1 - Accent 21"/>
    <w:basedOn w:val="Normal"/>
    <w:uiPriority w:val="72"/>
    <w:qFormat/>
    <w:rsid w:val="00A03648"/>
    <w:pPr>
      <w:ind w:left="720"/>
    </w:pPr>
  </w:style>
  <w:style w:type="paragraph" w:customStyle="1" w:styleId="ColorfulList-Accent11">
    <w:name w:val="Colorful List - Accent 11"/>
    <w:basedOn w:val="Normal"/>
    <w:uiPriority w:val="72"/>
    <w:qFormat/>
    <w:rsid w:val="00CB5425"/>
    <w:pPr>
      <w:ind w:left="720"/>
    </w:pPr>
  </w:style>
  <w:style w:type="character" w:styleId="Emphasis">
    <w:name w:val="Emphasis"/>
    <w:uiPriority w:val="20"/>
    <w:qFormat/>
    <w:rsid w:val="009455B1"/>
    <w:rPr>
      <w:i/>
      <w:iCs/>
    </w:rPr>
  </w:style>
  <w:style w:type="character" w:styleId="Strong">
    <w:name w:val="Strong"/>
    <w:uiPriority w:val="22"/>
    <w:qFormat/>
    <w:rsid w:val="004008F4"/>
    <w:rPr>
      <w:b/>
      <w:bCs/>
    </w:rPr>
  </w:style>
  <w:style w:type="paragraph" w:styleId="DocumentMap">
    <w:name w:val="Document Map"/>
    <w:basedOn w:val="Normal"/>
    <w:link w:val="DocumentMapChar"/>
    <w:uiPriority w:val="99"/>
    <w:semiHidden/>
    <w:unhideWhenUsed/>
    <w:rsid w:val="00F51010"/>
  </w:style>
  <w:style w:type="character" w:customStyle="1" w:styleId="DocumentMapChar">
    <w:name w:val="Document Map Char"/>
    <w:link w:val="DocumentMap"/>
    <w:uiPriority w:val="99"/>
    <w:semiHidden/>
    <w:rsid w:val="00F51010"/>
    <w:rPr>
      <w:sz w:val="24"/>
      <w:szCs w:val="24"/>
      <w:bdr w:val="nil"/>
    </w:rPr>
  </w:style>
  <w:style w:type="paragraph" w:customStyle="1" w:styleId="ColorfulShading-Accent11">
    <w:name w:val="Colorful Shading - Accent 11"/>
    <w:hidden/>
    <w:uiPriority w:val="99"/>
    <w:semiHidden/>
    <w:rsid w:val="00F51010"/>
    <w:rPr>
      <w:sz w:val="24"/>
      <w:szCs w:val="24"/>
      <w:bdr w:val="ni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B17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ListParagraph">
    <w:name w:val="List Paragraph"/>
    <w:basedOn w:val="Normal"/>
    <w:uiPriority w:val="34"/>
    <w:qFormat/>
    <w:rsid w:val="00984F78"/>
    <w:pPr>
      <w:ind w:left="720"/>
    </w:pPr>
  </w:style>
  <w:style w:type="paragraph" w:customStyle="1" w:styleId="Listavistosa-nfasis11">
    <w:name w:val="Lista vistosa - Énfasis 11"/>
    <w:aliases w:val="Párrafo de lista1,List Paragraph1,List Paragraph11,List Paragraph2"/>
    <w:basedOn w:val="Normal"/>
    <w:qFormat/>
    <w:rsid w:val="00C94536"/>
    <w:pPr>
      <w:ind w:left="720"/>
    </w:pPr>
  </w:style>
  <w:style w:type="paragraph" w:customStyle="1" w:styleId="Footnotes">
    <w:name w:val="Footnotes"/>
    <w:basedOn w:val="FootnoteText"/>
    <w:autoRedefine/>
    <w:qFormat/>
    <w:rsid w:val="00FD774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paragraph" w:customStyle="1" w:styleId="Char2">
    <w:name w:val="Char2"/>
    <w:basedOn w:val="Normal"/>
    <w:uiPriority w:val="99"/>
    <w:rsid w:val="00A05A0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820">
      <w:bodyDiv w:val="1"/>
      <w:marLeft w:val="0"/>
      <w:marRight w:val="0"/>
      <w:marTop w:val="0"/>
      <w:marBottom w:val="0"/>
      <w:divBdr>
        <w:top w:val="none" w:sz="0" w:space="0" w:color="auto"/>
        <w:left w:val="none" w:sz="0" w:space="0" w:color="auto"/>
        <w:bottom w:val="none" w:sz="0" w:space="0" w:color="auto"/>
        <w:right w:val="none" w:sz="0" w:space="0" w:color="auto"/>
      </w:divBdr>
    </w:div>
    <w:div w:id="227570173">
      <w:bodyDiv w:val="1"/>
      <w:marLeft w:val="0"/>
      <w:marRight w:val="0"/>
      <w:marTop w:val="0"/>
      <w:marBottom w:val="0"/>
      <w:divBdr>
        <w:top w:val="none" w:sz="0" w:space="0" w:color="auto"/>
        <w:left w:val="none" w:sz="0" w:space="0" w:color="auto"/>
        <w:bottom w:val="none" w:sz="0" w:space="0" w:color="auto"/>
        <w:right w:val="none" w:sz="0" w:space="0" w:color="auto"/>
      </w:divBdr>
    </w:div>
    <w:div w:id="257064036">
      <w:bodyDiv w:val="1"/>
      <w:marLeft w:val="0"/>
      <w:marRight w:val="0"/>
      <w:marTop w:val="0"/>
      <w:marBottom w:val="0"/>
      <w:divBdr>
        <w:top w:val="none" w:sz="0" w:space="0" w:color="auto"/>
        <w:left w:val="none" w:sz="0" w:space="0" w:color="auto"/>
        <w:bottom w:val="none" w:sz="0" w:space="0" w:color="auto"/>
        <w:right w:val="none" w:sz="0" w:space="0" w:color="auto"/>
      </w:divBdr>
    </w:div>
    <w:div w:id="390537910">
      <w:bodyDiv w:val="1"/>
      <w:marLeft w:val="0"/>
      <w:marRight w:val="0"/>
      <w:marTop w:val="0"/>
      <w:marBottom w:val="0"/>
      <w:divBdr>
        <w:top w:val="none" w:sz="0" w:space="0" w:color="auto"/>
        <w:left w:val="none" w:sz="0" w:space="0" w:color="auto"/>
        <w:bottom w:val="none" w:sz="0" w:space="0" w:color="auto"/>
        <w:right w:val="none" w:sz="0" w:space="0" w:color="auto"/>
      </w:divBdr>
    </w:div>
    <w:div w:id="734931854">
      <w:bodyDiv w:val="1"/>
      <w:marLeft w:val="0"/>
      <w:marRight w:val="0"/>
      <w:marTop w:val="0"/>
      <w:marBottom w:val="0"/>
      <w:divBdr>
        <w:top w:val="none" w:sz="0" w:space="0" w:color="auto"/>
        <w:left w:val="none" w:sz="0" w:space="0" w:color="auto"/>
        <w:bottom w:val="none" w:sz="0" w:space="0" w:color="auto"/>
        <w:right w:val="none" w:sz="0" w:space="0" w:color="auto"/>
      </w:divBdr>
    </w:div>
    <w:div w:id="883951426">
      <w:bodyDiv w:val="1"/>
      <w:marLeft w:val="0"/>
      <w:marRight w:val="0"/>
      <w:marTop w:val="0"/>
      <w:marBottom w:val="0"/>
      <w:divBdr>
        <w:top w:val="none" w:sz="0" w:space="0" w:color="auto"/>
        <w:left w:val="none" w:sz="0" w:space="0" w:color="auto"/>
        <w:bottom w:val="none" w:sz="0" w:space="0" w:color="auto"/>
        <w:right w:val="none" w:sz="0" w:space="0" w:color="auto"/>
      </w:divBdr>
    </w:div>
    <w:div w:id="977955099">
      <w:bodyDiv w:val="1"/>
      <w:marLeft w:val="0"/>
      <w:marRight w:val="0"/>
      <w:marTop w:val="0"/>
      <w:marBottom w:val="0"/>
      <w:divBdr>
        <w:top w:val="none" w:sz="0" w:space="0" w:color="auto"/>
        <w:left w:val="none" w:sz="0" w:space="0" w:color="auto"/>
        <w:bottom w:val="none" w:sz="0" w:space="0" w:color="auto"/>
        <w:right w:val="none" w:sz="0" w:space="0" w:color="auto"/>
      </w:divBdr>
    </w:div>
    <w:div w:id="999695248">
      <w:bodyDiv w:val="1"/>
      <w:marLeft w:val="0"/>
      <w:marRight w:val="0"/>
      <w:marTop w:val="0"/>
      <w:marBottom w:val="0"/>
      <w:divBdr>
        <w:top w:val="none" w:sz="0" w:space="0" w:color="auto"/>
        <w:left w:val="none" w:sz="0" w:space="0" w:color="auto"/>
        <w:bottom w:val="none" w:sz="0" w:space="0" w:color="auto"/>
        <w:right w:val="none" w:sz="0" w:space="0" w:color="auto"/>
      </w:divBdr>
    </w:div>
    <w:div w:id="1172836946">
      <w:bodyDiv w:val="1"/>
      <w:marLeft w:val="0"/>
      <w:marRight w:val="0"/>
      <w:marTop w:val="0"/>
      <w:marBottom w:val="0"/>
      <w:divBdr>
        <w:top w:val="none" w:sz="0" w:space="0" w:color="auto"/>
        <w:left w:val="none" w:sz="0" w:space="0" w:color="auto"/>
        <w:bottom w:val="none" w:sz="0" w:space="0" w:color="auto"/>
        <w:right w:val="none" w:sz="0" w:space="0" w:color="auto"/>
      </w:divBdr>
    </w:div>
    <w:div w:id="1204098108">
      <w:bodyDiv w:val="1"/>
      <w:marLeft w:val="0"/>
      <w:marRight w:val="0"/>
      <w:marTop w:val="0"/>
      <w:marBottom w:val="0"/>
      <w:divBdr>
        <w:top w:val="none" w:sz="0" w:space="0" w:color="auto"/>
        <w:left w:val="none" w:sz="0" w:space="0" w:color="auto"/>
        <w:bottom w:val="none" w:sz="0" w:space="0" w:color="auto"/>
        <w:right w:val="none" w:sz="0" w:space="0" w:color="auto"/>
      </w:divBdr>
    </w:div>
    <w:div w:id="1480345002">
      <w:bodyDiv w:val="1"/>
      <w:marLeft w:val="0"/>
      <w:marRight w:val="0"/>
      <w:marTop w:val="0"/>
      <w:marBottom w:val="0"/>
      <w:divBdr>
        <w:top w:val="none" w:sz="0" w:space="0" w:color="auto"/>
        <w:left w:val="none" w:sz="0" w:space="0" w:color="auto"/>
        <w:bottom w:val="none" w:sz="0" w:space="0" w:color="auto"/>
        <w:right w:val="none" w:sz="0" w:space="0" w:color="auto"/>
      </w:divBdr>
    </w:div>
    <w:div w:id="1543177878">
      <w:bodyDiv w:val="1"/>
      <w:marLeft w:val="0"/>
      <w:marRight w:val="0"/>
      <w:marTop w:val="0"/>
      <w:marBottom w:val="0"/>
      <w:divBdr>
        <w:top w:val="none" w:sz="0" w:space="0" w:color="auto"/>
        <w:left w:val="none" w:sz="0" w:space="0" w:color="auto"/>
        <w:bottom w:val="none" w:sz="0" w:space="0" w:color="auto"/>
        <w:right w:val="none" w:sz="0" w:space="0" w:color="auto"/>
      </w:divBdr>
    </w:div>
    <w:div w:id="164515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419154">
      <w:bodyDiv w:val="1"/>
      <w:marLeft w:val="0"/>
      <w:marRight w:val="0"/>
      <w:marTop w:val="0"/>
      <w:marBottom w:val="0"/>
      <w:divBdr>
        <w:top w:val="none" w:sz="0" w:space="0" w:color="auto"/>
        <w:left w:val="none" w:sz="0" w:space="0" w:color="auto"/>
        <w:bottom w:val="none" w:sz="0" w:space="0" w:color="auto"/>
        <w:right w:val="none" w:sz="0" w:space="0" w:color="auto"/>
      </w:divBdr>
    </w:div>
    <w:div w:id="1886411524">
      <w:bodyDiv w:val="1"/>
      <w:marLeft w:val="0"/>
      <w:marRight w:val="0"/>
      <w:marTop w:val="0"/>
      <w:marBottom w:val="0"/>
      <w:divBdr>
        <w:top w:val="none" w:sz="0" w:space="0" w:color="auto"/>
        <w:left w:val="none" w:sz="0" w:space="0" w:color="auto"/>
        <w:bottom w:val="none" w:sz="0" w:space="0" w:color="auto"/>
        <w:right w:val="none" w:sz="0" w:space="0" w:color="auto"/>
      </w:divBdr>
    </w:div>
    <w:div w:id="1982228059">
      <w:bodyDiv w:val="1"/>
      <w:marLeft w:val="0"/>
      <w:marRight w:val="0"/>
      <w:marTop w:val="0"/>
      <w:marBottom w:val="0"/>
      <w:divBdr>
        <w:top w:val="none" w:sz="0" w:space="0" w:color="auto"/>
        <w:left w:val="none" w:sz="0" w:space="0" w:color="auto"/>
        <w:bottom w:val="none" w:sz="0" w:space="0" w:color="auto"/>
        <w:right w:val="none" w:sz="0" w:space="0" w:color="auto"/>
      </w:divBdr>
    </w:div>
    <w:div w:id="2094858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8pG-hHzzZ-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224B-F29D-4DAE-90D2-EAC3E637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21855</Words>
  <Characters>120208</Characters>
  <Application>Microsoft Office Word</Application>
  <DocSecurity>0</DocSecurity>
  <Lines>1001</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141780</CharactersWithSpaces>
  <SharedDoc>false</SharedDoc>
  <HLinks>
    <vt:vector size="216" baseType="variant">
      <vt:variant>
        <vt:i4>1441841</vt:i4>
      </vt:variant>
      <vt:variant>
        <vt:i4>116</vt:i4>
      </vt:variant>
      <vt:variant>
        <vt:i4>0</vt:i4>
      </vt:variant>
      <vt:variant>
        <vt:i4>5</vt:i4>
      </vt:variant>
      <vt:variant>
        <vt:lpwstr/>
      </vt:variant>
      <vt:variant>
        <vt:lpwstr>_Toc525547518</vt:lpwstr>
      </vt:variant>
      <vt:variant>
        <vt:i4>1441841</vt:i4>
      </vt:variant>
      <vt:variant>
        <vt:i4>110</vt:i4>
      </vt:variant>
      <vt:variant>
        <vt:i4>0</vt:i4>
      </vt:variant>
      <vt:variant>
        <vt:i4>5</vt:i4>
      </vt:variant>
      <vt:variant>
        <vt:lpwstr/>
      </vt:variant>
      <vt:variant>
        <vt:lpwstr>_Toc525547517</vt:lpwstr>
      </vt:variant>
      <vt:variant>
        <vt:i4>1441841</vt:i4>
      </vt:variant>
      <vt:variant>
        <vt:i4>104</vt:i4>
      </vt:variant>
      <vt:variant>
        <vt:i4>0</vt:i4>
      </vt:variant>
      <vt:variant>
        <vt:i4>5</vt:i4>
      </vt:variant>
      <vt:variant>
        <vt:lpwstr/>
      </vt:variant>
      <vt:variant>
        <vt:lpwstr>_Toc525547516</vt:lpwstr>
      </vt:variant>
      <vt:variant>
        <vt:i4>1441841</vt:i4>
      </vt:variant>
      <vt:variant>
        <vt:i4>98</vt:i4>
      </vt:variant>
      <vt:variant>
        <vt:i4>0</vt:i4>
      </vt:variant>
      <vt:variant>
        <vt:i4>5</vt:i4>
      </vt:variant>
      <vt:variant>
        <vt:lpwstr/>
      </vt:variant>
      <vt:variant>
        <vt:lpwstr>_Toc525547515</vt:lpwstr>
      </vt:variant>
      <vt:variant>
        <vt:i4>1441841</vt:i4>
      </vt:variant>
      <vt:variant>
        <vt:i4>92</vt:i4>
      </vt:variant>
      <vt:variant>
        <vt:i4>0</vt:i4>
      </vt:variant>
      <vt:variant>
        <vt:i4>5</vt:i4>
      </vt:variant>
      <vt:variant>
        <vt:lpwstr/>
      </vt:variant>
      <vt:variant>
        <vt:lpwstr>_Toc525547511</vt:lpwstr>
      </vt:variant>
      <vt:variant>
        <vt:i4>1441841</vt:i4>
      </vt:variant>
      <vt:variant>
        <vt:i4>86</vt:i4>
      </vt:variant>
      <vt:variant>
        <vt:i4>0</vt:i4>
      </vt:variant>
      <vt:variant>
        <vt:i4>5</vt:i4>
      </vt:variant>
      <vt:variant>
        <vt:lpwstr/>
      </vt:variant>
      <vt:variant>
        <vt:lpwstr>_Toc525547510</vt:lpwstr>
      </vt:variant>
      <vt:variant>
        <vt:i4>1507377</vt:i4>
      </vt:variant>
      <vt:variant>
        <vt:i4>80</vt:i4>
      </vt:variant>
      <vt:variant>
        <vt:i4>0</vt:i4>
      </vt:variant>
      <vt:variant>
        <vt:i4>5</vt:i4>
      </vt:variant>
      <vt:variant>
        <vt:lpwstr/>
      </vt:variant>
      <vt:variant>
        <vt:lpwstr>_Toc525547509</vt:lpwstr>
      </vt:variant>
      <vt:variant>
        <vt:i4>1507377</vt:i4>
      </vt:variant>
      <vt:variant>
        <vt:i4>74</vt:i4>
      </vt:variant>
      <vt:variant>
        <vt:i4>0</vt:i4>
      </vt:variant>
      <vt:variant>
        <vt:i4>5</vt:i4>
      </vt:variant>
      <vt:variant>
        <vt:lpwstr/>
      </vt:variant>
      <vt:variant>
        <vt:lpwstr>_Toc525547508</vt:lpwstr>
      </vt:variant>
      <vt:variant>
        <vt:i4>1507377</vt:i4>
      </vt:variant>
      <vt:variant>
        <vt:i4>68</vt:i4>
      </vt:variant>
      <vt:variant>
        <vt:i4>0</vt:i4>
      </vt:variant>
      <vt:variant>
        <vt:i4>5</vt:i4>
      </vt:variant>
      <vt:variant>
        <vt:lpwstr/>
      </vt:variant>
      <vt:variant>
        <vt:lpwstr>_Toc525547507</vt:lpwstr>
      </vt:variant>
      <vt:variant>
        <vt:i4>1507377</vt:i4>
      </vt:variant>
      <vt:variant>
        <vt:i4>62</vt:i4>
      </vt:variant>
      <vt:variant>
        <vt:i4>0</vt:i4>
      </vt:variant>
      <vt:variant>
        <vt:i4>5</vt:i4>
      </vt:variant>
      <vt:variant>
        <vt:lpwstr/>
      </vt:variant>
      <vt:variant>
        <vt:lpwstr>_Toc525547506</vt:lpwstr>
      </vt:variant>
      <vt:variant>
        <vt:i4>1507377</vt:i4>
      </vt:variant>
      <vt:variant>
        <vt:i4>56</vt:i4>
      </vt:variant>
      <vt:variant>
        <vt:i4>0</vt:i4>
      </vt:variant>
      <vt:variant>
        <vt:i4>5</vt:i4>
      </vt:variant>
      <vt:variant>
        <vt:lpwstr/>
      </vt:variant>
      <vt:variant>
        <vt:lpwstr>_Toc525547505</vt:lpwstr>
      </vt:variant>
      <vt:variant>
        <vt:i4>1507377</vt:i4>
      </vt:variant>
      <vt:variant>
        <vt:i4>50</vt:i4>
      </vt:variant>
      <vt:variant>
        <vt:i4>0</vt:i4>
      </vt:variant>
      <vt:variant>
        <vt:i4>5</vt:i4>
      </vt:variant>
      <vt:variant>
        <vt:lpwstr/>
      </vt:variant>
      <vt:variant>
        <vt:lpwstr>_Toc525547504</vt:lpwstr>
      </vt:variant>
      <vt:variant>
        <vt:i4>1507377</vt:i4>
      </vt:variant>
      <vt:variant>
        <vt:i4>44</vt:i4>
      </vt:variant>
      <vt:variant>
        <vt:i4>0</vt:i4>
      </vt:variant>
      <vt:variant>
        <vt:i4>5</vt:i4>
      </vt:variant>
      <vt:variant>
        <vt:lpwstr/>
      </vt:variant>
      <vt:variant>
        <vt:lpwstr>_Toc525547503</vt:lpwstr>
      </vt:variant>
      <vt:variant>
        <vt:i4>1507377</vt:i4>
      </vt:variant>
      <vt:variant>
        <vt:i4>38</vt:i4>
      </vt:variant>
      <vt:variant>
        <vt:i4>0</vt:i4>
      </vt:variant>
      <vt:variant>
        <vt:i4>5</vt:i4>
      </vt:variant>
      <vt:variant>
        <vt:lpwstr/>
      </vt:variant>
      <vt:variant>
        <vt:lpwstr>_Toc525547502</vt:lpwstr>
      </vt:variant>
      <vt:variant>
        <vt:i4>1507377</vt:i4>
      </vt:variant>
      <vt:variant>
        <vt:i4>32</vt:i4>
      </vt:variant>
      <vt:variant>
        <vt:i4>0</vt:i4>
      </vt:variant>
      <vt:variant>
        <vt:i4>5</vt:i4>
      </vt:variant>
      <vt:variant>
        <vt:lpwstr/>
      </vt:variant>
      <vt:variant>
        <vt:lpwstr>_Toc525547501</vt:lpwstr>
      </vt:variant>
      <vt:variant>
        <vt:i4>1507377</vt:i4>
      </vt:variant>
      <vt:variant>
        <vt:i4>26</vt:i4>
      </vt:variant>
      <vt:variant>
        <vt:i4>0</vt:i4>
      </vt:variant>
      <vt:variant>
        <vt:i4>5</vt:i4>
      </vt:variant>
      <vt:variant>
        <vt:lpwstr/>
      </vt:variant>
      <vt:variant>
        <vt:lpwstr>_Toc525547500</vt:lpwstr>
      </vt:variant>
      <vt:variant>
        <vt:i4>1966128</vt:i4>
      </vt:variant>
      <vt:variant>
        <vt:i4>20</vt:i4>
      </vt:variant>
      <vt:variant>
        <vt:i4>0</vt:i4>
      </vt:variant>
      <vt:variant>
        <vt:i4>5</vt:i4>
      </vt:variant>
      <vt:variant>
        <vt:lpwstr/>
      </vt:variant>
      <vt:variant>
        <vt:lpwstr>_Toc525547499</vt:lpwstr>
      </vt:variant>
      <vt:variant>
        <vt:i4>1966128</vt:i4>
      </vt:variant>
      <vt:variant>
        <vt:i4>14</vt:i4>
      </vt:variant>
      <vt:variant>
        <vt:i4>0</vt:i4>
      </vt:variant>
      <vt:variant>
        <vt:i4>5</vt:i4>
      </vt:variant>
      <vt:variant>
        <vt:lpwstr/>
      </vt:variant>
      <vt:variant>
        <vt:lpwstr>_Toc525547498</vt:lpwstr>
      </vt:variant>
      <vt:variant>
        <vt:i4>1966128</vt:i4>
      </vt:variant>
      <vt:variant>
        <vt:i4>8</vt:i4>
      </vt:variant>
      <vt:variant>
        <vt:i4>0</vt:i4>
      </vt:variant>
      <vt:variant>
        <vt:i4>5</vt:i4>
      </vt:variant>
      <vt:variant>
        <vt:lpwstr/>
      </vt:variant>
      <vt:variant>
        <vt:lpwstr>_Toc525547497</vt:lpwstr>
      </vt:variant>
      <vt:variant>
        <vt:i4>1966128</vt:i4>
      </vt:variant>
      <vt:variant>
        <vt:i4>2</vt:i4>
      </vt:variant>
      <vt:variant>
        <vt:i4>0</vt:i4>
      </vt:variant>
      <vt:variant>
        <vt:i4>5</vt:i4>
      </vt:variant>
      <vt:variant>
        <vt:lpwstr/>
      </vt:variant>
      <vt:variant>
        <vt:lpwstr>_Toc525547496</vt:lpwstr>
      </vt:variant>
      <vt:variant>
        <vt:i4>2752628</vt:i4>
      </vt:variant>
      <vt:variant>
        <vt:i4>45</vt:i4>
      </vt:variant>
      <vt:variant>
        <vt:i4>0</vt:i4>
      </vt:variant>
      <vt:variant>
        <vt:i4>5</vt:i4>
      </vt:variant>
      <vt:variant>
        <vt:lpwstr>http://joomla.corteidh.or.cr:8080/joomla/es/casos-contenciosos/38-jurisprudencia/824-corte-idh-caso-kawas-fernandez-vs-honduras-fondo-reparaciones-y-costas-sentencia-de-3-de-abril-de-2009-serie-c-no-196</vt:lpwstr>
      </vt:variant>
      <vt:variant>
        <vt:lpwstr/>
      </vt:variant>
      <vt:variant>
        <vt:i4>7012408</vt:i4>
      </vt:variant>
      <vt:variant>
        <vt:i4>42</vt:i4>
      </vt:variant>
      <vt:variant>
        <vt:i4>0</vt:i4>
      </vt:variant>
      <vt:variant>
        <vt:i4>5</vt:i4>
      </vt:variant>
      <vt:variant>
        <vt:lpwstr>http://joomla.corteidh.or.cr:8080/joomla/es/casos-contenciosos/38-jurisprudencia/1951-corte-idh-caso-garcia-y-familiares-vs-guatemala-fondo-reparaciones-y-costas-sentencia-de-29-noviembre-de-2012-serie-c-no-258</vt:lpwstr>
      </vt:variant>
      <vt:variant>
        <vt:lpwstr/>
      </vt:variant>
      <vt:variant>
        <vt:i4>4456477</vt:i4>
      </vt:variant>
      <vt:variant>
        <vt:i4>39</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3932286</vt:i4>
      </vt:variant>
      <vt:variant>
        <vt:i4>36</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3932286</vt:i4>
      </vt:variant>
      <vt:variant>
        <vt:i4>33</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3473446</vt:i4>
      </vt:variant>
      <vt:variant>
        <vt:i4>30</vt:i4>
      </vt:variant>
      <vt:variant>
        <vt:i4>0</vt:i4>
      </vt:variant>
      <vt:variant>
        <vt:i4>5</vt:i4>
      </vt:variant>
      <vt:variant>
        <vt:lpwstr>http://docstore.ohchr.org/SelfServices/FilesHandler.ashx?enc=6QkG1d%2fPPRiCAqhKb7yhsocXytluzOs83fWWVlzUSPWEY3i2MPneAItDx32YbiDNoBSFxJe89zNUXHff3j2eYOfwk09EJebYA2f6n55ArMfrEgIEyEql%2bzc9%2fWnroDpP</vt:lpwstr>
      </vt:variant>
      <vt:variant>
        <vt:lpwstr/>
      </vt:variant>
      <vt:variant>
        <vt:i4>3473446</vt:i4>
      </vt:variant>
      <vt:variant>
        <vt:i4>27</vt:i4>
      </vt:variant>
      <vt:variant>
        <vt:i4>0</vt:i4>
      </vt:variant>
      <vt:variant>
        <vt:i4>5</vt:i4>
      </vt:variant>
      <vt:variant>
        <vt:lpwstr>http://docstore.ohchr.org/SelfServices/FilesHandler.ashx?enc=6QkG1d%2fPPRiCAqhKb7yhsocXytluzOs83fWWVlzUSPWEY3i2MPneAItDx32YbiDNoBSFxJe89zNUXHff3j2eYOfwk09EJebYA2f6n55ArMfrEgIEyEql%2bzc9%2fWnroDpP</vt:lpwstr>
      </vt:variant>
      <vt:variant>
        <vt:lpwstr/>
      </vt:variant>
      <vt:variant>
        <vt:i4>8126579</vt:i4>
      </vt:variant>
      <vt:variant>
        <vt:i4>24</vt:i4>
      </vt:variant>
      <vt:variant>
        <vt:i4>0</vt:i4>
      </vt:variant>
      <vt:variant>
        <vt:i4>5</vt:i4>
      </vt:variant>
      <vt:variant>
        <vt:lpwstr>https://documents-dds-ny.un.org/doc/UNDOC/GEN/G14/112/20/PDF/G1411220.pdf?OpenElement+</vt:lpwstr>
      </vt:variant>
      <vt:variant>
        <vt:lpwstr/>
      </vt:variant>
      <vt:variant>
        <vt:i4>3473446</vt:i4>
      </vt:variant>
      <vt:variant>
        <vt:i4>21</vt:i4>
      </vt:variant>
      <vt:variant>
        <vt:i4>0</vt:i4>
      </vt:variant>
      <vt:variant>
        <vt:i4>5</vt:i4>
      </vt:variant>
      <vt:variant>
        <vt:lpwstr>http://docstore.ohchr.org/SelfServices/FilesHandler.ashx?enc=6QkG1d%2fPPRiCAqhKb7yhsocXytluzOs83fWWVlzUSPWEY3i2MPneAItDx32YbiDNoBSFxJe89zNUXHff3j2eYOfwk09EJebYA2f6n55ArMfrEgIEyEql%2bzc9%2fWnroDpP</vt:lpwstr>
      </vt:variant>
      <vt:variant>
        <vt:lpwstr/>
      </vt:variant>
      <vt:variant>
        <vt:i4>3473446</vt:i4>
      </vt:variant>
      <vt:variant>
        <vt:i4>18</vt:i4>
      </vt:variant>
      <vt:variant>
        <vt:i4>0</vt:i4>
      </vt:variant>
      <vt:variant>
        <vt:i4>5</vt:i4>
      </vt:variant>
      <vt:variant>
        <vt:lpwstr>http://docstore.ohchr.org/SelfServices/FilesHandler.ashx?enc=6QkG1d%2fPPRiCAqhKb7yhsocXytluzOs83fWWVlzUSPWEY3i2MPneAItDx32YbiDNoBSFxJe89zNUXHff3j2eYOfwk09EJebYA2f6n55ArMfrEgIEyEql%2bzc9%2fWnroDpP</vt:lpwstr>
      </vt:variant>
      <vt:variant>
        <vt:lpwstr/>
      </vt:variant>
      <vt:variant>
        <vt:i4>3473446</vt:i4>
      </vt:variant>
      <vt:variant>
        <vt:i4>15</vt:i4>
      </vt:variant>
      <vt:variant>
        <vt:i4>0</vt:i4>
      </vt:variant>
      <vt:variant>
        <vt:i4>5</vt:i4>
      </vt:variant>
      <vt:variant>
        <vt:lpwstr>http://docstore.ohchr.org/SelfServices/FilesHandler.ashx?enc=6QkG1d%2fPPRiCAqhKb7yhsocXytluzOs83fWWVlzUSPWEY3i2MPneAItDx32YbiDNoBSFxJe89zNUXHff3j2eYOfwk09EJebYA2f6n55ArMfrEgIEyEql%2bzc9%2fWnroDpP</vt:lpwstr>
      </vt:variant>
      <vt:variant>
        <vt:lpwstr/>
      </vt:variant>
      <vt:variant>
        <vt:i4>8126579</vt:i4>
      </vt:variant>
      <vt:variant>
        <vt:i4>12</vt:i4>
      </vt:variant>
      <vt:variant>
        <vt:i4>0</vt:i4>
      </vt:variant>
      <vt:variant>
        <vt:i4>5</vt:i4>
      </vt:variant>
      <vt:variant>
        <vt:lpwstr>https://documents-dds-ny.un.org/doc/UNDOC/GEN/G14/112/20/PDF/G1411220.pdf?OpenElement+</vt:lpwstr>
      </vt:variant>
      <vt:variant>
        <vt:lpwstr/>
      </vt:variant>
      <vt:variant>
        <vt:i4>3866660</vt:i4>
      </vt:variant>
      <vt:variant>
        <vt:i4>9</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3866660</vt:i4>
      </vt:variant>
      <vt:variant>
        <vt:i4>6</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3997816</vt:i4>
      </vt:variant>
      <vt:variant>
        <vt:i4>3</vt:i4>
      </vt:variant>
      <vt:variant>
        <vt:i4>0</vt:i4>
      </vt:variant>
      <vt:variant>
        <vt:i4>5</vt:i4>
      </vt:variant>
      <vt:variant>
        <vt:lpwstr>https://www.youtube.com/watch?v=8pG-hHzzZ-Y</vt:lpwstr>
      </vt:variant>
      <vt:variant>
        <vt:lpwstr/>
      </vt:variant>
      <vt:variant>
        <vt:i4>1900631</vt:i4>
      </vt:variant>
      <vt:variant>
        <vt:i4>0</vt:i4>
      </vt:variant>
      <vt:variant>
        <vt:i4>0</vt:i4>
      </vt:variant>
      <vt:variant>
        <vt:i4>5</vt:i4>
      </vt:variant>
      <vt:variant>
        <vt:lpwstr>http://www.cidh.oas.org/annualrep/2010sp/34.ECAD247-07ES.doc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4</cp:revision>
  <cp:lastPrinted>2017-05-02T13:58:00Z</cp:lastPrinted>
  <dcterms:created xsi:type="dcterms:W3CDTF">2019-01-10T21:18:00Z</dcterms:created>
  <dcterms:modified xsi:type="dcterms:W3CDTF">2019-10-02T19:33:00Z</dcterms:modified>
</cp:coreProperties>
</file>