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2157188"/>
    <w:bookmarkStart w:id="1" w:name="_Toc2157242"/>
    <w:bookmarkStart w:id="2" w:name="_Toc2157553"/>
    <w:bookmarkStart w:id="3" w:name="_Toc2158523"/>
    <w:bookmarkStart w:id="4" w:name="_Toc2159205"/>
    <w:p w14:paraId="1FFD2F1C" w14:textId="3C8B2F10" w:rsidR="00040C3A" w:rsidRPr="009E773A" w:rsidRDefault="00D306D1" w:rsidP="00537CC4">
      <w:pPr>
        <w:pStyle w:val="Heading2"/>
        <w:rPr>
          <w:rFonts w:asciiTheme="majorHAnsi" w:hAnsiTheme="majorHAnsi"/>
          <w:szCs w:val="20"/>
        </w:rPr>
      </w:pPr>
      <w:r w:rsidRPr="009E773A">
        <w:rPr>
          <w:rFonts w:asciiTheme="majorHAnsi" w:hAnsiTheme="majorHAnsi"/>
          <w:noProof/>
          <w:szCs w:val="20"/>
          <w:lang w:val="es-UY" w:eastAsia="es-UY"/>
        </w:rPr>
        <mc:AlternateContent>
          <mc:Choice Requires="wps">
            <w:drawing>
              <wp:anchor distT="0" distB="0" distL="114300" distR="114300" simplePos="0" relativeHeight="251655168" behindDoc="0" locked="0" layoutInCell="1" allowOverlap="1" wp14:anchorId="7DBC3B39" wp14:editId="16D2A96E">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E773A">
        <w:rPr>
          <w:rFonts w:asciiTheme="majorHAnsi" w:hAnsiTheme="majorHAnsi"/>
          <w:noProof/>
          <w:szCs w:val="20"/>
          <w:lang w:val="es-UY" w:eastAsia="es-UY"/>
        </w:rPr>
        <mc:AlternateContent>
          <mc:Choice Requires="wps">
            <w:drawing>
              <wp:anchor distT="0" distB="0" distL="114300" distR="114300" simplePos="0" relativeHeight="251659264" behindDoc="0" locked="0" layoutInCell="1" allowOverlap="1" wp14:anchorId="57BEA980" wp14:editId="48797043">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01BBD7" w14:textId="77777777" w:rsidR="006B16F4" w:rsidRDefault="006B16F4" w:rsidP="00AE5488">
                            <w:r>
                              <w:rPr>
                                <w:noProof/>
                                <w:lang w:val="es-UY" w:eastAsia="es-UY"/>
                              </w:rPr>
                              <w:drawing>
                                <wp:inline distT="0" distB="0" distL="0" distR="0" wp14:anchorId="2C3EC099" wp14:editId="7E6F7CED">
                                  <wp:extent cx="2647666" cy="509676"/>
                                  <wp:effectExtent l="0" t="0" r="635" b="5080"/>
                                  <wp:docPr id="2" name="Picture 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4001BBD7" w14:textId="77777777" w:rsidR="006B16F4" w:rsidRDefault="006B16F4" w:rsidP="00AE5488">
                      <w:r>
                        <w:rPr>
                          <w:noProof/>
                          <w:lang w:val="es-ES" w:eastAsia="es-ES"/>
                        </w:rPr>
                        <w:drawing>
                          <wp:inline distT="0" distB="0" distL="0" distR="0" wp14:anchorId="2C3EC099" wp14:editId="7E6F7CED">
                            <wp:extent cx="2647666" cy="509676"/>
                            <wp:effectExtent l="0" t="0" r="635" b="5080"/>
                            <wp:docPr id="2" name="Picture 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bookmarkEnd w:id="0"/>
      <w:bookmarkEnd w:id="1"/>
      <w:bookmarkEnd w:id="2"/>
      <w:bookmarkEnd w:id="3"/>
      <w:bookmarkEnd w:id="4"/>
    </w:p>
    <w:p w14:paraId="4F050ADB" w14:textId="77777777" w:rsidR="00040C3A" w:rsidRPr="009E773A" w:rsidRDefault="00040C3A" w:rsidP="00040C3A">
      <w:pPr>
        <w:tabs>
          <w:tab w:val="center" w:pos="5400"/>
        </w:tabs>
        <w:suppressAutoHyphens/>
        <w:jc w:val="both"/>
        <w:rPr>
          <w:rFonts w:asciiTheme="majorHAnsi" w:hAnsiTheme="majorHAnsi"/>
          <w:sz w:val="20"/>
          <w:szCs w:val="20"/>
        </w:rPr>
      </w:pPr>
    </w:p>
    <w:p w14:paraId="0F7E4A8E" w14:textId="77777777" w:rsidR="005128E4" w:rsidRPr="009E773A" w:rsidRDefault="005128E4" w:rsidP="00040C3A">
      <w:pPr>
        <w:tabs>
          <w:tab w:val="center" w:pos="5400"/>
        </w:tabs>
        <w:suppressAutoHyphens/>
        <w:rPr>
          <w:rFonts w:asciiTheme="majorHAnsi" w:hAnsiTheme="majorHAnsi"/>
          <w:sz w:val="20"/>
          <w:szCs w:val="20"/>
        </w:rPr>
      </w:pPr>
    </w:p>
    <w:p w14:paraId="7AFED8A3" w14:textId="77777777" w:rsidR="005128E4" w:rsidRPr="009E773A" w:rsidRDefault="005128E4" w:rsidP="00040C3A">
      <w:pPr>
        <w:tabs>
          <w:tab w:val="center" w:pos="5400"/>
        </w:tabs>
        <w:suppressAutoHyphens/>
        <w:rPr>
          <w:rFonts w:asciiTheme="majorHAnsi" w:hAnsiTheme="majorHAnsi"/>
          <w:sz w:val="20"/>
          <w:szCs w:val="20"/>
        </w:rPr>
      </w:pPr>
    </w:p>
    <w:p w14:paraId="1DC9E81E" w14:textId="77777777" w:rsidR="005128E4" w:rsidRPr="009E773A" w:rsidRDefault="005128E4" w:rsidP="00040C3A">
      <w:pPr>
        <w:tabs>
          <w:tab w:val="center" w:pos="5400"/>
        </w:tabs>
        <w:suppressAutoHyphens/>
        <w:rPr>
          <w:rFonts w:asciiTheme="majorHAnsi" w:hAnsiTheme="majorHAnsi"/>
          <w:sz w:val="20"/>
          <w:szCs w:val="20"/>
        </w:rPr>
      </w:pPr>
    </w:p>
    <w:p w14:paraId="65DA86F6" w14:textId="77777777" w:rsidR="00040C3A" w:rsidRPr="009E773A" w:rsidRDefault="00040C3A" w:rsidP="005128E4">
      <w:pPr>
        <w:tabs>
          <w:tab w:val="center" w:pos="5400"/>
        </w:tabs>
        <w:suppressAutoHyphens/>
        <w:jc w:val="center"/>
        <w:rPr>
          <w:rFonts w:asciiTheme="majorHAnsi" w:hAnsiTheme="majorHAnsi"/>
          <w:sz w:val="20"/>
          <w:szCs w:val="20"/>
        </w:rPr>
      </w:pPr>
    </w:p>
    <w:p w14:paraId="0B7870D3" w14:textId="53DFFE1C" w:rsidR="00040C3A" w:rsidRPr="009E773A" w:rsidRDefault="00040C3A" w:rsidP="005128E4">
      <w:pPr>
        <w:tabs>
          <w:tab w:val="center" w:pos="5400"/>
        </w:tabs>
        <w:suppressAutoHyphens/>
        <w:jc w:val="center"/>
        <w:rPr>
          <w:rFonts w:asciiTheme="majorHAnsi" w:hAnsiTheme="majorHAnsi"/>
          <w:sz w:val="20"/>
          <w:szCs w:val="20"/>
        </w:rPr>
      </w:pPr>
    </w:p>
    <w:p w14:paraId="268CFFE2" w14:textId="77777777" w:rsidR="005B52B0" w:rsidRPr="009E773A" w:rsidRDefault="005B52B0" w:rsidP="005128E4">
      <w:pPr>
        <w:tabs>
          <w:tab w:val="center" w:pos="5400"/>
        </w:tabs>
        <w:suppressAutoHyphens/>
        <w:jc w:val="center"/>
        <w:rPr>
          <w:rFonts w:asciiTheme="majorHAnsi" w:hAnsiTheme="majorHAnsi"/>
          <w:sz w:val="20"/>
          <w:szCs w:val="20"/>
        </w:rPr>
      </w:pPr>
    </w:p>
    <w:p w14:paraId="0A41418B" w14:textId="77777777" w:rsidR="005B52B0" w:rsidRPr="009E773A" w:rsidRDefault="005B52B0" w:rsidP="005128E4">
      <w:pPr>
        <w:tabs>
          <w:tab w:val="center" w:pos="5400"/>
        </w:tabs>
        <w:suppressAutoHyphens/>
        <w:jc w:val="center"/>
        <w:rPr>
          <w:rFonts w:asciiTheme="majorHAnsi" w:hAnsiTheme="majorHAnsi"/>
          <w:sz w:val="20"/>
          <w:szCs w:val="20"/>
        </w:rPr>
      </w:pPr>
    </w:p>
    <w:p w14:paraId="047C2D11" w14:textId="77777777" w:rsidR="005B52B0" w:rsidRPr="009E773A" w:rsidRDefault="005B52B0" w:rsidP="005128E4">
      <w:pPr>
        <w:tabs>
          <w:tab w:val="center" w:pos="5400"/>
        </w:tabs>
        <w:suppressAutoHyphens/>
        <w:jc w:val="center"/>
        <w:rPr>
          <w:rFonts w:asciiTheme="majorHAnsi" w:hAnsiTheme="majorHAnsi"/>
          <w:sz w:val="20"/>
          <w:szCs w:val="20"/>
        </w:rPr>
      </w:pPr>
    </w:p>
    <w:p w14:paraId="2AD9A82A" w14:textId="77777777" w:rsidR="00040C3A" w:rsidRPr="009E773A" w:rsidRDefault="00040C3A" w:rsidP="00040C3A">
      <w:pPr>
        <w:tabs>
          <w:tab w:val="center" w:pos="5400"/>
        </w:tabs>
        <w:suppressAutoHyphens/>
        <w:jc w:val="center"/>
        <w:rPr>
          <w:rFonts w:asciiTheme="majorHAnsi" w:hAnsiTheme="majorHAnsi"/>
          <w:sz w:val="20"/>
          <w:szCs w:val="20"/>
        </w:rPr>
      </w:pPr>
    </w:p>
    <w:p w14:paraId="7B151591" w14:textId="77777777" w:rsidR="00040C3A" w:rsidRPr="009E773A" w:rsidRDefault="00040C3A" w:rsidP="00040C3A">
      <w:pPr>
        <w:tabs>
          <w:tab w:val="center" w:pos="5400"/>
        </w:tabs>
        <w:suppressAutoHyphens/>
        <w:jc w:val="center"/>
        <w:rPr>
          <w:rFonts w:asciiTheme="majorHAnsi" w:hAnsiTheme="majorHAnsi"/>
          <w:sz w:val="20"/>
          <w:szCs w:val="20"/>
        </w:rPr>
      </w:pPr>
    </w:p>
    <w:p w14:paraId="72E9525C" w14:textId="77777777" w:rsidR="00040C3A" w:rsidRPr="009E773A" w:rsidRDefault="004E2649" w:rsidP="00040C3A">
      <w:pPr>
        <w:tabs>
          <w:tab w:val="center" w:pos="5400"/>
        </w:tabs>
        <w:suppressAutoHyphens/>
        <w:jc w:val="center"/>
        <w:rPr>
          <w:rFonts w:asciiTheme="majorHAnsi" w:hAnsiTheme="majorHAnsi"/>
          <w:sz w:val="20"/>
          <w:szCs w:val="20"/>
        </w:rPr>
      </w:pPr>
      <w:r w:rsidRPr="009E773A">
        <w:rPr>
          <w:rFonts w:asciiTheme="majorHAnsi" w:hAnsiTheme="majorHAnsi"/>
          <w:noProof/>
          <w:sz w:val="20"/>
          <w:szCs w:val="20"/>
          <w:lang w:val="es-UY" w:eastAsia="es-UY"/>
        </w:rPr>
        <mc:AlternateContent>
          <mc:Choice Requires="wps">
            <w:drawing>
              <wp:anchor distT="0" distB="0" distL="114300" distR="114300" simplePos="0" relativeHeight="251671552" behindDoc="0" locked="0" layoutInCell="1" allowOverlap="1" wp14:anchorId="16A6980C" wp14:editId="1023CD7E">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CA6B6E" w14:textId="3F9546CB" w:rsidR="006B16F4" w:rsidRPr="004E2649" w:rsidRDefault="006B16F4"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OEA/Ser.L/V/II.170</w:t>
                            </w:r>
                          </w:p>
                          <w:p w14:paraId="31883673" w14:textId="61F092B1" w:rsidR="006B16F4" w:rsidRPr="004E2649" w:rsidRDefault="006B16F4"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Doc.</w:t>
                            </w:r>
                            <w:r>
                              <w:rPr>
                                <w:rFonts w:asciiTheme="minorHAnsi" w:hAnsiTheme="minorHAnsi"/>
                                <w:color w:val="FFFFFF" w:themeColor="background1"/>
                                <w:sz w:val="22"/>
                                <w:lang w:val="pt-BR"/>
                              </w:rPr>
                              <w:t xml:space="preserve"> 182</w:t>
                            </w:r>
                          </w:p>
                          <w:p w14:paraId="519DAB4C" w14:textId="55F9B8B0" w:rsidR="006B16F4" w:rsidRPr="007C756A" w:rsidRDefault="006B16F4"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7</w:t>
                            </w:r>
                            <w:r w:rsidRPr="007C756A">
                              <w:rPr>
                                <w:rFonts w:asciiTheme="minorHAnsi" w:hAnsiTheme="minorHAnsi"/>
                                <w:color w:val="FFFFFF" w:themeColor="background1"/>
                                <w:sz w:val="22"/>
                                <w:lang w:val="es-US"/>
                              </w:rPr>
                              <w:t xml:space="preserve"> </w:t>
                            </w:r>
                            <w:r>
                              <w:rPr>
                                <w:rFonts w:asciiTheme="minorHAnsi" w:hAnsiTheme="minorHAnsi"/>
                                <w:color w:val="FFFFFF" w:themeColor="background1"/>
                                <w:sz w:val="22"/>
                                <w:lang w:val="es-US"/>
                              </w:rPr>
                              <w:t>diciembre</w:t>
                            </w:r>
                            <w:r w:rsidRPr="007C756A">
                              <w:rPr>
                                <w:rFonts w:asciiTheme="minorHAnsi" w:hAnsiTheme="minorHAnsi"/>
                                <w:color w:val="FFFFFF" w:themeColor="background1"/>
                                <w:sz w:val="22"/>
                                <w:lang w:val="es-US"/>
                              </w:rPr>
                              <w:t xml:space="preserve"> 20</w:t>
                            </w:r>
                            <w:r>
                              <w:rPr>
                                <w:rFonts w:asciiTheme="minorHAnsi" w:hAnsiTheme="minorHAnsi"/>
                                <w:color w:val="FFFFFF" w:themeColor="background1"/>
                                <w:sz w:val="22"/>
                                <w:lang w:val="es-US"/>
                              </w:rPr>
                              <w:t>18</w:t>
                            </w:r>
                          </w:p>
                          <w:p w14:paraId="28C1746D" w14:textId="77777777" w:rsidR="006B16F4" w:rsidRPr="007C756A" w:rsidRDefault="006B16F4" w:rsidP="007A5817">
                            <w:pPr>
                              <w:spacing w:line="276" w:lineRule="auto"/>
                              <w:jc w:val="right"/>
                              <w:rPr>
                                <w:rFonts w:asciiTheme="minorHAnsi" w:hAnsiTheme="minorHAnsi"/>
                                <w:color w:val="FFFFFF" w:themeColor="background1"/>
                                <w:sz w:val="22"/>
                                <w:lang w:val="es-US"/>
                              </w:rPr>
                            </w:pPr>
                            <w:r w:rsidRPr="007C756A">
                              <w:rPr>
                                <w:rFonts w:asciiTheme="minorHAnsi" w:hAnsiTheme="minorHAnsi"/>
                                <w:color w:val="FFFFFF" w:themeColor="background1"/>
                                <w:sz w:val="22"/>
                                <w:lang w:val="es-U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35CA6B6E" w14:textId="3F9546CB" w:rsidR="006B16F4" w:rsidRPr="004E2649" w:rsidRDefault="006B16F4"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OEA/Ser.L/V/II.170</w:t>
                      </w:r>
                    </w:p>
                    <w:p w14:paraId="31883673" w14:textId="61F092B1" w:rsidR="006B16F4" w:rsidRPr="004E2649" w:rsidRDefault="006B16F4"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Doc.</w:t>
                      </w:r>
                      <w:r>
                        <w:rPr>
                          <w:rFonts w:asciiTheme="minorHAnsi" w:hAnsiTheme="minorHAnsi"/>
                          <w:color w:val="FFFFFF" w:themeColor="background1"/>
                          <w:sz w:val="22"/>
                          <w:lang w:val="pt-BR"/>
                        </w:rPr>
                        <w:t xml:space="preserve"> 182</w:t>
                      </w:r>
                    </w:p>
                    <w:p w14:paraId="519DAB4C" w14:textId="55F9B8B0" w:rsidR="006B16F4" w:rsidRPr="007C756A" w:rsidRDefault="006B16F4"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7</w:t>
                      </w:r>
                      <w:r w:rsidRPr="007C756A">
                        <w:rPr>
                          <w:rFonts w:asciiTheme="minorHAnsi" w:hAnsiTheme="minorHAnsi"/>
                          <w:color w:val="FFFFFF" w:themeColor="background1"/>
                          <w:sz w:val="22"/>
                          <w:lang w:val="es-US"/>
                        </w:rPr>
                        <w:t xml:space="preserve"> </w:t>
                      </w:r>
                      <w:r>
                        <w:rPr>
                          <w:rFonts w:asciiTheme="minorHAnsi" w:hAnsiTheme="minorHAnsi"/>
                          <w:color w:val="FFFFFF" w:themeColor="background1"/>
                          <w:sz w:val="22"/>
                          <w:lang w:val="es-US"/>
                        </w:rPr>
                        <w:t>diciembre</w:t>
                      </w:r>
                      <w:r w:rsidRPr="007C756A">
                        <w:rPr>
                          <w:rFonts w:asciiTheme="minorHAnsi" w:hAnsiTheme="minorHAnsi"/>
                          <w:color w:val="FFFFFF" w:themeColor="background1"/>
                          <w:sz w:val="22"/>
                          <w:lang w:val="es-US"/>
                        </w:rPr>
                        <w:t xml:space="preserve"> 20</w:t>
                      </w:r>
                      <w:r>
                        <w:rPr>
                          <w:rFonts w:asciiTheme="minorHAnsi" w:hAnsiTheme="minorHAnsi"/>
                          <w:color w:val="FFFFFF" w:themeColor="background1"/>
                          <w:sz w:val="22"/>
                          <w:lang w:val="es-US"/>
                        </w:rPr>
                        <w:t>18</w:t>
                      </w:r>
                    </w:p>
                    <w:p w14:paraId="28C1746D" w14:textId="77777777" w:rsidR="006B16F4" w:rsidRPr="007C756A" w:rsidRDefault="006B16F4" w:rsidP="007A5817">
                      <w:pPr>
                        <w:spacing w:line="276" w:lineRule="auto"/>
                        <w:jc w:val="right"/>
                        <w:rPr>
                          <w:rFonts w:asciiTheme="minorHAnsi" w:hAnsiTheme="minorHAnsi"/>
                          <w:color w:val="FFFFFF" w:themeColor="background1"/>
                          <w:sz w:val="22"/>
                          <w:lang w:val="es-US"/>
                        </w:rPr>
                      </w:pPr>
                      <w:r w:rsidRPr="007C756A">
                        <w:rPr>
                          <w:rFonts w:asciiTheme="minorHAnsi" w:hAnsiTheme="minorHAnsi"/>
                          <w:color w:val="FFFFFF" w:themeColor="background1"/>
                          <w:sz w:val="22"/>
                          <w:lang w:val="es-US"/>
                        </w:rPr>
                        <w:t>Original: español</w:t>
                      </w:r>
                    </w:p>
                  </w:txbxContent>
                </v:textbox>
              </v:shape>
            </w:pict>
          </mc:Fallback>
        </mc:AlternateContent>
      </w:r>
    </w:p>
    <w:p w14:paraId="7C0988D5" w14:textId="5324615F" w:rsidR="00040C3A" w:rsidRPr="009E773A" w:rsidRDefault="00A34BBD" w:rsidP="00040C3A">
      <w:pPr>
        <w:tabs>
          <w:tab w:val="center" w:pos="5400"/>
        </w:tabs>
        <w:suppressAutoHyphens/>
        <w:jc w:val="center"/>
        <w:rPr>
          <w:rFonts w:asciiTheme="majorHAnsi" w:hAnsiTheme="majorHAnsi"/>
          <w:sz w:val="20"/>
          <w:szCs w:val="20"/>
        </w:rPr>
      </w:pPr>
      <w:r w:rsidRPr="009E773A">
        <w:rPr>
          <w:rFonts w:asciiTheme="majorHAnsi" w:hAnsiTheme="majorHAnsi"/>
          <w:noProof/>
          <w:sz w:val="20"/>
          <w:szCs w:val="20"/>
          <w:lang w:val="es-UY" w:eastAsia="es-UY"/>
        </w:rPr>
        <mc:AlternateContent>
          <mc:Choice Requires="wps">
            <w:drawing>
              <wp:anchor distT="0" distB="0" distL="114300" distR="114300" simplePos="0" relativeHeight="251657216" behindDoc="0" locked="0" layoutInCell="1" allowOverlap="1" wp14:anchorId="75D48F3B" wp14:editId="35B85440">
                <wp:simplePos x="0" y="0"/>
                <wp:positionH relativeFrom="column">
                  <wp:posOffset>1130300</wp:posOffset>
                </wp:positionH>
                <wp:positionV relativeFrom="paragraph">
                  <wp:posOffset>123190</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7EB83F" w14:textId="2A7240D9" w:rsidR="006B16F4" w:rsidRPr="00901916" w:rsidRDefault="006B16F4" w:rsidP="00997BC5">
                            <w:pPr>
                              <w:spacing w:line="276" w:lineRule="auto"/>
                              <w:rPr>
                                <w:rFonts w:asciiTheme="majorHAnsi" w:hAnsiTheme="majorHAnsi" w:cs="Arial"/>
                                <w:b/>
                                <w:bCs/>
                                <w:color w:val="0D0D0D" w:themeColor="text1" w:themeTint="F2"/>
                                <w:sz w:val="36"/>
                                <w:szCs w:val="22"/>
                              </w:rPr>
                            </w:pPr>
                            <w:r w:rsidRPr="00901916">
                              <w:rPr>
                                <w:rFonts w:asciiTheme="majorHAnsi" w:hAnsiTheme="majorHAnsi" w:cs="Arial"/>
                                <w:b/>
                                <w:bCs/>
                                <w:color w:val="0D0D0D" w:themeColor="text1" w:themeTint="F2"/>
                                <w:sz w:val="36"/>
                                <w:szCs w:val="22"/>
                              </w:rPr>
                              <w:t xml:space="preserve">INFORME </w:t>
                            </w:r>
                            <w:r w:rsidRPr="00901916">
                              <w:rPr>
                                <w:rFonts w:asciiTheme="majorHAnsi" w:hAnsiTheme="majorHAnsi" w:cs="Arial"/>
                                <w:b/>
                                <w:bCs/>
                                <w:color w:val="0D0D0D" w:themeColor="text1" w:themeTint="F2"/>
                                <w:sz w:val="36"/>
                                <w:szCs w:val="40"/>
                              </w:rPr>
                              <w:t>No.</w:t>
                            </w:r>
                            <w:r w:rsidRPr="00901916">
                              <w:rPr>
                                <w:rFonts w:asciiTheme="majorHAnsi" w:hAnsiTheme="majorHAnsi" w:cs="Arial"/>
                                <w:b/>
                                <w:bCs/>
                                <w:color w:val="0D0D0D" w:themeColor="text1" w:themeTint="F2"/>
                                <w:sz w:val="36"/>
                                <w:szCs w:val="22"/>
                              </w:rPr>
                              <w:t xml:space="preserve"> </w:t>
                            </w:r>
                            <w:r>
                              <w:rPr>
                                <w:rFonts w:asciiTheme="majorHAnsi" w:hAnsiTheme="majorHAnsi" w:cs="Arial"/>
                                <w:b/>
                                <w:bCs/>
                                <w:color w:val="0D0D0D" w:themeColor="text1" w:themeTint="F2"/>
                                <w:sz w:val="36"/>
                                <w:szCs w:val="22"/>
                              </w:rPr>
                              <w:t>160</w:t>
                            </w:r>
                            <w:r w:rsidRPr="00DD4BFB">
                              <w:rPr>
                                <w:rFonts w:asciiTheme="majorHAnsi" w:hAnsiTheme="majorHAnsi" w:cs="Arial"/>
                                <w:b/>
                                <w:bCs/>
                                <w:color w:val="0D0D0D" w:themeColor="text1" w:themeTint="F2"/>
                                <w:sz w:val="36"/>
                                <w:szCs w:val="22"/>
                              </w:rPr>
                              <w:t>/</w:t>
                            </w:r>
                            <w:r w:rsidRPr="00901916">
                              <w:rPr>
                                <w:rFonts w:asciiTheme="majorHAnsi" w:hAnsiTheme="majorHAnsi" w:cs="Arial"/>
                                <w:b/>
                                <w:bCs/>
                                <w:color w:val="0D0D0D" w:themeColor="text1" w:themeTint="F2"/>
                                <w:sz w:val="36"/>
                                <w:szCs w:val="22"/>
                              </w:rPr>
                              <w:t>18</w:t>
                            </w:r>
                          </w:p>
                          <w:p w14:paraId="596F1A2F" w14:textId="77777777" w:rsidR="006B16F4" w:rsidRPr="00901916" w:rsidRDefault="006B16F4" w:rsidP="00997BC5">
                            <w:pPr>
                              <w:spacing w:line="276" w:lineRule="auto"/>
                              <w:rPr>
                                <w:rFonts w:asciiTheme="majorHAnsi" w:hAnsiTheme="majorHAnsi" w:cs="Arial"/>
                                <w:b/>
                                <w:color w:val="0D0D0D" w:themeColor="text1" w:themeTint="F2"/>
                                <w:sz w:val="36"/>
                                <w:szCs w:val="22"/>
                              </w:rPr>
                            </w:pPr>
                            <w:r w:rsidRPr="00901916">
                              <w:rPr>
                                <w:rFonts w:asciiTheme="majorHAnsi" w:hAnsiTheme="majorHAnsi" w:cs="Arial"/>
                                <w:b/>
                                <w:color w:val="0D0D0D" w:themeColor="text1" w:themeTint="F2"/>
                                <w:sz w:val="36"/>
                                <w:szCs w:val="22"/>
                              </w:rPr>
                              <w:t>CASO 12.805</w:t>
                            </w:r>
                          </w:p>
                          <w:p w14:paraId="164C59FD" w14:textId="77777777" w:rsidR="006B16F4" w:rsidRPr="0010736F" w:rsidRDefault="006B16F4" w:rsidP="000158FD">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INFORME DE FONDO</w:t>
                            </w:r>
                            <w:r w:rsidRPr="0010736F">
                              <w:rPr>
                                <w:rFonts w:asciiTheme="majorHAnsi" w:hAnsiTheme="majorHAnsi" w:cs="Arial"/>
                                <w:color w:val="0D0D0D" w:themeColor="text1" w:themeTint="F2"/>
                                <w:szCs w:val="22"/>
                                <w:lang w:val="es-ES_tradnl"/>
                              </w:rPr>
                              <w:t xml:space="preserve"> </w:t>
                            </w:r>
                          </w:p>
                          <w:p w14:paraId="0A24FB62" w14:textId="77777777" w:rsidR="006B16F4" w:rsidRPr="0010736F" w:rsidRDefault="006B16F4" w:rsidP="00997BC5">
                            <w:pPr>
                              <w:spacing w:line="276" w:lineRule="auto"/>
                              <w:rPr>
                                <w:rFonts w:asciiTheme="majorHAnsi" w:hAnsiTheme="majorHAnsi" w:cs="Arial"/>
                                <w:color w:val="0D0D0D" w:themeColor="text1" w:themeTint="F2"/>
                                <w:szCs w:val="22"/>
                                <w:lang w:val="es-ES_tradnl"/>
                              </w:rPr>
                            </w:pPr>
                            <w:bookmarkStart w:id="5" w:name="_ftnref1"/>
                          </w:p>
                          <w:p w14:paraId="47CC821E" w14:textId="77777777" w:rsidR="006B16F4" w:rsidRPr="003C6934" w:rsidRDefault="006B16F4"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JIMMY GUERRERO, RAM</w:t>
                            </w:r>
                            <w:r>
                              <w:rPr>
                                <w:rFonts w:asciiTheme="majorHAnsi" w:hAnsiTheme="majorHAnsi" w:cs="Arial"/>
                                <w:color w:val="0D0D0D" w:themeColor="text1" w:themeTint="F2"/>
                                <w:szCs w:val="22"/>
                              </w:rPr>
                              <w:t>ÓN MOLINA PÉREZ Y FAMILIARES</w:t>
                            </w:r>
                          </w:p>
                          <w:bookmarkEnd w:id="5"/>
                          <w:p w14:paraId="0BA8967D" w14:textId="77777777" w:rsidR="006B16F4" w:rsidRPr="0010736F" w:rsidRDefault="006B16F4"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VENEZUELA</w:t>
                            </w:r>
                          </w:p>
                          <w:p w14:paraId="5DA1E7DD" w14:textId="77777777" w:rsidR="006B16F4" w:rsidRPr="00AE5488" w:rsidRDefault="006B16F4"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left:0;text-align:left;margin-left:89pt;margin-top:9.7pt;width:349.7pt;height:17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" filled="f" stroked="f" strokeweight=".5pt">
                <v:textbox>
                  <w:txbxContent>
                    <w:p w14:paraId="357EB83F" w14:textId="2A7240D9" w:rsidR="006B16F4" w:rsidRPr="00901916" w:rsidRDefault="006B16F4" w:rsidP="00997BC5">
                      <w:pPr>
                        <w:spacing w:line="276" w:lineRule="auto"/>
                        <w:rPr>
                          <w:rFonts w:asciiTheme="majorHAnsi" w:hAnsiTheme="majorHAnsi" w:cs="Arial"/>
                          <w:b/>
                          <w:bCs/>
                          <w:color w:val="0D0D0D" w:themeColor="text1" w:themeTint="F2"/>
                          <w:sz w:val="36"/>
                          <w:szCs w:val="22"/>
                        </w:rPr>
                      </w:pPr>
                      <w:r w:rsidRPr="00901916">
                        <w:rPr>
                          <w:rFonts w:asciiTheme="majorHAnsi" w:hAnsiTheme="majorHAnsi" w:cs="Arial"/>
                          <w:b/>
                          <w:bCs/>
                          <w:color w:val="0D0D0D" w:themeColor="text1" w:themeTint="F2"/>
                          <w:sz w:val="36"/>
                          <w:szCs w:val="22"/>
                        </w:rPr>
                        <w:t xml:space="preserve">INFORME </w:t>
                      </w:r>
                      <w:r w:rsidRPr="00901916">
                        <w:rPr>
                          <w:rFonts w:asciiTheme="majorHAnsi" w:hAnsiTheme="majorHAnsi" w:cs="Arial"/>
                          <w:b/>
                          <w:bCs/>
                          <w:color w:val="0D0D0D" w:themeColor="text1" w:themeTint="F2"/>
                          <w:sz w:val="36"/>
                          <w:szCs w:val="40"/>
                        </w:rPr>
                        <w:t>No.</w:t>
                      </w:r>
                      <w:r w:rsidRPr="00901916">
                        <w:rPr>
                          <w:rFonts w:asciiTheme="majorHAnsi" w:hAnsiTheme="majorHAnsi" w:cs="Arial"/>
                          <w:b/>
                          <w:bCs/>
                          <w:color w:val="0D0D0D" w:themeColor="text1" w:themeTint="F2"/>
                          <w:sz w:val="36"/>
                          <w:szCs w:val="22"/>
                        </w:rPr>
                        <w:t xml:space="preserve"> </w:t>
                      </w:r>
                      <w:r>
                        <w:rPr>
                          <w:rFonts w:asciiTheme="majorHAnsi" w:hAnsiTheme="majorHAnsi" w:cs="Arial"/>
                          <w:b/>
                          <w:bCs/>
                          <w:color w:val="0D0D0D" w:themeColor="text1" w:themeTint="F2"/>
                          <w:sz w:val="36"/>
                          <w:szCs w:val="22"/>
                        </w:rPr>
                        <w:t>160</w:t>
                      </w:r>
                      <w:r w:rsidRPr="00DD4BFB">
                        <w:rPr>
                          <w:rFonts w:asciiTheme="majorHAnsi" w:hAnsiTheme="majorHAnsi" w:cs="Arial"/>
                          <w:b/>
                          <w:bCs/>
                          <w:color w:val="0D0D0D" w:themeColor="text1" w:themeTint="F2"/>
                          <w:sz w:val="36"/>
                          <w:szCs w:val="22"/>
                        </w:rPr>
                        <w:t>/</w:t>
                      </w:r>
                      <w:r w:rsidRPr="00901916">
                        <w:rPr>
                          <w:rFonts w:asciiTheme="majorHAnsi" w:hAnsiTheme="majorHAnsi" w:cs="Arial"/>
                          <w:b/>
                          <w:bCs/>
                          <w:color w:val="0D0D0D" w:themeColor="text1" w:themeTint="F2"/>
                          <w:sz w:val="36"/>
                          <w:szCs w:val="22"/>
                        </w:rPr>
                        <w:t>18</w:t>
                      </w:r>
                    </w:p>
                    <w:p w14:paraId="596F1A2F" w14:textId="77777777" w:rsidR="006B16F4" w:rsidRPr="00901916" w:rsidRDefault="006B16F4" w:rsidP="00997BC5">
                      <w:pPr>
                        <w:spacing w:line="276" w:lineRule="auto"/>
                        <w:rPr>
                          <w:rFonts w:asciiTheme="majorHAnsi" w:hAnsiTheme="majorHAnsi" w:cs="Arial"/>
                          <w:b/>
                          <w:color w:val="0D0D0D" w:themeColor="text1" w:themeTint="F2"/>
                          <w:sz w:val="36"/>
                          <w:szCs w:val="22"/>
                        </w:rPr>
                      </w:pPr>
                      <w:r w:rsidRPr="00901916">
                        <w:rPr>
                          <w:rFonts w:asciiTheme="majorHAnsi" w:hAnsiTheme="majorHAnsi" w:cs="Arial"/>
                          <w:b/>
                          <w:color w:val="0D0D0D" w:themeColor="text1" w:themeTint="F2"/>
                          <w:sz w:val="36"/>
                          <w:szCs w:val="22"/>
                        </w:rPr>
                        <w:t>CASO 12.805</w:t>
                      </w:r>
                    </w:p>
                    <w:p w14:paraId="164C59FD" w14:textId="77777777" w:rsidR="006B16F4" w:rsidRPr="0010736F" w:rsidRDefault="006B16F4" w:rsidP="000158FD">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INFORME DE FONDO</w:t>
                      </w:r>
                      <w:r w:rsidRPr="0010736F">
                        <w:rPr>
                          <w:rFonts w:asciiTheme="majorHAnsi" w:hAnsiTheme="majorHAnsi" w:cs="Arial"/>
                          <w:color w:val="0D0D0D" w:themeColor="text1" w:themeTint="F2"/>
                          <w:szCs w:val="22"/>
                          <w:lang w:val="es-ES_tradnl"/>
                        </w:rPr>
                        <w:t xml:space="preserve"> </w:t>
                      </w:r>
                    </w:p>
                    <w:p w14:paraId="0A24FB62" w14:textId="77777777" w:rsidR="006B16F4" w:rsidRPr="0010736F" w:rsidRDefault="006B16F4" w:rsidP="00997BC5">
                      <w:pPr>
                        <w:spacing w:line="276" w:lineRule="auto"/>
                        <w:rPr>
                          <w:rFonts w:asciiTheme="majorHAnsi" w:hAnsiTheme="majorHAnsi" w:cs="Arial"/>
                          <w:color w:val="0D0D0D" w:themeColor="text1" w:themeTint="F2"/>
                          <w:szCs w:val="22"/>
                          <w:lang w:val="es-ES_tradnl"/>
                        </w:rPr>
                      </w:pPr>
                      <w:bookmarkStart w:id="6" w:name="_ftnref1"/>
                    </w:p>
                    <w:p w14:paraId="47CC821E" w14:textId="77777777" w:rsidR="006B16F4" w:rsidRPr="003C6934" w:rsidRDefault="006B16F4"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JIMMY GUERRERO, RAM</w:t>
                      </w:r>
                      <w:r>
                        <w:rPr>
                          <w:rFonts w:asciiTheme="majorHAnsi" w:hAnsiTheme="majorHAnsi" w:cs="Arial"/>
                          <w:color w:val="0D0D0D" w:themeColor="text1" w:themeTint="F2"/>
                          <w:szCs w:val="22"/>
                        </w:rPr>
                        <w:t>ÓN MOLINA PÉREZ Y FAMILIARES</w:t>
                      </w:r>
                    </w:p>
                    <w:bookmarkEnd w:id="6"/>
                    <w:p w14:paraId="0BA8967D" w14:textId="77777777" w:rsidR="006B16F4" w:rsidRPr="0010736F" w:rsidRDefault="006B16F4"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VENEZUELA</w:t>
                      </w:r>
                    </w:p>
                    <w:p w14:paraId="5DA1E7DD" w14:textId="77777777" w:rsidR="006B16F4" w:rsidRPr="00AE5488" w:rsidRDefault="006B16F4" w:rsidP="007A5817">
                      <w:pPr>
                        <w:rPr>
                          <w:color w:val="0D0D0D" w:themeColor="text1" w:themeTint="F2"/>
                          <w:lang w:val="es-ES_tradnl"/>
                        </w:rPr>
                      </w:pPr>
                    </w:p>
                  </w:txbxContent>
                </v:textbox>
              </v:shape>
            </w:pict>
          </mc:Fallback>
        </mc:AlternateContent>
      </w:r>
    </w:p>
    <w:p w14:paraId="14D3457F" w14:textId="77777777" w:rsidR="00040C3A" w:rsidRPr="009E773A" w:rsidRDefault="00040C3A" w:rsidP="00040C3A">
      <w:pPr>
        <w:tabs>
          <w:tab w:val="center" w:pos="5400"/>
        </w:tabs>
        <w:suppressAutoHyphens/>
        <w:jc w:val="center"/>
        <w:rPr>
          <w:rFonts w:asciiTheme="majorHAnsi" w:hAnsiTheme="majorHAnsi"/>
          <w:sz w:val="20"/>
          <w:szCs w:val="20"/>
        </w:rPr>
      </w:pPr>
    </w:p>
    <w:p w14:paraId="081DE531" w14:textId="77777777" w:rsidR="00040C3A" w:rsidRPr="009E773A" w:rsidRDefault="00040C3A" w:rsidP="00040C3A">
      <w:pPr>
        <w:tabs>
          <w:tab w:val="center" w:pos="5400"/>
        </w:tabs>
        <w:suppressAutoHyphens/>
        <w:jc w:val="center"/>
        <w:rPr>
          <w:rFonts w:asciiTheme="majorHAnsi" w:hAnsiTheme="majorHAnsi" w:cs="Arial"/>
          <w:sz w:val="20"/>
          <w:szCs w:val="20"/>
        </w:rPr>
      </w:pPr>
    </w:p>
    <w:p w14:paraId="7DEE4A49" w14:textId="77777777" w:rsidR="00040C3A" w:rsidRPr="009E773A" w:rsidRDefault="00040C3A" w:rsidP="00040C3A">
      <w:pPr>
        <w:tabs>
          <w:tab w:val="center" w:pos="5400"/>
        </w:tabs>
        <w:suppressAutoHyphens/>
        <w:jc w:val="center"/>
        <w:rPr>
          <w:rFonts w:asciiTheme="majorHAnsi" w:hAnsiTheme="majorHAnsi"/>
          <w:sz w:val="20"/>
          <w:szCs w:val="20"/>
        </w:rPr>
      </w:pPr>
    </w:p>
    <w:p w14:paraId="39A4C948" w14:textId="77777777" w:rsidR="00040C3A" w:rsidRPr="009E773A" w:rsidRDefault="00040C3A" w:rsidP="00040C3A">
      <w:pPr>
        <w:tabs>
          <w:tab w:val="center" w:pos="5400"/>
        </w:tabs>
        <w:suppressAutoHyphens/>
        <w:jc w:val="center"/>
        <w:rPr>
          <w:rFonts w:asciiTheme="majorHAnsi" w:hAnsiTheme="majorHAnsi"/>
          <w:sz w:val="20"/>
          <w:szCs w:val="20"/>
        </w:rPr>
      </w:pPr>
    </w:p>
    <w:p w14:paraId="01CAA541" w14:textId="77777777" w:rsidR="00040C3A" w:rsidRPr="009E773A" w:rsidRDefault="00040C3A" w:rsidP="00040C3A">
      <w:pPr>
        <w:tabs>
          <w:tab w:val="center" w:pos="5400"/>
        </w:tabs>
        <w:suppressAutoHyphens/>
        <w:jc w:val="center"/>
        <w:rPr>
          <w:rFonts w:asciiTheme="majorHAnsi" w:hAnsiTheme="majorHAnsi"/>
          <w:sz w:val="20"/>
          <w:szCs w:val="20"/>
        </w:rPr>
      </w:pPr>
    </w:p>
    <w:p w14:paraId="563256C6" w14:textId="77777777" w:rsidR="00040C3A" w:rsidRPr="009E773A" w:rsidRDefault="00040C3A" w:rsidP="00040C3A">
      <w:pPr>
        <w:tabs>
          <w:tab w:val="center" w:pos="5400"/>
        </w:tabs>
        <w:suppressAutoHyphens/>
        <w:jc w:val="center"/>
        <w:rPr>
          <w:rFonts w:asciiTheme="majorHAnsi" w:hAnsiTheme="majorHAnsi"/>
          <w:sz w:val="20"/>
          <w:szCs w:val="20"/>
        </w:rPr>
      </w:pPr>
    </w:p>
    <w:p w14:paraId="6437D18E" w14:textId="77777777" w:rsidR="005128E4" w:rsidRPr="009E773A" w:rsidRDefault="005128E4" w:rsidP="00040C3A">
      <w:pPr>
        <w:tabs>
          <w:tab w:val="center" w:pos="5400"/>
        </w:tabs>
        <w:suppressAutoHyphens/>
        <w:jc w:val="center"/>
        <w:rPr>
          <w:rFonts w:asciiTheme="majorHAnsi" w:hAnsiTheme="majorHAnsi"/>
          <w:sz w:val="20"/>
          <w:szCs w:val="20"/>
        </w:rPr>
      </w:pPr>
    </w:p>
    <w:p w14:paraId="4C6F2D72" w14:textId="77777777" w:rsidR="00040C3A" w:rsidRPr="009E773A" w:rsidRDefault="00040C3A" w:rsidP="00040C3A">
      <w:pPr>
        <w:tabs>
          <w:tab w:val="center" w:pos="5400"/>
        </w:tabs>
        <w:suppressAutoHyphens/>
        <w:jc w:val="center"/>
        <w:rPr>
          <w:rFonts w:asciiTheme="majorHAnsi" w:hAnsiTheme="majorHAnsi"/>
          <w:sz w:val="20"/>
          <w:szCs w:val="20"/>
        </w:rPr>
      </w:pPr>
    </w:p>
    <w:p w14:paraId="602F47BA" w14:textId="77777777" w:rsidR="005128E4" w:rsidRPr="009E773A" w:rsidRDefault="005128E4" w:rsidP="00040C3A">
      <w:pPr>
        <w:tabs>
          <w:tab w:val="center" w:pos="5400"/>
        </w:tabs>
        <w:suppressAutoHyphens/>
        <w:jc w:val="center"/>
        <w:rPr>
          <w:rFonts w:asciiTheme="majorHAnsi" w:hAnsiTheme="majorHAnsi"/>
          <w:sz w:val="20"/>
          <w:szCs w:val="20"/>
        </w:rPr>
      </w:pPr>
    </w:p>
    <w:p w14:paraId="10DF9832" w14:textId="77777777" w:rsidR="005128E4" w:rsidRPr="009E773A" w:rsidRDefault="005128E4" w:rsidP="00040C3A">
      <w:pPr>
        <w:tabs>
          <w:tab w:val="center" w:pos="5400"/>
        </w:tabs>
        <w:suppressAutoHyphens/>
        <w:jc w:val="center"/>
        <w:rPr>
          <w:rFonts w:asciiTheme="majorHAnsi" w:hAnsiTheme="majorHAnsi"/>
          <w:sz w:val="20"/>
          <w:szCs w:val="20"/>
        </w:rPr>
      </w:pPr>
    </w:p>
    <w:p w14:paraId="6CDE5FAC" w14:textId="77777777" w:rsidR="005128E4" w:rsidRPr="009E773A" w:rsidRDefault="005128E4" w:rsidP="00040C3A">
      <w:pPr>
        <w:tabs>
          <w:tab w:val="center" w:pos="5400"/>
        </w:tabs>
        <w:suppressAutoHyphens/>
        <w:jc w:val="center"/>
        <w:rPr>
          <w:rFonts w:asciiTheme="majorHAnsi" w:hAnsiTheme="majorHAnsi"/>
          <w:sz w:val="20"/>
          <w:szCs w:val="20"/>
        </w:rPr>
      </w:pPr>
    </w:p>
    <w:p w14:paraId="2A093B74" w14:textId="77777777" w:rsidR="00040C3A" w:rsidRPr="009E773A" w:rsidRDefault="00040C3A" w:rsidP="00040C3A">
      <w:pPr>
        <w:tabs>
          <w:tab w:val="center" w:pos="5400"/>
        </w:tabs>
        <w:suppressAutoHyphens/>
        <w:jc w:val="center"/>
        <w:rPr>
          <w:rFonts w:asciiTheme="majorHAnsi" w:hAnsiTheme="majorHAnsi"/>
          <w:sz w:val="20"/>
          <w:szCs w:val="20"/>
        </w:rPr>
      </w:pPr>
    </w:p>
    <w:p w14:paraId="3F3A8F42" w14:textId="77777777" w:rsidR="00040C3A" w:rsidRPr="009E773A" w:rsidRDefault="00040C3A" w:rsidP="00040C3A">
      <w:pPr>
        <w:tabs>
          <w:tab w:val="center" w:pos="5400"/>
        </w:tabs>
        <w:suppressAutoHyphens/>
        <w:jc w:val="center"/>
        <w:rPr>
          <w:rFonts w:asciiTheme="majorHAnsi" w:hAnsiTheme="majorHAnsi"/>
          <w:sz w:val="20"/>
          <w:szCs w:val="20"/>
        </w:rPr>
      </w:pPr>
    </w:p>
    <w:p w14:paraId="4496A0B5" w14:textId="77777777" w:rsidR="00A50FCF" w:rsidRPr="009E773A" w:rsidRDefault="00A50FCF" w:rsidP="00040C3A">
      <w:pPr>
        <w:tabs>
          <w:tab w:val="center" w:pos="5400"/>
        </w:tabs>
        <w:suppressAutoHyphens/>
        <w:jc w:val="center"/>
        <w:rPr>
          <w:rFonts w:asciiTheme="majorHAnsi" w:hAnsiTheme="majorHAnsi"/>
          <w:sz w:val="20"/>
          <w:szCs w:val="20"/>
        </w:rPr>
      </w:pPr>
    </w:p>
    <w:p w14:paraId="61A00F67" w14:textId="77777777" w:rsidR="00A50FCF" w:rsidRPr="009E773A" w:rsidRDefault="00A50FCF" w:rsidP="00040C3A">
      <w:pPr>
        <w:tabs>
          <w:tab w:val="center" w:pos="5400"/>
        </w:tabs>
        <w:suppressAutoHyphens/>
        <w:jc w:val="center"/>
        <w:rPr>
          <w:rFonts w:asciiTheme="majorHAnsi" w:hAnsiTheme="majorHAnsi"/>
          <w:sz w:val="20"/>
          <w:szCs w:val="20"/>
        </w:rPr>
      </w:pPr>
    </w:p>
    <w:p w14:paraId="547BBF7A" w14:textId="77777777" w:rsidR="00A50FCF" w:rsidRPr="009E773A" w:rsidRDefault="00A50FCF" w:rsidP="00040C3A">
      <w:pPr>
        <w:tabs>
          <w:tab w:val="center" w:pos="5400"/>
        </w:tabs>
        <w:suppressAutoHyphens/>
        <w:jc w:val="center"/>
        <w:rPr>
          <w:rFonts w:asciiTheme="majorHAnsi" w:hAnsiTheme="majorHAnsi"/>
          <w:sz w:val="20"/>
          <w:szCs w:val="20"/>
        </w:rPr>
      </w:pPr>
    </w:p>
    <w:p w14:paraId="2A6D9C17" w14:textId="77777777" w:rsidR="00A50FCF" w:rsidRPr="009E773A" w:rsidRDefault="00A50FCF" w:rsidP="00040C3A">
      <w:pPr>
        <w:tabs>
          <w:tab w:val="center" w:pos="5400"/>
        </w:tabs>
        <w:suppressAutoHyphens/>
        <w:jc w:val="center"/>
        <w:rPr>
          <w:rFonts w:asciiTheme="majorHAnsi" w:hAnsiTheme="majorHAnsi"/>
          <w:sz w:val="20"/>
          <w:szCs w:val="20"/>
        </w:rPr>
      </w:pPr>
    </w:p>
    <w:p w14:paraId="4A09DFFE" w14:textId="77777777" w:rsidR="00A50FCF" w:rsidRPr="009E773A" w:rsidRDefault="00A50FCF" w:rsidP="00040C3A">
      <w:pPr>
        <w:tabs>
          <w:tab w:val="center" w:pos="5400"/>
        </w:tabs>
        <w:suppressAutoHyphens/>
        <w:jc w:val="center"/>
        <w:rPr>
          <w:rFonts w:asciiTheme="majorHAnsi" w:hAnsiTheme="majorHAnsi"/>
          <w:sz w:val="20"/>
          <w:szCs w:val="20"/>
        </w:rPr>
      </w:pPr>
    </w:p>
    <w:p w14:paraId="77E2F19B" w14:textId="77777777" w:rsidR="00A50FCF" w:rsidRPr="009E773A" w:rsidRDefault="00A50FCF" w:rsidP="00040C3A">
      <w:pPr>
        <w:tabs>
          <w:tab w:val="center" w:pos="5400"/>
        </w:tabs>
        <w:suppressAutoHyphens/>
        <w:jc w:val="center"/>
        <w:rPr>
          <w:rFonts w:asciiTheme="majorHAnsi" w:hAnsiTheme="majorHAnsi"/>
          <w:sz w:val="20"/>
          <w:szCs w:val="20"/>
        </w:rPr>
      </w:pPr>
      <w:bookmarkStart w:id="7" w:name="_GoBack"/>
      <w:bookmarkEnd w:id="7"/>
    </w:p>
    <w:p w14:paraId="585BBB72" w14:textId="77777777" w:rsidR="00A50FCF" w:rsidRPr="009E773A" w:rsidRDefault="00A50FCF" w:rsidP="00040C3A">
      <w:pPr>
        <w:tabs>
          <w:tab w:val="center" w:pos="5400"/>
        </w:tabs>
        <w:suppressAutoHyphens/>
        <w:jc w:val="center"/>
        <w:rPr>
          <w:rFonts w:asciiTheme="majorHAnsi" w:hAnsiTheme="majorHAnsi"/>
          <w:sz w:val="20"/>
          <w:szCs w:val="20"/>
        </w:rPr>
      </w:pPr>
    </w:p>
    <w:p w14:paraId="5232F33B" w14:textId="77777777" w:rsidR="00A50FCF" w:rsidRPr="009E773A" w:rsidRDefault="00A50FCF" w:rsidP="00040C3A">
      <w:pPr>
        <w:tabs>
          <w:tab w:val="center" w:pos="5400"/>
        </w:tabs>
        <w:suppressAutoHyphens/>
        <w:jc w:val="center"/>
        <w:rPr>
          <w:rFonts w:asciiTheme="majorHAnsi" w:hAnsiTheme="majorHAnsi"/>
          <w:sz w:val="20"/>
          <w:szCs w:val="20"/>
        </w:rPr>
      </w:pPr>
    </w:p>
    <w:p w14:paraId="07AA1114" w14:textId="77777777" w:rsidR="00A50FCF" w:rsidRPr="009E773A" w:rsidRDefault="00A50FCF" w:rsidP="00040C3A">
      <w:pPr>
        <w:tabs>
          <w:tab w:val="center" w:pos="5400"/>
        </w:tabs>
        <w:suppressAutoHyphens/>
        <w:jc w:val="center"/>
        <w:rPr>
          <w:rFonts w:asciiTheme="majorHAnsi" w:hAnsiTheme="majorHAnsi"/>
          <w:sz w:val="20"/>
          <w:szCs w:val="20"/>
        </w:rPr>
      </w:pPr>
    </w:p>
    <w:p w14:paraId="225DDC4C" w14:textId="77777777" w:rsidR="00A50FCF" w:rsidRPr="009E773A" w:rsidRDefault="00A50FCF" w:rsidP="00040C3A">
      <w:pPr>
        <w:tabs>
          <w:tab w:val="center" w:pos="5400"/>
        </w:tabs>
        <w:suppressAutoHyphens/>
        <w:jc w:val="center"/>
        <w:rPr>
          <w:rFonts w:asciiTheme="majorHAnsi" w:hAnsiTheme="majorHAnsi"/>
          <w:sz w:val="20"/>
          <w:szCs w:val="20"/>
        </w:rPr>
      </w:pPr>
    </w:p>
    <w:p w14:paraId="05D913A6" w14:textId="77777777" w:rsidR="00A50FCF" w:rsidRPr="009E773A" w:rsidRDefault="00A50FCF" w:rsidP="00040C3A">
      <w:pPr>
        <w:tabs>
          <w:tab w:val="center" w:pos="5400"/>
        </w:tabs>
        <w:suppressAutoHyphens/>
        <w:jc w:val="center"/>
        <w:rPr>
          <w:rFonts w:asciiTheme="majorHAnsi" w:hAnsiTheme="majorHAnsi"/>
          <w:sz w:val="20"/>
          <w:szCs w:val="20"/>
        </w:rPr>
      </w:pPr>
    </w:p>
    <w:p w14:paraId="73D37815" w14:textId="77777777" w:rsidR="00A50FCF" w:rsidRPr="009E773A" w:rsidRDefault="00A50FCF" w:rsidP="00040C3A">
      <w:pPr>
        <w:tabs>
          <w:tab w:val="center" w:pos="5400"/>
        </w:tabs>
        <w:suppressAutoHyphens/>
        <w:jc w:val="center"/>
        <w:rPr>
          <w:rFonts w:asciiTheme="majorHAnsi" w:hAnsiTheme="majorHAnsi"/>
          <w:sz w:val="20"/>
          <w:szCs w:val="20"/>
        </w:rPr>
      </w:pPr>
    </w:p>
    <w:p w14:paraId="12B2A0FD" w14:textId="77777777" w:rsidR="00A50FCF" w:rsidRPr="009E773A" w:rsidRDefault="00A50FCF" w:rsidP="00040C3A">
      <w:pPr>
        <w:tabs>
          <w:tab w:val="center" w:pos="5400"/>
        </w:tabs>
        <w:suppressAutoHyphens/>
        <w:jc w:val="center"/>
        <w:rPr>
          <w:rFonts w:asciiTheme="majorHAnsi" w:hAnsiTheme="majorHAnsi"/>
          <w:sz w:val="20"/>
          <w:szCs w:val="20"/>
        </w:rPr>
      </w:pPr>
    </w:p>
    <w:p w14:paraId="69D6B7FD" w14:textId="77777777" w:rsidR="00A50FCF" w:rsidRPr="009E773A" w:rsidRDefault="00A50FCF" w:rsidP="00040C3A">
      <w:pPr>
        <w:tabs>
          <w:tab w:val="center" w:pos="5400"/>
        </w:tabs>
        <w:suppressAutoHyphens/>
        <w:jc w:val="center"/>
        <w:rPr>
          <w:rFonts w:asciiTheme="majorHAnsi" w:hAnsiTheme="majorHAnsi"/>
          <w:sz w:val="20"/>
          <w:szCs w:val="20"/>
        </w:rPr>
      </w:pPr>
    </w:p>
    <w:p w14:paraId="6D5D59F2" w14:textId="77777777" w:rsidR="00A50FCF" w:rsidRPr="009E773A" w:rsidRDefault="0090270B" w:rsidP="00040C3A">
      <w:pPr>
        <w:tabs>
          <w:tab w:val="center" w:pos="5400"/>
        </w:tabs>
        <w:suppressAutoHyphens/>
        <w:jc w:val="center"/>
        <w:rPr>
          <w:rFonts w:asciiTheme="majorHAnsi" w:hAnsiTheme="majorHAnsi"/>
          <w:sz w:val="20"/>
          <w:szCs w:val="20"/>
        </w:rPr>
      </w:pPr>
      <w:r w:rsidRPr="009E773A">
        <w:rPr>
          <w:rFonts w:asciiTheme="majorHAnsi" w:hAnsiTheme="majorHAnsi"/>
          <w:noProof/>
          <w:sz w:val="20"/>
          <w:szCs w:val="20"/>
          <w:lang w:val="es-UY" w:eastAsia="es-UY"/>
        </w:rPr>
        <mc:AlternateContent>
          <mc:Choice Requires="wps">
            <w:drawing>
              <wp:anchor distT="0" distB="0" distL="114300" distR="114300" simplePos="0" relativeHeight="251670528" behindDoc="0" locked="0" layoutInCell="1" allowOverlap="1" wp14:anchorId="488F190A" wp14:editId="34C06C4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B8672E" w14:textId="6616D502" w:rsidR="006B16F4" w:rsidRPr="00DD4BFB" w:rsidRDefault="006B16F4" w:rsidP="0093670A">
                            <w:pPr>
                              <w:tabs>
                                <w:tab w:val="center" w:pos="5400"/>
                              </w:tabs>
                              <w:suppressAutoHyphens/>
                              <w:spacing w:before="60"/>
                              <w:jc w:val="both"/>
                              <w:rPr>
                                <w:rFonts w:asciiTheme="majorHAnsi" w:hAnsiTheme="majorHAnsi" w:cs="Univers"/>
                                <w:color w:val="0D0D0D" w:themeColor="text1" w:themeTint="F2"/>
                                <w:sz w:val="18"/>
                                <w:szCs w:val="20"/>
                                <w:lang w:val="es-ES_tradnl"/>
                              </w:rPr>
                            </w:pPr>
                            <w:r w:rsidRPr="00DD4BFB">
                              <w:rPr>
                                <w:rFonts w:asciiTheme="majorHAnsi" w:hAnsiTheme="majorHAnsi"/>
                                <w:color w:val="0D0D0D" w:themeColor="text1" w:themeTint="F2"/>
                                <w:sz w:val="18"/>
                                <w:szCs w:val="20"/>
                                <w:lang w:val="es-ES"/>
                              </w:rPr>
                              <w:t xml:space="preserve">Aprobado por la Comisión en su </w:t>
                            </w:r>
                            <w:r>
                              <w:rPr>
                                <w:rFonts w:asciiTheme="majorHAnsi" w:hAnsiTheme="majorHAnsi"/>
                                <w:color w:val="0D0D0D" w:themeColor="text1" w:themeTint="F2"/>
                                <w:sz w:val="18"/>
                                <w:szCs w:val="20"/>
                                <w:lang w:val="es-ES"/>
                              </w:rPr>
                              <w:t>Sesión No. 2143</w:t>
                            </w:r>
                            <w:r w:rsidRPr="00DD4BFB">
                              <w:rPr>
                                <w:rFonts w:asciiTheme="majorHAnsi" w:hAnsiTheme="majorHAnsi"/>
                                <w:color w:val="0D0D0D" w:themeColor="text1" w:themeTint="F2"/>
                                <w:sz w:val="18"/>
                                <w:szCs w:val="20"/>
                                <w:lang w:val="es-ES"/>
                              </w:rPr>
                              <w:t xml:space="preserve"> celebrada el </w:t>
                            </w:r>
                            <w:r>
                              <w:rPr>
                                <w:rFonts w:asciiTheme="majorHAnsi" w:hAnsiTheme="majorHAnsi"/>
                                <w:color w:val="0D0D0D" w:themeColor="text1" w:themeTint="F2"/>
                                <w:sz w:val="18"/>
                                <w:szCs w:val="20"/>
                                <w:lang w:val="es-ES"/>
                              </w:rPr>
                              <w:t>7</w:t>
                            </w:r>
                            <w:r w:rsidRPr="00DD4BFB">
                              <w:rPr>
                                <w:rFonts w:asciiTheme="majorHAnsi" w:hAnsiTheme="majorHAnsi"/>
                                <w:color w:val="0D0D0D" w:themeColor="text1" w:themeTint="F2"/>
                                <w:sz w:val="18"/>
                                <w:szCs w:val="20"/>
                                <w:lang w:val="es-ES"/>
                              </w:rPr>
                              <w:t xml:space="preserve"> de </w:t>
                            </w:r>
                            <w:r>
                              <w:rPr>
                                <w:rFonts w:asciiTheme="majorHAnsi" w:hAnsiTheme="majorHAnsi"/>
                                <w:color w:val="0D0D0D" w:themeColor="text1" w:themeTint="F2"/>
                                <w:sz w:val="18"/>
                                <w:szCs w:val="20"/>
                                <w:lang w:val="es-ES"/>
                              </w:rPr>
                              <w:t>diciembre</w:t>
                            </w:r>
                            <w:r w:rsidRPr="00DD4BFB">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8</w:t>
                            </w:r>
                            <w:r w:rsidRPr="00DD4BFB">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
                              </w:rPr>
                              <w:t>170</w:t>
                            </w:r>
                            <w:r w:rsidRPr="00DD4BFB">
                              <w:rPr>
                                <w:rFonts w:asciiTheme="majorHAnsi" w:hAnsiTheme="majorHAnsi" w:cs="Univers"/>
                                <w:color w:val="0D0D0D" w:themeColor="text1" w:themeTint="F2"/>
                                <w:sz w:val="18"/>
                                <w:szCs w:val="20"/>
                                <w:lang w:val="es-ES_tradnl"/>
                              </w:rPr>
                              <w:t xml:space="preserve"> </w:t>
                            </w:r>
                            <w:r>
                              <w:rPr>
                                <w:rFonts w:asciiTheme="majorHAnsi" w:hAnsiTheme="majorHAnsi" w:cs="Univers"/>
                                <w:color w:val="0D0D0D" w:themeColor="text1" w:themeTint="F2"/>
                                <w:sz w:val="18"/>
                                <w:szCs w:val="20"/>
                                <w:lang w:val="es-ES_tradnl"/>
                              </w:rPr>
                              <w:t>P</w:t>
                            </w:r>
                            <w:r w:rsidRPr="00DD4BFB">
                              <w:rPr>
                                <w:rFonts w:asciiTheme="majorHAnsi" w:hAnsiTheme="majorHAnsi" w:cs="Univers"/>
                                <w:color w:val="0D0D0D" w:themeColor="text1" w:themeTint="F2"/>
                                <w:sz w:val="18"/>
                                <w:szCs w:val="20"/>
                                <w:lang w:val="es-ES_tradnl"/>
                              </w:rPr>
                              <w:t xml:space="preserve">eríodo </w:t>
                            </w:r>
                            <w:r>
                              <w:rPr>
                                <w:rFonts w:asciiTheme="majorHAnsi" w:hAnsiTheme="majorHAnsi" w:cs="Univers"/>
                                <w:color w:val="0D0D0D" w:themeColor="text1" w:themeTint="F2"/>
                                <w:sz w:val="18"/>
                                <w:szCs w:val="20"/>
                                <w:lang w:val="es-ES_tradnl"/>
                              </w:rPr>
                              <w:t>O</w:t>
                            </w:r>
                            <w:r w:rsidRPr="00DD4BFB">
                              <w:rPr>
                                <w:rFonts w:asciiTheme="majorHAnsi" w:hAnsiTheme="majorHAnsi" w:cs="Univers"/>
                                <w:color w:val="0D0D0D" w:themeColor="text1" w:themeTint="F2"/>
                                <w:sz w:val="18"/>
                                <w:szCs w:val="20"/>
                                <w:lang w:val="es-ES_tradnl"/>
                              </w:rPr>
                              <w:t>rdinario</w:t>
                            </w:r>
                            <w:r>
                              <w:rPr>
                                <w:rFonts w:asciiTheme="majorHAnsi" w:hAnsiTheme="majorHAnsi" w:cs="Univers"/>
                                <w:color w:val="0D0D0D" w:themeColor="text1" w:themeTint="F2"/>
                                <w:sz w:val="18"/>
                                <w:szCs w:val="20"/>
                                <w:lang w:val="es-ES_tradnl"/>
                              </w:rPr>
                              <w:t xml:space="preserve"> de S</w:t>
                            </w:r>
                            <w:r w:rsidRPr="00DD4BFB">
                              <w:rPr>
                                <w:rFonts w:asciiTheme="majorHAnsi" w:hAnsiTheme="majorHAnsi" w:cs="Univers"/>
                                <w:color w:val="0D0D0D" w:themeColor="text1" w:themeTint="F2"/>
                                <w:sz w:val="18"/>
                                <w:szCs w:val="20"/>
                                <w:lang w:val="es-ES_tradnl"/>
                              </w:rPr>
                              <w:t>esiones</w:t>
                            </w:r>
                          </w:p>
                          <w:p w14:paraId="685B22BB" w14:textId="77777777" w:rsidR="006B16F4" w:rsidRPr="007A5817" w:rsidRDefault="006B16F4" w:rsidP="00247403">
                            <w:pPr>
                              <w:tabs>
                                <w:tab w:val="center" w:pos="5400"/>
                              </w:tabs>
                              <w:suppressAutoHyphens/>
                              <w:spacing w:before="60"/>
                              <w:rPr>
                                <w:rFonts w:asciiTheme="minorHAnsi" w:hAnsiTheme="minorHAnsi" w:cs="Univers"/>
                                <w:color w:val="0D0D0D" w:themeColor="text1" w:themeTint="F2"/>
                                <w:sz w:val="20"/>
                                <w:szCs w:val="20"/>
                                <w:lang w:val="es-ES"/>
                              </w:rPr>
                            </w:pPr>
                          </w:p>
                          <w:p w14:paraId="0B5043AB" w14:textId="77777777" w:rsidR="006B16F4" w:rsidRPr="00167A34" w:rsidRDefault="006B16F4"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7B8672E" w14:textId="6616D502" w:rsidR="006B16F4" w:rsidRPr="00DD4BFB" w:rsidRDefault="006B16F4" w:rsidP="0093670A">
                      <w:pPr>
                        <w:tabs>
                          <w:tab w:val="center" w:pos="5400"/>
                        </w:tabs>
                        <w:suppressAutoHyphens/>
                        <w:spacing w:before="60"/>
                        <w:jc w:val="both"/>
                        <w:rPr>
                          <w:rFonts w:asciiTheme="majorHAnsi" w:hAnsiTheme="majorHAnsi" w:cs="Univers"/>
                          <w:color w:val="0D0D0D" w:themeColor="text1" w:themeTint="F2"/>
                          <w:sz w:val="18"/>
                          <w:szCs w:val="20"/>
                          <w:lang w:val="es-ES_tradnl"/>
                        </w:rPr>
                      </w:pPr>
                      <w:r w:rsidRPr="00DD4BFB">
                        <w:rPr>
                          <w:rFonts w:asciiTheme="majorHAnsi" w:hAnsiTheme="majorHAnsi"/>
                          <w:color w:val="0D0D0D" w:themeColor="text1" w:themeTint="F2"/>
                          <w:sz w:val="18"/>
                          <w:szCs w:val="20"/>
                          <w:lang w:val="es-ES"/>
                        </w:rPr>
                        <w:t xml:space="preserve">Aprobado por la Comisión en su </w:t>
                      </w:r>
                      <w:r>
                        <w:rPr>
                          <w:rFonts w:asciiTheme="majorHAnsi" w:hAnsiTheme="majorHAnsi"/>
                          <w:color w:val="0D0D0D" w:themeColor="text1" w:themeTint="F2"/>
                          <w:sz w:val="18"/>
                          <w:szCs w:val="20"/>
                          <w:lang w:val="es-ES"/>
                        </w:rPr>
                        <w:t>Sesión No. 2143</w:t>
                      </w:r>
                      <w:r w:rsidRPr="00DD4BFB">
                        <w:rPr>
                          <w:rFonts w:asciiTheme="majorHAnsi" w:hAnsiTheme="majorHAnsi"/>
                          <w:color w:val="0D0D0D" w:themeColor="text1" w:themeTint="F2"/>
                          <w:sz w:val="18"/>
                          <w:szCs w:val="20"/>
                          <w:lang w:val="es-ES"/>
                        </w:rPr>
                        <w:t xml:space="preserve"> celebrada el </w:t>
                      </w:r>
                      <w:r>
                        <w:rPr>
                          <w:rFonts w:asciiTheme="majorHAnsi" w:hAnsiTheme="majorHAnsi"/>
                          <w:color w:val="0D0D0D" w:themeColor="text1" w:themeTint="F2"/>
                          <w:sz w:val="18"/>
                          <w:szCs w:val="20"/>
                          <w:lang w:val="es-ES"/>
                        </w:rPr>
                        <w:t>7</w:t>
                      </w:r>
                      <w:r w:rsidRPr="00DD4BFB">
                        <w:rPr>
                          <w:rFonts w:asciiTheme="majorHAnsi" w:hAnsiTheme="majorHAnsi"/>
                          <w:color w:val="0D0D0D" w:themeColor="text1" w:themeTint="F2"/>
                          <w:sz w:val="18"/>
                          <w:szCs w:val="20"/>
                          <w:lang w:val="es-ES"/>
                        </w:rPr>
                        <w:t xml:space="preserve"> de </w:t>
                      </w:r>
                      <w:r>
                        <w:rPr>
                          <w:rFonts w:asciiTheme="majorHAnsi" w:hAnsiTheme="majorHAnsi"/>
                          <w:color w:val="0D0D0D" w:themeColor="text1" w:themeTint="F2"/>
                          <w:sz w:val="18"/>
                          <w:szCs w:val="20"/>
                          <w:lang w:val="es-ES"/>
                        </w:rPr>
                        <w:t>diciembre</w:t>
                      </w:r>
                      <w:r w:rsidRPr="00DD4BFB">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8</w:t>
                      </w:r>
                      <w:r w:rsidRPr="00DD4BFB">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
                        </w:rPr>
                        <w:t>170</w:t>
                      </w:r>
                      <w:r w:rsidRPr="00DD4BFB">
                        <w:rPr>
                          <w:rFonts w:asciiTheme="majorHAnsi" w:hAnsiTheme="majorHAnsi" w:cs="Univers"/>
                          <w:color w:val="0D0D0D" w:themeColor="text1" w:themeTint="F2"/>
                          <w:sz w:val="18"/>
                          <w:szCs w:val="20"/>
                          <w:lang w:val="es-ES_tradnl"/>
                        </w:rPr>
                        <w:t xml:space="preserve"> </w:t>
                      </w:r>
                      <w:r>
                        <w:rPr>
                          <w:rFonts w:asciiTheme="majorHAnsi" w:hAnsiTheme="majorHAnsi" w:cs="Univers"/>
                          <w:color w:val="0D0D0D" w:themeColor="text1" w:themeTint="F2"/>
                          <w:sz w:val="18"/>
                          <w:szCs w:val="20"/>
                          <w:lang w:val="es-ES_tradnl"/>
                        </w:rPr>
                        <w:t>P</w:t>
                      </w:r>
                      <w:r w:rsidRPr="00DD4BFB">
                        <w:rPr>
                          <w:rFonts w:asciiTheme="majorHAnsi" w:hAnsiTheme="majorHAnsi" w:cs="Univers"/>
                          <w:color w:val="0D0D0D" w:themeColor="text1" w:themeTint="F2"/>
                          <w:sz w:val="18"/>
                          <w:szCs w:val="20"/>
                          <w:lang w:val="es-ES_tradnl"/>
                        </w:rPr>
                        <w:t xml:space="preserve">eríodo </w:t>
                      </w:r>
                      <w:r>
                        <w:rPr>
                          <w:rFonts w:asciiTheme="majorHAnsi" w:hAnsiTheme="majorHAnsi" w:cs="Univers"/>
                          <w:color w:val="0D0D0D" w:themeColor="text1" w:themeTint="F2"/>
                          <w:sz w:val="18"/>
                          <w:szCs w:val="20"/>
                          <w:lang w:val="es-ES_tradnl"/>
                        </w:rPr>
                        <w:t>O</w:t>
                      </w:r>
                      <w:r w:rsidRPr="00DD4BFB">
                        <w:rPr>
                          <w:rFonts w:asciiTheme="majorHAnsi" w:hAnsiTheme="majorHAnsi" w:cs="Univers"/>
                          <w:color w:val="0D0D0D" w:themeColor="text1" w:themeTint="F2"/>
                          <w:sz w:val="18"/>
                          <w:szCs w:val="20"/>
                          <w:lang w:val="es-ES_tradnl"/>
                        </w:rPr>
                        <w:t>rdinario</w:t>
                      </w:r>
                      <w:r>
                        <w:rPr>
                          <w:rFonts w:asciiTheme="majorHAnsi" w:hAnsiTheme="majorHAnsi" w:cs="Univers"/>
                          <w:color w:val="0D0D0D" w:themeColor="text1" w:themeTint="F2"/>
                          <w:sz w:val="18"/>
                          <w:szCs w:val="20"/>
                          <w:lang w:val="es-ES_tradnl"/>
                        </w:rPr>
                        <w:t xml:space="preserve"> de S</w:t>
                      </w:r>
                      <w:r w:rsidRPr="00DD4BFB">
                        <w:rPr>
                          <w:rFonts w:asciiTheme="majorHAnsi" w:hAnsiTheme="majorHAnsi" w:cs="Univers"/>
                          <w:color w:val="0D0D0D" w:themeColor="text1" w:themeTint="F2"/>
                          <w:sz w:val="18"/>
                          <w:szCs w:val="20"/>
                          <w:lang w:val="es-ES_tradnl"/>
                        </w:rPr>
                        <w:t>esiones</w:t>
                      </w:r>
                    </w:p>
                    <w:p w14:paraId="685B22BB" w14:textId="77777777" w:rsidR="006B16F4" w:rsidRPr="007A5817" w:rsidRDefault="006B16F4" w:rsidP="00247403">
                      <w:pPr>
                        <w:tabs>
                          <w:tab w:val="center" w:pos="5400"/>
                        </w:tabs>
                        <w:suppressAutoHyphens/>
                        <w:spacing w:before="60"/>
                        <w:rPr>
                          <w:rFonts w:asciiTheme="minorHAnsi" w:hAnsiTheme="minorHAnsi" w:cs="Univers"/>
                          <w:color w:val="0D0D0D" w:themeColor="text1" w:themeTint="F2"/>
                          <w:sz w:val="20"/>
                          <w:szCs w:val="20"/>
                          <w:lang w:val="es-ES"/>
                        </w:rPr>
                      </w:pPr>
                    </w:p>
                    <w:p w14:paraId="0B5043AB" w14:textId="77777777" w:rsidR="006B16F4" w:rsidRPr="00167A34" w:rsidRDefault="006B16F4"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1508E7A" w14:textId="77777777" w:rsidR="00A50FCF" w:rsidRPr="009E773A" w:rsidRDefault="00A50FCF" w:rsidP="00040C3A">
      <w:pPr>
        <w:tabs>
          <w:tab w:val="center" w:pos="5400"/>
        </w:tabs>
        <w:suppressAutoHyphens/>
        <w:jc w:val="center"/>
        <w:rPr>
          <w:rFonts w:asciiTheme="majorHAnsi" w:hAnsiTheme="majorHAnsi"/>
          <w:sz w:val="20"/>
          <w:szCs w:val="20"/>
        </w:rPr>
      </w:pPr>
    </w:p>
    <w:p w14:paraId="7A76B802" w14:textId="77777777" w:rsidR="00A50FCF" w:rsidRPr="009E773A" w:rsidRDefault="00A50FCF" w:rsidP="00040C3A">
      <w:pPr>
        <w:tabs>
          <w:tab w:val="center" w:pos="5400"/>
        </w:tabs>
        <w:suppressAutoHyphens/>
        <w:jc w:val="center"/>
        <w:rPr>
          <w:rFonts w:asciiTheme="majorHAnsi" w:hAnsiTheme="majorHAnsi"/>
          <w:sz w:val="20"/>
          <w:szCs w:val="20"/>
        </w:rPr>
      </w:pPr>
    </w:p>
    <w:p w14:paraId="377E0ED3" w14:textId="77777777" w:rsidR="00A50FCF" w:rsidRPr="009E773A" w:rsidRDefault="00A50FCF" w:rsidP="00040C3A">
      <w:pPr>
        <w:tabs>
          <w:tab w:val="center" w:pos="5400"/>
        </w:tabs>
        <w:suppressAutoHyphens/>
        <w:jc w:val="center"/>
        <w:rPr>
          <w:rFonts w:asciiTheme="majorHAnsi" w:hAnsiTheme="majorHAnsi"/>
          <w:sz w:val="20"/>
          <w:szCs w:val="20"/>
        </w:rPr>
      </w:pPr>
    </w:p>
    <w:p w14:paraId="7A0B9648" w14:textId="77777777" w:rsidR="00A50FCF" w:rsidRPr="009E773A" w:rsidRDefault="00A50FCF" w:rsidP="00040C3A">
      <w:pPr>
        <w:tabs>
          <w:tab w:val="center" w:pos="5400"/>
        </w:tabs>
        <w:suppressAutoHyphens/>
        <w:jc w:val="center"/>
        <w:rPr>
          <w:rFonts w:asciiTheme="majorHAnsi" w:hAnsiTheme="majorHAnsi"/>
          <w:sz w:val="20"/>
          <w:szCs w:val="20"/>
        </w:rPr>
      </w:pPr>
    </w:p>
    <w:p w14:paraId="29913BFF" w14:textId="77777777" w:rsidR="00A50FCF" w:rsidRPr="009E773A" w:rsidRDefault="0090270B" w:rsidP="00040C3A">
      <w:pPr>
        <w:tabs>
          <w:tab w:val="center" w:pos="5400"/>
        </w:tabs>
        <w:suppressAutoHyphens/>
        <w:jc w:val="center"/>
        <w:rPr>
          <w:rFonts w:asciiTheme="majorHAnsi" w:hAnsiTheme="majorHAnsi"/>
          <w:sz w:val="20"/>
          <w:szCs w:val="20"/>
        </w:rPr>
      </w:pPr>
      <w:r w:rsidRPr="009E773A">
        <w:rPr>
          <w:rFonts w:asciiTheme="majorHAnsi" w:hAnsiTheme="majorHAnsi"/>
          <w:noProof/>
          <w:sz w:val="20"/>
          <w:szCs w:val="20"/>
          <w:lang w:val="es-UY" w:eastAsia="es-UY"/>
        </w:rPr>
        <mc:AlternateContent>
          <mc:Choice Requires="wps">
            <w:drawing>
              <wp:anchor distT="0" distB="0" distL="114300" distR="114300" simplePos="0" relativeHeight="251678720" behindDoc="0" locked="0" layoutInCell="1" allowOverlap="1" wp14:anchorId="55078D61" wp14:editId="30623FE4">
                <wp:simplePos x="0" y="0"/>
                <wp:positionH relativeFrom="column">
                  <wp:posOffset>1267664</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81B0E7" w14:textId="607BBAE7" w:rsidR="006B16F4" w:rsidRPr="007C756A" w:rsidRDefault="006B16F4" w:rsidP="0093670A">
                            <w:pPr>
                              <w:spacing w:line="276" w:lineRule="auto"/>
                              <w:jc w:val="both"/>
                              <w:rPr>
                                <w:rFonts w:asciiTheme="majorHAnsi" w:hAnsiTheme="majorHAnsi"/>
                                <w:color w:val="595959" w:themeColor="text1" w:themeTint="A6"/>
                                <w:sz w:val="18"/>
                                <w:szCs w:val="18"/>
                                <w:lang w:val="es-US"/>
                              </w:rPr>
                            </w:pPr>
                            <w:r w:rsidRPr="00DD4BFB">
                              <w:rPr>
                                <w:rFonts w:asciiTheme="majorHAnsi" w:hAnsiTheme="majorHAnsi"/>
                                <w:b/>
                                <w:color w:val="595959" w:themeColor="text1" w:themeTint="A6"/>
                                <w:sz w:val="18"/>
                                <w:szCs w:val="18"/>
                                <w:lang w:val="pt-BR"/>
                              </w:rPr>
                              <w:t>Citar como:</w:t>
                            </w:r>
                            <w:r>
                              <w:rPr>
                                <w:rFonts w:asciiTheme="majorHAnsi" w:hAnsiTheme="majorHAnsi"/>
                                <w:color w:val="595959" w:themeColor="text1" w:themeTint="A6"/>
                                <w:sz w:val="18"/>
                                <w:szCs w:val="18"/>
                                <w:lang w:val="pt-BR"/>
                              </w:rPr>
                              <w:t xml:space="preserve"> CIDH, Informe No. 160</w:t>
                            </w:r>
                            <w:r w:rsidRPr="00DD4BFB">
                              <w:rPr>
                                <w:rFonts w:asciiTheme="majorHAnsi" w:hAnsiTheme="majorHAnsi"/>
                                <w:color w:val="595959" w:themeColor="text1" w:themeTint="A6"/>
                                <w:sz w:val="18"/>
                                <w:szCs w:val="18"/>
                                <w:lang w:val="pt-BR"/>
                              </w:rPr>
                              <w:t xml:space="preserve">/18, Caso 12.805. </w:t>
                            </w:r>
                            <w:r w:rsidRPr="00DD4BFB">
                              <w:rPr>
                                <w:rFonts w:asciiTheme="majorHAnsi" w:hAnsiTheme="majorHAnsi"/>
                                <w:color w:val="595959" w:themeColor="text1" w:themeTint="A6"/>
                                <w:sz w:val="18"/>
                                <w:szCs w:val="18"/>
                                <w:lang w:val="es-ES_tradnl"/>
                              </w:rPr>
                              <w:t xml:space="preserve">Fondo. Jimmy Guerrero, Ramón Molina Pérez y familiares. Venezuela. </w:t>
                            </w:r>
                            <w:r>
                              <w:rPr>
                                <w:rFonts w:asciiTheme="majorHAnsi" w:hAnsiTheme="majorHAnsi"/>
                                <w:color w:val="595959" w:themeColor="text1" w:themeTint="A6"/>
                                <w:sz w:val="18"/>
                                <w:szCs w:val="18"/>
                                <w:lang w:val="es-US"/>
                              </w:rPr>
                              <w:t>7 de diciembre de 2018</w:t>
                            </w:r>
                            <w:r w:rsidRPr="00DD4BFB">
                              <w:rPr>
                                <w:rFonts w:asciiTheme="majorHAnsi" w:hAnsiTheme="majorHAnsi"/>
                                <w:color w:val="595959" w:themeColor="text1" w:themeTint="A6"/>
                                <w:sz w:val="18"/>
                                <w:szCs w:val="18"/>
                                <w:lang w:val="es-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99.8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" filled="f" stroked="f" strokeweight=".5pt">
                <v:textbox>
                  <w:txbxContent>
                    <w:p w14:paraId="4781B0E7" w14:textId="607BBAE7" w:rsidR="006B16F4" w:rsidRPr="007C756A" w:rsidRDefault="006B16F4" w:rsidP="0093670A">
                      <w:pPr>
                        <w:spacing w:line="276" w:lineRule="auto"/>
                        <w:jc w:val="both"/>
                        <w:rPr>
                          <w:rFonts w:asciiTheme="majorHAnsi" w:hAnsiTheme="majorHAnsi"/>
                          <w:color w:val="595959" w:themeColor="text1" w:themeTint="A6"/>
                          <w:sz w:val="18"/>
                          <w:szCs w:val="18"/>
                          <w:lang w:val="es-US"/>
                        </w:rPr>
                      </w:pPr>
                      <w:r w:rsidRPr="00DD4BFB">
                        <w:rPr>
                          <w:rFonts w:asciiTheme="majorHAnsi" w:hAnsiTheme="majorHAnsi"/>
                          <w:b/>
                          <w:color w:val="595959" w:themeColor="text1" w:themeTint="A6"/>
                          <w:sz w:val="18"/>
                          <w:szCs w:val="18"/>
                          <w:lang w:val="pt-BR"/>
                        </w:rPr>
                        <w:t>Citar como:</w:t>
                      </w:r>
                      <w:r>
                        <w:rPr>
                          <w:rFonts w:asciiTheme="majorHAnsi" w:hAnsiTheme="majorHAnsi"/>
                          <w:color w:val="595959" w:themeColor="text1" w:themeTint="A6"/>
                          <w:sz w:val="18"/>
                          <w:szCs w:val="18"/>
                          <w:lang w:val="pt-BR"/>
                        </w:rPr>
                        <w:t xml:space="preserve"> CIDH, Informe No. 160</w:t>
                      </w:r>
                      <w:r w:rsidRPr="00DD4BFB">
                        <w:rPr>
                          <w:rFonts w:asciiTheme="majorHAnsi" w:hAnsiTheme="majorHAnsi"/>
                          <w:color w:val="595959" w:themeColor="text1" w:themeTint="A6"/>
                          <w:sz w:val="18"/>
                          <w:szCs w:val="18"/>
                          <w:lang w:val="pt-BR"/>
                        </w:rPr>
                        <w:t xml:space="preserve">/18, Caso 12.805. </w:t>
                      </w:r>
                      <w:r w:rsidRPr="00DD4BFB">
                        <w:rPr>
                          <w:rFonts w:asciiTheme="majorHAnsi" w:hAnsiTheme="majorHAnsi"/>
                          <w:color w:val="595959" w:themeColor="text1" w:themeTint="A6"/>
                          <w:sz w:val="18"/>
                          <w:szCs w:val="18"/>
                          <w:lang w:val="es-ES_tradnl"/>
                        </w:rPr>
                        <w:t xml:space="preserve">Fondo. Jimmy Guerrero, Ramón Molina Pérez y familiares. Venezuela. </w:t>
                      </w:r>
                      <w:r>
                        <w:rPr>
                          <w:rFonts w:asciiTheme="majorHAnsi" w:hAnsiTheme="majorHAnsi"/>
                          <w:color w:val="595959" w:themeColor="text1" w:themeTint="A6"/>
                          <w:sz w:val="18"/>
                          <w:szCs w:val="18"/>
                          <w:lang w:val="es-US"/>
                        </w:rPr>
                        <w:t>7 de diciembre de 2018</w:t>
                      </w:r>
                      <w:r w:rsidRPr="00DD4BFB">
                        <w:rPr>
                          <w:rFonts w:asciiTheme="majorHAnsi" w:hAnsiTheme="majorHAnsi"/>
                          <w:color w:val="595959" w:themeColor="text1" w:themeTint="A6"/>
                          <w:sz w:val="18"/>
                          <w:szCs w:val="18"/>
                          <w:lang w:val="es-US"/>
                        </w:rPr>
                        <w:t>.</w:t>
                      </w:r>
                    </w:p>
                  </w:txbxContent>
                </v:textbox>
              </v:shape>
            </w:pict>
          </mc:Fallback>
        </mc:AlternateContent>
      </w:r>
    </w:p>
    <w:p w14:paraId="43B77895" w14:textId="77777777" w:rsidR="00A50FCF" w:rsidRPr="009E773A" w:rsidRDefault="00A50FCF" w:rsidP="00040C3A">
      <w:pPr>
        <w:tabs>
          <w:tab w:val="center" w:pos="5400"/>
        </w:tabs>
        <w:suppressAutoHyphens/>
        <w:jc w:val="center"/>
        <w:rPr>
          <w:rFonts w:asciiTheme="majorHAnsi" w:hAnsiTheme="majorHAnsi"/>
          <w:sz w:val="20"/>
          <w:szCs w:val="20"/>
        </w:rPr>
      </w:pPr>
    </w:p>
    <w:p w14:paraId="7099C8E3" w14:textId="77777777" w:rsidR="0090270B" w:rsidRPr="009E773A" w:rsidRDefault="00D306D1" w:rsidP="005516A1">
      <w:pPr>
        <w:tabs>
          <w:tab w:val="center" w:pos="5400"/>
        </w:tabs>
        <w:suppressAutoHyphens/>
        <w:jc w:val="center"/>
        <w:rPr>
          <w:rFonts w:asciiTheme="majorHAnsi" w:hAnsiTheme="majorHAnsi"/>
          <w:b/>
          <w:sz w:val="20"/>
          <w:szCs w:val="20"/>
        </w:rPr>
      </w:pPr>
      <w:r w:rsidRPr="009E773A">
        <w:rPr>
          <w:rFonts w:asciiTheme="majorHAnsi" w:hAnsiTheme="majorHAnsi"/>
          <w:noProof/>
          <w:sz w:val="20"/>
          <w:szCs w:val="20"/>
          <w:lang w:val="es-UY" w:eastAsia="es-UY"/>
        </w:rPr>
        <mc:AlternateContent>
          <mc:Choice Requires="wps">
            <w:drawing>
              <wp:anchor distT="0" distB="0" distL="114300" distR="114300" simplePos="0" relativeHeight="251680768" behindDoc="0" locked="0" layoutInCell="1" allowOverlap="1" wp14:anchorId="0E53D616" wp14:editId="4148C8C8">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C1300E" w14:textId="77777777" w:rsidR="006B16F4" w:rsidRPr="00D72DC6" w:rsidRDefault="006B16F4" w:rsidP="00F02AD1">
                            <w:pPr>
                              <w:rPr>
                                <w:color w:val="FFFFFF" w:themeColor="background1"/>
                                <w14:textFill>
                                  <w14:noFill/>
                                </w14:textFill>
                              </w:rPr>
                            </w:pPr>
                            <w:r w:rsidRPr="00D72DC6">
                              <w:rPr>
                                <w:noProof/>
                                <w:color w:val="FFFFFF" w:themeColor="background1"/>
                                <w:lang w:val="es-UY" w:eastAsia="es-UY"/>
                                <w14:textFill>
                                  <w14:noFill/>
                                </w14:textFill>
                              </w:rPr>
                              <w:drawing>
                                <wp:inline distT="0" distB="0" distL="0" distR="0" wp14:anchorId="04AB6CDA" wp14:editId="3F7B9713">
                                  <wp:extent cx="1338942" cy="390525"/>
                                  <wp:effectExtent l="0" t="0" r="0" b="0"/>
                                  <wp:docPr id="6" name="Picture 6"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3AC1300E" w14:textId="77777777" w:rsidR="006B16F4" w:rsidRPr="00D72DC6" w:rsidRDefault="006B16F4" w:rsidP="00F02AD1">
                      <w:pPr>
                        <w:rPr>
                          <w:color w:val="FFFFFF" w:themeColor="background1"/>
                          <w14:textFill>
                            <w14:noFill/>
                          </w14:textFill>
                        </w:rPr>
                      </w:pPr>
                      <w:r w:rsidRPr="00D72DC6">
                        <w:rPr>
                          <w:noProof/>
                          <w:color w:val="FFFFFF" w:themeColor="background1"/>
                          <w:lang w:val="es-ES" w:eastAsia="es-ES"/>
                          <w14:textFill>
                            <w14:noFill/>
                          </w14:textFill>
                        </w:rPr>
                        <w:drawing>
                          <wp:inline distT="0" distB="0" distL="0" distR="0" wp14:anchorId="04AB6CDA" wp14:editId="3F7B9713">
                            <wp:extent cx="1338942" cy="390525"/>
                            <wp:effectExtent l="0" t="0" r="0" b="0"/>
                            <wp:docPr id="6" name="Picture 6"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9E773A">
        <w:rPr>
          <w:rFonts w:asciiTheme="majorHAnsi" w:hAnsiTheme="majorHAnsi"/>
          <w:noProof/>
          <w:sz w:val="20"/>
          <w:szCs w:val="20"/>
          <w:lang w:val="es-UY" w:eastAsia="es-UY"/>
        </w:rPr>
        <mc:AlternateContent>
          <mc:Choice Requires="wps">
            <w:drawing>
              <wp:anchor distT="0" distB="0" distL="114300" distR="114300" simplePos="0" relativeHeight="251682816" behindDoc="0" locked="0" layoutInCell="1" allowOverlap="1" wp14:anchorId="204B82BD" wp14:editId="0BE35D96">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2AA0F8" w14:textId="77777777" w:rsidR="006B16F4" w:rsidRPr="004B7EB6" w:rsidRDefault="006B16F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382AA0F8" w14:textId="77777777" w:rsidR="006B16F4" w:rsidRPr="004B7EB6" w:rsidRDefault="006B16F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6BCA7B9" w14:textId="77777777" w:rsidR="0070697F" w:rsidRPr="009E773A" w:rsidRDefault="0070697F" w:rsidP="005516A1">
      <w:pPr>
        <w:tabs>
          <w:tab w:val="center" w:pos="5400"/>
        </w:tabs>
        <w:suppressAutoHyphens/>
        <w:jc w:val="center"/>
        <w:rPr>
          <w:rFonts w:asciiTheme="majorHAnsi" w:hAnsiTheme="majorHAnsi"/>
          <w:b/>
          <w:sz w:val="20"/>
          <w:szCs w:val="20"/>
        </w:rPr>
        <w:sectPr w:rsidR="0070697F" w:rsidRPr="009E773A"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p>
    <w:p w14:paraId="1E7B3668" w14:textId="1EC511F9" w:rsidR="00722C9F" w:rsidRPr="009E773A" w:rsidRDefault="00DD4BFB" w:rsidP="00722C9F">
      <w:pPr>
        <w:tabs>
          <w:tab w:val="center" w:pos="5400"/>
        </w:tabs>
        <w:suppressAutoHyphens/>
        <w:spacing w:line="276" w:lineRule="auto"/>
        <w:jc w:val="center"/>
        <w:rPr>
          <w:rFonts w:asciiTheme="majorHAnsi" w:hAnsiTheme="majorHAnsi"/>
          <w:b/>
          <w:sz w:val="20"/>
          <w:szCs w:val="20"/>
        </w:rPr>
      </w:pPr>
      <w:r>
        <w:rPr>
          <w:rFonts w:asciiTheme="majorHAnsi" w:hAnsiTheme="majorHAnsi"/>
          <w:b/>
          <w:sz w:val="20"/>
          <w:szCs w:val="20"/>
        </w:rPr>
        <w:lastRenderedPageBreak/>
        <w:t>INFORME No. 160</w:t>
      </w:r>
      <w:r w:rsidR="00DC638A" w:rsidRPr="009E773A">
        <w:rPr>
          <w:rFonts w:asciiTheme="majorHAnsi" w:hAnsiTheme="majorHAnsi"/>
          <w:b/>
          <w:sz w:val="20"/>
          <w:szCs w:val="20"/>
        </w:rPr>
        <w:t>/18</w:t>
      </w:r>
    </w:p>
    <w:p w14:paraId="77E2F138" w14:textId="77777777" w:rsidR="00722C9F" w:rsidRPr="009E773A" w:rsidRDefault="00722C9F" w:rsidP="00722C9F">
      <w:pPr>
        <w:tabs>
          <w:tab w:val="center" w:pos="5400"/>
        </w:tabs>
        <w:suppressAutoHyphens/>
        <w:spacing w:line="276" w:lineRule="auto"/>
        <w:jc w:val="center"/>
        <w:rPr>
          <w:rFonts w:asciiTheme="majorHAnsi" w:hAnsiTheme="majorHAnsi"/>
          <w:b/>
          <w:sz w:val="20"/>
          <w:szCs w:val="20"/>
        </w:rPr>
      </w:pPr>
      <w:r w:rsidRPr="009E773A">
        <w:rPr>
          <w:rFonts w:asciiTheme="majorHAnsi" w:hAnsiTheme="majorHAnsi"/>
          <w:b/>
          <w:sz w:val="20"/>
          <w:szCs w:val="20"/>
        </w:rPr>
        <w:t xml:space="preserve">CASO </w:t>
      </w:r>
      <w:r w:rsidR="00B60A85" w:rsidRPr="009E773A">
        <w:rPr>
          <w:rFonts w:asciiTheme="majorHAnsi" w:hAnsiTheme="majorHAnsi"/>
          <w:b/>
          <w:sz w:val="20"/>
          <w:szCs w:val="20"/>
        </w:rPr>
        <w:t>12</w:t>
      </w:r>
      <w:r w:rsidRPr="009E773A">
        <w:rPr>
          <w:rFonts w:asciiTheme="majorHAnsi" w:hAnsiTheme="majorHAnsi"/>
          <w:b/>
          <w:sz w:val="20"/>
          <w:szCs w:val="20"/>
        </w:rPr>
        <w:t>.</w:t>
      </w:r>
      <w:r w:rsidR="00B60A85" w:rsidRPr="009E773A">
        <w:rPr>
          <w:rFonts w:asciiTheme="majorHAnsi" w:hAnsiTheme="majorHAnsi"/>
          <w:b/>
          <w:sz w:val="20"/>
          <w:szCs w:val="20"/>
        </w:rPr>
        <w:t>805</w:t>
      </w:r>
    </w:p>
    <w:p w14:paraId="584CEF72" w14:textId="77777777" w:rsidR="00722C9F" w:rsidRPr="009E773A" w:rsidRDefault="00F805FB" w:rsidP="00722C9F">
      <w:pPr>
        <w:tabs>
          <w:tab w:val="center" w:pos="5400"/>
        </w:tabs>
        <w:suppressAutoHyphens/>
        <w:spacing w:line="276" w:lineRule="auto"/>
        <w:jc w:val="center"/>
        <w:rPr>
          <w:rFonts w:asciiTheme="majorHAnsi" w:hAnsiTheme="majorHAnsi"/>
          <w:sz w:val="20"/>
          <w:szCs w:val="20"/>
        </w:rPr>
      </w:pPr>
      <w:r w:rsidRPr="009E773A">
        <w:rPr>
          <w:rFonts w:asciiTheme="majorHAnsi" w:hAnsiTheme="majorHAnsi"/>
          <w:sz w:val="20"/>
          <w:szCs w:val="20"/>
        </w:rPr>
        <w:t>FONDO</w:t>
      </w:r>
    </w:p>
    <w:p w14:paraId="1A8ADD3B" w14:textId="77777777" w:rsidR="00722C9F" w:rsidRPr="009E773A" w:rsidRDefault="00651FFC" w:rsidP="00722C9F">
      <w:pPr>
        <w:tabs>
          <w:tab w:val="center" w:pos="5400"/>
        </w:tabs>
        <w:suppressAutoHyphens/>
        <w:spacing w:line="276" w:lineRule="auto"/>
        <w:jc w:val="center"/>
        <w:rPr>
          <w:rFonts w:asciiTheme="majorHAnsi" w:hAnsiTheme="majorHAnsi"/>
          <w:sz w:val="20"/>
          <w:szCs w:val="20"/>
        </w:rPr>
      </w:pPr>
      <w:r w:rsidRPr="009E773A">
        <w:rPr>
          <w:rFonts w:asciiTheme="majorHAnsi" w:hAnsiTheme="majorHAnsi"/>
          <w:sz w:val="20"/>
          <w:szCs w:val="20"/>
        </w:rPr>
        <w:t xml:space="preserve">JIMMY GUERRERO, </w:t>
      </w:r>
      <w:r w:rsidR="00B60A85" w:rsidRPr="009E773A">
        <w:rPr>
          <w:rFonts w:asciiTheme="majorHAnsi" w:hAnsiTheme="majorHAnsi"/>
          <w:sz w:val="20"/>
          <w:szCs w:val="20"/>
        </w:rPr>
        <w:t xml:space="preserve">RAMÓN MOLINA PÉREZ </w:t>
      </w:r>
      <w:r w:rsidRPr="009E773A">
        <w:rPr>
          <w:rFonts w:asciiTheme="majorHAnsi" w:hAnsiTheme="majorHAnsi"/>
          <w:sz w:val="20"/>
          <w:szCs w:val="20"/>
        </w:rPr>
        <w:t>Y FAMILIARES</w:t>
      </w:r>
    </w:p>
    <w:p w14:paraId="5C55DABA" w14:textId="77777777" w:rsidR="0070697F" w:rsidRPr="009E773A" w:rsidRDefault="00B60A85" w:rsidP="00722C9F">
      <w:pPr>
        <w:tabs>
          <w:tab w:val="center" w:pos="5400"/>
        </w:tabs>
        <w:suppressAutoHyphens/>
        <w:spacing w:line="276" w:lineRule="auto"/>
        <w:jc w:val="center"/>
        <w:rPr>
          <w:rFonts w:asciiTheme="majorHAnsi" w:hAnsiTheme="majorHAnsi"/>
          <w:sz w:val="20"/>
          <w:szCs w:val="20"/>
        </w:rPr>
      </w:pPr>
      <w:r w:rsidRPr="009E773A">
        <w:rPr>
          <w:rFonts w:asciiTheme="majorHAnsi" w:hAnsiTheme="majorHAnsi"/>
          <w:sz w:val="20"/>
          <w:szCs w:val="20"/>
        </w:rPr>
        <w:t>VENEZUELA</w:t>
      </w:r>
    </w:p>
    <w:p w14:paraId="64B4F78C" w14:textId="3DAB7BDE" w:rsidR="00722C9F" w:rsidRPr="009E773A" w:rsidRDefault="00CA08FD" w:rsidP="00722C9F">
      <w:pPr>
        <w:tabs>
          <w:tab w:val="center" w:pos="5400"/>
        </w:tabs>
        <w:suppressAutoHyphens/>
        <w:spacing w:line="276" w:lineRule="auto"/>
        <w:jc w:val="center"/>
        <w:rPr>
          <w:rFonts w:asciiTheme="majorHAnsi" w:hAnsiTheme="majorHAnsi"/>
          <w:sz w:val="20"/>
          <w:szCs w:val="20"/>
        </w:rPr>
      </w:pPr>
      <w:r>
        <w:rPr>
          <w:rFonts w:asciiTheme="majorHAnsi" w:hAnsiTheme="majorHAnsi"/>
          <w:sz w:val="20"/>
          <w:szCs w:val="20"/>
        </w:rPr>
        <w:t>7 DE DICIEMBRE DE 2018</w:t>
      </w:r>
    </w:p>
    <w:p w14:paraId="0D8997DE" w14:textId="77777777" w:rsidR="00722C9F" w:rsidRPr="009E773A" w:rsidRDefault="00722C9F" w:rsidP="00722C9F">
      <w:pPr>
        <w:tabs>
          <w:tab w:val="center" w:pos="5400"/>
        </w:tabs>
        <w:suppressAutoHyphens/>
        <w:spacing w:line="276" w:lineRule="auto"/>
        <w:jc w:val="center"/>
        <w:rPr>
          <w:rFonts w:asciiTheme="majorHAnsi" w:hAnsiTheme="majorHAnsi"/>
          <w:sz w:val="20"/>
          <w:szCs w:val="20"/>
        </w:rPr>
      </w:pPr>
    </w:p>
    <w:p w14:paraId="7293E99A" w14:textId="77777777" w:rsidR="00722C9F" w:rsidRPr="009E773A" w:rsidRDefault="00722C9F" w:rsidP="00722C9F">
      <w:pPr>
        <w:tabs>
          <w:tab w:val="center" w:pos="5400"/>
        </w:tabs>
        <w:suppressAutoHyphens/>
        <w:spacing w:line="276" w:lineRule="auto"/>
        <w:jc w:val="center"/>
        <w:rPr>
          <w:rFonts w:asciiTheme="majorHAnsi" w:hAnsiTheme="majorHAnsi"/>
          <w:b/>
          <w:sz w:val="20"/>
          <w:szCs w:val="20"/>
        </w:rPr>
      </w:pPr>
      <w:r w:rsidRPr="009E773A">
        <w:rPr>
          <w:rFonts w:asciiTheme="majorHAnsi" w:hAnsiTheme="majorHAnsi"/>
          <w:b/>
          <w:sz w:val="20"/>
          <w:szCs w:val="20"/>
        </w:rPr>
        <w:t>ÍNDICE</w:t>
      </w:r>
    </w:p>
    <w:sdt>
      <w:sdtPr>
        <w:id w:val="336356251"/>
        <w:docPartObj>
          <w:docPartGallery w:val="Table of Contents"/>
          <w:docPartUnique/>
        </w:docPartObj>
      </w:sdtPr>
      <w:sdtEndPr>
        <w:rPr>
          <w:rFonts w:asciiTheme="majorHAnsi" w:hAnsiTheme="majorHAnsi"/>
          <w:b/>
          <w:bCs/>
          <w:noProof/>
          <w:sz w:val="20"/>
          <w:szCs w:val="20"/>
        </w:rPr>
      </w:sdtEndPr>
      <w:sdtContent>
        <w:p w14:paraId="127469E7" w14:textId="28B7F12E" w:rsidR="00FC5E2A" w:rsidRPr="00DD4BFB" w:rsidRDefault="009D5D85" w:rsidP="00FC5E2A">
          <w:pPr>
            <w:pStyle w:val="TOC2"/>
            <w:rPr>
              <w:rFonts w:asciiTheme="majorHAnsi" w:eastAsiaTheme="minorEastAsia" w:hAnsiTheme="majorHAnsi" w:cstheme="minorBidi"/>
              <w:noProof/>
              <w:sz w:val="20"/>
              <w:szCs w:val="20"/>
              <w:bdr w:val="none" w:sz="0" w:space="0" w:color="auto"/>
              <w:lang w:val="es-PE"/>
            </w:rPr>
          </w:pPr>
          <w:r w:rsidRPr="00FC5E2A">
            <w:rPr>
              <w:rFonts w:asciiTheme="majorHAnsi" w:hAnsiTheme="majorHAnsi"/>
              <w:sz w:val="20"/>
              <w:szCs w:val="20"/>
            </w:rPr>
            <w:fldChar w:fldCharType="begin"/>
          </w:r>
          <w:r w:rsidRPr="00FC5E2A">
            <w:rPr>
              <w:rFonts w:asciiTheme="majorHAnsi" w:hAnsiTheme="majorHAnsi"/>
              <w:sz w:val="20"/>
              <w:szCs w:val="20"/>
            </w:rPr>
            <w:instrText xml:space="preserve"> TOC \o "1-3" \h \z \u </w:instrText>
          </w:r>
          <w:r w:rsidRPr="00FC5E2A">
            <w:rPr>
              <w:rFonts w:asciiTheme="majorHAnsi" w:hAnsiTheme="majorHAnsi"/>
              <w:sz w:val="20"/>
              <w:szCs w:val="20"/>
            </w:rPr>
            <w:fldChar w:fldCharType="separate"/>
          </w:r>
        </w:p>
        <w:p w14:paraId="170F86BB" w14:textId="77777777" w:rsidR="00FC5E2A" w:rsidRPr="00FC5E2A" w:rsidRDefault="00747C92" w:rsidP="00FC5E2A">
          <w:pPr>
            <w:pStyle w:val="TOC1"/>
            <w:tabs>
              <w:tab w:val="clear" w:pos="9514"/>
              <w:tab w:val="right" w:leader="dot" w:pos="9360"/>
            </w:tabs>
            <w:ind w:right="524"/>
            <w:rPr>
              <w:rFonts w:eastAsiaTheme="minorEastAsia" w:cstheme="minorBidi"/>
              <w:b w:val="0"/>
              <w:bdr w:val="none" w:sz="0" w:space="0" w:color="auto"/>
              <w:lang w:val="en-US"/>
            </w:rPr>
          </w:pPr>
          <w:hyperlink w:anchor="_Toc2159206" w:history="1">
            <w:r w:rsidR="00FC5E2A" w:rsidRPr="00FC5E2A">
              <w:rPr>
                <w:rStyle w:val="Hyperlink"/>
              </w:rPr>
              <w:t>I.</w:t>
            </w:r>
            <w:r w:rsidR="00FC5E2A" w:rsidRPr="00FC5E2A">
              <w:rPr>
                <w:rFonts w:eastAsiaTheme="minorEastAsia" w:cstheme="minorBidi"/>
                <w:b w:val="0"/>
                <w:bdr w:val="none" w:sz="0" w:space="0" w:color="auto"/>
                <w:lang w:val="en-US"/>
              </w:rPr>
              <w:tab/>
            </w:r>
            <w:r w:rsidR="00FC5E2A" w:rsidRPr="00FC5E2A">
              <w:rPr>
                <w:rStyle w:val="Hyperlink"/>
              </w:rPr>
              <w:t>RESUMEN</w:t>
            </w:r>
            <w:r w:rsidR="00FC5E2A" w:rsidRPr="00FC5E2A">
              <w:rPr>
                <w:webHidden/>
              </w:rPr>
              <w:tab/>
            </w:r>
            <w:r w:rsidR="00FC5E2A" w:rsidRPr="00FC5E2A">
              <w:rPr>
                <w:webHidden/>
              </w:rPr>
              <w:fldChar w:fldCharType="begin"/>
            </w:r>
            <w:r w:rsidR="00FC5E2A" w:rsidRPr="00FC5E2A">
              <w:rPr>
                <w:webHidden/>
              </w:rPr>
              <w:instrText xml:space="preserve"> PAGEREF _Toc2159206 \h </w:instrText>
            </w:r>
            <w:r w:rsidR="00FC5E2A" w:rsidRPr="00FC5E2A">
              <w:rPr>
                <w:webHidden/>
              </w:rPr>
            </w:r>
            <w:r w:rsidR="00FC5E2A" w:rsidRPr="00FC5E2A">
              <w:rPr>
                <w:webHidden/>
              </w:rPr>
              <w:fldChar w:fldCharType="separate"/>
            </w:r>
            <w:r w:rsidR="008828A1">
              <w:rPr>
                <w:webHidden/>
              </w:rPr>
              <w:t>2</w:t>
            </w:r>
            <w:r w:rsidR="00FC5E2A" w:rsidRPr="00FC5E2A">
              <w:rPr>
                <w:webHidden/>
              </w:rPr>
              <w:fldChar w:fldCharType="end"/>
            </w:r>
          </w:hyperlink>
        </w:p>
        <w:p w14:paraId="49B0762C" w14:textId="77777777" w:rsidR="00FC5E2A" w:rsidRPr="00FC5E2A" w:rsidRDefault="00747C92" w:rsidP="00FC5E2A">
          <w:pPr>
            <w:pStyle w:val="TOC1"/>
            <w:tabs>
              <w:tab w:val="clear" w:pos="9514"/>
              <w:tab w:val="right" w:leader="dot" w:pos="9360"/>
            </w:tabs>
            <w:ind w:right="524"/>
            <w:rPr>
              <w:rFonts w:eastAsiaTheme="minorEastAsia" w:cstheme="minorBidi"/>
              <w:b w:val="0"/>
              <w:bdr w:val="none" w:sz="0" w:space="0" w:color="auto"/>
              <w:lang w:val="en-US"/>
            </w:rPr>
          </w:pPr>
          <w:hyperlink w:anchor="_Toc2159207" w:history="1">
            <w:r w:rsidR="00FC5E2A" w:rsidRPr="00FC5E2A">
              <w:rPr>
                <w:rStyle w:val="Hyperlink"/>
              </w:rPr>
              <w:t>II.</w:t>
            </w:r>
            <w:r w:rsidR="00FC5E2A" w:rsidRPr="00FC5E2A">
              <w:rPr>
                <w:rFonts w:eastAsiaTheme="minorEastAsia" w:cstheme="minorBidi"/>
                <w:b w:val="0"/>
                <w:bdr w:val="none" w:sz="0" w:space="0" w:color="auto"/>
                <w:lang w:val="en-US"/>
              </w:rPr>
              <w:tab/>
            </w:r>
            <w:r w:rsidR="00FC5E2A" w:rsidRPr="00FC5E2A">
              <w:rPr>
                <w:rStyle w:val="Hyperlink"/>
              </w:rPr>
              <w:t>ALEGATOS DE LAS PARTES</w:t>
            </w:r>
            <w:r w:rsidR="00FC5E2A" w:rsidRPr="00FC5E2A">
              <w:rPr>
                <w:webHidden/>
              </w:rPr>
              <w:tab/>
            </w:r>
            <w:r w:rsidR="00FC5E2A" w:rsidRPr="00FC5E2A">
              <w:rPr>
                <w:webHidden/>
              </w:rPr>
              <w:fldChar w:fldCharType="begin"/>
            </w:r>
            <w:r w:rsidR="00FC5E2A" w:rsidRPr="00FC5E2A">
              <w:rPr>
                <w:webHidden/>
              </w:rPr>
              <w:instrText xml:space="preserve"> PAGEREF _Toc2159207 \h </w:instrText>
            </w:r>
            <w:r w:rsidR="00FC5E2A" w:rsidRPr="00FC5E2A">
              <w:rPr>
                <w:webHidden/>
              </w:rPr>
            </w:r>
            <w:r w:rsidR="00FC5E2A" w:rsidRPr="00FC5E2A">
              <w:rPr>
                <w:webHidden/>
              </w:rPr>
              <w:fldChar w:fldCharType="separate"/>
            </w:r>
            <w:r w:rsidR="008828A1">
              <w:rPr>
                <w:webHidden/>
              </w:rPr>
              <w:t>3</w:t>
            </w:r>
            <w:r w:rsidR="00FC5E2A" w:rsidRPr="00FC5E2A">
              <w:rPr>
                <w:webHidden/>
              </w:rPr>
              <w:fldChar w:fldCharType="end"/>
            </w:r>
          </w:hyperlink>
        </w:p>
        <w:p w14:paraId="11B23F58" w14:textId="77777777" w:rsidR="00FC5E2A" w:rsidRPr="00FC5E2A" w:rsidRDefault="00747C92" w:rsidP="00FC5E2A">
          <w:pPr>
            <w:pStyle w:val="TOC2"/>
            <w:tabs>
              <w:tab w:val="right" w:leader="dot" w:pos="9360"/>
            </w:tabs>
            <w:ind w:right="524"/>
            <w:rPr>
              <w:rFonts w:asciiTheme="majorHAnsi" w:eastAsiaTheme="minorEastAsia" w:hAnsiTheme="majorHAnsi" w:cstheme="minorBidi"/>
              <w:noProof/>
              <w:sz w:val="20"/>
              <w:szCs w:val="20"/>
              <w:bdr w:val="none" w:sz="0" w:space="0" w:color="auto"/>
              <w:lang w:val="en-US"/>
            </w:rPr>
          </w:pPr>
          <w:hyperlink w:anchor="_Toc2159208" w:history="1">
            <w:r w:rsidR="00FC5E2A" w:rsidRPr="00FC5E2A">
              <w:rPr>
                <w:rStyle w:val="Hyperlink"/>
                <w:rFonts w:asciiTheme="majorHAnsi" w:hAnsiTheme="majorHAnsi"/>
                <w:noProof/>
                <w:sz w:val="20"/>
                <w:szCs w:val="20"/>
              </w:rPr>
              <w:t>A.</w:t>
            </w:r>
            <w:r w:rsidR="00FC5E2A" w:rsidRPr="00FC5E2A">
              <w:rPr>
                <w:rFonts w:asciiTheme="majorHAnsi" w:eastAsiaTheme="minorEastAsia" w:hAnsiTheme="majorHAnsi" w:cstheme="minorBidi"/>
                <w:noProof/>
                <w:sz w:val="20"/>
                <w:szCs w:val="20"/>
                <w:bdr w:val="none" w:sz="0" w:space="0" w:color="auto"/>
                <w:lang w:val="en-US"/>
              </w:rPr>
              <w:tab/>
            </w:r>
            <w:r w:rsidR="00FC5E2A" w:rsidRPr="00FC5E2A">
              <w:rPr>
                <w:rStyle w:val="Hyperlink"/>
                <w:rFonts w:asciiTheme="majorHAnsi" w:hAnsiTheme="majorHAnsi"/>
                <w:noProof/>
                <w:sz w:val="20"/>
                <w:szCs w:val="20"/>
              </w:rPr>
              <w:t>PARTE PETICIONARIA</w:t>
            </w:r>
            <w:r w:rsidR="00FC5E2A" w:rsidRPr="00FC5E2A">
              <w:rPr>
                <w:rFonts w:asciiTheme="majorHAnsi" w:hAnsiTheme="majorHAnsi"/>
                <w:noProof/>
                <w:webHidden/>
                <w:sz w:val="20"/>
                <w:szCs w:val="20"/>
              </w:rPr>
              <w:tab/>
            </w:r>
            <w:r w:rsidR="00FC5E2A" w:rsidRPr="00FC5E2A">
              <w:rPr>
                <w:rFonts w:asciiTheme="majorHAnsi" w:hAnsiTheme="majorHAnsi"/>
                <w:noProof/>
                <w:webHidden/>
                <w:sz w:val="20"/>
                <w:szCs w:val="20"/>
              </w:rPr>
              <w:fldChar w:fldCharType="begin"/>
            </w:r>
            <w:r w:rsidR="00FC5E2A" w:rsidRPr="00FC5E2A">
              <w:rPr>
                <w:rFonts w:asciiTheme="majorHAnsi" w:hAnsiTheme="majorHAnsi"/>
                <w:noProof/>
                <w:webHidden/>
                <w:sz w:val="20"/>
                <w:szCs w:val="20"/>
              </w:rPr>
              <w:instrText xml:space="preserve"> PAGEREF _Toc2159208 \h </w:instrText>
            </w:r>
            <w:r w:rsidR="00FC5E2A" w:rsidRPr="00FC5E2A">
              <w:rPr>
                <w:rFonts w:asciiTheme="majorHAnsi" w:hAnsiTheme="majorHAnsi"/>
                <w:noProof/>
                <w:webHidden/>
                <w:sz w:val="20"/>
                <w:szCs w:val="20"/>
              </w:rPr>
            </w:r>
            <w:r w:rsidR="00FC5E2A" w:rsidRPr="00FC5E2A">
              <w:rPr>
                <w:rFonts w:asciiTheme="majorHAnsi" w:hAnsiTheme="majorHAnsi"/>
                <w:noProof/>
                <w:webHidden/>
                <w:sz w:val="20"/>
                <w:szCs w:val="20"/>
              </w:rPr>
              <w:fldChar w:fldCharType="separate"/>
            </w:r>
            <w:r w:rsidR="008828A1">
              <w:rPr>
                <w:rFonts w:asciiTheme="majorHAnsi" w:hAnsiTheme="majorHAnsi"/>
                <w:noProof/>
                <w:webHidden/>
                <w:sz w:val="20"/>
                <w:szCs w:val="20"/>
              </w:rPr>
              <w:t>3</w:t>
            </w:r>
            <w:r w:rsidR="00FC5E2A" w:rsidRPr="00FC5E2A">
              <w:rPr>
                <w:rFonts w:asciiTheme="majorHAnsi" w:hAnsiTheme="majorHAnsi"/>
                <w:noProof/>
                <w:webHidden/>
                <w:sz w:val="20"/>
                <w:szCs w:val="20"/>
              </w:rPr>
              <w:fldChar w:fldCharType="end"/>
            </w:r>
          </w:hyperlink>
        </w:p>
        <w:p w14:paraId="7E34BFC6" w14:textId="77777777" w:rsidR="00FC5E2A" w:rsidRPr="00FC5E2A" w:rsidRDefault="00747C92" w:rsidP="00FC5E2A">
          <w:pPr>
            <w:pStyle w:val="TOC2"/>
            <w:tabs>
              <w:tab w:val="right" w:leader="dot" w:pos="9360"/>
            </w:tabs>
            <w:ind w:right="524"/>
            <w:rPr>
              <w:rFonts w:asciiTheme="majorHAnsi" w:eastAsiaTheme="minorEastAsia" w:hAnsiTheme="majorHAnsi" w:cstheme="minorBidi"/>
              <w:noProof/>
              <w:sz w:val="20"/>
              <w:szCs w:val="20"/>
              <w:bdr w:val="none" w:sz="0" w:space="0" w:color="auto"/>
              <w:lang w:val="en-US"/>
            </w:rPr>
          </w:pPr>
          <w:hyperlink w:anchor="_Toc2159209" w:history="1">
            <w:r w:rsidR="00FC5E2A" w:rsidRPr="00FC5E2A">
              <w:rPr>
                <w:rStyle w:val="Hyperlink"/>
                <w:rFonts w:asciiTheme="majorHAnsi" w:hAnsiTheme="majorHAnsi"/>
                <w:noProof/>
                <w:sz w:val="20"/>
                <w:szCs w:val="20"/>
              </w:rPr>
              <w:t>B.</w:t>
            </w:r>
            <w:r w:rsidR="00FC5E2A" w:rsidRPr="00FC5E2A">
              <w:rPr>
                <w:rFonts w:asciiTheme="majorHAnsi" w:eastAsiaTheme="minorEastAsia" w:hAnsiTheme="majorHAnsi" w:cstheme="minorBidi"/>
                <w:noProof/>
                <w:sz w:val="20"/>
                <w:szCs w:val="20"/>
                <w:bdr w:val="none" w:sz="0" w:space="0" w:color="auto"/>
                <w:lang w:val="en-US"/>
              </w:rPr>
              <w:tab/>
            </w:r>
            <w:r w:rsidR="00FC5E2A" w:rsidRPr="00FC5E2A">
              <w:rPr>
                <w:rStyle w:val="Hyperlink"/>
                <w:rFonts w:asciiTheme="majorHAnsi" w:hAnsiTheme="majorHAnsi"/>
                <w:noProof/>
                <w:sz w:val="20"/>
                <w:szCs w:val="20"/>
              </w:rPr>
              <w:t>ESTADO</w:t>
            </w:r>
            <w:r w:rsidR="00FC5E2A" w:rsidRPr="00FC5E2A">
              <w:rPr>
                <w:rFonts w:asciiTheme="majorHAnsi" w:hAnsiTheme="majorHAnsi"/>
                <w:noProof/>
                <w:webHidden/>
                <w:sz w:val="20"/>
                <w:szCs w:val="20"/>
              </w:rPr>
              <w:tab/>
            </w:r>
            <w:r w:rsidR="00FC5E2A" w:rsidRPr="00FC5E2A">
              <w:rPr>
                <w:rFonts w:asciiTheme="majorHAnsi" w:hAnsiTheme="majorHAnsi"/>
                <w:noProof/>
                <w:webHidden/>
                <w:sz w:val="20"/>
                <w:szCs w:val="20"/>
              </w:rPr>
              <w:fldChar w:fldCharType="begin"/>
            </w:r>
            <w:r w:rsidR="00FC5E2A" w:rsidRPr="00FC5E2A">
              <w:rPr>
                <w:rFonts w:asciiTheme="majorHAnsi" w:hAnsiTheme="majorHAnsi"/>
                <w:noProof/>
                <w:webHidden/>
                <w:sz w:val="20"/>
                <w:szCs w:val="20"/>
              </w:rPr>
              <w:instrText xml:space="preserve"> PAGEREF _Toc2159209 \h </w:instrText>
            </w:r>
            <w:r w:rsidR="00FC5E2A" w:rsidRPr="00FC5E2A">
              <w:rPr>
                <w:rFonts w:asciiTheme="majorHAnsi" w:hAnsiTheme="majorHAnsi"/>
                <w:noProof/>
                <w:webHidden/>
                <w:sz w:val="20"/>
                <w:szCs w:val="20"/>
              </w:rPr>
            </w:r>
            <w:r w:rsidR="00FC5E2A" w:rsidRPr="00FC5E2A">
              <w:rPr>
                <w:rFonts w:asciiTheme="majorHAnsi" w:hAnsiTheme="majorHAnsi"/>
                <w:noProof/>
                <w:webHidden/>
                <w:sz w:val="20"/>
                <w:szCs w:val="20"/>
              </w:rPr>
              <w:fldChar w:fldCharType="separate"/>
            </w:r>
            <w:r w:rsidR="008828A1">
              <w:rPr>
                <w:rFonts w:asciiTheme="majorHAnsi" w:hAnsiTheme="majorHAnsi"/>
                <w:noProof/>
                <w:webHidden/>
                <w:sz w:val="20"/>
                <w:szCs w:val="20"/>
              </w:rPr>
              <w:t>3</w:t>
            </w:r>
            <w:r w:rsidR="00FC5E2A" w:rsidRPr="00FC5E2A">
              <w:rPr>
                <w:rFonts w:asciiTheme="majorHAnsi" w:hAnsiTheme="majorHAnsi"/>
                <w:noProof/>
                <w:webHidden/>
                <w:sz w:val="20"/>
                <w:szCs w:val="20"/>
              </w:rPr>
              <w:fldChar w:fldCharType="end"/>
            </w:r>
          </w:hyperlink>
        </w:p>
        <w:p w14:paraId="48AE0099" w14:textId="77777777" w:rsidR="00FC5E2A" w:rsidRPr="00FC5E2A" w:rsidRDefault="00747C92" w:rsidP="00FC5E2A">
          <w:pPr>
            <w:pStyle w:val="TOC1"/>
            <w:tabs>
              <w:tab w:val="clear" w:pos="9514"/>
              <w:tab w:val="right" w:leader="dot" w:pos="9360"/>
            </w:tabs>
            <w:ind w:right="524"/>
            <w:rPr>
              <w:rFonts w:eastAsiaTheme="minorEastAsia" w:cstheme="minorBidi"/>
              <w:b w:val="0"/>
              <w:bdr w:val="none" w:sz="0" w:space="0" w:color="auto"/>
              <w:lang w:val="en-US"/>
            </w:rPr>
          </w:pPr>
          <w:hyperlink w:anchor="_Toc2159210" w:history="1">
            <w:r w:rsidR="00FC5E2A" w:rsidRPr="00FC5E2A">
              <w:rPr>
                <w:rStyle w:val="Hyperlink"/>
              </w:rPr>
              <w:t>III.</w:t>
            </w:r>
            <w:r w:rsidR="00FC5E2A" w:rsidRPr="00FC5E2A">
              <w:rPr>
                <w:rFonts w:eastAsiaTheme="minorEastAsia" w:cstheme="minorBidi"/>
                <w:b w:val="0"/>
                <w:bdr w:val="none" w:sz="0" w:space="0" w:color="auto"/>
                <w:lang w:val="en-US"/>
              </w:rPr>
              <w:tab/>
            </w:r>
            <w:r w:rsidR="00FC5E2A" w:rsidRPr="00FC5E2A">
              <w:rPr>
                <w:rStyle w:val="Hyperlink"/>
              </w:rPr>
              <w:t>DETERMINACIONES DE HECHO</w:t>
            </w:r>
            <w:r w:rsidR="00FC5E2A" w:rsidRPr="00FC5E2A">
              <w:rPr>
                <w:webHidden/>
              </w:rPr>
              <w:tab/>
            </w:r>
            <w:r w:rsidR="00FC5E2A" w:rsidRPr="00FC5E2A">
              <w:rPr>
                <w:webHidden/>
              </w:rPr>
              <w:fldChar w:fldCharType="begin"/>
            </w:r>
            <w:r w:rsidR="00FC5E2A" w:rsidRPr="00FC5E2A">
              <w:rPr>
                <w:webHidden/>
              </w:rPr>
              <w:instrText xml:space="preserve"> PAGEREF _Toc2159210 \h </w:instrText>
            </w:r>
            <w:r w:rsidR="00FC5E2A" w:rsidRPr="00FC5E2A">
              <w:rPr>
                <w:webHidden/>
              </w:rPr>
            </w:r>
            <w:r w:rsidR="00FC5E2A" w:rsidRPr="00FC5E2A">
              <w:rPr>
                <w:webHidden/>
              </w:rPr>
              <w:fldChar w:fldCharType="separate"/>
            </w:r>
            <w:r w:rsidR="008828A1">
              <w:rPr>
                <w:webHidden/>
              </w:rPr>
              <w:t>4</w:t>
            </w:r>
            <w:r w:rsidR="00FC5E2A" w:rsidRPr="00FC5E2A">
              <w:rPr>
                <w:webHidden/>
              </w:rPr>
              <w:fldChar w:fldCharType="end"/>
            </w:r>
          </w:hyperlink>
        </w:p>
        <w:p w14:paraId="5659B630" w14:textId="77777777" w:rsidR="00FC5E2A" w:rsidRPr="00FC5E2A" w:rsidRDefault="00747C92" w:rsidP="00FC5E2A">
          <w:pPr>
            <w:pStyle w:val="TOC2"/>
            <w:tabs>
              <w:tab w:val="right" w:leader="dot" w:pos="9360"/>
            </w:tabs>
            <w:ind w:right="524"/>
            <w:rPr>
              <w:rFonts w:asciiTheme="majorHAnsi" w:eastAsiaTheme="minorEastAsia" w:hAnsiTheme="majorHAnsi" w:cstheme="minorBidi"/>
              <w:noProof/>
              <w:sz w:val="20"/>
              <w:szCs w:val="20"/>
              <w:bdr w:val="none" w:sz="0" w:space="0" w:color="auto"/>
              <w:lang w:val="en-US"/>
            </w:rPr>
          </w:pPr>
          <w:hyperlink w:anchor="_Toc2159211" w:history="1">
            <w:r w:rsidR="00FC5E2A" w:rsidRPr="00FC5E2A">
              <w:rPr>
                <w:rStyle w:val="Hyperlink"/>
                <w:rFonts w:asciiTheme="majorHAnsi" w:hAnsiTheme="majorHAnsi"/>
                <w:noProof/>
                <w:sz w:val="20"/>
                <w:szCs w:val="20"/>
              </w:rPr>
              <w:t>A.</w:t>
            </w:r>
            <w:r w:rsidR="00FC5E2A" w:rsidRPr="00FC5E2A">
              <w:rPr>
                <w:rFonts w:asciiTheme="majorHAnsi" w:eastAsiaTheme="minorEastAsia" w:hAnsiTheme="majorHAnsi" w:cstheme="minorBidi"/>
                <w:noProof/>
                <w:sz w:val="20"/>
                <w:szCs w:val="20"/>
                <w:bdr w:val="none" w:sz="0" w:space="0" w:color="auto"/>
                <w:lang w:val="en-US"/>
              </w:rPr>
              <w:tab/>
            </w:r>
            <w:r w:rsidR="00FC5E2A" w:rsidRPr="00FC5E2A">
              <w:rPr>
                <w:rStyle w:val="Hyperlink"/>
                <w:rFonts w:asciiTheme="majorHAnsi" w:hAnsiTheme="majorHAnsi"/>
                <w:noProof/>
                <w:sz w:val="20"/>
                <w:szCs w:val="20"/>
              </w:rPr>
              <w:t>Contexto</w:t>
            </w:r>
            <w:r w:rsidR="00FC5E2A" w:rsidRPr="00FC5E2A">
              <w:rPr>
                <w:rFonts w:asciiTheme="majorHAnsi" w:hAnsiTheme="majorHAnsi"/>
                <w:noProof/>
                <w:webHidden/>
                <w:sz w:val="20"/>
                <w:szCs w:val="20"/>
              </w:rPr>
              <w:tab/>
            </w:r>
            <w:r w:rsidR="00FC5E2A" w:rsidRPr="00FC5E2A">
              <w:rPr>
                <w:rFonts w:asciiTheme="majorHAnsi" w:hAnsiTheme="majorHAnsi"/>
                <w:noProof/>
                <w:webHidden/>
                <w:sz w:val="20"/>
                <w:szCs w:val="20"/>
              </w:rPr>
              <w:fldChar w:fldCharType="begin"/>
            </w:r>
            <w:r w:rsidR="00FC5E2A" w:rsidRPr="00FC5E2A">
              <w:rPr>
                <w:rFonts w:asciiTheme="majorHAnsi" w:hAnsiTheme="majorHAnsi"/>
                <w:noProof/>
                <w:webHidden/>
                <w:sz w:val="20"/>
                <w:szCs w:val="20"/>
              </w:rPr>
              <w:instrText xml:space="preserve"> PAGEREF _Toc2159211 \h </w:instrText>
            </w:r>
            <w:r w:rsidR="00FC5E2A" w:rsidRPr="00FC5E2A">
              <w:rPr>
                <w:rFonts w:asciiTheme="majorHAnsi" w:hAnsiTheme="majorHAnsi"/>
                <w:noProof/>
                <w:webHidden/>
                <w:sz w:val="20"/>
                <w:szCs w:val="20"/>
              </w:rPr>
            </w:r>
            <w:r w:rsidR="00FC5E2A" w:rsidRPr="00FC5E2A">
              <w:rPr>
                <w:rFonts w:asciiTheme="majorHAnsi" w:hAnsiTheme="majorHAnsi"/>
                <w:noProof/>
                <w:webHidden/>
                <w:sz w:val="20"/>
                <w:szCs w:val="20"/>
              </w:rPr>
              <w:fldChar w:fldCharType="separate"/>
            </w:r>
            <w:r w:rsidR="008828A1">
              <w:rPr>
                <w:rFonts w:asciiTheme="majorHAnsi" w:hAnsiTheme="majorHAnsi"/>
                <w:noProof/>
                <w:webHidden/>
                <w:sz w:val="20"/>
                <w:szCs w:val="20"/>
              </w:rPr>
              <w:t>4</w:t>
            </w:r>
            <w:r w:rsidR="00FC5E2A" w:rsidRPr="00FC5E2A">
              <w:rPr>
                <w:rFonts w:asciiTheme="majorHAnsi" w:hAnsiTheme="majorHAnsi"/>
                <w:noProof/>
                <w:webHidden/>
                <w:sz w:val="20"/>
                <w:szCs w:val="20"/>
              </w:rPr>
              <w:fldChar w:fldCharType="end"/>
            </w:r>
          </w:hyperlink>
        </w:p>
        <w:p w14:paraId="4AAF29A7" w14:textId="77777777" w:rsidR="00FC5E2A" w:rsidRPr="00FC5E2A" w:rsidRDefault="00747C92" w:rsidP="00FC5E2A">
          <w:pPr>
            <w:pStyle w:val="TOC2"/>
            <w:tabs>
              <w:tab w:val="right" w:leader="dot" w:pos="9360"/>
            </w:tabs>
            <w:ind w:right="524"/>
            <w:rPr>
              <w:rFonts w:asciiTheme="majorHAnsi" w:eastAsiaTheme="minorEastAsia" w:hAnsiTheme="majorHAnsi" w:cstheme="minorBidi"/>
              <w:noProof/>
              <w:sz w:val="20"/>
              <w:szCs w:val="20"/>
              <w:bdr w:val="none" w:sz="0" w:space="0" w:color="auto"/>
              <w:lang w:val="en-US"/>
            </w:rPr>
          </w:pPr>
          <w:hyperlink w:anchor="_Toc2159212" w:history="1">
            <w:r w:rsidR="00FC5E2A" w:rsidRPr="00FC5E2A">
              <w:rPr>
                <w:rStyle w:val="Hyperlink"/>
                <w:rFonts w:asciiTheme="majorHAnsi" w:hAnsiTheme="majorHAnsi"/>
                <w:noProof/>
                <w:sz w:val="20"/>
                <w:szCs w:val="20"/>
              </w:rPr>
              <w:t>B.</w:t>
            </w:r>
            <w:r w:rsidR="00FC5E2A" w:rsidRPr="00FC5E2A">
              <w:rPr>
                <w:rFonts w:asciiTheme="majorHAnsi" w:eastAsiaTheme="minorEastAsia" w:hAnsiTheme="majorHAnsi" w:cstheme="minorBidi"/>
                <w:noProof/>
                <w:sz w:val="20"/>
                <w:szCs w:val="20"/>
                <w:bdr w:val="none" w:sz="0" w:space="0" w:color="auto"/>
                <w:lang w:val="en-US"/>
              </w:rPr>
              <w:tab/>
            </w:r>
            <w:r w:rsidR="00FC5E2A" w:rsidRPr="00FC5E2A">
              <w:rPr>
                <w:rStyle w:val="Hyperlink"/>
                <w:rFonts w:asciiTheme="majorHAnsi" w:hAnsiTheme="majorHAnsi"/>
                <w:noProof/>
                <w:sz w:val="20"/>
                <w:szCs w:val="20"/>
              </w:rPr>
              <w:t>Información disponible sobre las presuntas víctimas y sus familiares</w:t>
            </w:r>
            <w:r w:rsidR="00FC5E2A" w:rsidRPr="00FC5E2A">
              <w:rPr>
                <w:rFonts w:asciiTheme="majorHAnsi" w:hAnsiTheme="majorHAnsi"/>
                <w:noProof/>
                <w:webHidden/>
                <w:sz w:val="20"/>
                <w:szCs w:val="20"/>
              </w:rPr>
              <w:tab/>
            </w:r>
            <w:r w:rsidR="00FC5E2A" w:rsidRPr="00FC5E2A">
              <w:rPr>
                <w:rFonts w:asciiTheme="majorHAnsi" w:hAnsiTheme="majorHAnsi"/>
                <w:noProof/>
                <w:webHidden/>
                <w:sz w:val="20"/>
                <w:szCs w:val="20"/>
              </w:rPr>
              <w:fldChar w:fldCharType="begin"/>
            </w:r>
            <w:r w:rsidR="00FC5E2A" w:rsidRPr="00FC5E2A">
              <w:rPr>
                <w:rFonts w:asciiTheme="majorHAnsi" w:hAnsiTheme="majorHAnsi"/>
                <w:noProof/>
                <w:webHidden/>
                <w:sz w:val="20"/>
                <w:szCs w:val="20"/>
              </w:rPr>
              <w:instrText xml:space="preserve"> PAGEREF _Toc2159212 \h </w:instrText>
            </w:r>
            <w:r w:rsidR="00FC5E2A" w:rsidRPr="00FC5E2A">
              <w:rPr>
                <w:rFonts w:asciiTheme="majorHAnsi" w:hAnsiTheme="majorHAnsi"/>
                <w:noProof/>
                <w:webHidden/>
                <w:sz w:val="20"/>
                <w:szCs w:val="20"/>
              </w:rPr>
            </w:r>
            <w:r w:rsidR="00FC5E2A" w:rsidRPr="00FC5E2A">
              <w:rPr>
                <w:rFonts w:asciiTheme="majorHAnsi" w:hAnsiTheme="majorHAnsi"/>
                <w:noProof/>
                <w:webHidden/>
                <w:sz w:val="20"/>
                <w:szCs w:val="20"/>
              </w:rPr>
              <w:fldChar w:fldCharType="separate"/>
            </w:r>
            <w:r w:rsidR="008828A1">
              <w:rPr>
                <w:rFonts w:asciiTheme="majorHAnsi" w:hAnsiTheme="majorHAnsi"/>
                <w:noProof/>
                <w:webHidden/>
                <w:sz w:val="20"/>
                <w:szCs w:val="20"/>
              </w:rPr>
              <w:t>6</w:t>
            </w:r>
            <w:r w:rsidR="00FC5E2A" w:rsidRPr="00FC5E2A">
              <w:rPr>
                <w:rFonts w:asciiTheme="majorHAnsi" w:hAnsiTheme="majorHAnsi"/>
                <w:noProof/>
                <w:webHidden/>
                <w:sz w:val="20"/>
                <w:szCs w:val="20"/>
              </w:rPr>
              <w:fldChar w:fldCharType="end"/>
            </w:r>
          </w:hyperlink>
        </w:p>
        <w:p w14:paraId="3CDDB9D2" w14:textId="77777777" w:rsidR="00FC5E2A" w:rsidRPr="00FC5E2A" w:rsidRDefault="00747C92" w:rsidP="00FC5E2A">
          <w:pPr>
            <w:pStyle w:val="TOC2"/>
            <w:tabs>
              <w:tab w:val="right" w:leader="dot" w:pos="9360"/>
            </w:tabs>
            <w:ind w:right="524"/>
            <w:rPr>
              <w:rFonts w:asciiTheme="majorHAnsi" w:eastAsiaTheme="minorEastAsia" w:hAnsiTheme="majorHAnsi" w:cstheme="minorBidi"/>
              <w:noProof/>
              <w:sz w:val="20"/>
              <w:szCs w:val="20"/>
              <w:bdr w:val="none" w:sz="0" w:space="0" w:color="auto"/>
              <w:lang w:val="en-US"/>
            </w:rPr>
          </w:pPr>
          <w:hyperlink w:anchor="_Toc2159213" w:history="1">
            <w:r w:rsidR="00FC5E2A" w:rsidRPr="00FC5E2A">
              <w:rPr>
                <w:rStyle w:val="Hyperlink"/>
                <w:rFonts w:asciiTheme="majorHAnsi" w:hAnsiTheme="majorHAnsi"/>
                <w:noProof/>
                <w:sz w:val="20"/>
                <w:szCs w:val="20"/>
              </w:rPr>
              <w:t>C.</w:t>
            </w:r>
            <w:r w:rsidR="00FC5E2A" w:rsidRPr="00FC5E2A">
              <w:rPr>
                <w:rFonts w:asciiTheme="majorHAnsi" w:eastAsiaTheme="minorEastAsia" w:hAnsiTheme="majorHAnsi" w:cstheme="minorBidi"/>
                <w:noProof/>
                <w:sz w:val="20"/>
                <w:szCs w:val="20"/>
                <w:bdr w:val="none" w:sz="0" w:space="0" w:color="auto"/>
                <w:lang w:val="en-US"/>
              </w:rPr>
              <w:tab/>
            </w:r>
            <w:r w:rsidR="00FC5E2A" w:rsidRPr="00FC5E2A">
              <w:rPr>
                <w:rStyle w:val="Hyperlink"/>
                <w:rFonts w:asciiTheme="majorHAnsi" w:hAnsiTheme="majorHAnsi"/>
                <w:noProof/>
                <w:sz w:val="20"/>
                <w:szCs w:val="20"/>
              </w:rPr>
              <w:t>Hechos previos a la muerte de Jimmy Guerrero y Ramón Antonio Molina</w:t>
            </w:r>
            <w:r w:rsidR="00FC5E2A" w:rsidRPr="00FC5E2A">
              <w:rPr>
                <w:rFonts w:asciiTheme="majorHAnsi" w:hAnsiTheme="majorHAnsi"/>
                <w:noProof/>
                <w:webHidden/>
                <w:sz w:val="20"/>
                <w:szCs w:val="20"/>
              </w:rPr>
              <w:tab/>
            </w:r>
            <w:r w:rsidR="00FC5E2A" w:rsidRPr="00FC5E2A">
              <w:rPr>
                <w:rFonts w:asciiTheme="majorHAnsi" w:hAnsiTheme="majorHAnsi"/>
                <w:noProof/>
                <w:webHidden/>
                <w:sz w:val="20"/>
                <w:szCs w:val="20"/>
              </w:rPr>
              <w:fldChar w:fldCharType="begin"/>
            </w:r>
            <w:r w:rsidR="00FC5E2A" w:rsidRPr="00FC5E2A">
              <w:rPr>
                <w:rFonts w:asciiTheme="majorHAnsi" w:hAnsiTheme="majorHAnsi"/>
                <w:noProof/>
                <w:webHidden/>
                <w:sz w:val="20"/>
                <w:szCs w:val="20"/>
              </w:rPr>
              <w:instrText xml:space="preserve"> PAGEREF _Toc2159213 \h </w:instrText>
            </w:r>
            <w:r w:rsidR="00FC5E2A" w:rsidRPr="00FC5E2A">
              <w:rPr>
                <w:rFonts w:asciiTheme="majorHAnsi" w:hAnsiTheme="majorHAnsi"/>
                <w:noProof/>
                <w:webHidden/>
                <w:sz w:val="20"/>
                <w:szCs w:val="20"/>
              </w:rPr>
            </w:r>
            <w:r w:rsidR="00FC5E2A" w:rsidRPr="00FC5E2A">
              <w:rPr>
                <w:rFonts w:asciiTheme="majorHAnsi" w:hAnsiTheme="majorHAnsi"/>
                <w:noProof/>
                <w:webHidden/>
                <w:sz w:val="20"/>
                <w:szCs w:val="20"/>
              </w:rPr>
              <w:fldChar w:fldCharType="separate"/>
            </w:r>
            <w:r w:rsidR="008828A1">
              <w:rPr>
                <w:rFonts w:asciiTheme="majorHAnsi" w:hAnsiTheme="majorHAnsi"/>
                <w:noProof/>
                <w:webHidden/>
                <w:sz w:val="20"/>
                <w:szCs w:val="20"/>
              </w:rPr>
              <w:t>6</w:t>
            </w:r>
            <w:r w:rsidR="00FC5E2A" w:rsidRPr="00FC5E2A">
              <w:rPr>
                <w:rFonts w:asciiTheme="majorHAnsi" w:hAnsiTheme="majorHAnsi"/>
                <w:noProof/>
                <w:webHidden/>
                <w:sz w:val="20"/>
                <w:szCs w:val="20"/>
              </w:rPr>
              <w:fldChar w:fldCharType="end"/>
            </w:r>
          </w:hyperlink>
        </w:p>
        <w:p w14:paraId="212E7213" w14:textId="77777777" w:rsidR="00FC5E2A" w:rsidRPr="00FC5E2A" w:rsidRDefault="00747C92" w:rsidP="00FC5E2A">
          <w:pPr>
            <w:pStyle w:val="TOC2"/>
            <w:tabs>
              <w:tab w:val="right" w:leader="dot" w:pos="9360"/>
            </w:tabs>
            <w:ind w:right="524"/>
            <w:rPr>
              <w:rFonts w:asciiTheme="majorHAnsi" w:eastAsiaTheme="minorEastAsia" w:hAnsiTheme="majorHAnsi" w:cstheme="minorBidi"/>
              <w:noProof/>
              <w:sz w:val="20"/>
              <w:szCs w:val="20"/>
              <w:bdr w:val="none" w:sz="0" w:space="0" w:color="auto"/>
              <w:lang w:val="en-US"/>
            </w:rPr>
          </w:pPr>
          <w:hyperlink w:anchor="_Toc2159214" w:history="1">
            <w:r w:rsidR="00FC5E2A" w:rsidRPr="00FC5E2A">
              <w:rPr>
                <w:rStyle w:val="Hyperlink"/>
                <w:rFonts w:asciiTheme="majorHAnsi" w:hAnsiTheme="majorHAnsi"/>
                <w:noProof/>
                <w:sz w:val="20"/>
                <w:szCs w:val="20"/>
              </w:rPr>
              <w:t>D.</w:t>
            </w:r>
            <w:r w:rsidR="00FC5E2A" w:rsidRPr="00FC5E2A">
              <w:rPr>
                <w:rFonts w:asciiTheme="majorHAnsi" w:eastAsiaTheme="minorEastAsia" w:hAnsiTheme="majorHAnsi" w:cstheme="minorBidi"/>
                <w:noProof/>
                <w:sz w:val="20"/>
                <w:szCs w:val="20"/>
                <w:bdr w:val="none" w:sz="0" w:space="0" w:color="auto"/>
                <w:lang w:val="en-US"/>
              </w:rPr>
              <w:tab/>
            </w:r>
            <w:r w:rsidR="00FC5E2A" w:rsidRPr="00FC5E2A">
              <w:rPr>
                <w:rStyle w:val="Hyperlink"/>
                <w:rFonts w:asciiTheme="majorHAnsi" w:hAnsiTheme="majorHAnsi"/>
                <w:noProof/>
                <w:sz w:val="20"/>
                <w:szCs w:val="20"/>
              </w:rPr>
              <w:t>La muerte de Jimmy Guerrero y Ramón Antonio Molina en los hechos ocurridos entre el 29 y 30 de marzo de 2003</w:t>
            </w:r>
            <w:r w:rsidR="00FC5E2A" w:rsidRPr="00FC5E2A">
              <w:rPr>
                <w:rFonts w:asciiTheme="majorHAnsi" w:hAnsiTheme="majorHAnsi"/>
                <w:noProof/>
                <w:webHidden/>
                <w:sz w:val="20"/>
                <w:szCs w:val="20"/>
              </w:rPr>
              <w:tab/>
            </w:r>
            <w:r w:rsidR="00FC5E2A" w:rsidRPr="00FC5E2A">
              <w:rPr>
                <w:rFonts w:asciiTheme="majorHAnsi" w:hAnsiTheme="majorHAnsi"/>
                <w:noProof/>
                <w:webHidden/>
                <w:sz w:val="20"/>
                <w:szCs w:val="20"/>
              </w:rPr>
              <w:fldChar w:fldCharType="begin"/>
            </w:r>
            <w:r w:rsidR="00FC5E2A" w:rsidRPr="00FC5E2A">
              <w:rPr>
                <w:rFonts w:asciiTheme="majorHAnsi" w:hAnsiTheme="majorHAnsi"/>
                <w:noProof/>
                <w:webHidden/>
                <w:sz w:val="20"/>
                <w:szCs w:val="20"/>
              </w:rPr>
              <w:instrText xml:space="preserve"> PAGEREF _Toc2159214 \h </w:instrText>
            </w:r>
            <w:r w:rsidR="00FC5E2A" w:rsidRPr="00FC5E2A">
              <w:rPr>
                <w:rFonts w:asciiTheme="majorHAnsi" w:hAnsiTheme="majorHAnsi"/>
                <w:noProof/>
                <w:webHidden/>
                <w:sz w:val="20"/>
                <w:szCs w:val="20"/>
              </w:rPr>
            </w:r>
            <w:r w:rsidR="00FC5E2A" w:rsidRPr="00FC5E2A">
              <w:rPr>
                <w:rFonts w:asciiTheme="majorHAnsi" w:hAnsiTheme="majorHAnsi"/>
                <w:noProof/>
                <w:webHidden/>
                <w:sz w:val="20"/>
                <w:szCs w:val="20"/>
              </w:rPr>
              <w:fldChar w:fldCharType="separate"/>
            </w:r>
            <w:r w:rsidR="008828A1">
              <w:rPr>
                <w:rFonts w:asciiTheme="majorHAnsi" w:hAnsiTheme="majorHAnsi"/>
                <w:noProof/>
                <w:webHidden/>
                <w:sz w:val="20"/>
                <w:szCs w:val="20"/>
              </w:rPr>
              <w:t>8</w:t>
            </w:r>
            <w:r w:rsidR="00FC5E2A" w:rsidRPr="00FC5E2A">
              <w:rPr>
                <w:rFonts w:asciiTheme="majorHAnsi" w:hAnsiTheme="majorHAnsi"/>
                <w:noProof/>
                <w:webHidden/>
                <w:sz w:val="20"/>
                <w:szCs w:val="20"/>
              </w:rPr>
              <w:fldChar w:fldCharType="end"/>
            </w:r>
          </w:hyperlink>
        </w:p>
        <w:p w14:paraId="0DDB1301" w14:textId="77777777" w:rsidR="00FC5E2A" w:rsidRPr="00FC5E2A" w:rsidRDefault="00747C92" w:rsidP="00FC5E2A">
          <w:pPr>
            <w:pStyle w:val="TOC2"/>
            <w:tabs>
              <w:tab w:val="right" w:leader="dot" w:pos="9360"/>
            </w:tabs>
            <w:ind w:right="524"/>
            <w:rPr>
              <w:rFonts w:asciiTheme="majorHAnsi" w:eastAsiaTheme="minorEastAsia" w:hAnsiTheme="majorHAnsi" w:cstheme="minorBidi"/>
              <w:noProof/>
              <w:sz w:val="20"/>
              <w:szCs w:val="20"/>
              <w:bdr w:val="none" w:sz="0" w:space="0" w:color="auto"/>
              <w:lang w:val="en-US"/>
            </w:rPr>
          </w:pPr>
          <w:hyperlink w:anchor="_Toc2159215" w:history="1">
            <w:r w:rsidR="00FC5E2A" w:rsidRPr="00FC5E2A">
              <w:rPr>
                <w:rStyle w:val="Hyperlink"/>
                <w:rFonts w:asciiTheme="majorHAnsi" w:hAnsiTheme="majorHAnsi"/>
                <w:noProof/>
                <w:sz w:val="20"/>
                <w:szCs w:val="20"/>
              </w:rPr>
              <w:t>E.</w:t>
            </w:r>
            <w:r w:rsidR="00FC5E2A" w:rsidRPr="00FC5E2A">
              <w:rPr>
                <w:rFonts w:asciiTheme="majorHAnsi" w:eastAsiaTheme="minorEastAsia" w:hAnsiTheme="majorHAnsi" w:cstheme="minorBidi"/>
                <w:noProof/>
                <w:sz w:val="20"/>
                <w:szCs w:val="20"/>
                <w:bdr w:val="none" w:sz="0" w:space="0" w:color="auto"/>
                <w:lang w:val="en-US"/>
              </w:rPr>
              <w:tab/>
            </w:r>
            <w:r w:rsidR="00FC5E2A" w:rsidRPr="00FC5E2A">
              <w:rPr>
                <w:rStyle w:val="Hyperlink"/>
                <w:rFonts w:asciiTheme="majorHAnsi" w:hAnsiTheme="majorHAnsi"/>
                <w:noProof/>
                <w:sz w:val="20"/>
                <w:szCs w:val="20"/>
              </w:rPr>
              <w:t>Investigaciones y procesos judiciales iniciados por la muerte de Jimmy Guerrero y Ramón Molina</w:t>
            </w:r>
            <w:r w:rsidR="00FC5E2A" w:rsidRPr="00FC5E2A">
              <w:rPr>
                <w:rFonts w:asciiTheme="majorHAnsi" w:hAnsiTheme="majorHAnsi"/>
                <w:noProof/>
                <w:webHidden/>
                <w:sz w:val="20"/>
                <w:szCs w:val="20"/>
              </w:rPr>
              <w:tab/>
            </w:r>
            <w:r w:rsidR="00FC5E2A" w:rsidRPr="00FC5E2A">
              <w:rPr>
                <w:rFonts w:asciiTheme="majorHAnsi" w:hAnsiTheme="majorHAnsi"/>
                <w:noProof/>
                <w:webHidden/>
                <w:sz w:val="20"/>
                <w:szCs w:val="20"/>
              </w:rPr>
              <w:fldChar w:fldCharType="begin"/>
            </w:r>
            <w:r w:rsidR="00FC5E2A" w:rsidRPr="00FC5E2A">
              <w:rPr>
                <w:rFonts w:asciiTheme="majorHAnsi" w:hAnsiTheme="majorHAnsi"/>
                <w:noProof/>
                <w:webHidden/>
                <w:sz w:val="20"/>
                <w:szCs w:val="20"/>
              </w:rPr>
              <w:instrText xml:space="preserve"> PAGEREF _Toc2159215 \h </w:instrText>
            </w:r>
            <w:r w:rsidR="00FC5E2A" w:rsidRPr="00FC5E2A">
              <w:rPr>
                <w:rFonts w:asciiTheme="majorHAnsi" w:hAnsiTheme="majorHAnsi"/>
                <w:noProof/>
                <w:webHidden/>
                <w:sz w:val="20"/>
                <w:szCs w:val="20"/>
              </w:rPr>
            </w:r>
            <w:r w:rsidR="00FC5E2A" w:rsidRPr="00FC5E2A">
              <w:rPr>
                <w:rFonts w:asciiTheme="majorHAnsi" w:hAnsiTheme="majorHAnsi"/>
                <w:noProof/>
                <w:webHidden/>
                <w:sz w:val="20"/>
                <w:szCs w:val="20"/>
              </w:rPr>
              <w:fldChar w:fldCharType="separate"/>
            </w:r>
            <w:r w:rsidR="008828A1">
              <w:rPr>
                <w:rFonts w:asciiTheme="majorHAnsi" w:hAnsiTheme="majorHAnsi"/>
                <w:noProof/>
                <w:webHidden/>
                <w:sz w:val="20"/>
                <w:szCs w:val="20"/>
              </w:rPr>
              <w:t>10</w:t>
            </w:r>
            <w:r w:rsidR="00FC5E2A" w:rsidRPr="00FC5E2A">
              <w:rPr>
                <w:rFonts w:asciiTheme="majorHAnsi" w:hAnsiTheme="majorHAnsi"/>
                <w:noProof/>
                <w:webHidden/>
                <w:sz w:val="20"/>
                <w:szCs w:val="20"/>
              </w:rPr>
              <w:fldChar w:fldCharType="end"/>
            </w:r>
          </w:hyperlink>
        </w:p>
        <w:p w14:paraId="2874C782" w14:textId="77777777" w:rsidR="00FC5E2A" w:rsidRPr="00FC5E2A" w:rsidRDefault="00747C92" w:rsidP="00FC5E2A">
          <w:pPr>
            <w:pStyle w:val="TOC1"/>
            <w:tabs>
              <w:tab w:val="clear" w:pos="9514"/>
              <w:tab w:val="right" w:leader="dot" w:pos="9360"/>
            </w:tabs>
            <w:ind w:right="524"/>
            <w:rPr>
              <w:rFonts w:eastAsiaTheme="minorEastAsia" w:cstheme="minorBidi"/>
              <w:b w:val="0"/>
              <w:bdr w:val="none" w:sz="0" w:space="0" w:color="auto"/>
              <w:lang w:val="en-US"/>
            </w:rPr>
          </w:pPr>
          <w:hyperlink w:anchor="_Toc2159216" w:history="1">
            <w:r w:rsidR="00FC5E2A" w:rsidRPr="00FC5E2A">
              <w:rPr>
                <w:rStyle w:val="Hyperlink"/>
              </w:rPr>
              <w:t>IV.</w:t>
            </w:r>
            <w:r w:rsidR="00FC5E2A" w:rsidRPr="00FC5E2A">
              <w:rPr>
                <w:rFonts w:eastAsiaTheme="minorEastAsia" w:cstheme="minorBidi"/>
                <w:b w:val="0"/>
                <w:bdr w:val="none" w:sz="0" w:space="0" w:color="auto"/>
                <w:lang w:val="en-US"/>
              </w:rPr>
              <w:tab/>
            </w:r>
            <w:r w:rsidR="00FC5E2A" w:rsidRPr="00FC5E2A">
              <w:rPr>
                <w:rStyle w:val="Hyperlink"/>
              </w:rPr>
              <w:t>ANALISIS DE DERECHO</w:t>
            </w:r>
            <w:r w:rsidR="00FC5E2A" w:rsidRPr="00FC5E2A">
              <w:rPr>
                <w:webHidden/>
              </w:rPr>
              <w:tab/>
            </w:r>
            <w:r w:rsidR="00FC5E2A" w:rsidRPr="00FC5E2A">
              <w:rPr>
                <w:webHidden/>
              </w:rPr>
              <w:fldChar w:fldCharType="begin"/>
            </w:r>
            <w:r w:rsidR="00FC5E2A" w:rsidRPr="00FC5E2A">
              <w:rPr>
                <w:webHidden/>
              </w:rPr>
              <w:instrText xml:space="preserve"> PAGEREF _Toc2159216 \h </w:instrText>
            </w:r>
            <w:r w:rsidR="00FC5E2A" w:rsidRPr="00FC5E2A">
              <w:rPr>
                <w:webHidden/>
              </w:rPr>
            </w:r>
            <w:r w:rsidR="00FC5E2A" w:rsidRPr="00FC5E2A">
              <w:rPr>
                <w:webHidden/>
              </w:rPr>
              <w:fldChar w:fldCharType="separate"/>
            </w:r>
            <w:r w:rsidR="008828A1">
              <w:rPr>
                <w:webHidden/>
              </w:rPr>
              <w:t>13</w:t>
            </w:r>
            <w:r w:rsidR="00FC5E2A" w:rsidRPr="00FC5E2A">
              <w:rPr>
                <w:webHidden/>
              </w:rPr>
              <w:fldChar w:fldCharType="end"/>
            </w:r>
          </w:hyperlink>
        </w:p>
        <w:p w14:paraId="23169E45" w14:textId="77777777" w:rsidR="00FC5E2A" w:rsidRPr="00FC5E2A" w:rsidRDefault="00747C92" w:rsidP="00FC5E2A">
          <w:pPr>
            <w:pStyle w:val="TOC2"/>
            <w:tabs>
              <w:tab w:val="right" w:leader="dot" w:pos="9360"/>
            </w:tabs>
            <w:ind w:right="524"/>
            <w:rPr>
              <w:rFonts w:asciiTheme="majorHAnsi" w:eastAsiaTheme="minorEastAsia" w:hAnsiTheme="majorHAnsi" w:cstheme="minorBidi"/>
              <w:noProof/>
              <w:sz w:val="20"/>
              <w:szCs w:val="20"/>
              <w:bdr w:val="none" w:sz="0" w:space="0" w:color="auto"/>
              <w:lang w:val="en-US"/>
            </w:rPr>
          </w:pPr>
          <w:hyperlink w:anchor="_Toc2159217" w:history="1">
            <w:r w:rsidR="00FC5E2A" w:rsidRPr="00FC5E2A">
              <w:rPr>
                <w:rStyle w:val="Hyperlink"/>
                <w:rFonts w:asciiTheme="majorHAnsi" w:hAnsiTheme="majorHAnsi"/>
                <w:noProof/>
                <w:sz w:val="20"/>
                <w:szCs w:val="20"/>
              </w:rPr>
              <w:t>A.</w:t>
            </w:r>
            <w:r w:rsidR="00FC5E2A" w:rsidRPr="00FC5E2A">
              <w:rPr>
                <w:rFonts w:asciiTheme="majorHAnsi" w:eastAsiaTheme="minorEastAsia" w:hAnsiTheme="majorHAnsi" w:cstheme="minorBidi"/>
                <w:noProof/>
                <w:sz w:val="20"/>
                <w:szCs w:val="20"/>
                <w:bdr w:val="none" w:sz="0" w:space="0" w:color="auto"/>
                <w:lang w:val="en-US"/>
              </w:rPr>
              <w:tab/>
            </w:r>
            <w:r w:rsidR="00FC5E2A" w:rsidRPr="00FC5E2A">
              <w:rPr>
                <w:rStyle w:val="Hyperlink"/>
                <w:rFonts w:asciiTheme="majorHAnsi" w:hAnsiTheme="majorHAnsi"/>
                <w:noProof/>
                <w:sz w:val="20"/>
                <w:szCs w:val="20"/>
              </w:rPr>
              <w:t>Derechos a la vida (artículo 4.1) y a la integridad (artículo 5.1) en relación con el artículo 1.1 de la Convención Americana y los artículos 1, 6 y 8 de la CIPST.</w:t>
            </w:r>
            <w:r w:rsidR="00FC5E2A" w:rsidRPr="00FC5E2A">
              <w:rPr>
                <w:rFonts w:asciiTheme="majorHAnsi" w:hAnsiTheme="majorHAnsi"/>
                <w:noProof/>
                <w:webHidden/>
                <w:sz w:val="20"/>
                <w:szCs w:val="20"/>
              </w:rPr>
              <w:tab/>
            </w:r>
            <w:r w:rsidR="00FC5E2A" w:rsidRPr="00FC5E2A">
              <w:rPr>
                <w:rFonts w:asciiTheme="majorHAnsi" w:hAnsiTheme="majorHAnsi"/>
                <w:noProof/>
                <w:webHidden/>
                <w:sz w:val="20"/>
                <w:szCs w:val="20"/>
              </w:rPr>
              <w:fldChar w:fldCharType="begin"/>
            </w:r>
            <w:r w:rsidR="00FC5E2A" w:rsidRPr="00FC5E2A">
              <w:rPr>
                <w:rFonts w:asciiTheme="majorHAnsi" w:hAnsiTheme="majorHAnsi"/>
                <w:noProof/>
                <w:webHidden/>
                <w:sz w:val="20"/>
                <w:szCs w:val="20"/>
              </w:rPr>
              <w:instrText xml:space="preserve"> PAGEREF _Toc2159217 \h </w:instrText>
            </w:r>
            <w:r w:rsidR="00FC5E2A" w:rsidRPr="00FC5E2A">
              <w:rPr>
                <w:rFonts w:asciiTheme="majorHAnsi" w:hAnsiTheme="majorHAnsi"/>
                <w:noProof/>
                <w:webHidden/>
                <w:sz w:val="20"/>
                <w:szCs w:val="20"/>
              </w:rPr>
            </w:r>
            <w:r w:rsidR="00FC5E2A" w:rsidRPr="00FC5E2A">
              <w:rPr>
                <w:rFonts w:asciiTheme="majorHAnsi" w:hAnsiTheme="majorHAnsi"/>
                <w:noProof/>
                <w:webHidden/>
                <w:sz w:val="20"/>
                <w:szCs w:val="20"/>
              </w:rPr>
              <w:fldChar w:fldCharType="separate"/>
            </w:r>
            <w:r w:rsidR="008828A1">
              <w:rPr>
                <w:rFonts w:asciiTheme="majorHAnsi" w:hAnsiTheme="majorHAnsi"/>
                <w:noProof/>
                <w:webHidden/>
                <w:sz w:val="20"/>
                <w:szCs w:val="20"/>
              </w:rPr>
              <w:t>13</w:t>
            </w:r>
            <w:r w:rsidR="00FC5E2A" w:rsidRPr="00FC5E2A">
              <w:rPr>
                <w:rFonts w:asciiTheme="majorHAnsi" w:hAnsiTheme="majorHAnsi"/>
                <w:noProof/>
                <w:webHidden/>
                <w:sz w:val="20"/>
                <w:szCs w:val="20"/>
              </w:rPr>
              <w:fldChar w:fldCharType="end"/>
            </w:r>
          </w:hyperlink>
        </w:p>
        <w:p w14:paraId="35C280F4" w14:textId="77777777" w:rsidR="00FC5E2A" w:rsidRPr="00FC5E2A" w:rsidRDefault="00747C92" w:rsidP="00FC5E2A">
          <w:pPr>
            <w:pStyle w:val="TOC3"/>
            <w:tabs>
              <w:tab w:val="clear" w:pos="9350"/>
              <w:tab w:val="right" w:leader="dot" w:pos="9360"/>
            </w:tabs>
            <w:ind w:right="524"/>
            <w:rPr>
              <w:rFonts w:asciiTheme="majorHAnsi" w:eastAsiaTheme="minorEastAsia" w:hAnsiTheme="majorHAnsi" w:cstheme="minorBidi"/>
              <w:noProof/>
              <w:sz w:val="20"/>
              <w:szCs w:val="20"/>
              <w:bdr w:val="none" w:sz="0" w:space="0" w:color="auto"/>
              <w:lang w:val="en-US"/>
            </w:rPr>
          </w:pPr>
          <w:hyperlink w:anchor="_Toc2159218" w:history="1">
            <w:r w:rsidR="00FC5E2A" w:rsidRPr="00FC5E2A">
              <w:rPr>
                <w:rStyle w:val="Hyperlink"/>
                <w:rFonts w:asciiTheme="majorHAnsi" w:hAnsiTheme="majorHAnsi"/>
                <w:noProof/>
                <w:sz w:val="20"/>
                <w:szCs w:val="20"/>
              </w:rPr>
              <w:t>1.</w:t>
            </w:r>
            <w:r w:rsidR="00FC5E2A" w:rsidRPr="00FC5E2A">
              <w:rPr>
                <w:rFonts w:asciiTheme="majorHAnsi" w:eastAsiaTheme="minorEastAsia" w:hAnsiTheme="majorHAnsi" w:cstheme="minorBidi"/>
                <w:noProof/>
                <w:sz w:val="20"/>
                <w:szCs w:val="20"/>
                <w:bdr w:val="none" w:sz="0" w:space="0" w:color="auto"/>
                <w:lang w:val="en-US"/>
              </w:rPr>
              <w:tab/>
            </w:r>
            <w:r w:rsidR="00FC5E2A" w:rsidRPr="00FC5E2A">
              <w:rPr>
                <w:rStyle w:val="Hyperlink"/>
                <w:rFonts w:asciiTheme="majorHAnsi" w:hAnsiTheme="majorHAnsi"/>
                <w:noProof/>
                <w:sz w:val="20"/>
                <w:szCs w:val="20"/>
                <w:lang w:val="es-ES"/>
              </w:rPr>
              <w:t>Estándares generales sobre el derecho la vida, derecho a la integridad y la prohibición de la tortura en casos relacionados con alegadas ejecuciones extrajudiciales</w:t>
            </w:r>
            <w:r w:rsidR="00FC5E2A" w:rsidRPr="00FC5E2A">
              <w:rPr>
                <w:rFonts w:asciiTheme="majorHAnsi" w:hAnsiTheme="majorHAnsi"/>
                <w:noProof/>
                <w:webHidden/>
                <w:sz w:val="20"/>
                <w:szCs w:val="20"/>
              </w:rPr>
              <w:tab/>
            </w:r>
            <w:r w:rsidR="00FC5E2A" w:rsidRPr="00FC5E2A">
              <w:rPr>
                <w:rFonts w:asciiTheme="majorHAnsi" w:hAnsiTheme="majorHAnsi"/>
                <w:noProof/>
                <w:webHidden/>
                <w:sz w:val="20"/>
                <w:szCs w:val="20"/>
              </w:rPr>
              <w:fldChar w:fldCharType="begin"/>
            </w:r>
            <w:r w:rsidR="00FC5E2A" w:rsidRPr="00FC5E2A">
              <w:rPr>
                <w:rFonts w:asciiTheme="majorHAnsi" w:hAnsiTheme="majorHAnsi"/>
                <w:noProof/>
                <w:webHidden/>
                <w:sz w:val="20"/>
                <w:szCs w:val="20"/>
              </w:rPr>
              <w:instrText xml:space="preserve"> PAGEREF _Toc2159218 \h </w:instrText>
            </w:r>
            <w:r w:rsidR="00FC5E2A" w:rsidRPr="00FC5E2A">
              <w:rPr>
                <w:rFonts w:asciiTheme="majorHAnsi" w:hAnsiTheme="majorHAnsi"/>
                <w:noProof/>
                <w:webHidden/>
                <w:sz w:val="20"/>
                <w:szCs w:val="20"/>
              </w:rPr>
            </w:r>
            <w:r w:rsidR="00FC5E2A" w:rsidRPr="00FC5E2A">
              <w:rPr>
                <w:rFonts w:asciiTheme="majorHAnsi" w:hAnsiTheme="majorHAnsi"/>
                <w:noProof/>
                <w:webHidden/>
                <w:sz w:val="20"/>
                <w:szCs w:val="20"/>
              </w:rPr>
              <w:fldChar w:fldCharType="separate"/>
            </w:r>
            <w:r w:rsidR="008828A1">
              <w:rPr>
                <w:rFonts w:asciiTheme="majorHAnsi" w:hAnsiTheme="majorHAnsi"/>
                <w:noProof/>
                <w:webHidden/>
                <w:sz w:val="20"/>
                <w:szCs w:val="20"/>
              </w:rPr>
              <w:t>13</w:t>
            </w:r>
            <w:r w:rsidR="00FC5E2A" w:rsidRPr="00FC5E2A">
              <w:rPr>
                <w:rFonts w:asciiTheme="majorHAnsi" w:hAnsiTheme="majorHAnsi"/>
                <w:noProof/>
                <w:webHidden/>
                <w:sz w:val="20"/>
                <w:szCs w:val="20"/>
              </w:rPr>
              <w:fldChar w:fldCharType="end"/>
            </w:r>
          </w:hyperlink>
        </w:p>
        <w:p w14:paraId="01D9D9DA" w14:textId="77777777" w:rsidR="00FC5E2A" w:rsidRPr="00FC5E2A" w:rsidRDefault="00747C92" w:rsidP="00FC5E2A">
          <w:pPr>
            <w:pStyle w:val="TOC3"/>
            <w:tabs>
              <w:tab w:val="clear" w:pos="9350"/>
              <w:tab w:val="right" w:leader="dot" w:pos="9360"/>
            </w:tabs>
            <w:ind w:right="524"/>
            <w:rPr>
              <w:rFonts w:asciiTheme="majorHAnsi" w:eastAsiaTheme="minorEastAsia" w:hAnsiTheme="majorHAnsi" w:cstheme="minorBidi"/>
              <w:noProof/>
              <w:sz w:val="20"/>
              <w:szCs w:val="20"/>
              <w:bdr w:val="none" w:sz="0" w:space="0" w:color="auto"/>
              <w:lang w:val="en-US"/>
            </w:rPr>
          </w:pPr>
          <w:hyperlink w:anchor="_Toc2159219" w:history="1">
            <w:r w:rsidR="00FC5E2A" w:rsidRPr="00FC5E2A">
              <w:rPr>
                <w:rStyle w:val="Hyperlink"/>
                <w:rFonts w:asciiTheme="majorHAnsi" w:hAnsiTheme="majorHAnsi"/>
                <w:noProof/>
                <w:sz w:val="20"/>
                <w:szCs w:val="20"/>
              </w:rPr>
              <w:t>2.</w:t>
            </w:r>
            <w:r w:rsidR="00FC5E2A" w:rsidRPr="00FC5E2A">
              <w:rPr>
                <w:rFonts w:asciiTheme="majorHAnsi" w:eastAsiaTheme="minorEastAsia" w:hAnsiTheme="majorHAnsi" w:cstheme="minorBidi"/>
                <w:noProof/>
                <w:sz w:val="20"/>
                <w:szCs w:val="20"/>
                <w:bdr w:val="none" w:sz="0" w:space="0" w:color="auto"/>
                <w:lang w:val="en-US"/>
              </w:rPr>
              <w:tab/>
            </w:r>
            <w:r w:rsidR="00FC5E2A" w:rsidRPr="00FC5E2A">
              <w:rPr>
                <w:rStyle w:val="Hyperlink"/>
                <w:rFonts w:asciiTheme="majorHAnsi" w:hAnsiTheme="majorHAnsi"/>
                <w:noProof/>
                <w:sz w:val="20"/>
                <w:szCs w:val="20"/>
                <w:lang w:val="es-ES_tradnl"/>
              </w:rPr>
              <w:t xml:space="preserve">Determinación de la atribución de responsabilidad internacional al Estado por la muerte </w:t>
            </w:r>
            <w:r w:rsidR="00FC5E2A" w:rsidRPr="00FC5E2A">
              <w:rPr>
                <w:rStyle w:val="Hyperlink"/>
                <w:rFonts w:asciiTheme="majorHAnsi" w:hAnsiTheme="majorHAnsi"/>
                <w:noProof/>
                <w:sz w:val="20"/>
                <w:szCs w:val="20"/>
                <w:lang w:val="es-ES"/>
              </w:rPr>
              <w:t>de Jimmy Guerrero y Ramón Molina</w:t>
            </w:r>
            <w:r w:rsidR="00FC5E2A" w:rsidRPr="00FC5E2A">
              <w:rPr>
                <w:rFonts w:asciiTheme="majorHAnsi" w:hAnsiTheme="majorHAnsi"/>
                <w:noProof/>
                <w:webHidden/>
                <w:sz w:val="20"/>
                <w:szCs w:val="20"/>
              </w:rPr>
              <w:tab/>
            </w:r>
            <w:r w:rsidR="00FC5E2A" w:rsidRPr="00FC5E2A">
              <w:rPr>
                <w:rFonts w:asciiTheme="majorHAnsi" w:hAnsiTheme="majorHAnsi"/>
                <w:noProof/>
                <w:webHidden/>
                <w:sz w:val="20"/>
                <w:szCs w:val="20"/>
              </w:rPr>
              <w:fldChar w:fldCharType="begin"/>
            </w:r>
            <w:r w:rsidR="00FC5E2A" w:rsidRPr="00FC5E2A">
              <w:rPr>
                <w:rFonts w:asciiTheme="majorHAnsi" w:hAnsiTheme="majorHAnsi"/>
                <w:noProof/>
                <w:webHidden/>
                <w:sz w:val="20"/>
                <w:szCs w:val="20"/>
              </w:rPr>
              <w:instrText xml:space="preserve"> PAGEREF _Toc2159219 \h </w:instrText>
            </w:r>
            <w:r w:rsidR="00FC5E2A" w:rsidRPr="00FC5E2A">
              <w:rPr>
                <w:rFonts w:asciiTheme="majorHAnsi" w:hAnsiTheme="majorHAnsi"/>
                <w:noProof/>
                <w:webHidden/>
                <w:sz w:val="20"/>
                <w:szCs w:val="20"/>
              </w:rPr>
            </w:r>
            <w:r w:rsidR="00FC5E2A" w:rsidRPr="00FC5E2A">
              <w:rPr>
                <w:rFonts w:asciiTheme="majorHAnsi" w:hAnsiTheme="majorHAnsi"/>
                <w:noProof/>
                <w:webHidden/>
                <w:sz w:val="20"/>
                <w:szCs w:val="20"/>
              </w:rPr>
              <w:fldChar w:fldCharType="separate"/>
            </w:r>
            <w:r w:rsidR="008828A1">
              <w:rPr>
                <w:rFonts w:asciiTheme="majorHAnsi" w:hAnsiTheme="majorHAnsi"/>
                <w:noProof/>
                <w:webHidden/>
                <w:sz w:val="20"/>
                <w:szCs w:val="20"/>
              </w:rPr>
              <w:t>15</w:t>
            </w:r>
            <w:r w:rsidR="00FC5E2A" w:rsidRPr="00FC5E2A">
              <w:rPr>
                <w:rFonts w:asciiTheme="majorHAnsi" w:hAnsiTheme="majorHAnsi"/>
                <w:noProof/>
                <w:webHidden/>
                <w:sz w:val="20"/>
                <w:szCs w:val="20"/>
              </w:rPr>
              <w:fldChar w:fldCharType="end"/>
            </w:r>
          </w:hyperlink>
        </w:p>
        <w:p w14:paraId="1D871F11" w14:textId="77777777" w:rsidR="00FC5E2A" w:rsidRPr="00FC5E2A" w:rsidRDefault="00747C92" w:rsidP="00FC5E2A">
          <w:pPr>
            <w:pStyle w:val="TOC2"/>
            <w:tabs>
              <w:tab w:val="right" w:leader="dot" w:pos="9360"/>
            </w:tabs>
            <w:ind w:right="524"/>
            <w:rPr>
              <w:rFonts w:asciiTheme="majorHAnsi" w:eastAsiaTheme="minorEastAsia" w:hAnsiTheme="majorHAnsi" w:cstheme="minorBidi"/>
              <w:noProof/>
              <w:sz w:val="20"/>
              <w:szCs w:val="20"/>
              <w:bdr w:val="none" w:sz="0" w:space="0" w:color="auto"/>
              <w:lang w:val="en-US"/>
            </w:rPr>
          </w:pPr>
          <w:hyperlink w:anchor="_Toc2159220" w:history="1">
            <w:r w:rsidR="00FC5E2A" w:rsidRPr="00FC5E2A">
              <w:rPr>
                <w:rStyle w:val="Hyperlink"/>
                <w:rFonts w:asciiTheme="majorHAnsi" w:hAnsiTheme="majorHAnsi"/>
                <w:noProof/>
                <w:sz w:val="20"/>
                <w:szCs w:val="20"/>
              </w:rPr>
              <w:t>B.</w:t>
            </w:r>
            <w:r w:rsidR="00FC5E2A" w:rsidRPr="00FC5E2A">
              <w:rPr>
                <w:rFonts w:asciiTheme="majorHAnsi" w:eastAsiaTheme="minorEastAsia" w:hAnsiTheme="majorHAnsi" w:cstheme="minorBidi"/>
                <w:noProof/>
                <w:sz w:val="20"/>
                <w:szCs w:val="20"/>
                <w:bdr w:val="none" w:sz="0" w:space="0" w:color="auto"/>
                <w:lang w:val="en-US"/>
              </w:rPr>
              <w:tab/>
            </w:r>
            <w:r w:rsidR="00FC5E2A" w:rsidRPr="00FC5E2A">
              <w:rPr>
                <w:rStyle w:val="Hyperlink"/>
                <w:rFonts w:asciiTheme="majorHAnsi" w:hAnsiTheme="majorHAnsi"/>
                <w:noProof/>
                <w:sz w:val="20"/>
                <w:szCs w:val="20"/>
                <w:lang w:val="es-ES"/>
              </w:rPr>
              <w:t>Derecho a las garantías judiciales y la protección judicial (artículos 8</w:t>
            </w:r>
            <w:r w:rsidR="00FC5E2A" w:rsidRPr="00FC5E2A">
              <w:rPr>
                <w:rStyle w:val="Hyperlink"/>
                <w:rFonts w:asciiTheme="majorHAnsi" w:hAnsiTheme="majorHAnsi"/>
                <w:noProof/>
                <w:sz w:val="20"/>
                <w:szCs w:val="20"/>
                <w:vertAlign w:val="superscript"/>
                <w:lang w:val="es-ES"/>
              </w:rPr>
              <w:t xml:space="preserve"> </w:t>
            </w:r>
            <w:r w:rsidR="00FC5E2A" w:rsidRPr="00FC5E2A">
              <w:rPr>
                <w:rStyle w:val="Hyperlink"/>
                <w:rFonts w:asciiTheme="majorHAnsi" w:hAnsiTheme="majorHAnsi"/>
                <w:noProof/>
                <w:sz w:val="20"/>
                <w:szCs w:val="20"/>
                <w:lang w:val="es-ES"/>
              </w:rPr>
              <w:t>y  artículo 25.1) en relación con el artículo 1.1 de la Convención Americana</w:t>
            </w:r>
            <w:r w:rsidR="00FC5E2A" w:rsidRPr="00FC5E2A">
              <w:rPr>
                <w:rFonts w:asciiTheme="majorHAnsi" w:hAnsiTheme="majorHAnsi"/>
                <w:noProof/>
                <w:webHidden/>
                <w:sz w:val="20"/>
                <w:szCs w:val="20"/>
              </w:rPr>
              <w:tab/>
            </w:r>
            <w:r w:rsidR="00FC5E2A" w:rsidRPr="00FC5E2A">
              <w:rPr>
                <w:rFonts w:asciiTheme="majorHAnsi" w:hAnsiTheme="majorHAnsi"/>
                <w:noProof/>
                <w:webHidden/>
                <w:sz w:val="20"/>
                <w:szCs w:val="20"/>
              </w:rPr>
              <w:fldChar w:fldCharType="begin"/>
            </w:r>
            <w:r w:rsidR="00FC5E2A" w:rsidRPr="00FC5E2A">
              <w:rPr>
                <w:rFonts w:asciiTheme="majorHAnsi" w:hAnsiTheme="majorHAnsi"/>
                <w:noProof/>
                <w:webHidden/>
                <w:sz w:val="20"/>
                <w:szCs w:val="20"/>
              </w:rPr>
              <w:instrText xml:space="preserve"> PAGEREF _Toc2159220 \h </w:instrText>
            </w:r>
            <w:r w:rsidR="00FC5E2A" w:rsidRPr="00FC5E2A">
              <w:rPr>
                <w:rFonts w:asciiTheme="majorHAnsi" w:hAnsiTheme="majorHAnsi"/>
                <w:noProof/>
                <w:webHidden/>
                <w:sz w:val="20"/>
                <w:szCs w:val="20"/>
              </w:rPr>
            </w:r>
            <w:r w:rsidR="00FC5E2A" w:rsidRPr="00FC5E2A">
              <w:rPr>
                <w:rFonts w:asciiTheme="majorHAnsi" w:hAnsiTheme="majorHAnsi"/>
                <w:noProof/>
                <w:webHidden/>
                <w:sz w:val="20"/>
                <w:szCs w:val="20"/>
              </w:rPr>
              <w:fldChar w:fldCharType="separate"/>
            </w:r>
            <w:r w:rsidR="008828A1">
              <w:rPr>
                <w:rFonts w:asciiTheme="majorHAnsi" w:hAnsiTheme="majorHAnsi"/>
                <w:noProof/>
                <w:webHidden/>
                <w:sz w:val="20"/>
                <w:szCs w:val="20"/>
              </w:rPr>
              <w:t>17</w:t>
            </w:r>
            <w:r w:rsidR="00FC5E2A" w:rsidRPr="00FC5E2A">
              <w:rPr>
                <w:rFonts w:asciiTheme="majorHAnsi" w:hAnsiTheme="majorHAnsi"/>
                <w:noProof/>
                <w:webHidden/>
                <w:sz w:val="20"/>
                <w:szCs w:val="20"/>
              </w:rPr>
              <w:fldChar w:fldCharType="end"/>
            </w:r>
          </w:hyperlink>
        </w:p>
        <w:p w14:paraId="63BFA2B9" w14:textId="77777777" w:rsidR="00FC5E2A" w:rsidRPr="00FC5E2A" w:rsidRDefault="00747C92" w:rsidP="00FC5E2A">
          <w:pPr>
            <w:pStyle w:val="TOC3"/>
            <w:tabs>
              <w:tab w:val="clear" w:pos="9350"/>
              <w:tab w:val="right" w:leader="dot" w:pos="9360"/>
            </w:tabs>
            <w:ind w:right="524"/>
            <w:rPr>
              <w:rFonts w:asciiTheme="majorHAnsi" w:eastAsiaTheme="minorEastAsia" w:hAnsiTheme="majorHAnsi" w:cstheme="minorBidi"/>
              <w:noProof/>
              <w:sz w:val="20"/>
              <w:szCs w:val="20"/>
              <w:bdr w:val="none" w:sz="0" w:space="0" w:color="auto"/>
              <w:lang w:val="en-US"/>
            </w:rPr>
          </w:pPr>
          <w:hyperlink w:anchor="_Toc2159221" w:history="1">
            <w:r w:rsidR="00FC5E2A" w:rsidRPr="00FC5E2A">
              <w:rPr>
                <w:rStyle w:val="Hyperlink"/>
                <w:rFonts w:asciiTheme="majorHAnsi" w:hAnsiTheme="majorHAnsi"/>
                <w:noProof/>
                <w:sz w:val="20"/>
                <w:szCs w:val="20"/>
              </w:rPr>
              <w:t>1.</w:t>
            </w:r>
            <w:r w:rsidR="00FC5E2A" w:rsidRPr="00FC5E2A">
              <w:rPr>
                <w:rFonts w:asciiTheme="majorHAnsi" w:eastAsiaTheme="minorEastAsia" w:hAnsiTheme="majorHAnsi" w:cstheme="minorBidi"/>
                <w:noProof/>
                <w:sz w:val="20"/>
                <w:szCs w:val="20"/>
                <w:bdr w:val="none" w:sz="0" w:space="0" w:color="auto"/>
                <w:lang w:val="en-US"/>
              </w:rPr>
              <w:tab/>
            </w:r>
            <w:r w:rsidR="00FC5E2A" w:rsidRPr="00FC5E2A">
              <w:rPr>
                <w:rStyle w:val="Hyperlink"/>
                <w:rFonts w:asciiTheme="majorHAnsi" w:hAnsiTheme="majorHAnsi"/>
                <w:noProof/>
                <w:sz w:val="20"/>
                <w:szCs w:val="20"/>
              </w:rPr>
              <w:t>Estándares de debida diligencia en investigaciones de muertes que involucren agentes del Estado y plazo razonable</w:t>
            </w:r>
            <w:r w:rsidR="00FC5E2A" w:rsidRPr="00FC5E2A">
              <w:rPr>
                <w:rFonts w:asciiTheme="majorHAnsi" w:hAnsiTheme="majorHAnsi"/>
                <w:noProof/>
                <w:webHidden/>
                <w:sz w:val="20"/>
                <w:szCs w:val="20"/>
              </w:rPr>
              <w:tab/>
            </w:r>
            <w:r w:rsidR="00FC5E2A" w:rsidRPr="00FC5E2A">
              <w:rPr>
                <w:rFonts w:asciiTheme="majorHAnsi" w:hAnsiTheme="majorHAnsi"/>
                <w:noProof/>
                <w:webHidden/>
                <w:sz w:val="20"/>
                <w:szCs w:val="20"/>
              </w:rPr>
              <w:fldChar w:fldCharType="begin"/>
            </w:r>
            <w:r w:rsidR="00FC5E2A" w:rsidRPr="00FC5E2A">
              <w:rPr>
                <w:rFonts w:asciiTheme="majorHAnsi" w:hAnsiTheme="majorHAnsi"/>
                <w:noProof/>
                <w:webHidden/>
                <w:sz w:val="20"/>
                <w:szCs w:val="20"/>
              </w:rPr>
              <w:instrText xml:space="preserve"> PAGEREF _Toc2159221 \h </w:instrText>
            </w:r>
            <w:r w:rsidR="00FC5E2A" w:rsidRPr="00FC5E2A">
              <w:rPr>
                <w:rFonts w:asciiTheme="majorHAnsi" w:hAnsiTheme="majorHAnsi"/>
                <w:noProof/>
                <w:webHidden/>
                <w:sz w:val="20"/>
                <w:szCs w:val="20"/>
              </w:rPr>
            </w:r>
            <w:r w:rsidR="00FC5E2A" w:rsidRPr="00FC5E2A">
              <w:rPr>
                <w:rFonts w:asciiTheme="majorHAnsi" w:hAnsiTheme="majorHAnsi"/>
                <w:noProof/>
                <w:webHidden/>
                <w:sz w:val="20"/>
                <w:szCs w:val="20"/>
              </w:rPr>
              <w:fldChar w:fldCharType="separate"/>
            </w:r>
            <w:r w:rsidR="008828A1">
              <w:rPr>
                <w:rFonts w:asciiTheme="majorHAnsi" w:hAnsiTheme="majorHAnsi"/>
                <w:noProof/>
                <w:webHidden/>
                <w:sz w:val="20"/>
                <w:szCs w:val="20"/>
              </w:rPr>
              <w:t>17</w:t>
            </w:r>
            <w:r w:rsidR="00FC5E2A" w:rsidRPr="00FC5E2A">
              <w:rPr>
                <w:rFonts w:asciiTheme="majorHAnsi" w:hAnsiTheme="majorHAnsi"/>
                <w:noProof/>
                <w:webHidden/>
                <w:sz w:val="20"/>
                <w:szCs w:val="20"/>
              </w:rPr>
              <w:fldChar w:fldCharType="end"/>
            </w:r>
          </w:hyperlink>
        </w:p>
        <w:p w14:paraId="49D271FE" w14:textId="77777777" w:rsidR="00FC5E2A" w:rsidRPr="00FC5E2A" w:rsidRDefault="00747C92" w:rsidP="00FC5E2A">
          <w:pPr>
            <w:pStyle w:val="TOC3"/>
            <w:tabs>
              <w:tab w:val="clear" w:pos="9350"/>
              <w:tab w:val="right" w:leader="dot" w:pos="9360"/>
            </w:tabs>
            <w:ind w:right="524"/>
            <w:rPr>
              <w:rFonts w:asciiTheme="majorHAnsi" w:eastAsiaTheme="minorEastAsia" w:hAnsiTheme="majorHAnsi" w:cstheme="minorBidi"/>
              <w:noProof/>
              <w:sz w:val="20"/>
              <w:szCs w:val="20"/>
              <w:bdr w:val="none" w:sz="0" w:space="0" w:color="auto"/>
              <w:lang w:val="en-US"/>
            </w:rPr>
          </w:pPr>
          <w:hyperlink w:anchor="_Toc2159222" w:history="1">
            <w:r w:rsidR="00FC5E2A" w:rsidRPr="00FC5E2A">
              <w:rPr>
                <w:rStyle w:val="Hyperlink"/>
                <w:rFonts w:asciiTheme="majorHAnsi" w:hAnsiTheme="majorHAnsi"/>
                <w:noProof/>
                <w:sz w:val="20"/>
                <w:szCs w:val="20"/>
              </w:rPr>
              <w:t>2.</w:t>
            </w:r>
            <w:r w:rsidR="00FC5E2A" w:rsidRPr="00FC5E2A">
              <w:rPr>
                <w:rFonts w:asciiTheme="majorHAnsi" w:eastAsiaTheme="minorEastAsia" w:hAnsiTheme="majorHAnsi" w:cstheme="minorBidi"/>
                <w:noProof/>
                <w:sz w:val="20"/>
                <w:szCs w:val="20"/>
                <w:bdr w:val="none" w:sz="0" w:space="0" w:color="auto"/>
                <w:lang w:val="en-US"/>
              </w:rPr>
              <w:tab/>
            </w:r>
            <w:r w:rsidR="00FC5E2A" w:rsidRPr="00FC5E2A">
              <w:rPr>
                <w:rStyle w:val="Hyperlink"/>
                <w:rFonts w:asciiTheme="majorHAnsi" w:hAnsiTheme="majorHAnsi"/>
                <w:noProof/>
                <w:sz w:val="20"/>
                <w:szCs w:val="20"/>
              </w:rPr>
              <w:t>La debida diligencia y el plazo razonable en la investigación de las muertes de Jimmy Guerrero y Ramón Molina</w:t>
            </w:r>
            <w:r w:rsidR="00FC5E2A" w:rsidRPr="00FC5E2A">
              <w:rPr>
                <w:rFonts w:asciiTheme="majorHAnsi" w:hAnsiTheme="majorHAnsi"/>
                <w:noProof/>
                <w:webHidden/>
                <w:sz w:val="20"/>
                <w:szCs w:val="20"/>
              </w:rPr>
              <w:tab/>
            </w:r>
            <w:r w:rsidR="00FC5E2A" w:rsidRPr="00FC5E2A">
              <w:rPr>
                <w:rFonts w:asciiTheme="majorHAnsi" w:hAnsiTheme="majorHAnsi"/>
                <w:noProof/>
                <w:webHidden/>
                <w:sz w:val="20"/>
                <w:szCs w:val="20"/>
              </w:rPr>
              <w:fldChar w:fldCharType="begin"/>
            </w:r>
            <w:r w:rsidR="00FC5E2A" w:rsidRPr="00FC5E2A">
              <w:rPr>
                <w:rFonts w:asciiTheme="majorHAnsi" w:hAnsiTheme="majorHAnsi"/>
                <w:noProof/>
                <w:webHidden/>
                <w:sz w:val="20"/>
                <w:szCs w:val="20"/>
              </w:rPr>
              <w:instrText xml:space="preserve"> PAGEREF _Toc2159222 \h </w:instrText>
            </w:r>
            <w:r w:rsidR="00FC5E2A" w:rsidRPr="00FC5E2A">
              <w:rPr>
                <w:rFonts w:asciiTheme="majorHAnsi" w:hAnsiTheme="majorHAnsi"/>
                <w:noProof/>
                <w:webHidden/>
                <w:sz w:val="20"/>
                <w:szCs w:val="20"/>
              </w:rPr>
            </w:r>
            <w:r w:rsidR="00FC5E2A" w:rsidRPr="00FC5E2A">
              <w:rPr>
                <w:rFonts w:asciiTheme="majorHAnsi" w:hAnsiTheme="majorHAnsi"/>
                <w:noProof/>
                <w:webHidden/>
                <w:sz w:val="20"/>
                <w:szCs w:val="20"/>
              </w:rPr>
              <w:fldChar w:fldCharType="separate"/>
            </w:r>
            <w:r w:rsidR="008828A1">
              <w:rPr>
                <w:rFonts w:asciiTheme="majorHAnsi" w:hAnsiTheme="majorHAnsi"/>
                <w:noProof/>
                <w:webHidden/>
                <w:sz w:val="20"/>
                <w:szCs w:val="20"/>
              </w:rPr>
              <w:t>18</w:t>
            </w:r>
            <w:r w:rsidR="00FC5E2A" w:rsidRPr="00FC5E2A">
              <w:rPr>
                <w:rFonts w:asciiTheme="majorHAnsi" w:hAnsiTheme="majorHAnsi"/>
                <w:noProof/>
                <w:webHidden/>
                <w:sz w:val="20"/>
                <w:szCs w:val="20"/>
              </w:rPr>
              <w:fldChar w:fldCharType="end"/>
            </w:r>
          </w:hyperlink>
        </w:p>
        <w:p w14:paraId="296BEE7F" w14:textId="77777777" w:rsidR="00FC5E2A" w:rsidRPr="00FC5E2A" w:rsidRDefault="00747C92" w:rsidP="00FC5E2A">
          <w:pPr>
            <w:pStyle w:val="TOC3"/>
            <w:tabs>
              <w:tab w:val="clear" w:pos="9350"/>
              <w:tab w:val="right" w:leader="dot" w:pos="9360"/>
            </w:tabs>
            <w:ind w:right="524"/>
            <w:rPr>
              <w:rFonts w:asciiTheme="majorHAnsi" w:eastAsiaTheme="minorEastAsia" w:hAnsiTheme="majorHAnsi" w:cstheme="minorBidi"/>
              <w:noProof/>
              <w:sz w:val="20"/>
              <w:szCs w:val="20"/>
              <w:bdr w:val="none" w:sz="0" w:space="0" w:color="auto"/>
              <w:lang w:val="en-US"/>
            </w:rPr>
          </w:pPr>
          <w:hyperlink w:anchor="_Toc2159223" w:history="1">
            <w:r w:rsidR="00FC5E2A" w:rsidRPr="00FC5E2A">
              <w:rPr>
                <w:rStyle w:val="Hyperlink"/>
                <w:rFonts w:asciiTheme="majorHAnsi" w:hAnsiTheme="majorHAnsi"/>
                <w:noProof/>
                <w:sz w:val="20"/>
                <w:szCs w:val="20"/>
              </w:rPr>
              <w:t>3.</w:t>
            </w:r>
            <w:r w:rsidR="00FC5E2A" w:rsidRPr="00FC5E2A">
              <w:rPr>
                <w:rFonts w:asciiTheme="majorHAnsi" w:eastAsiaTheme="minorEastAsia" w:hAnsiTheme="majorHAnsi" w:cstheme="minorBidi"/>
                <w:noProof/>
                <w:sz w:val="20"/>
                <w:szCs w:val="20"/>
                <w:bdr w:val="none" w:sz="0" w:space="0" w:color="auto"/>
                <w:lang w:val="en-US"/>
              </w:rPr>
              <w:tab/>
            </w:r>
            <w:r w:rsidR="00FC5E2A" w:rsidRPr="00FC5E2A">
              <w:rPr>
                <w:rStyle w:val="Hyperlink"/>
                <w:rFonts w:asciiTheme="majorHAnsi" w:hAnsiTheme="majorHAnsi"/>
                <w:noProof/>
                <w:sz w:val="20"/>
                <w:szCs w:val="20"/>
              </w:rPr>
              <w:t>Derecho a la integridad personal respecto de los familiares de Jimmy Guerrero y Ramón Molina</w:t>
            </w:r>
            <w:r w:rsidR="00FC5E2A" w:rsidRPr="00FC5E2A">
              <w:rPr>
                <w:rFonts w:asciiTheme="majorHAnsi" w:hAnsiTheme="majorHAnsi"/>
                <w:noProof/>
                <w:webHidden/>
                <w:sz w:val="20"/>
                <w:szCs w:val="20"/>
              </w:rPr>
              <w:tab/>
            </w:r>
            <w:r w:rsidR="00FC5E2A" w:rsidRPr="00FC5E2A">
              <w:rPr>
                <w:rFonts w:asciiTheme="majorHAnsi" w:hAnsiTheme="majorHAnsi"/>
                <w:noProof/>
                <w:webHidden/>
                <w:sz w:val="20"/>
                <w:szCs w:val="20"/>
              </w:rPr>
              <w:fldChar w:fldCharType="begin"/>
            </w:r>
            <w:r w:rsidR="00FC5E2A" w:rsidRPr="00FC5E2A">
              <w:rPr>
                <w:rFonts w:asciiTheme="majorHAnsi" w:hAnsiTheme="majorHAnsi"/>
                <w:noProof/>
                <w:webHidden/>
                <w:sz w:val="20"/>
                <w:szCs w:val="20"/>
              </w:rPr>
              <w:instrText xml:space="preserve"> PAGEREF _Toc2159223 \h </w:instrText>
            </w:r>
            <w:r w:rsidR="00FC5E2A" w:rsidRPr="00FC5E2A">
              <w:rPr>
                <w:rFonts w:asciiTheme="majorHAnsi" w:hAnsiTheme="majorHAnsi"/>
                <w:noProof/>
                <w:webHidden/>
                <w:sz w:val="20"/>
                <w:szCs w:val="20"/>
              </w:rPr>
            </w:r>
            <w:r w:rsidR="00FC5E2A" w:rsidRPr="00FC5E2A">
              <w:rPr>
                <w:rFonts w:asciiTheme="majorHAnsi" w:hAnsiTheme="majorHAnsi"/>
                <w:noProof/>
                <w:webHidden/>
                <w:sz w:val="20"/>
                <w:szCs w:val="20"/>
              </w:rPr>
              <w:fldChar w:fldCharType="separate"/>
            </w:r>
            <w:r w:rsidR="008828A1">
              <w:rPr>
                <w:rFonts w:asciiTheme="majorHAnsi" w:hAnsiTheme="majorHAnsi"/>
                <w:noProof/>
                <w:webHidden/>
                <w:sz w:val="20"/>
                <w:szCs w:val="20"/>
              </w:rPr>
              <w:t>20</w:t>
            </w:r>
            <w:r w:rsidR="00FC5E2A" w:rsidRPr="00FC5E2A">
              <w:rPr>
                <w:rFonts w:asciiTheme="majorHAnsi" w:hAnsiTheme="majorHAnsi"/>
                <w:noProof/>
                <w:webHidden/>
                <w:sz w:val="20"/>
                <w:szCs w:val="20"/>
              </w:rPr>
              <w:fldChar w:fldCharType="end"/>
            </w:r>
          </w:hyperlink>
        </w:p>
        <w:p w14:paraId="2CA95415" w14:textId="732BD9C8" w:rsidR="00FC5E2A" w:rsidRPr="00FC5E2A" w:rsidRDefault="00747C92" w:rsidP="00FC5E2A">
          <w:pPr>
            <w:pStyle w:val="TOC1"/>
            <w:tabs>
              <w:tab w:val="clear" w:pos="9514"/>
              <w:tab w:val="right" w:leader="dot" w:pos="9360"/>
            </w:tabs>
            <w:ind w:right="524"/>
            <w:rPr>
              <w:rFonts w:eastAsiaTheme="minorEastAsia" w:cstheme="minorBidi"/>
              <w:b w:val="0"/>
              <w:bdr w:val="none" w:sz="0" w:space="0" w:color="auto"/>
              <w:lang w:val="en-US"/>
            </w:rPr>
          </w:pPr>
          <w:hyperlink w:anchor="_Toc2159224" w:history="1">
            <w:r w:rsidR="00FC5E2A" w:rsidRPr="00FC5E2A">
              <w:rPr>
                <w:rStyle w:val="Hyperlink"/>
              </w:rPr>
              <w:t>V.</w:t>
            </w:r>
            <w:r w:rsidR="00FC5E2A" w:rsidRPr="00FC5E2A">
              <w:rPr>
                <w:rFonts w:eastAsiaTheme="minorEastAsia" w:cstheme="minorBidi"/>
                <w:b w:val="0"/>
                <w:bdr w:val="none" w:sz="0" w:space="0" w:color="auto"/>
                <w:lang w:val="en-US"/>
              </w:rPr>
              <w:tab/>
            </w:r>
            <w:r w:rsidR="00FC5E2A" w:rsidRPr="00FC5E2A">
              <w:rPr>
                <w:rStyle w:val="Hyperlink"/>
              </w:rPr>
              <w:t>CONCLUSIONES Y RECOMENDACIONES</w:t>
            </w:r>
            <w:r w:rsidR="00FC5E2A" w:rsidRPr="00FC5E2A">
              <w:rPr>
                <w:webHidden/>
              </w:rPr>
              <w:tab/>
            </w:r>
            <w:r w:rsidR="00FC5E2A" w:rsidRPr="00FC5E2A">
              <w:rPr>
                <w:webHidden/>
              </w:rPr>
              <w:fldChar w:fldCharType="begin"/>
            </w:r>
            <w:r w:rsidR="00FC5E2A" w:rsidRPr="00FC5E2A">
              <w:rPr>
                <w:webHidden/>
              </w:rPr>
              <w:instrText xml:space="preserve"> PAGEREF _Toc2159224 \h </w:instrText>
            </w:r>
            <w:r w:rsidR="00FC5E2A" w:rsidRPr="00FC5E2A">
              <w:rPr>
                <w:webHidden/>
              </w:rPr>
            </w:r>
            <w:r w:rsidR="00FC5E2A" w:rsidRPr="00FC5E2A">
              <w:rPr>
                <w:webHidden/>
              </w:rPr>
              <w:fldChar w:fldCharType="separate"/>
            </w:r>
            <w:r w:rsidR="008828A1">
              <w:rPr>
                <w:webHidden/>
              </w:rPr>
              <w:t>20</w:t>
            </w:r>
            <w:r w:rsidR="00FC5E2A" w:rsidRPr="00FC5E2A">
              <w:rPr>
                <w:webHidden/>
              </w:rPr>
              <w:fldChar w:fldCharType="end"/>
            </w:r>
          </w:hyperlink>
        </w:p>
        <w:p w14:paraId="09630066" w14:textId="7DA1E612" w:rsidR="009D5D85" w:rsidRPr="00FC5E2A" w:rsidRDefault="009D5D85">
          <w:pPr>
            <w:rPr>
              <w:rFonts w:asciiTheme="majorHAnsi" w:hAnsiTheme="majorHAnsi"/>
              <w:sz w:val="20"/>
              <w:szCs w:val="20"/>
            </w:rPr>
          </w:pPr>
          <w:r w:rsidRPr="00FC5E2A">
            <w:rPr>
              <w:rFonts w:asciiTheme="majorHAnsi" w:hAnsiTheme="majorHAnsi"/>
              <w:b/>
              <w:bCs/>
              <w:noProof/>
              <w:sz w:val="20"/>
              <w:szCs w:val="20"/>
            </w:rPr>
            <w:fldChar w:fldCharType="end"/>
          </w:r>
        </w:p>
      </w:sdtContent>
    </w:sdt>
    <w:p w14:paraId="7D70F20A" w14:textId="1C871F4A" w:rsidR="008D768D" w:rsidRPr="009E773A" w:rsidRDefault="008D768D" w:rsidP="006125C3">
      <w:pPr>
        <w:tabs>
          <w:tab w:val="center" w:pos="5400"/>
        </w:tabs>
        <w:suppressAutoHyphens/>
        <w:spacing w:line="276" w:lineRule="auto"/>
        <w:rPr>
          <w:rFonts w:asciiTheme="majorHAnsi" w:hAnsiTheme="majorHAnsi"/>
          <w:sz w:val="20"/>
          <w:szCs w:val="20"/>
        </w:rPr>
      </w:pPr>
    </w:p>
    <w:p w14:paraId="71026350" w14:textId="77777777" w:rsidR="00722C9F" w:rsidRPr="009E773A" w:rsidRDefault="00722C9F">
      <w:pPr>
        <w:rPr>
          <w:rFonts w:asciiTheme="majorHAnsi" w:hAnsiTheme="majorHAnsi" w:cs="Calibri"/>
          <w:sz w:val="20"/>
          <w:szCs w:val="20"/>
        </w:rPr>
      </w:pPr>
      <w:r w:rsidRPr="009E773A">
        <w:rPr>
          <w:rFonts w:asciiTheme="majorHAnsi" w:hAnsiTheme="majorHAnsi" w:cs="Calibri"/>
          <w:sz w:val="20"/>
          <w:szCs w:val="20"/>
        </w:rPr>
        <w:br w:type="page"/>
      </w:r>
    </w:p>
    <w:p w14:paraId="00AE70DA" w14:textId="77777777" w:rsidR="00CA08FD" w:rsidRPr="009E773A" w:rsidRDefault="00CA08FD" w:rsidP="00CA08FD">
      <w:pPr>
        <w:tabs>
          <w:tab w:val="center" w:pos="5400"/>
        </w:tabs>
        <w:suppressAutoHyphens/>
        <w:spacing w:line="276" w:lineRule="auto"/>
        <w:jc w:val="center"/>
        <w:rPr>
          <w:rFonts w:asciiTheme="majorHAnsi" w:hAnsiTheme="majorHAnsi"/>
          <w:b/>
          <w:sz w:val="20"/>
          <w:szCs w:val="20"/>
        </w:rPr>
      </w:pPr>
      <w:r>
        <w:rPr>
          <w:rFonts w:asciiTheme="majorHAnsi" w:hAnsiTheme="majorHAnsi"/>
          <w:b/>
          <w:sz w:val="20"/>
          <w:szCs w:val="20"/>
        </w:rPr>
        <w:lastRenderedPageBreak/>
        <w:t>INFORME No. 160</w:t>
      </w:r>
      <w:r w:rsidRPr="009E773A">
        <w:rPr>
          <w:rFonts w:asciiTheme="majorHAnsi" w:hAnsiTheme="majorHAnsi"/>
          <w:b/>
          <w:sz w:val="20"/>
          <w:szCs w:val="20"/>
        </w:rPr>
        <w:t>/18</w:t>
      </w:r>
    </w:p>
    <w:p w14:paraId="3F2C14F7" w14:textId="77777777" w:rsidR="00CA08FD" w:rsidRPr="009E773A" w:rsidRDefault="00CA08FD" w:rsidP="00CA08FD">
      <w:pPr>
        <w:tabs>
          <w:tab w:val="center" w:pos="5400"/>
        </w:tabs>
        <w:suppressAutoHyphens/>
        <w:spacing w:line="276" w:lineRule="auto"/>
        <w:jc w:val="center"/>
        <w:rPr>
          <w:rFonts w:asciiTheme="majorHAnsi" w:hAnsiTheme="majorHAnsi"/>
          <w:b/>
          <w:sz w:val="20"/>
          <w:szCs w:val="20"/>
        </w:rPr>
      </w:pPr>
      <w:r w:rsidRPr="009E773A">
        <w:rPr>
          <w:rFonts w:asciiTheme="majorHAnsi" w:hAnsiTheme="majorHAnsi"/>
          <w:b/>
          <w:sz w:val="20"/>
          <w:szCs w:val="20"/>
        </w:rPr>
        <w:t>CASO 12.805</w:t>
      </w:r>
    </w:p>
    <w:p w14:paraId="192D234C" w14:textId="77777777" w:rsidR="00CA08FD" w:rsidRPr="009E773A" w:rsidRDefault="00CA08FD" w:rsidP="00CA08FD">
      <w:pPr>
        <w:tabs>
          <w:tab w:val="center" w:pos="5400"/>
        </w:tabs>
        <w:suppressAutoHyphens/>
        <w:spacing w:line="276" w:lineRule="auto"/>
        <w:jc w:val="center"/>
        <w:rPr>
          <w:rFonts w:asciiTheme="majorHAnsi" w:hAnsiTheme="majorHAnsi"/>
          <w:sz w:val="20"/>
          <w:szCs w:val="20"/>
        </w:rPr>
      </w:pPr>
      <w:r w:rsidRPr="009E773A">
        <w:rPr>
          <w:rFonts w:asciiTheme="majorHAnsi" w:hAnsiTheme="majorHAnsi"/>
          <w:sz w:val="20"/>
          <w:szCs w:val="20"/>
        </w:rPr>
        <w:t>FONDO</w:t>
      </w:r>
    </w:p>
    <w:p w14:paraId="73AFD833" w14:textId="77777777" w:rsidR="00CA08FD" w:rsidRPr="009E773A" w:rsidRDefault="00CA08FD" w:rsidP="00CA08FD">
      <w:pPr>
        <w:tabs>
          <w:tab w:val="center" w:pos="5400"/>
        </w:tabs>
        <w:suppressAutoHyphens/>
        <w:spacing w:line="276" w:lineRule="auto"/>
        <w:jc w:val="center"/>
        <w:rPr>
          <w:rFonts w:asciiTheme="majorHAnsi" w:hAnsiTheme="majorHAnsi"/>
          <w:sz w:val="20"/>
          <w:szCs w:val="20"/>
        </w:rPr>
      </w:pPr>
      <w:r w:rsidRPr="009E773A">
        <w:rPr>
          <w:rFonts w:asciiTheme="majorHAnsi" w:hAnsiTheme="majorHAnsi"/>
          <w:sz w:val="20"/>
          <w:szCs w:val="20"/>
        </w:rPr>
        <w:t>JIMMY GUERRERO, RAMÓN MOLINA PÉREZ Y FAMILIARES</w:t>
      </w:r>
    </w:p>
    <w:p w14:paraId="3C060235" w14:textId="77777777" w:rsidR="00CA08FD" w:rsidRPr="009E773A" w:rsidRDefault="00CA08FD" w:rsidP="00CA08FD">
      <w:pPr>
        <w:tabs>
          <w:tab w:val="center" w:pos="5400"/>
        </w:tabs>
        <w:suppressAutoHyphens/>
        <w:spacing w:line="276" w:lineRule="auto"/>
        <w:jc w:val="center"/>
        <w:rPr>
          <w:rFonts w:asciiTheme="majorHAnsi" w:hAnsiTheme="majorHAnsi"/>
          <w:sz w:val="20"/>
          <w:szCs w:val="20"/>
        </w:rPr>
      </w:pPr>
      <w:r w:rsidRPr="009E773A">
        <w:rPr>
          <w:rFonts w:asciiTheme="majorHAnsi" w:hAnsiTheme="majorHAnsi"/>
          <w:sz w:val="20"/>
          <w:szCs w:val="20"/>
        </w:rPr>
        <w:t>VENEZUELA</w:t>
      </w:r>
    </w:p>
    <w:p w14:paraId="4D8F7176" w14:textId="77777777" w:rsidR="00CA08FD" w:rsidRPr="009E773A" w:rsidRDefault="00CA08FD" w:rsidP="00CA08FD">
      <w:pPr>
        <w:tabs>
          <w:tab w:val="center" w:pos="5400"/>
        </w:tabs>
        <w:suppressAutoHyphens/>
        <w:spacing w:line="276" w:lineRule="auto"/>
        <w:jc w:val="center"/>
        <w:rPr>
          <w:rFonts w:asciiTheme="majorHAnsi" w:hAnsiTheme="majorHAnsi"/>
          <w:sz w:val="20"/>
          <w:szCs w:val="20"/>
        </w:rPr>
      </w:pPr>
      <w:r>
        <w:rPr>
          <w:rFonts w:asciiTheme="majorHAnsi" w:hAnsiTheme="majorHAnsi"/>
          <w:sz w:val="20"/>
          <w:szCs w:val="20"/>
        </w:rPr>
        <w:t>7 DE DICIEMBRE DE 2018</w:t>
      </w:r>
    </w:p>
    <w:p w14:paraId="61CEC813" w14:textId="77777777" w:rsidR="005937F1" w:rsidRPr="009E773A" w:rsidRDefault="005937F1" w:rsidP="005937F1">
      <w:pPr>
        <w:pStyle w:val="ListParagraph"/>
        <w:suppressAutoHyphens/>
        <w:ind w:left="1440"/>
        <w:rPr>
          <w:rFonts w:asciiTheme="majorHAnsi" w:hAnsiTheme="majorHAnsi"/>
          <w:b/>
          <w:sz w:val="20"/>
          <w:szCs w:val="20"/>
          <w:lang w:val="es-CO"/>
        </w:rPr>
      </w:pPr>
    </w:p>
    <w:p w14:paraId="54DE64A2" w14:textId="77777777" w:rsidR="00D12193" w:rsidRPr="009E773A" w:rsidRDefault="00D12193" w:rsidP="009A79B6">
      <w:pPr>
        <w:pStyle w:val="Heading1"/>
        <w:ind w:left="0" w:firstLine="0"/>
      </w:pPr>
      <w:bookmarkStart w:id="8" w:name="_Toc2159206"/>
      <w:r w:rsidRPr="009E773A">
        <w:t>RESUMEN</w:t>
      </w:r>
      <w:bookmarkEnd w:id="8"/>
    </w:p>
    <w:p w14:paraId="72C76B9F" w14:textId="77777777" w:rsidR="005C4CA5" w:rsidRPr="009E773A" w:rsidRDefault="005C4CA5" w:rsidP="009A79B6">
      <w:pPr>
        <w:suppressAutoHyphens/>
        <w:ind w:left="360"/>
        <w:rPr>
          <w:rFonts w:asciiTheme="majorHAnsi" w:hAnsiTheme="majorHAnsi"/>
          <w:b/>
          <w:sz w:val="20"/>
          <w:szCs w:val="20"/>
        </w:rPr>
      </w:pPr>
    </w:p>
    <w:p w14:paraId="6778AB9E" w14:textId="77777777" w:rsidR="009014A4" w:rsidRPr="009E773A" w:rsidRDefault="005C4CA5" w:rsidP="009A79B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color w:val="000000" w:themeColor="text1"/>
          <w:sz w:val="20"/>
          <w:szCs w:val="20"/>
        </w:rPr>
      </w:pPr>
      <w:r w:rsidRPr="009E773A">
        <w:rPr>
          <w:rFonts w:asciiTheme="majorHAnsi" w:hAnsiTheme="majorHAnsi"/>
          <w:sz w:val="20"/>
          <w:szCs w:val="20"/>
        </w:rPr>
        <w:t xml:space="preserve">El </w:t>
      </w:r>
      <w:r w:rsidR="008456A1" w:rsidRPr="009E773A">
        <w:rPr>
          <w:rFonts w:asciiTheme="majorHAnsi" w:hAnsiTheme="majorHAnsi"/>
          <w:sz w:val="20"/>
          <w:szCs w:val="20"/>
        </w:rPr>
        <w:t>10</w:t>
      </w:r>
      <w:r w:rsidRPr="009E773A">
        <w:rPr>
          <w:rFonts w:asciiTheme="majorHAnsi" w:hAnsiTheme="majorHAnsi"/>
          <w:sz w:val="20"/>
          <w:szCs w:val="20"/>
        </w:rPr>
        <w:t xml:space="preserve"> de </w:t>
      </w:r>
      <w:r w:rsidR="008456A1" w:rsidRPr="009E773A">
        <w:rPr>
          <w:rFonts w:asciiTheme="majorHAnsi" w:hAnsiTheme="majorHAnsi"/>
          <w:sz w:val="20"/>
          <w:szCs w:val="20"/>
        </w:rPr>
        <w:t>marzo</w:t>
      </w:r>
      <w:r w:rsidRPr="009E773A">
        <w:rPr>
          <w:rFonts w:asciiTheme="majorHAnsi" w:hAnsiTheme="majorHAnsi"/>
          <w:sz w:val="20"/>
          <w:szCs w:val="20"/>
        </w:rPr>
        <w:t xml:space="preserve"> de </w:t>
      </w:r>
      <w:r w:rsidR="008456A1" w:rsidRPr="009E773A">
        <w:rPr>
          <w:rFonts w:asciiTheme="majorHAnsi" w:hAnsiTheme="majorHAnsi"/>
          <w:sz w:val="20"/>
          <w:szCs w:val="20"/>
        </w:rPr>
        <w:t>2008</w:t>
      </w:r>
      <w:r w:rsidRPr="009E773A">
        <w:rPr>
          <w:rFonts w:asciiTheme="majorHAnsi" w:hAnsiTheme="majorHAnsi"/>
          <w:sz w:val="20"/>
          <w:szCs w:val="20"/>
        </w:rPr>
        <w:t xml:space="preserve"> la Comisión Interamericana de Derechos Humanos (en adelante “la Comisión Interamericana”, “la Comisión” o “la CIDH”) recibió una petición presentada </w:t>
      </w:r>
      <w:r w:rsidR="002B7BCC" w:rsidRPr="009E773A">
        <w:rPr>
          <w:rFonts w:asciiTheme="majorHAnsi" w:hAnsiTheme="majorHAnsi"/>
          <w:sz w:val="20"/>
          <w:szCs w:val="20"/>
        </w:rPr>
        <w:t xml:space="preserve">por </w:t>
      </w:r>
      <w:r w:rsidR="00582607" w:rsidRPr="009E773A">
        <w:rPr>
          <w:rFonts w:asciiTheme="majorHAnsi" w:hAnsiTheme="majorHAnsi"/>
          <w:sz w:val="20"/>
          <w:szCs w:val="20"/>
        </w:rPr>
        <w:t>el Comité de Familiares de Víctimas de los Sucesos de Febrero – Marzo de 1989 (COFAVIC)</w:t>
      </w:r>
      <w:r w:rsidR="002B7BCC" w:rsidRPr="009E773A">
        <w:rPr>
          <w:rFonts w:asciiTheme="majorHAnsi" w:hAnsiTheme="majorHAnsi"/>
          <w:sz w:val="20"/>
          <w:szCs w:val="20"/>
        </w:rPr>
        <w:t xml:space="preserve">, </w:t>
      </w:r>
      <w:r w:rsidR="005B6DAD" w:rsidRPr="009E773A">
        <w:rPr>
          <w:rFonts w:asciiTheme="majorHAnsi" w:hAnsiTheme="majorHAnsi"/>
          <w:sz w:val="20"/>
          <w:szCs w:val="20"/>
        </w:rPr>
        <w:t>y los señores</w:t>
      </w:r>
      <w:r w:rsidR="002B7BCC" w:rsidRPr="009E773A">
        <w:rPr>
          <w:rFonts w:asciiTheme="majorHAnsi" w:hAnsiTheme="majorHAnsi"/>
          <w:sz w:val="20"/>
          <w:szCs w:val="20"/>
        </w:rPr>
        <w:t xml:space="preserve"> Jean Carlos Guerrero</w:t>
      </w:r>
      <w:r w:rsidR="00651FFC" w:rsidRPr="009E773A">
        <w:rPr>
          <w:rFonts w:asciiTheme="majorHAnsi" w:hAnsiTheme="majorHAnsi"/>
          <w:sz w:val="20"/>
          <w:szCs w:val="20"/>
        </w:rPr>
        <w:t xml:space="preserve"> y</w:t>
      </w:r>
      <w:r w:rsidR="00582607" w:rsidRPr="009E773A">
        <w:rPr>
          <w:rFonts w:asciiTheme="majorHAnsi" w:hAnsiTheme="majorHAnsi"/>
          <w:sz w:val="20"/>
          <w:szCs w:val="20"/>
        </w:rPr>
        <w:t xml:space="preserve"> Carlos Ayala C</w:t>
      </w:r>
      <w:r w:rsidR="00651FFC" w:rsidRPr="009E773A">
        <w:rPr>
          <w:rFonts w:asciiTheme="majorHAnsi" w:hAnsiTheme="majorHAnsi"/>
          <w:sz w:val="20"/>
          <w:szCs w:val="20"/>
        </w:rPr>
        <w:t>orao</w:t>
      </w:r>
      <w:r w:rsidR="00582607" w:rsidRPr="009E773A">
        <w:rPr>
          <w:rFonts w:asciiTheme="majorHAnsi" w:hAnsiTheme="majorHAnsi"/>
          <w:sz w:val="20"/>
          <w:szCs w:val="20"/>
        </w:rPr>
        <w:t xml:space="preserve"> </w:t>
      </w:r>
      <w:r w:rsidRPr="009E773A">
        <w:rPr>
          <w:rFonts w:asciiTheme="majorHAnsi" w:hAnsiTheme="majorHAnsi"/>
          <w:sz w:val="20"/>
          <w:szCs w:val="20"/>
        </w:rPr>
        <w:t>(en adelante “la parte peticionaria”)</w:t>
      </w:r>
      <w:r w:rsidR="00E01FFD" w:rsidRPr="009E773A">
        <w:rPr>
          <w:rStyle w:val="FootnoteReference"/>
          <w:rFonts w:asciiTheme="majorHAnsi" w:hAnsiTheme="majorHAnsi"/>
          <w:color w:val="000000" w:themeColor="text1"/>
          <w:sz w:val="20"/>
          <w:szCs w:val="20"/>
        </w:rPr>
        <w:footnoteReference w:id="2"/>
      </w:r>
      <w:r w:rsidRPr="009E773A">
        <w:rPr>
          <w:rFonts w:asciiTheme="majorHAnsi" w:hAnsiTheme="majorHAnsi"/>
          <w:sz w:val="20"/>
          <w:szCs w:val="20"/>
        </w:rPr>
        <w:t xml:space="preserve"> </w:t>
      </w:r>
      <w:r w:rsidRPr="009E773A">
        <w:rPr>
          <w:rFonts w:asciiTheme="majorHAnsi" w:hAnsiTheme="majorHAnsi"/>
          <w:color w:val="000000" w:themeColor="text1"/>
          <w:sz w:val="20"/>
          <w:szCs w:val="20"/>
        </w:rPr>
        <w:t xml:space="preserve">en la cual se alega la responsabilidad internacional de </w:t>
      </w:r>
      <w:r w:rsidR="0093670A" w:rsidRPr="009E773A">
        <w:rPr>
          <w:rFonts w:asciiTheme="majorHAnsi" w:hAnsiTheme="majorHAnsi"/>
          <w:color w:val="000000" w:themeColor="text1"/>
          <w:sz w:val="20"/>
          <w:szCs w:val="20"/>
        </w:rPr>
        <w:t xml:space="preserve">la República Bolivariana de </w:t>
      </w:r>
      <w:r w:rsidR="00582607" w:rsidRPr="009E773A">
        <w:rPr>
          <w:rFonts w:asciiTheme="majorHAnsi" w:hAnsiTheme="majorHAnsi"/>
          <w:color w:val="000000" w:themeColor="text1"/>
          <w:sz w:val="20"/>
          <w:szCs w:val="20"/>
        </w:rPr>
        <w:t xml:space="preserve">Venezuela </w:t>
      </w:r>
      <w:r w:rsidRPr="009E773A">
        <w:rPr>
          <w:rFonts w:asciiTheme="majorHAnsi" w:hAnsiTheme="majorHAnsi"/>
          <w:color w:val="000000" w:themeColor="text1"/>
          <w:sz w:val="20"/>
          <w:szCs w:val="20"/>
        </w:rPr>
        <w:t xml:space="preserve">(en adelante “el Estado </w:t>
      </w:r>
      <w:r w:rsidR="00582607" w:rsidRPr="009E773A">
        <w:rPr>
          <w:rFonts w:asciiTheme="majorHAnsi" w:hAnsiTheme="majorHAnsi"/>
          <w:color w:val="000000" w:themeColor="text1"/>
          <w:sz w:val="20"/>
          <w:szCs w:val="20"/>
        </w:rPr>
        <w:t>de Venezuela</w:t>
      </w:r>
      <w:r w:rsidRPr="009E773A">
        <w:rPr>
          <w:rFonts w:asciiTheme="majorHAnsi" w:hAnsiTheme="majorHAnsi"/>
          <w:color w:val="000000" w:themeColor="text1"/>
          <w:sz w:val="20"/>
          <w:szCs w:val="20"/>
        </w:rPr>
        <w:t>”, “el Estado” o “</w:t>
      </w:r>
      <w:r w:rsidR="00582607" w:rsidRPr="009E773A">
        <w:rPr>
          <w:rFonts w:asciiTheme="majorHAnsi" w:hAnsiTheme="majorHAnsi"/>
          <w:color w:val="000000" w:themeColor="text1"/>
          <w:sz w:val="20"/>
          <w:szCs w:val="20"/>
        </w:rPr>
        <w:t>Venezuela</w:t>
      </w:r>
      <w:r w:rsidRPr="009E773A">
        <w:rPr>
          <w:rFonts w:asciiTheme="majorHAnsi" w:hAnsiTheme="majorHAnsi"/>
          <w:color w:val="000000" w:themeColor="text1"/>
          <w:sz w:val="20"/>
          <w:szCs w:val="20"/>
        </w:rPr>
        <w:t xml:space="preserve">”) en perjuicio de </w:t>
      </w:r>
      <w:r w:rsidR="002B7BCC" w:rsidRPr="009E773A">
        <w:rPr>
          <w:rFonts w:asciiTheme="majorHAnsi" w:hAnsiTheme="majorHAnsi"/>
          <w:color w:val="000000" w:themeColor="text1"/>
          <w:sz w:val="20"/>
          <w:szCs w:val="20"/>
        </w:rPr>
        <w:t>Jimmy Guerrero</w:t>
      </w:r>
      <w:r w:rsidR="00651FFC" w:rsidRPr="009E773A">
        <w:rPr>
          <w:rFonts w:asciiTheme="majorHAnsi" w:hAnsiTheme="majorHAnsi"/>
          <w:color w:val="000000" w:themeColor="text1"/>
          <w:sz w:val="20"/>
          <w:szCs w:val="20"/>
        </w:rPr>
        <w:t>,</w:t>
      </w:r>
      <w:r w:rsidR="007032B1" w:rsidRPr="009E773A">
        <w:rPr>
          <w:rFonts w:asciiTheme="majorHAnsi" w:hAnsiTheme="majorHAnsi"/>
          <w:color w:val="000000" w:themeColor="text1"/>
          <w:sz w:val="20"/>
          <w:szCs w:val="20"/>
        </w:rPr>
        <w:t xml:space="preserve"> </w:t>
      </w:r>
      <w:r w:rsidR="002B7BCC" w:rsidRPr="009E773A">
        <w:rPr>
          <w:rFonts w:asciiTheme="majorHAnsi" w:hAnsiTheme="majorHAnsi"/>
          <w:color w:val="000000" w:themeColor="text1"/>
          <w:sz w:val="20"/>
          <w:szCs w:val="20"/>
        </w:rPr>
        <w:t>Ramón Molina</w:t>
      </w:r>
      <w:r w:rsidR="009272EF" w:rsidRPr="009E773A">
        <w:rPr>
          <w:rFonts w:asciiTheme="majorHAnsi" w:hAnsiTheme="majorHAnsi"/>
          <w:color w:val="000000" w:themeColor="text1"/>
          <w:sz w:val="20"/>
          <w:szCs w:val="20"/>
        </w:rPr>
        <w:t xml:space="preserve"> Pérez</w:t>
      </w:r>
      <w:r w:rsidR="002B7BCC" w:rsidRPr="009E773A">
        <w:rPr>
          <w:rFonts w:asciiTheme="majorHAnsi" w:hAnsiTheme="majorHAnsi"/>
          <w:color w:val="000000" w:themeColor="text1"/>
          <w:sz w:val="20"/>
          <w:szCs w:val="20"/>
        </w:rPr>
        <w:t xml:space="preserve"> y sus familiares.</w:t>
      </w:r>
      <w:r w:rsidRPr="009E773A">
        <w:rPr>
          <w:rFonts w:asciiTheme="majorHAnsi" w:hAnsiTheme="majorHAnsi"/>
          <w:color w:val="000000" w:themeColor="text1"/>
          <w:sz w:val="20"/>
          <w:szCs w:val="20"/>
        </w:rPr>
        <w:t xml:space="preserve"> </w:t>
      </w:r>
    </w:p>
    <w:p w14:paraId="1B5CCC27" w14:textId="77777777" w:rsidR="009014A4" w:rsidRPr="009E773A" w:rsidRDefault="009014A4" w:rsidP="009A79B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Theme="majorHAnsi" w:hAnsiTheme="majorHAnsi"/>
          <w:color w:val="000000" w:themeColor="text1"/>
          <w:sz w:val="20"/>
          <w:szCs w:val="20"/>
        </w:rPr>
      </w:pPr>
    </w:p>
    <w:p w14:paraId="5210C264" w14:textId="77777777" w:rsidR="000A75B8" w:rsidRPr="009E773A" w:rsidRDefault="009014A4" w:rsidP="009A79B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color w:val="000000" w:themeColor="text1"/>
          <w:sz w:val="20"/>
          <w:szCs w:val="20"/>
        </w:rPr>
      </w:pPr>
      <w:r w:rsidRPr="009E773A">
        <w:rPr>
          <w:rFonts w:asciiTheme="majorHAnsi" w:hAnsiTheme="majorHAnsi"/>
          <w:color w:val="000000" w:themeColor="text1"/>
          <w:sz w:val="20"/>
          <w:szCs w:val="20"/>
        </w:rPr>
        <w:t>L</w:t>
      </w:r>
      <w:r w:rsidRPr="009E773A">
        <w:rPr>
          <w:rFonts w:asciiTheme="majorHAnsi" w:hAnsiTheme="majorHAnsi"/>
          <w:sz w:val="20"/>
          <w:szCs w:val="20"/>
        </w:rPr>
        <w:t xml:space="preserve">a Comisión aprobó el informe de admisibilidad No. </w:t>
      </w:r>
      <w:r w:rsidR="002B7BCC" w:rsidRPr="009E773A">
        <w:rPr>
          <w:rFonts w:asciiTheme="majorHAnsi" w:hAnsiTheme="majorHAnsi"/>
          <w:sz w:val="20"/>
          <w:szCs w:val="20"/>
        </w:rPr>
        <w:t>4</w:t>
      </w:r>
      <w:r w:rsidRPr="009E773A">
        <w:rPr>
          <w:rFonts w:asciiTheme="majorHAnsi" w:hAnsiTheme="majorHAnsi"/>
          <w:sz w:val="20"/>
          <w:szCs w:val="20"/>
        </w:rPr>
        <w:t>/</w:t>
      </w:r>
      <w:r w:rsidR="002B7BCC" w:rsidRPr="009E773A">
        <w:rPr>
          <w:rFonts w:asciiTheme="majorHAnsi" w:hAnsiTheme="majorHAnsi"/>
          <w:sz w:val="20"/>
          <w:szCs w:val="20"/>
        </w:rPr>
        <w:t>11</w:t>
      </w:r>
      <w:r w:rsidRPr="009E773A">
        <w:rPr>
          <w:rFonts w:asciiTheme="majorHAnsi" w:hAnsiTheme="majorHAnsi"/>
          <w:sz w:val="20"/>
          <w:szCs w:val="20"/>
        </w:rPr>
        <w:t xml:space="preserve"> el </w:t>
      </w:r>
      <w:r w:rsidR="002B7BCC" w:rsidRPr="009E773A">
        <w:rPr>
          <w:rFonts w:asciiTheme="majorHAnsi" w:hAnsiTheme="majorHAnsi"/>
          <w:sz w:val="20"/>
          <w:szCs w:val="20"/>
        </w:rPr>
        <w:t>19</w:t>
      </w:r>
      <w:r w:rsidRPr="009E773A">
        <w:rPr>
          <w:rFonts w:asciiTheme="majorHAnsi" w:hAnsiTheme="majorHAnsi"/>
          <w:sz w:val="20"/>
          <w:szCs w:val="20"/>
        </w:rPr>
        <w:t xml:space="preserve"> de </w:t>
      </w:r>
      <w:r w:rsidR="002B7BCC" w:rsidRPr="009E773A">
        <w:rPr>
          <w:rFonts w:asciiTheme="majorHAnsi" w:hAnsiTheme="majorHAnsi"/>
          <w:sz w:val="20"/>
          <w:szCs w:val="20"/>
        </w:rPr>
        <w:t>febrero</w:t>
      </w:r>
      <w:r w:rsidRPr="009E773A">
        <w:rPr>
          <w:rFonts w:asciiTheme="majorHAnsi" w:hAnsiTheme="majorHAnsi"/>
          <w:sz w:val="20"/>
          <w:szCs w:val="20"/>
        </w:rPr>
        <w:t xml:space="preserve"> de </w:t>
      </w:r>
      <w:r w:rsidR="002B7BCC" w:rsidRPr="009E773A">
        <w:rPr>
          <w:rFonts w:asciiTheme="majorHAnsi" w:hAnsiTheme="majorHAnsi"/>
          <w:sz w:val="20"/>
          <w:szCs w:val="20"/>
        </w:rPr>
        <w:t>2011</w:t>
      </w:r>
      <w:r w:rsidRPr="009E773A">
        <w:rPr>
          <w:rStyle w:val="FootnoteReference"/>
          <w:rFonts w:asciiTheme="majorHAnsi" w:hAnsiTheme="majorHAnsi"/>
          <w:sz w:val="20"/>
          <w:szCs w:val="20"/>
        </w:rPr>
        <w:footnoteReference w:id="3"/>
      </w:r>
      <w:r w:rsidR="00AF7988" w:rsidRPr="009E773A">
        <w:rPr>
          <w:rFonts w:asciiTheme="majorHAnsi" w:hAnsiTheme="majorHAnsi"/>
          <w:sz w:val="20"/>
          <w:szCs w:val="20"/>
        </w:rPr>
        <w:t xml:space="preserve">. </w:t>
      </w:r>
      <w:r w:rsidRPr="009E773A">
        <w:rPr>
          <w:rFonts w:asciiTheme="majorHAnsi" w:hAnsiTheme="majorHAnsi"/>
          <w:sz w:val="20"/>
          <w:szCs w:val="20"/>
        </w:rPr>
        <w:t xml:space="preserve">El </w:t>
      </w:r>
      <w:r w:rsidR="002B7BCC" w:rsidRPr="009E773A">
        <w:rPr>
          <w:rFonts w:asciiTheme="majorHAnsi" w:hAnsiTheme="majorHAnsi"/>
          <w:sz w:val="20"/>
          <w:szCs w:val="20"/>
        </w:rPr>
        <w:t>23</w:t>
      </w:r>
      <w:r w:rsidRPr="009E773A">
        <w:rPr>
          <w:rFonts w:asciiTheme="majorHAnsi" w:hAnsiTheme="majorHAnsi"/>
          <w:sz w:val="20"/>
          <w:szCs w:val="20"/>
        </w:rPr>
        <w:t xml:space="preserve"> de </w:t>
      </w:r>
      <w:r w:rsidR="002B7BCC" w:rsidRPr="009E773A">
        <w:rPr>
          <w:rFonts w:asciiTheme="majorHAnsi" w:hAnsiTheme="majorHAnsi"/>
          <w:sz w:val="20"/>
          <w:szCs w:val="20"/>
        </w:rPr>
        <w:t>febrero</w:t>
      </w:r>
      <w:r w:rsidRPr="009E773A">
        <w:rPr>
          <w:rFonts w:asciiTheme="majorHAnsi" w:hAnsiTheme="majorHAnsi"/>
          <w:sz w:val="20"/>
          <w:szCs w:val="20"/>
        </w:rPr>
        <w:t xml:space="preserve"> de </w:t>
      </w:r>
      <w:r w:rsidR="002B7BCC" w:rsidRPr="009E773A">
        <w:rPr>
          <w:rFonts w:asciiTheme="majorHAnsi" w:hAnsiTheme="majorHAnsi"/>
          <w:sz w:val="20"/>
          <w:szCs w:val="20"/>
        </w:rPr>
        <w:t>2011</w:t>
      </w:r>
      <w:r w:rsidRPr="009E773A">
        <w:rPr>
          <w:rFonts w:asciiTheme="majorHAnsi" w:hAnsiTheme="majorHAnsi"/>
          <w:sz w:val="20"/>
          <w:szCs w:val="20"/>
        </w:rPr>
        <w:t xml:space="preserve"> la Comisión notificó dicho informe a las partes y se puso a su disposición a fin de llegar a una solución amistosa. Las partes contaron con los plazos reglamentarios para presentar sus observaciones adicionales sobre el fondo.</w:t>
      </w:r>
      <w:r w:rsidR="008C3098" w:rsidRPr="009E773A">
        <w:rPr>
          <w:rFonts w:asciiTheme="majorHAnsi" w:hAnsiTheme="majorHAnsi"/>
          <w:sz w:val="20"/>
          <w:szCs w:val="20"/>
        </w:rPr>
        <w:t xml:space="preserve"> El </w:t>
      </w:r>
      <w:r w:rsidR="002B7BCC" w:rsidRPr="009E773A">
        <w:rPr>
          <w:rFonts w:asciiTheme="majorHAnsi" w:hAnsiTheme="majorHAnsi"/>
          <w:sz w:val="20"/>
          <w:szCs w:val="20"/>
        </w:rPr>
        <w:t xml:space="preserve">4 </w:t>
      </w:r>
      <w:r w:rsidR="008C3098" w:rsidRPr="009E773A">
        <w:rPr>
          <w:rFonts w:asciiTheme="majorHAnsi" w:hAnsiTheme="majorHAnsi"/>
          <w:sz w:val="20"/>
          <w:szCs w:val="20"/>
        </w:rPr>
        <w:t>de</w:t>
      </w:r>
      <w:r w:rsidR="002B7BCC" w:rsidRPr="009E773A">
        <w:rPr>
          <w:rFonts w:asciiTheme="majorHAnsi" w:hAnsiTheme="majorHAnsi"/>
          <w:sz w:val="20"/>
          <w:szCs w:val="20"/>
        </w:rPr>
        <w:t xml:space="preserve"> abril</w:t>
      </w:r>
      <w:r w:rsidR="008C3098" w:rsidRPr="009E773A">
        <w:rPr>
          <w:rFonts w:asciiTheme="majorHAnsi" w:hAnsiTheme="majorHAnsi"/>
          <w:sz w:val="20"/>
          <w:szCs w:val="20"/>
        </w:rPr>
        <w:t xml:space="preserve"> de </w:t>
      </w:r>
      <w:r w:rsidR="002B7BCC" w:rsidRPr="009E773A">
        <w:rPr>
          <w:rFonts w:asciiTheme="majorHAnsi" w:hAnsiTheme="majorHAnsi"/>
          <w:sz w:val="20"/>
          <w:szCs w:val="20"/>
        </w:rPr>
        <w:t>2016</w:t>
      </w:r>
      <w:r w:rsidR="008C3098" w:rsidRPr="009E773A">
        <w:rPr>
          <w:rFonts w:asciiTheme="majorHAnsi" w:hAnsiTheme="majorHAnsi"/>
          <w:sz w:val="20"/>
          <w:szCs w:val="20"/>
        </w:rPr>
        <w:t xml:space="preserve"> la CIDH </w:t>
      </w:r>
      <w:r w:rsidR="00460ABB" w:rsidRPr="009E773A">
        <w:rPr>
          <w:rFonts w:asciiTheme="majorHAnsi" w:hAnsiTheme="majorHAnsi"/>
          <w:sz w:val="20"/>
          <w:szCs w:val="20"/>
        </w:rPr>
        <w:t>celebró</w:t>
      </w:r>
      <w:r w:rsidR="00E01FFD" w:rsidRPr="009E773A">
        <w:rPr>
          <w:rFonts w:asciiTheme="majorHAnsi" w:hAnsiTheme="majorHAnsi"/>
          <w:color w:val="000000" w:themeColor="text1"/>
          <w:sz w:val="20"/>
          <w:szCs w:val="20"/>
        </w:rPr>
        <w:t xml:space="preserve"> </w:t>
      </w:r>
      <w:r w:rsidR="008C3098" w:rsidRPr="009E773A">
        <w:rPr>
          <w:rFonts w:asciiTheme="majorHAnsi" w:hAnsiTheme="majorHAnsi"/>
          <w:sz w:val="20"/>
          <w:szCs w:val="20"/>
        </w:rPr>
        <w:t xml:space="preserve">una audiencia </w:t>
      </w:r>
      <w:r w:rsidR="005D0AAB" w:rsidRPr="009E773A">
        <w:rPr>
          <w:rFonts w:asciiTheme="majorHAnsi" w:hAnsiTheme="majorHAnsi"/>
          <w:sz w:val="20"/>
          <w:szCs w:val="20"/>
        </w:rPr>
        <w:t xml:space="preserve">pública </w:t>
      </w:r>
      <w:r w:rsidR="008C3098" w:rsidRPr="009E773A">
        <w:rPr>
          <w:rFonts w:asciiTheme="majorHAnsi" w:hAnsiTheme="majorHAnsi"/>
          <w:sz w:val="20"/>
          <w:szCs w:val="20"/>
        </w:rPr>
        <w:t>sobre el fondo del caso.</w:t>
      </w:r>
      <w:r w:rsidRPr="009E773A">
        <w:rPr>
          <w:rFonts w:asciiTheme="majorHAnsi" w:hAnsiTheme="majorHAnsi"/>
          <w:sz w:val="20"/>
          <w:szCs w:val="20"/>
        </w:rPr>
        <w:t xml:space="preserve"> Toda la información recibida fue debidamente trasladada entre las partes. </w:t>
      </w:r>
    </w:p>
    <w:p w14:paraId="67FE6871" w14:textId="77777777" w:rsidR="000A75B8" w:rsidRPr="009E773A" w:rsidRDefault="000A75B8" w:rsidP="009A79B6">
      <w:pPr>
        <w:pStyle w:val="ListParagraph"/>
        <w:rPr>
          <w:rFonts w:asciiTheme="majorHAnsi" w:hAnsiTheme="majorHAnsi"/>
          <w:sz w:val="20"/>
          <w:szCs w:val="20"/>
          <w:lang w:val="es-CO"/>
        </w:rPr>
      </w:pPr>
    </w:p>
    <w:p w14:paraId="25F9A965" w14:textId="4557ED29" w:rsidR="000A75B8" w:rsidRPr="009E773A" w:rsidRDefault="005B6DAD" w:rsidP="009A79B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color w:val="000000" w:themeColor="text1"/>
          <w:sz w:val="20"/>
          <w:szCs w:val="20"/>
        </w:rPr>
      </w:pPr>
      <w:r w:rsidRPr="009E773A">
        <w:rPr>
          <w:rFonts w:asciiTheme="majorHAnsi" w:hAnsiTheme="majorHAnsi"/>
          <w:color w:val="000000" w:themeColor="text1"/>
          <w:sz w:val="20"/>
          <w:szCs w:val="20"/>
        </w:rPr>
        <w:t>La</w:t>
      </w:r>
      <w:r w:rsidR="0097497C" w:rsidRPr="009E773A">
        <w:rPr>
          <w:rFonts w:asciiTheme="majorHAnsi" w:hAnsiTheme="majorHAnsi"/>
          <w:color w:val="000000" w:themeColor="text1"/>
          <w:sz w:val="20"/>
          <w:szCs w:val="20"/>
        </w:rPr>
        <w:t xml:space="preserve"> parte peticionaria alegó que el Estado es responsable </w:t>
      </w:r>
      <w:r w:rsidR="00784CAB" w:rsidRPr="009E773A">
        <w:rPr>
          <w:rFonts w:asciiTheme="majorHAnsi" w:hAnsiTheme="majorHAnsi"/>
          <w:color w:val="000000" w:themeColor="text1"/>
          <w:sz w:val="20"/>
          <w:szCs w:val="20"/>
        </w:rPr>
        <w:t>por</w:t>
      </w:r>
      <w:r w:rsidR="0097497C" w:rsidRPr="009E773A">
        <w:rPr>
          <w:rFonts w:asciiTheme="majorHAnsi" w:hAnsiTheme="majorHAnsi"/>
          <w:color w:val="000000" w:themeColor="text1"/>
          <w:sz w:val="20"/>
          <w:szCs w:val="20"/>
        </w:rPr>
        <w:t xml:space="preserve"> </w:t>
      </w:r>
      <w:r w:rsidR="0097497C" w:rsidRPr="009E773A">
        <w:rPr>
          <w:rFonts w:asciiTheme="majorHAnsi" w:hAnsiTheme="majorHAnsi"/>
          <w:sz w:val="20"/>
          <w:szCs w:val="20"/>
        </w:rPr>
        <w:t>la</w:t>
      </w:r>
      <w:r w:rsidR="00C7371F" w:rsidRPr="009E773A">
        <w:rPr>
          <w:rFonts w:asciiTheme="majorHAnsi" w:hAnsiTheme="majorHAnsi"/>
          <w:sz w:val="20"/>
          <w:szCs w:val="20"/>
        </w:rPr>
        <w:t>s</w:t>
      </w:r>
      <w:r w:rsidR="0097497C" w:rsidRPr="009E773A">
        <w:rPr>
          <w:rFonts w:asciiTheme="majorHAnsi" w:hAnsiTheme="majorHAnsi"/>
          <w:sz w:val="20"/>
          <w:szCs w:val="20"/>
        </w:rPr>
        <w:t xml:space="preserve"> </w:t>
      </w:r>
      <w:r w:rsidR="0060742F" w:rsidRPr="009E773A">
        <w:rPr>
          <w:rFonts w:asciiTheme="majorHAnsi" w:hAnsiTheme="majorHAnsi"/>
          <w:sz w:val="20"/>
          <w:szCs w:val="20"/>
        </w:rPr>
        <w:t>ejecuciones</w:t>
      </w:r>
      <w:r w:rsidR="0097497C" w:rsidRPr="009E773A">
        <w:rPr>
          <w:rFonts w:asciiTheme="majorHAnsi" w:hAnsiTheme="majorHAnsi"/>
          <w:sz w:val="20"/>
          <w:szCs w:val="20"/>
        </w:rPr>
        <w:t xml:space="preserve"> extrajudicial</w:t>
      </w:r>
      <w:r w:rsidR="00C7371F" w:rsidRPr="009E773A">
        <w:rPr>
          <w:rFonts w:asciiTheme="majorHAnsi" w:hAnsiTheme="majorHAnsi"/>
          <w:sz w:val="20"/>
          <w:szCs w:val="20"/>
        </w:rPr>
        <w:t>es</w:t>
      </w:r>
      <w:r w:rsidR="0097497C" w:rsidRPr="009E773A">
        <w:rPr>
          <w:rFonts w:asciiTheme="majorHAnsi" w:hAnsiTheme="majorHAnsi"/>
          <w:sz w:val="20"/>
          <w:szCs w:val="20"/>
        </w:rPr>
        <w:t xml:space="preserve"> </w:t>
      </w:r>
      <w:r w:rsidR="00784CAB" w:rsidRPr="009E773A">
        <w:rPr>
          <w:rFonts w:asciiTheme="majorHAnsi" w:hAnsiTheme="majorHAnsi"/>
          <w:sz w:val="20"/>
          <w:szCs w:val="20"/>
        </w:rPr>
        <w:t>de Jimmy Guerrero y Ramón Molina</w:t>
      </w:r>
      <w:r w:rsidR="00C7371F" w:rsidRPr="009E773A">
        <w:rPr>
          <w:rFonts w:asciiTheme="majorHAnsi" w:hAnsiTheme="majorHAnsi"/>
          <w:sz w:val="20"/>
          <w:szCs w:val="20"/>
        </w:rPr>
        <w:t>, ocurridas el 29 de marzo de 2003 en el estado Falcón, Venezuela</w:t>
      </w:r>
      <w:r w:rsidR="00784CAB" w:rsidRPr="009E773A">
        <w:rPr>
          <w:rFonts w:asciiTheme="majorHAnsi" w:hAnsiTheme="majorHAnsi"/>
          <w:sz w:val="20"/>
          <w:szCs w:val="20"/>
        </w:rPr>
        <w:t xml:space="preserve">. </w:t>
      </w:r>
      <w:r w:rsidR="00C7371F" w:rsidRPr="009E773A">
        <w:rPr>
          <w:rFonts w:asciiTheme="majorHAnsi" w:hAnsiTheme="majorHAnsi"/>
          <w:color w:val="000000" w:themeColor="text1"/>
          <w:sz w:val="20"/>
          <w:szCs w:val="20"/>
        </w:rPr>
        <w:t>Alegó que previo a los hechos, Jimmy Guerrero y su familia había sido objeto de amenazas, hostigamiento</w:t>
      </w:r>
      <w:r w:rsidR="00731F9C" w:rsidRPr="009E773A">
        <w:rPr>
          <w:rFonts w:asciiTheme="majorHAnsi" w:hAnsiTheme="majorHAnsi"/>
          <w:color w:val="000000" w:themeColor="text1"/>
          <w:sz w:val="20"/>
          <w:szCs w:val="20"/>
        </w:rPr>
        <w:t>s</w:t>
      </w:r>
      <w:r w:rsidR="00C7371F" w:rsidRPr="009E773A">
        <w:rPr>
          <w:rFonts w:asciiTheme="majorHAnsi" w:hAnsiTheme="majorHAnsi"/>
          <w:color w:val="000000" w:themeColor="text1"/>
          <w:sz w:val="20"/>
          <w:szCs w:val="20"/>
        </w:rPr>
        <w:t xml:space="preserve"> y detenci</w:t>
      </w:r>
      <w:r w:rsidR="00731F9C" w:rsidRPr="009E773A">
        <w:rPr>
          <w:rFonts w:asciiTheme="majorHAnsi" w:hAnsiTheme="majorHAnsi"/>
          <w:color w:val="000000" w:themeColor="text1"/>
          <w:sz w:val="20"/>
          <w:szCs w:val="20"/>
        </w:rPr>
        <w:t>o</w:t>
      </w:r>
      <w:r w:rsidR="00C7371F" w:rsidRPr="009E773A">
        <w:rPr>
          <w:rFonts w:asciiTheme="majorHAnsi" w:hAnsiTheme="majorHAnsi"/>
          <w:color w:val="000000" w:themeColor="text1"/>
          <w:sz w:val="20"/>
          <w:szCs w:val="20"/>
        </w:rPr>
        <w:t>n</w:t>
      </w:r>
      <w:r w:rsidR="00731F9C" w:rsidRPr="009E773A">
        <w:rPr>
          <w:rFonts w:asciiTheme="majorHAnsi" w:hAnsiTheme="majorHAnsi"/>
          <w:color w:val="000000" w:themeColor="text1"/>
          <w:sz w:val="20"/>
          <w:szCs w:val="20"/>
        </w:rPr>
        <w:t>es</w:t>
      </w:r>
      <w:r w:rsidR="00C7371F" w:rsidRPr="009E773A">
        <w:rPr>
          <w:rFonts w:asciiTheme="majorHAnsi" w:hAnsiTheme="majorHAnsi"/>
          <w:color w:val="000000" w:themeColor="text1"/>
          <w:sz w:val="20"/>
          <w:szCs w:val="20"/>
        </w:rPr>
        <w:t xml:space="preserve"> </w:t>
      </w:r>
      <w:r w:rsidR="007E004C" w:rsidRPr="009E773A">
        <w:rPr>
          <w:rFonts w:asciiTheme="majorHAnsi" w:hAnsiTheme="majorHAnsi"/>
          <w:color w:val="000000" w:themeColor="text1"/>
          <w:sz w:val="20"/>
          <w:szCs w:val="20"/>
        </w:rPr>
        <w:t xml:space="preserve">policiales </w:t>
      </w:r>
      <w:r w:rsidR="00C7371F" w:rsidRPr="009E773A">
        <w:rPr>
          <w:rFonts w:asciiTheme="majorHAnsi" w:hAnsiTheme="majorHAnsi"/>
          <w:color w:val="000000" w:themeColor="text1"/>
          <w:sz w:val="20"/>
          <w:szCs w:val="20"/>
        </w:rPr>
        <w:t>arbitraria</w:t>
      </w:r>
      <w:r w:rsidR="00731F9C" w:rsidRPr="009E773A">
        <w:rPr>
          <w:rFonts w:asciiTheme="majorHAnsi" w:hAnsiTheme="majorHAnsi"/>
          <w:color w:val="000000" w:themeColor="text1"/>
          <w:sz w:val="20"/>
          <w:szCs w:val="20"/>
        </w:rPr>
        <w:t>s</w:t>
      </w:r>
      <w:r w:rsidR="00FB6445" w:rsidRPr="009E773A">
        <w:rPr>
          <w:rFonts w:asciiTheme="majorHAnsi" w:hAnsiTheme="majorHAnsi"/>
          <w:color w:val="000000" w:themeColor="text1"/>
          <w:sz w:val="20"/>
          <w:szCs w:val="20"/>
        </w:rPr>
        <w:t xml:space="preserve">. Agregó </w:t>
      </w:r>
      <w:r w:rsidR="0093670A" w:rsidRPr="009E773A">
        <w:rPr>
          <w:rFonts w:asciiTheme="majorHAnsi" w:hAnsiTheme="majorHAnsi"/>
          <w:color w:val="000000" w:themeColor="text1"/>
          <w:sz w:val="20"/>
          <w:szCs w:val="20"/>
        </w:rPr>
        <w:t>que</w:t>
      </w:r>
      <w:r w:rsidR="00C7371F" w:rsidRPr="009E773A">
        <w:rPr>
          <w:rFonts w:asciiTheme="majorHAnsi" w:hAnsiTheme="majorHAnsi"/>
          <w:color w:val="000000" w:themeColor="text1"/>
          <w:sz w:val="20"/>
          <w:szCs w:val="20"/>
        </w:rPr>
        <w:t xml:space="preserve"> pese a múltiples denuncias, las autoridades venezolanas no adoptaron medidas efectivas para </w:t>
      </w:r>
      <w:r w:rsidR="007517A2" w:rsidRPr="009E773A">
        <w:rPr>
          <w:rFonts w:asciiTheme="majorHAnsi" w:hAnsiTheme="majorHAnsi"/>
          <w:color w:val="000000" w:themeColor="text1"/>
          <w:sz w:val="20"/>
          <w:szCs w:val="20"/>
        </w:rPr>
        <w:t>atender la situación de riesgo en la que se encontraba. Asimismo,</w:t>
      </w:r>
      <w:r w:rsidR="00F21C69" w:rsidRPr="009E773A">
        <w:rPr>
          <w:rFonts w:asciiTheme="majorHAnsi" w:hAnsiTheme="majorHAnsi"/>
          <w:sz w:val="20"/>
          <w:szCs w:val="20"/>
        </w:rPr>
        <w:t xml:space="preserve"> </w:t>
      </w:r>
      <w:r w:rsidR="00A567EE" w:rsidRPr="009E773A">
        <w:rPr>
          <w:rFonts w:asciiTheme="majorHAnsi" w:hAnsiTheme="majorHAnsi"/>
          <w:sz w:val="20"/>
          <w:szCs w:val="20"/>
        </w:rPr>
        <w:t>sostuvo que el Estado h</w:t>
      </w:r>
      <w:r w:rsidR="00F21C69" w:rsidRPr="009E773A">
        <w:rPr>
          <w:rFonts w:asciiTheme="majorHAnsi" w:hAnsiTheme="majorHAnsi"/>
          <w:sz w:val="20"/>
          <w:szCs w:val="20"/>
        </w:rPr>
        <w:t>a incumplido con su deber de investigar</w:t>
      </w:r>
      <w:r w:rsidR="00C7371F" w:rsidRPr="009E773A">
        <w:rPr>
          <w:rFonts w:asciiTheme="majorHAnsi" w:hAnsiTheme="majorHAnsi"/>
          <w:sz w:val="20"/>
          <w:szCs w:val="20"/>
        </w:rPr>
        <w:t xml:space="preserve"> con debida diligencia estos hechos</w:t>
      </w:r>
      <w:r w:rsidR="00F21C69" w:rsidRPr="009E773A">
        <w:rPr>
          <w:rFonts w:asciiTheme="majorHAnsi" w:hAnsiTheme="majorHAnsi"/>
          <w:sz w:val="20"/>
          <w:szCs w:val="20"/>
        </w:rPr>
        <w:t xml:space="preserve">, </w:t>
      </w:r>
      <w:r w:rsidR="00C7371F" w:rsidRPr="009E773A">
        <w:rPr>
          <w:rFonts w:asciiTheme="majorHAnsi" w:hAnsiTheme="majorHAnsi"/>
          <w:sz w:val="20"/>
          <w:szCs w:val="20"/>
        </w:rPr>
        <w:t xml:space="preserve">así como </w:t>
      </w:r>
      <w:r w:rsidR="00F21C69" w:rsidRPr="009E773A">
        <w:rPr>
          <w:rFonts w:asciiTheme="majorHAnsi" w:hAnsiTheme="majorHAnsi"/>
          <w:sz w:val="20"/>
          <w:szCs w:val="20"/>
        </w:rPr>
        <w:t xml:space="preserve">juzgar y sancionar a los responsables, </w:t>
      </w:r>
      <w:r w:rsidR="00C7371F" w:rsidRPr="009E773A">
        <w:rPr>
          <w:rFonts w:asciiTheme="majorHAnsi" w:hAnsiTheme="majorHAnsi"/>
          <w:sz w:val="20"/>
          <w:szCs w:val="20"/>
        </w:rPr>
        <w:t>afectando el derecho de acceso a la justicia de los familiares de las víctimas. La parte peticionaria sostuvo que el presente caso se enm</w:t>
      </w:r>
      <w:r w:rsidR="007517A2" w:rsidRPr="009E773A">
        <w:rPr>
          <w:rFonts w:asciiTheme="majorHAnsi" w:hAnsiTheme="majorHAnsi"/>
          <w:sz w:val="20"/>
          <w:szCs w:val="20"/>
        </w:rPr>
        <w:t>a</w:t>
      </w:r>
      <w:r w:rsidR="00C7371F" w:rsidRPr="009E773A">
        <w:rPr>
          <w:rFonts w:asciiTheme="majorHAnsi" w:hAnsiTheme="majorHAnsi"/>
          <w:sz w:val="20"/>
          <w:szCs w:val="20"/>
        </w:rPr>
        <w:t>r</w:t>
      </w:r>
      <w:r w:rsidR="007517A2" w:rsidRPr="009E773A">
        <w:rPr>
          <w:rFonts w:asciiTheme="majorHAnsi" w:hAnsiTheme="majorHAnsi"/>
          <w:sz w:val="20"/>
          <w:szCs w:val="20"/>
        </w:rPr>
        <w:t>c</w:t>
      </w:r>
      <w:r w:rsidR="00C7371F" w:rsidRPr="009E773A">
        <w:rPr>
          <w:rFonts w:asciiTheme="majorHAnsi" w:hAnsiTheme="majorHAnsi"/>
          <w:sz w:val="20"/>
          <w:szCs w:val="20"/>
        </w:rPr>
        <w:t>a en un contexto de ejecuciones extrajudiciales en Venezuela</w:t>
      </w:r>
      <w:r w:rsidR="00F21C69" w:rsidRPr="009E773A">
        <w:rPr>
          <w:rFonts w:asciiTheme="majorHAnsi" w:hAnsiTheme="majorHAnsi"/>
          <w:sz w:val="20"/>
          <w:szCs w:val="20"/>
        </w:rPr>
        <w:t xml:space="preserve">. </w:t>
      </w:r>
      <w:r w:rsidR="00A567EE" w:rsidRPr="009E773A">
        <w:rPr>
          <w:rFonts w:asciiTheme="majorHAnsi" w:hAnsiTheme="majorHAnsi"/>
          <w:sz w:val="20"/>
          <w:szCs w:val="20"/>
        </w:rPr>
        <w:t xml:space="preserve"> </w:t>
      </w:r>
      <w:r w:rsidR="00A567EE" w:rsidRPr="009E773A">
        <w:rPr>
          <w:rFonts w:asciiTheme="majorHAnsi" w:hAnsiTheme="majorHAnsi"/>
          <w:color w:val="000000" w:themeColor="text1"/>
          <w:sz w:val="20"/>
          <w:szCs w:val="20"/>
        </w:rPr>
        <w:t xml:space="preserve"> </w:t>
      </w:r>
      <w:r w:rsidR="00784CAB" w:rsidRPr="009E773A">
        <w:rPr>
          <w:rFonts w:asciiTheme="majorHAnsi" w:hAnsiTheme="majorHAnsi"/>
          <w:color w:val="000000" w:themeColor="text1"/>
          <w:sz w:val="20"/>
          <w:szCs w:val="20"/>
        </w:rPr>
        <w:t xml:space="preserve">  </w:t>
      </w:r>
    </w:p>
    <w:p w14:paraId="75E44235" w14:textId="77777777" w:rsidR="005C4CA5" w:rsidRPr="009E773A" w:rsidRDefault="005C4CA5" w:rsidP="009A79B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Theme="majorHAnsi" w:hAnsiTheme="majorHAnsi"/>
          <w:color w:val="000000" w:themeColor="text1"/>
          <w:sz w:val="20"/>
          <w:szCs w:val="20"/>
        </w:rPr>
      </w:pPr>
    </w:p>
    <w:p w14:paraId="50CCE623" w14:textId="77777777" w:rsidR="00895133" w:rsidRPr="009E773A" w:rsidRDefault="00895133" w:rsidP="009A79B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r w:rsidRPr="009E773A">
        <w:rPr>
          <w:rFonts w:asciiTheme="majorHAnsi" w:hAnsiTheme="majorHAnsi"/>
          <w:sz w:val="20"/>
          <w:szCs w:val="20"/>
        </w:rPr>
        <w:t>E</w:t>
      </w:r>
      <w:r w:rsidR="00207237" w:rsidRPr="009E773A">
        <w:rPr>
          <w:rFonts w:asciiTheme="majorHAnsi" w:hAnsiTheme="majorHAnsi"/>
          <w:sz w:val="20"/>
          <w:szCs w:val="20"/>
        </w:rPr>
        <w:t>l Estado</w:t>
      </w:r>
      <w:r w:rsidR="00C639F4" w:rsidRPr="009E773A">
        <w:rPr>
          <w:rFonts w:asciiTheme="majorHAnsi" w:hAnsiTheme="majorHAnsi"/>
          <w:sz w:val="20"/>
          <w:szCs w:val="20"/>
        </w:rPr>
        <w:t xml:space="preserve"> </w:t>
      </w:r>
      <w:r w:rsidR="007111E5" w:rsidRPr="009E773A">
        <w:rPr>
          <w:rFonts w:asciiTheme="majorHAnsi" w:hAnsiTheme="majorHAnsi"/>
          <w:sz w:val="20"/>
          <w:szCs w:val="20"/>
        </w:rPr>
        <w:t>sostuvo</w:t>
      </w:r>
      <w:r w:rsidR="00207237" w:rsidRPr="009E773A">
        <w:rPr>
          <w:rFonts w:asciiTheme="majorHAnsi" w:hAnsiTheme="majorHAnsi"/>
          <w:sz w:val="20"/>
          <w:szCs w:val="20"/>
        </w:rPr>
        <w:t xml:space="preserve"> que las investigaciones llevadas a cabo a nivel interno han sido diligentes</w:t>
      </w:r>
      <w:r w:rsidR="00FD453A" w:rsidRPr="009E773A">
        <w:rPr>
          <w:rFonts w:asciiTheme="majorHAnsi" w:hAnsiTheme="majorHAnsi"/>
          <w:sz w:val="20"/>
          <w:szCs w:val="20"/>
        </w:rPr>
        <w:t>,</w:t>
      </w:r>
      <w:r w:rsidR="00207237" w:rsidRPr="009E773A">
        <w:rPr>
          <w:rFonts w:asciiTheme="majorHAnsi" w:hAnsiTheme="majorHAnsi"/>
          <w:sz w:val="20"/>
          <w:szCs w:val="20"/>
        </w:rPr>
        <w:t xml:space="preserve"> y que </w:t>
      </w:r>
      <w:r w:rsidR="0097497C" w:rsidRPr="009E773A">
        <w:rPr>
          <w:rFonts w:asciiTheme="majorHAnsi" w:hAnsiTheme="majorHAnsi"/>
          <w:sz w:val="20"/>
          <w:szCs w:val="20"/>
        </w:rPr>
        <w:t xml:space="preserve">no se ha verificado la participación de agentes de las fuerzas de seguridad </w:t>
      </w:r>
      <w:r w:rsidR="00FD453A" w:rsidRPr="009E773A">
        <w:rPr>
          <w:rFonts w:asciiTheme="majorHAnsi" w:hAnsiTheme="majorHAnsi"/>
          <w:sz w:val="20"/>
          <w:szCs w:val="20"/>
        </w:rPr>
        <w:t>en los hechos denunciados</w:t>
      </w:r>
      <w:r w:rsidRPr="009E773A">
        <w:rPr>
          <w:rFonts w:asciiTheme="majorHAnsi" w:hAnsiTheme="majorHAnsi"/>
          <w:sz w:val="20"/>
          <w:szCs w:val="20"/>
        </w:rPr>
        <w:t>. El Estado también controvirtió el alegado patrón o contexto de ejecuciones extrajudiciales en Venezuela. Ante la CIDH, el Estado destacó en varias ocasiones, que la presunta víctima tenía antecedentes penales y que las denuncias que interpuso antes de su muerte tenían como propósi</w:t>
      </w:r>
      <w:r w:rsidR="007E004C" w:rsidRPr="009E773A">
        <w:rPr>
          <w:rFonts w:asciiTheme="majorHAnsi" w:hAnsiTheme="majorHAnsi"/>
          <w:sz w:val="20"/>
          <w:szCs w:val="20"/>
        </w:rPr>
        <w:t>to evadir a las autoridades y su responsabilidad penal</w:t>
      </w:r>
      <w:r w:rsidRPr="009E773A">
        <w:rPr>
          <w:rFonts w:asciiTheme="majorHAnsi" w:hAnsiTheme="majorHAnsi"/>
          <w:sz w:val="20"/>
          <w:szCs w:val="20"/>
        </w:rPr>
        <w:t xml:space="preserve">. Sin perjuicio de lo anterior, en la información más reciente aportada por el Estado, informó que en la investigación interna, se había identificado como presunto responsable a un comisario de las Fuerzas Armadas del estado Falcón, contra quien se habría emitido orden de detención.    </w:t>
      </w:r>
      <w:r w:rsidR="00E01FFD" w:rsidRPr="009E773A">
        <w:rPr>
          <w:rFonts w:asciiTheme="majorHAnsi" w:hAnsiTheme="majorHAnsi"/>
          <w:sz w:val="20"/>
          <w:szCs w:val="20"/>
        </w:rPr>
        <w:t xml:space="preserve"> </w:t>
      </w:r>
    </w:p>
    <w:p w14:paraId="5FA5A25B" w14:textId="77777777" w:rsidR="005C4CA5" w:rsidRPr="009E773A" w:rsidRDefault="001E27B6" w:rsidP="009A79B6">
      <w:pPr>
        <w:tabs>
          <w:tab w:val="left" w:pos="1800"/>
        </w:tabs>
        <w:rPr>
          <w:rFonts w:asciiTheme="majorHAnsi" w:hAnsiTheme="majorHAnsi"/>
          <w:color w:val="000000" w:themeColor="text1"/>
          <w:sz w:val="20"/>
          <w:szCs w:val="20"/>
        </w:rPr>
      </w:pPr>
      <w:r w:rsidRPr="009E773A">
        <w:rPr>
          <w:rFonts w:asciiTheme="majorHAnsi" w:hAnsiTheme="majorHAnsi"/>
          <w:color w:val="000000" w:themeColor="text1"/>
          <w:sz w:val="20"/>
          <w:szCs w:val="20"/>
        </w:rPr>
        <w:tab/>
      </w:r>
    </w:p>
    <w:p w14:paraId="70526E7F" w14:textId="10A28D02" w:rsidR="006F5140" w:rsidRPr="009E773A" w:rsidRDefault="005C4CA5" w:rsidP="009A79B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color w:val="000000" w:themeColor="text1"/>
          <w:sz w:val="20"/>
          <w:szCs w:val="20"/>
        </w:rPr>
      </w:pPr>
      <w:r w:rsidRPr="009E773A">
        <w:rPr>
          <w:rFonts w:asciiTheme="majorHAnsi" w:hAnsiTheme="majorHAnsi"/>
          <w:color w:val="000000" w:themeColor="text1"/>
          <w:sz w:val="20"/>
          <w:szCs w:val="20"/>
        </w:rPr>
        <w:t>Con base en las determinaciones de hecho y de derecho, la Comisión Interamericana concluyó que</w:t>
      </w:r>
      <w:r w:rsidR="00A814FA" w:rsidRPr="009E773A">
        <w:rPr>
          <w:rFonts w:asciiTheme="majorHAnsi" w:hAnsiTheme="majorHAnsi"/>
          <w:color w:val="000000" w:themeColor="text1"/>
          <w:sz w:val="20"/>
          <w:szCs w:val="20"/>
        </w:rPr>
        <w:t xml:space="preserve"> </w:t>
      </w:r>
      <w:r w:rsidRPr="009E773A">
        <w:rPr>
          <w:rFonts w:asciiTheme="majorHAnsi" w:hAnsiTheme="majorHAnsi"/>
          <w:color w:val="000000" w:themeColor="text1"/>
          <w:sz w:val="20"/>
          <w:szCs w:val="20"/>
        </w:rPr>
        <w:t xml:space="preserve">el Estado es responsable por la violación </w:t>
      </w:r>
      <w:r w:rsidR="005A3155" w:rsidRPr="009E773A">
        <w:rPr>
          <w:rFonts w:asciiTheme="majorHAnsi" w:hAnsiTheme="majorHAnsi"/>
          <w:color w:val="000000" w:themeColor="text1"/>
          <w:sz w:val="20"/>
          <w:szCs w:val="20"/>
        </w:rPr>
        <w:t xml:space="preserve">de los </w:t>
      </w:r>
      <w:r w:rsidR="005B6DAD" w:rsidRPr="009E773A">
        <w:rPr>
          <w:rFonts w:asciiTheme="majorHAnsi" w:hAnsiTheme="majorHAnsi"/>
          <w:sz w:val="20"/>
          <w:szCs w:val="20"/>
        </w:rPr>
        <w:t>artículos 4</w:t>
      </w:r>
      <w:r w:rsidR="005A3155" w:rsidRPr="009E773A">
        <w:rPr>
          <w:rFonts w:asciiTheme="majorHAnsi" w:hAnsiTheme="majorHAnsi"/>
          <w:color w:val="000000" w:themeColor="text1"/>
          <w:sz w:val="20"/>
          <w:szCs w:val="20"/>
        </w:rPr>
        <w:t>.1 (derecho a la vida)</w:t>
      </w:r>
      <w:r w:rsidR="005B6DAD" w:rsidRPr="009E773A">
        <w:rPr>
          <w:rFonts w:asciiTheme="majorHAnsi" w:hAnsiTheme="majorHAnsi"/>
          <w:sz w:val="20"/>
          <w:szCs w:val="20"/>
        </w:rPr>
        <w:t>, 5</w:t>
      </w:r>
      <w:r w:rsidR="005A3155" w:rsidRPr="009E773A">
        <w:rPr>
          <w:rFonts w:asciiTheme="majorHAnsi" w:hAnsiTheme="majorHAnsi"/>
          <w:sz w:val="20"/>
          <w:szCs w:val="20"/>
        </w:rPr>
        <w:t xml:space="preserve">.1 (derecho a la integridad),  </w:t>
      </w:r>
      <w:r w:rsidR="005B6DAD" w:rsidRPr="009E773A">
        <w:rPr>
          <w:rFonts w:asciiTheme="majorHAnsi" w:hAnsiTheme="majorHAnsi"/>
          <w:sz w:val="20"/>
          <w:szCs w:val="20"/>
        </w:rPr>
        <w:t>8</w:t>
      </w:r>
      <w:r w:rsidR="005A3155" w:rsidRPr="009E773A">
        <w:rPr>
          <w:rFonts w:asciiTheme="majorHAnsi" w:hAnsiTheme="majorHAnsi"/>
          <w:sz w:val="20"/>
          <w:szCs w:val="20"/>
        </w:rPr>
        <w:t xml:space="preserve">.1 y </w:t>
      </w:r>
      <w:r w:rsidR="005B6DAD" w:rsidRPr="009E773A">
        <w:rPr>
          <w:rFonts w:asciiTheme="majorHAnsi" w:hAnsiTheme="majorHAnsi"/>
          <w:sz w:val="20"/>
          <w:szCs w:val="20"/>
        </w:rPr>
        <w:t>25</w:t>
      </w:r>
      <w:r w:rsidR="005A3155" w:rsidRPr="009E773A">
        <w:rPr>
          <w:rFonts w:asciiTheme="majorHAnsi" w:hAnsiTheme="majorHAnsi"/>
          <w:sz w:val="20"/>
          <w:szCs w:val="20"/>
        </w:rPr>
        <w:t>.</w:t>
      </w:r>
      <w:r w:rsidR="005B6DAD" w:rsidRPr="009E773A">
        <w:rPr>
          <w:rFonts w:asciiTheme="majorHAnsi" w:hAnsiTheme="majorHAnsi"/>
          <w:sz w:val="20"/>
          <w:szCs w:val="20"/>
        </w:rPr>
        <w:t>1</w:t>
      </w:r>
      <w:r w:rsidR="005A3155" w:rsidRPr="009E773A">
        <w:rPr>
          <w:rFonts w:asciiTheme="majorHAnsi" w:hAnsiTheme="majorHAnsi"/>
          <w:sz w:val="20"/>
          <w:szCs w:val="20"/>
        </w:rPr>
        <w:t xml:space="preserve"> (garantías judiciales y protección judicial) </w:t>
      </w:r>
      <w:r w:rsidR="005B6DAD" w:rsidRPr="009E773A">
        <w:rPr>
          <w:rFonts w:asciiTheme="majorHAnsi" w:hAnsiTheme="majorHAnsi"/>
          <w:sz w:val="20"/>
          <w:szCs w:val="20"/>
        </w:rPr>
        <w:t xml:space="preserve">de la Convención Americana sobre Derechos Humanos (en adelante </w:t>
      </w:r>
      <w:r w:rsidR="005B6DAD" w:rsidRPr="009E773A">
        <w:rPr>
          <w:rFonts w:asciiTheme="majorHAnsi" w:hAnsiTheme="majorHAnsi" w:cs="Arial"/>
          <w:sz w:val="20"/>
          <w:szCs w:val="20"/>
        </w:rPr>
        <w:t>"</w:t>
      </w:r>
      <w:r w:rsidR="005B6DAD" w:rsidRPr="009E773A">
        <w:rPr>
          <w:rFonts w:asciiTheme="majorHAnsi" w:hAnsiTheme="majorHAnsi"/>
          <w:sz w:val="20"/>
          <w:szCs w:val="20"/>
        </w:rPr>
        <w:t>la Convención Americana</w:t>
      </w:r>
      <w:r w:rsidR="005B6DAD" w:rsidRPr="009E773A">
        <w:rPr>
          <w:rFonts w:asciiTheme="majorHAnsi" w:hAnsiTheme="majorHAnsi" w:cs="Arial"/>
          <w:sz w:val="20"/>
          <w:szCs w:val="20"/>
        </w:rPr>
        <w:t>"</w:t>
      </w:r>
      <w:r w:rsidR="005B6DAD" w:rsidRPr="009E773A">
        <w:rPr>
          <w:rFonts w:asciiTheme="majorHAnsi" w:hAnsiTheme="majorHAnsi"/>
          <w:sz w:val="20"/>
          <w:szCs w:val="20"/>
        </w:rPr>
        <w:t xml:space="preserve"> o </w:t>
      </w:r>
      <w:r w:rsidR="005B6DAD" w:rsidRPr="009E773A">
        <w:rPr>
          <w:rFonts w:asciiTheme="majorHAnsi" w:hAnsiTheme="majorHAnsi" w:cs="Arial"/>
          <w:sz w:val="20"/>
          <w:szCs w:val="20"/>
        </w:rPr>
        <w:t>"</w:t>
      </w:r>
      <w:r w:rsidR="005B6DAD" w:rsidRPr="009E773A">
        <w:rPr>
          <w:rFonts w:asciiTheme="majorHAnsi" w:hAnsiTheme="majorHAnsi"/>
          <w:sz w:val="20"/>
          <w:szCs w:val="20"/>
        </w:rPr>
        <w:t>la Convención</w:t>
      </w:r>
      <w:r w:rsidR="005B6DAD" w:rsidRPr="009E773A">
        <w:rPr>
          <w:rFonts w:asciiTheme="majorHAnsi" w:hAnsiTheme="majorHAnsi" w:cs="Arial"/>
          <w:sz w:val="20"/>
          <w:szCs w:val="20"/>
        </w:rPr>
        <w:t>"</w:t>
      </w:r>
      <w:r w:rsidR="005A3155" w:rsidRPr="009E773A">
        <w:rPr>
          <w:rFonts w:asciiTheme="majorHAnsi" w:hAnsiTheme="majorHAnsi"/>
          <w:sz w:val="20"/>
          <w:szCs w:val="20"/>
        </w:rPr>
        <w:t>) en relación con el artículo 1.1</w:t>
      </w:r>
      <w:r w:rsidR="005B6DAD" w:rsidRPr="009E773A">
        <w:rPr>
          <w:rFonts w:asciiTheme="majorHAnsi" w:hAnsiTheme="majorHAnsi"/>
          <w:sz w:val="20"/>
          <w:szCs w:val="20"/>
        </w:rPr>
        <w:t xml:space="preserve"> del mismo </w:t>
      </w:r>
      <w:r w:rsidR="005A3155" w:rsidRPr="009E773A">
        <w:rPr>
          <w:rFonts w:asciiTheme="majorHAnsi" w:hAnsiTheme="majorHAnsi"/>
          <w:sz w:val="20"/>
          <w:szCs w:val="20"/>
        </w:rPr>
        <w:t>t</w:t>
      </w:r>
      <w:r w:rsidR="005B6DAD" w:rsidRPr="009E773A">
        <w:rPr>
          <w:rFonts w:asciiTheme="majorHAnsi" w:hAnsiTheme="majorHAnsi"/>
          <w:sz w:val="20"/>
          <w:szCs w:val="20"/>
        </w:rPr>
        <w:t xml:space="preserve">ratado, y </w:t>
      </w:r>
      <w:r w:rsidR="00556F47" w:rsidRPr="009E773A">
        <w:rPr>
          <w:rFonts w:asciiTheme="majorHAnsi" w:hAnsiTheme="majorHAnsi"/>
          <w:sz w:val="20"/>
          <w:szCs w:val="20"/>
        </w:rPr>
        <w:t>d</w:t>
      </w:r>
      <w:r w:rsidR="003B5D68" w:rsidRPr="009E773A">
        <w:rPr>
          <w:rFonts w:asciiTheme="majorHAnsi" w:hAnsiTheme="majorHAnsi"/>
          <w:sz w:val="20"/>
          <w:szCs w:val="20"/>
        </w:rPr>
        <w:t>e</w:t>
      </w:r>
      <w:r w:rsidR="00C11237" w:rsidRPr="009E773A">
        <w:rPr>
          <w:rFonts w:asciiTheme="majorHAnsi" w:hAnsiTheme="majorHAnsi"/>
          <w:sz w:val="20"/>
          <w:szCs w:val="20"/>
        </w:rPr>
        <w:t xml:space="preserve"> </w:t>
      </w:r>
      <w:r w:rsidR="003B5D68" w:rsidRPr="009E773A">
        <w:rPr>
          <w:rFonts w:asciiTheme="majorHAnsi" w:hAnsiTheme="majorHAnsi"/>
          <w:sz w:val="20"/>
          <w:szCs w:val="20"/>
        </w:rPr>
        <w:t>l</w:t>
      </w:r>
      <w:r w:rsidR="00C11237" w:rsidRPr="009E773A">
        <w:rPr>
          <w:rFonts w:asciiTheme="majorHAnsi" w:hAnsiTheme="majorHAnsi"/>
          <w:sz w:val="20"/>
          <w:szCs w:val="20"/>
        </w:rPr>
        <w:t>os</w:t>
      </w:r>
      <w:r w:rsidR="003B5D68" w:rsidRPr="009E773A">
        <w:rPr>
          <w:rFonts w:asciiTheme="majorHAnsi" w:hAnsiTheme="majorHAnsi"/>
          <w:sz w:val="20"/>
          <w:szCs w:val="20"/>
        </w:rPr>
        <w:t xml:space="preserve"> artículo</w:t>
      </w:r>
      <w:r w:rsidR="00C11237" w:rsidRPr="009E773A">
        <w:rPr>
          <w:rFonts w:asciiTheme="majorHAnsi" w:hAnsiTheme="majorHAnsi"/>
          <w:sz w:val="20"/>
          <w:szCs w:val="20"/>
        </w:rPr>
        <w:t>s</w:t>
      </w:r>
      <w:r w:rsidR="003B5D68" w:rsidRPr="009E773A">
        <w:rPr>
          <w:rFonts w:asciiTheme="majorHAnsi" w:hAnsiTheme="majorHAnsi"/>
          <w:sz w:val="20"/>
          <w:szCs w:val="20"/>
        </w:rPr>
        <w:t xml:space="preserve"> </w:t>
      </w:r>
      <w:r w:rsidR="00C11237" w:rsidRPr="009E773A">
        <w:rPr>
          <w:rFonts w:asciiTheme="majorHAnsi" w:hAnsiTheme="majorHAnsi"/>
          <w:sz w:val="20"/>
          <w:szCs w:val="20"/>
        </w:rPr>
        <w:t>6 y 8</w:t>
      </w:r>
      <w:r w:rsidR="003B5D68" w:rsidRPr="009E773A">
        <w:rPr>
          <w:rFonts w:asciiTheme="majorHAnsi" w:hAnsiTheme="majorHAnsi"/>
          <w:sz w:val="20"/>
          <w:szCs w:val="20"/>
        </w:rPr>
        <w:t xml:space="preserve"> </w:t>
      </w:r>
      <w:r w:rsidR="005B6DAD" w:rsidRPr="009E773A">
        <w:rPr>
          <w:rFonts w:asciiTheme="majorHAnsi" w:hAnsiTheme="majorHAnsi"/>
          <w:sz w:val="20"/>
          <w:szCs w:val="20"/>
        </w:rPr>
        <w:t>de la Convención Interamericana para Prevenir y Sancionar la Tortura</w:t>
      </w:r>
      <w:r w:rsidR="006E7B50" w:rsidRPr="009E773A">
        <w:rPr>
          <w:rFonts w:asciiTheme="majorHAnsi" w:hAnsiTheme="majorHAnsi"/>
          <w:sz w:val="20"/>
          <w:szCs w:val="20"/>
        </w:rPr>
        <w:t xml:space="preserve"> (en adelant</w:t>
      </w:r>
      <w:r w:rsidR="00FF2FB2" w:rsidRPr="009E773A">
        <w:rPr>
          <w:rFonts w:asciiTheme="majorHAnsi" w:hAnsiTheme="majorHAnsi"/>
          <w:sz w:val="20"/>
          <w:szCs w:val="20"/>
        </w:rPr>
        <w:t>e</w:t>
      </w:r>
      <w:r w:rsidR="006E7B50" w:rsidRPr="009E773A">
        <w:rPr>
          <w:rFonts w:asciiTheme="majorHAnsi" w:hAnsiTheme="majorHAnsi"/>
          <w:sz w:val="20"/>
          <w:szCs w:val="20"/>
        </w:rPr>
        <w:t xml:space="preserve"> “la CIPST”)</w:t>
      </w:r>
      <w:r w:rsidR="005B6DAD" w:rsidRPr="009E773A">
        <w:rPr>
          <w:rFonts w:asciiTheme="majorHAnsi" w:hAnsiTheme="majorHAnsi"/>
          <w:sz w:val="20"/>
          <w:szCs w:val="20"/>
        </w:rPr>
        <w:t xml:space="preserve">. </w:t>
      </w:r>
      <w:r w:rsidRPr="009E773A">
        <w:rPr>
          <w:rFonts w:asciiTheme="majorHAnsi" w:hAnsiTheme="majorHAnsi"/>
          <w:color w:val="000000" w:themeColor="text1"/>
          <w:sz w:val="20"/>
          <w:szCs w:val="20"/>
        </w:rPr>
        <w:t xml:space="preserve">La Comisión formuló las recomendaciones respectivas. </w:t>
      </w:r>
    </w:p>
    <w:p w14:paraId="1FC295EF" w14:textId="77777777" w:rsidR="00D435AE" w:rsidRPr="009E773A" w:rsidRDefault="00D435AE" w:rsidP="00FC5E2A">
      <w:pPr>
        <w:pStyle w:val="ListParagraph"/>
        <w:rPr>
          <w:rFonts w:asciiTheme="majorHAnsi" w:hAnsiTheme="majorHAnsi"/>
          <w:color w:val="000000" w:themeColor="text1"/>
          <w:sz w:val="20"/>
          <w:szCs w:val="20"/>
          <w:lang w:val="es-CO"/>
        </w:rPr>
      </w:pPr>
    </w:p>
    <w:p w14:paraId="06FEB4F7" w14:textId="77777777" w:rsidR="00D435AE" w:rsidRPr="009E773A" w:rsidRDefault="00D435AE" w:rsidP="00EB51E4">
      <w:pPr>
        <w:pStyle w:val="ListParagraph"/>
        <w:rPr>
          <w:rFonts w:asciiTheme="majorHAnsi" w:hAnsiTheme="majorHAnsi"/>
          <w:color w:val="000000" w:themeColor="text1"/>
          <w:sz w:val="20"/>
          <w:szCs w:val="20"/>
          <w:lang w:val="es-CO"/>
        </w:rPr>
      </w:pPr>
    </w:p>
    <w:p w14:paraId="7471119D" w14:textId="77777777" w:rsidR="00D435AE" w:rsidRPr="009E773A" w:rsidRDefault="00D435AE" w:rsidP="00EB51E4">
      <w:pPr>
        <w:pStyle w:val="ListParagraph"/>
        <w:rPr>
          <w:rFonts w:asciiTheme="majorHAnsi" w:hAnsiTheme="majorHAnsi"/>
          <w:color w:val="000000" w:themeColor="text1"/>
          <w:sz w:val="20"/>
          <w:szCs w:val="20"/>
          <w:lang w:val="es-CO"/>
        </w:rPr>
      </w:pPr>
    </w:p>
    <w:p w14:paraId="30BDA27B" w14:textId="77777777" w:rsidR="00D435AE" w:rsidRPr="009E773A" w:rsidRDefault="00D435AE" w:rsidP="00EB51E4">
      <w:pPr>
        <w:pStyle w:val="ListParagraph"/>
        <w:rPr>
          <w:rFonts w:asciiTheme="majorHAnsi" w:hAnsiTheme="majorHAnsi"/>
          <w:color w:val="000000" w:themeColor="text1"/>
          <w:sz w:val="20"/>
          <w:szCs w:val="20"/>
          <w:lang w:val="es-CO"/>
        </w:rPr>
      </w:pPr>
    </w:p>
    <w:p w14:paraId="52282DD5" w14:textId="77777777" w:rsidR="00D12193" w:rsidRPr="009E773A" w:rsidRDefault="00D12193" w:rsidP="009A79B6">
      <w:pPr>
        <w:pStyle w:val="Heading1"/>
        <w:ind w:hanging="90"/>
      </w:pPr>
      <w:bookmarkStart w:id="9" w:name="_Toc2159207"/>
      <w:r w:rsidRPr="009E773A">
        <w:t>ALEGATOS DE LAS PARTES</w:t>
      </w:r>
      <w:bookmarkEnd w:id="9"/>
    </w:p>
    <w:p w14:paraId="6A733598" w14:textId="77777777" w:rsidR="0008768F" w:rsidRPr="009E773A" w:rsidRDefault="0008768F" w:rsidP="00537CC4">
      <w:pPr>
        <w:suppressAutoHyphens/>
        <w:rPr>
          <w:rFonts w:asciiTheme="majorHAnsi" w:hAnsiTheme="majorHAnsi"/>
          <w:sz w:val="20"/>
          <w:szCs w:val="20"/>
        </w:rPr>
      </w:pPr>
    </w:p>
    <w:p w14:paraId="60DBF3AA" w14:textId="77777777" w:rsidR="00D12193" w:rsidRPr="009E773A" w:rsidRDefault="00D12193" w:rsidP="009A79B6">
      <w:pPr>
        <w:pStyle w:val="Heading2"/>
        <w:numPr>
          <w:ilvl w:val="0"/>
          <w:numId w:val="64"/>
        </w:numPr>
        <w:ind w:left="720" w:hanging="720"/>
      </w:pPr>
      <w:bookmarkStart w:id="10" w:name="_Toc2159208"/>
      <w:r w:rsidRPr="009E773A">
        <w:t>PARTE PETICIONARIA</w:t>
      </w:r>
      <w:bookmarkEnd w:id="10"/>
      <w:r w:rsidR="00CC63CF" w:rsidRPr="009E773A">
        <w:t xml:space="preserve"> </w:t>
      </w:r>
    </w:p>
    <w:p w14:paraId="711FACBA" w14:textId="77777777" w:rsidR="00B81AFC" w:rsidRPr="009E773A" w:rsidRDefault="00B81AFC" w:rsidP="00B81AFC">
      <w:pPr>
        <w:pStyle w:val="ListParagraph"/>
        <w:suppressAutoHyphens/>
        <w:ind w:left="1440"/>
        <w:rPr>
          <w:rFonts w:asciiTheme="majorHAnsi" w:hAnsiTheme="majorHAnsi"/>
          <w:b/>
          <w:sz w:val="20"/>
          <w:szCs w:val="20"/>
          <w:lang w:val="es-CO"/>
        </w:rPr>
      </w:pPr>
    </w:p>
    <w:p w14:paraId="673251F4" w14:textId="4522ACA7" w:rsidR="004E4643" w:rsidRPr="009E773A" w:rsidRDefault="00B81AFC" w:rsidP="009A79B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color w:val="000000" w:themeColor="text1"/>
          <w:sz w:val="20"/>
          <w:szCs w:val="20"/>
        </w:rPr>
      </w:pPr>
      <w:r w:rsidRPr="009E773A">
        <w:rPr>
          <w:rFonts w:asciiTheme="majorHAnsi" w:hAnsiTheme="majorHAnsi"/>
          <w:sz w:val="20"/>
          <w:szCs w:val="20"/>
        </w:rPr>
        <w:t>A</w:t>
      </w:r>
      <w:r w:rsidR="003D0EBE" w:rsidRPr="009E773A">
        <w:rPr>
          <w:rFonts w:asciiTheme="majorHAnsi" w:hAnsiTheme="majorHAnsi"/>
          <w:sz w:val="20"/>
          <w:szCs w:val="20"/>
        </w:rPr>
        <w:t>legó</w:t>
      </w:r>
      <w:r w:rsidR="00C74155" w:rsidRPr="009E773A">
        <w:rPr>
          <w:rFonts w:asciiTheme="majorHAnsi" w:hAnsiTheme="majorHAnsi"/>
          <w:sz w:val="20"/>
          <w:szCs w:val="20"/>
        </w:rPr>
        <w:t xml:space="preserve"> que los hechos del presente caso se enmarcan en un </w:t>
      </w:r>
      <w:r w:rsidR="003D0EBE" w:rsidRPr="009E773A">
        <w:rPr>
          <w:rFonts w:asciiTheme="majorHAnsi" w:hAnsiTheme="majorHAnsi"/>
          <w:sz w:val="20"/>
          <w:szCs w:val="20"/>
        </w:rPr>
        <w:t>contexto</w:t>
      </w:r>
      <w:r w:rsidR="00C74155" w:rsidRPr="009E773A">
        <w:rPr>
          <w:rFonts w:asciiTheme="majorHAnsi" w:hAnsiTheme="majorHAnsi"/>
          <w:sz w:val="20"/>
          <w:szCs w:val="20"/>
        </w:rPr>
        <w:t xml:space="preserve"> de hostigamientos, uso excesivo de la fuerza, detenciones arbitrarias, desapariciones forzadas</w:t>
      </w:r>
      <w:r w:rsidR="003D0EBE" w:rsidRPr="009E773A">
        <w:rPr>
          <w:rFonts w:asciiTheme="majorHAnsi" w:hAnsiTheme="majorHAnsi"/>
          <w:sz w:val="20"/>
          <w:szCs w:val="20"/>
        </w:rPr>
        <w:t xml:space="preserve"> y ejecuciones extrajudiciales por parte</w:t>
      </w:r>
      <w:r w:rsidR="00C74155" w:rsidRPr="009E773A">
        <w:rPr>
          <w:rFonts w:asciiTheme="majorHAnsi" w:hAnsiTheme="majorHAnsi"/>
          <w:sz w:val="20"/>
          <w:szCs w:val="20"/>
        </w:rPr>
        <w:t xml:space="preserve"> de la</w:t>
      </w:r>
      <w:r w:rsidR="00A567EE" w:rsidRPr="009E773A">
        <w:rPr>
          <w:rFonts w:asciiTheme="majorHAnsi" w:hAnsiTheme="majorHAnsi"/>
          <w:sz w:val="20"/>
          <w:szCs w:val="20"/>
        </w:rPr>
        <w:t>s</w:t>
      </w:r>
      <w:r w:rsidR="00C74155" w:rsidRPr="009E773A">
        <w:rPr>
          <w:rFonts w:asciiTheme="majorHAnsi" w:hAnsiTheme="majorHAnsi"/>
          <w:sz w:val="20"/>
          <w:szCs w:val="20"/>
        </w:rPr>
        <w:t xml:space="preserve"> </w:t>
      </w:r>
      <w:r w:rsidR="003D0EBE" w:rsidRPr="009E773A">
        <w:rPr>
          <w:rFonts w:asciiTheme="majorHAnsi" w:hAnsiTheme="majorHAnsi"/>
          <w:sz w:val="20"/>
          <w:szCs w:val="20"/>
        </w:rPr>
        <w:t xml:space="preserve">Fuerzas Armadas Policiales del </w:t>
      </w:r>
      <w:r w:rsidR="00B859FF" w:rsidRPr="009E773A">
        <w:rPr>
          <w:rFonts w:asciiTheme="majorHAnsi" w:hAnsiTheme="majorHAnsi"/>
          <w:sz w:val="20"/>
          <w:szCs w:val="20"/>
        </w:rPr>
        <w:t>e</w:t>
      </w:r>
      <w:r w:rsidR="00C74155" w:rsidRPr="009E773A">
        <w:rPr>
          <w:rFonts w:asciiTheme="majorHAnsi" w:hAnsiTheme="majorHAnsi"/>
          <w:sz w:val="20"/>
          <w:szCs w:val="20"/>
        </w:rPr>
        <w:t xml:space="preserve">stado Falcón y </w:t>
      </w:r>
      <w:r w:rsidR="003D0EBE" w:rsidRPr="009E773A">
        <w:rPr>
          <w:rFonts w:asciiTheme="majorHAnsi" w:hAnsiTheme="majorHAnsi"/>
          <w:sz w:val="20"/>
          <w:szCs w:val="20"/>
        </w:rPr>
        <w:t>“</w:t>
      </w:r>
      <w:r w:rsidR="00C74155" w:rsidRPr="009E773A">
        <w:rPr>
          <w:rFonts w:asciiTheme="majorHAnsi" w:hAnsiTheme="majorHAnsi"/>
          <w:sz w:val="20"/>
          <w:szCs w:val="20"/>
        </w:rPr>
        <w:t>grupos parapoliciales</w:t>
      </w:r>
      <w:r w:rsidR="003D0EBE" w:rsidRPr="009E773A">
        <w:rPr>
          <w:rFonts w:asciiTheme="majorHAnsi" w:hAnsiTheme="majorHAnsi"/>
          <w:sz w:val="20"/>
          <w:szCs w:val="20"/>
        </w:rPr>
        <w:t>”</w:t>
      </w:r>
      <w:r w:rsidR="00895133" w:rsidRPr="009E773A">
        <w:rPr>
          <w:rFonts w:asciiTheme="majorHAnsi" w:hAnsiTheme="majorHAnsi"/>
          <w:sz w:val="20"/>
          <w:szCs w:val="20"/>
        </w:rPr>
        <w:t xml:space="preserve"> en Venezuela</w:t>
      </w:r>
      <w:r w:rsidR="00C74155" w:rsidRPr="009E773A">
        <w:rPr>
          <w:rFonts w:asciiTheme="majorHAnsi" w:hAnsiTheme="majorHAnsi"/>
          <w:sz w:val="20"/>
          <w:szCs w:val="20"/>
        </w:rPr>
        <w:t xml:space="preserve">. </w:t>
      </w:r>
      <w:r w:rsidR="004E4643" w:rsidRPr="009E773A">
        <w:rPr>
          <w:rFonts w:asciiTheme="majorHAnsi" w:hAnsiTheme="majorHAnsi"/>
          <w:sz w:val="20"/>
          <w:szCs w:val="20"/>
        </w:rPr>
        <w:t>Adujo que d</w:t>
      </w:r>
      <w:r w:rsidR="00C74155" w:rsidRPr="009E773A">
        <w:rPr>
          <w:rFonts w:asciiTheme="majorHAnsi" w:hAnsiTheme="majorHAnsi"/>
          <w:sz w:val="20"/>
          <w:szCs w:val="20"/>
        </w:rPr>
        <w:t xml:space="preserve">icho patrón se caracteriza por tener como víctimas a hombres jóvenes pertenecientes a sectores sociales económicamente vulnerables y </w:t>
      </w:r>
      <w:r w:rsidR="004E4643" w:rsidRPr="009E773A">
        <w:rPr>
          <w:rFonts w:asciiTheme="majorHAnsi" w:hAnsiTheme="majorHAnsi"/>
          <w:sz w:val="20"/>
          <w:szCs w:val="20"/>
        </w:rPr>
        <w:t xml:space="preserve">con </w:t>
      </w:r>
      <w:r w:rsidR="00C74155" w:rsidRPr="009E773A">
        <w:rPr>
          <w:rFonts w:asciiTheme="majorHAnsi" w:hAnsiTheme="majorHAnsi"/>
          <w:sz w:val="20"/>
          <w:szCs w:val="20"/>
        </w:rPr>
        <w:t xml:space="preserve">un </w:t>
      </w:r>
      <w:r w:rsidR="00C74155" w:rsidRPr="009E773A">
        <w:rPr>
          <w:rFonts w:asciiTheme="majorHAnsi" w:hAnsiTheme="majorHAnsi"/>
          <w:i/>
          <w:sz w:val="20"/>
          <w:szCs w:val="20"/>
        </w:rPr>
        <w:t>modus operandi</w:t>
      </w:r>
      <w:r w:rsidR="00C74155" w:rsidRPr="009E773A">
        <w:rPr>
          <w:rFonts w:asciiTheme="majorHAnsi" w:hAnsiTheme="majorHAnsi"/>
          <w:sz w:val="20"/>
          <w:szCs w:val="20"/>
        </w:rPr>
        <w:t xml:space="preserve"> </w:t>
      </w:r>
      <w:r w:rsidR="004E4643" w:rsidRPr="009E773A">
        <w:rPr>
          <w:rFonts w:asciiTheme="majorHAnsi" w:hAnsiTheme="majorHAnsi"/>
          <w:sz w:val="20"/>
          <w:szCs w:val="20"/>
        </w:rPr>
        <w:t>específico, que incluye</w:t>
      </w:r>
      <w:r w:rsidR="006F5140" w:rsidRPr="009E773A">
        <w:rPr>
          <w:rFonts w:asciiTheme="majorHAnsi" w:hAnsiTheme="majorHAnsi"/>
          <w:sz w:val="20"/>
          <w:szCs w:val="20"/>
        </w:rPr>
        <w:t>:</w:t>
      </w:r>
      <w:r w:rsidR="004E4643" w:rsidRPr="009E773A">
        <w:rPr>
          <w:rFonts w:asciiTheme="majorHAnsi" w:hAnsiTheme="majorHAnsi"/>
          <w:sz w:val="20"/>
          <w:szCs w:val="20"/>
        </w:rPr>
        <w:t xml:space="preserve"> la presentación de lo</w:t>
      </w:r>
      <w:r w:rsidR="006F5140" w:rsidRPr="009E773A">
        <w:rPr>
          <w:rFonts w:asciiTheme="majorHAnsi" w:hAnsiTheme="majorHAnsi"/>
          <w:sz w:val="20"/>
          <w:szCs w:val="20"/>
        </w:rPr>
        <w:t>s hechos como un enfrentamiento;</w:t>
      </w:r>
      <w:r w:rsidR="004E4643" w:rsidRPr="009E773A">
        <w:rPr>
          <w:rFonts w:asciiTheme="majorHAnsi" w:hAnsiTheme="majorHAnsi"/>
          <w:sz w:val="20"/>
          <w:szCs w:val="20"/>
        </w:rPr>
        <w:t xml:space="preserve"> la descalificación pública o criminalización de la víctima señalándola como una persona que ha resistido a la autoridad o que tiene antec</w:t>
      </w:r>
      <w:r w:rsidR="004B6CF3" w:rsidRPr="009E773A">
        <w:rPr>
          <w:rFonts w:asciiTheme="majorHAnsi" w:hAnsiTheme="majorHAnsi"/>
          <w:sz w:val="20"/>
          <w:szCs w:val="20"/>
        </w:rPr>
        <w:t>edentes penales; y amenazas y agresiones en contra de testigos y familiares</w:t>
      </w:r>
      <w:r w:rsidR="006F5140" w:rsidRPr="009E773A">
        <w:rPr>
          <w:rFonts w:asciiTheme="majorHAnsi" w:hAnsiTheme="majorHAnsi"/>
          <w:sz w:val="20"/>
          <w:szCs w:val="20"/>
        </w:rPr>
        <w:t>;</w:t>
      </w:r>
      <w:r w:rsidR="007226F3" w:rsidRPr="009E773A">
        <w:rPr>
          <w:rFonts w:asciiTheme="majorHAnsi" w:hAnsiTheme="majorHAnsi"/>
          <w:sz w:val="20"/>
          <w:szCs w:val="20"/>
        </w:rPr>
        <w:t xml:space="preserve"> entre otros elementos</w:t>
      </w:r>
      <w:r w:rsidR="00895133" w:rsidRPr="009E773A">
        <w:rPr>
          <w:rFonts w:asciiTheme="majorHAnsi" w:hAnsiTheme="majorHAnsi"/>
          <w:sz w:val="20"/>
          <w:szCs w:val="20"/>
        </w:rPr>
        <w:t xml:space="preserve">, así como la impunidad en la que se encontrarían la mayoría de los casos. Sostuvo que dicho contexto persistiría hasta la actualidad refiriendo información sobre la actuación de supuestos “grupos de exterminio”. </w:t>
      </w:r>
    </w:p>
    <w:p w14:paraId="107EFD8C" w14:textId="77777777" w:rsidR="006E44CF" w:rsidRPr="009E773A" w:rsidRDefault="006E44CF" w:rsidP="006E44C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Theme="majorHAnsi" w:hAnsiTheme="majorHAnsi"/>
          <w:color w:val="000000" w:themeColor="text1"/>
          <w:sz w:val="20"/>
          <w:szCs w:val="20"/>
        </w:rPr>
      </w:pPr>
    </w:p>
    <w:p w14:paraId="72D199A8" w14:textId="4A1E9281" w:rsidR="00C93060" w:rsidRPr="009E773A" w:rsidRDefault="00B81AFC" w:rsidP="009A79B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color w:val="548DD4" w:themeColor="text2" w:themeTint="99"/>
          <w:sz w:val="20"/>
          <w:szCs w:val="20"/>
        </w:rPr>
      </w:pPr>
      <w:r w:rsidRPr="009E773A">
        <w:rPr>
          <w:rFonts w:asciiTheme="majorHAnsi" w:hAnsiTheme="majorHAnsi"/>
          <w:sz w:val="20"/>
          <w:szCs w:val="20"/>
        </w:rPr>
        <w:t>Señaló</w:t>
      </w:r>
      <w:r w:rsidR="00C74155" w:rsidRPr="009E773A">
        <w:rPr>
          <w:rFonts w:asciiTheme="majorHAnsi" w:hAnsiTheme="majorHAnsi"/>
          <w:sz w:val="20"/>
          <w:szCs w:val="20"/>
        </w:rPr>
        <w:t xml:space="preserve"> que el </w:t>
      </w:r>
      <w:r w:rsidR="00421CDE" w:rsidRPr="009E773A">
        <w:rPr>
          <w:rFonts w:asciiTheme="majorHAnsi" w:hAnsiTheme="majorHAnsi"/>
          <w:sz w:val="20"/>
          <w:szCs w:val="20"/>
        </w:rPr>
        <w:t xml:space="preserve">día </w:t>
      </w:r>
      <w:r w:rsidR="00C74155" w:rsidRPr="009E773A">
        <w:rPr>
          <w:rFonts w:asciiTheme="majorHAnsi" w:hAnsiTheme="majorHAnsi"/>
          <w:sz w:val="20"/>
          <w:szCs w:val="20"/>
        </w:rPr>
        <w:t>29 de marzo</w:t>
      </w:r>
      <w:r w:rsidR="00C93060" w:rsidRPr="009E773A">
        <w:rPr>
          <w:rFonts w:asciiTheme="majorHAnsi" w:hAnsiTheme="majorHAnsi"/>
          <w:sz w:val="20"/>
          <w:szCs w:val="20"/>
        </w:rPr>
        <w:t xml:space="preserve"> de 2003</w:t>
      </w:r>
      <w:r w:rsidR="00C74155" w:rsidRPr="009E773A">
        <w:rPr>
          <w:rFonts w:asciiTheme="majorHAnsi" w:hAnsiTheme="majorHAnsi"/>
          <w:sz w:val="20"/>
          <w:szCs w:val="20"/>
        </w:rPr>
        <w:t xml:space="preserve"> </w:t>
      </w:r>
      <w:r w:rsidR="00421CDE" w:rsidRPr="009E773A">
        <w:rPr>
          <w:rFonts w:asciiTheme="majorHAnsi" w:hAnsiTheme="majorHAnsi"/>
          <w:sz w:val="20"/>
          <w:szCs w:val="20"/>
        </w:rPr>
        <w:t xml:space="preserve">Jimmy Guerrero se desplazó </w:t>
      </w:r>
      <w:r w:rsidR="00895133" w:rsidRPr="009E773A">
        <w:rPr>
          <w:rFonts w:asciiTheme="majorHAnsi" w:hAnsiTheme="majorHAnsi"/>
          <w:sz w:val="20"/>
          <w:szCs w:val="20"/>
        </w:rPr>
        <w:t xml:space="preserve">en horas de la noche, </w:t>
      </w:r>
      <w:r w:rsidR="00421CDE" w:rsidRPr="009E773A">
        <w:rPr>
          <w:rFonts w:asciiTheme="majorHAnsi" w:hAnsiTheme="majorHAnsi"/>
          <w:sz w:val="20"/>
          <w:szCs w:val="20"/>
        </w:rPr>
        <w:t>de la ciudad de Coro a Punto Fijo</w:t>
      </w:r>
      <w:r w:rsidR="00895133" w:rsidRPr="009E773A">
        <w:rPr>
          <w:rFonts w:asciiTheme="majorHAnsi" w:hAnsiTheme="majorHAnsi"/>
          <w:sz w:val="20"/>
          <w:szCs w:val="20"/>
        </w:rPr>
        <w:t>, en el estado Falcón,</w:t>
      </w:r>
      <w:r w:rsidR="00421CDE" w:rsidRPr="009E773A">
        <w:rPr>
          <w:rFonts w:asciiTheme="majorHAnsi" w:hAnsiTheme="majorHAnsi"/>
          <w:sz w:val="20"/>
          <w:szCs w:val="20"/>
        </w:rPr>
        <w:t xml:space="preserve"> en compañía de</w:t>
      </w:r>
      <w:r w:rsidR="00C93060" w:rsidRPr="009E773A">
        <w:rPr>
          <w:rFonts w:asciiTheme="majorHAnsi" w:hAnsiTheme="majorHAnsi"/>
          <w:sz w:val="20"/>
          <w:szCs w:val="20"/>
        </w:rPr>
        <w:t xml:space="preserve"> su tío</w:t>
      </w:r>
      <w:r w:rsidR="00C74155" w:rsidRPr="009E773A">
        <w:rPr>
          <w:rFonts w:asciiTheme="majorHAnsi" w:hAnsiTheme="majorHAnsi"/>
          <w:sz w:val="20"/>
          <w:szCs w:val="20"/>
        </w:rPr>
        <w:t xml:space="preserve"> Ramón Molina</w:t>
      </w:r>
      <w:r w:rsidR="00C93060" w:rsidRPr="009E773A">
        <w:rPr>
          <w:rFonts w:asciiTheme="majorHAnsi" w:hAnsiTheme="majorHAnsi"/>
          <w:sz w:val="20"/>
          <w:szCs w:val="20"/>
        </w:rPr>
        <w:t xml:space="preserve"> y José Hernández</w:t>
      </w:r>
      <w:r w:rsidR="00895133" w:rsidRPr="009E773A">
        <w:rPr>
          <w:rFonts w:asciiTheme="majorHAnsi" w:hAnsiTheme="majorHAnsi"/>
          <w:sz w:val="20"/>
          <w:szCs w:val="20"/>
        </w:rPr>
        <w:t xml:space="preserve">, </w:t>
      </w:r>
      <w:r w:rsidR="0030514D" w:rsidRPr="009E773A">
        <w:rPr>
          <w:rFonts w:asciiTheme="majorHAnsi" w:hAnsiTheme="majorHAnsi"/>
          <w:sz w:val="20"/>
          <w:szCs w:val="20"/>
        </w:rPr>
        <w:t>luego de una reunión familiar</w:t>
      </w:r>
      <w:r w:rsidR="00895133" w:rsidRPr="009E773A">
        <w:rPr>
          <w:rFonts w:asciiTheme="majorHAnsi" w:hAnsiTheme="majorHAnsi"/>
          <w:sz w:val="20"/>
          <w:szCs w:val="20"/>
        </w:rPr>
        <w:t xml:space="preserve">. </w:t>
      </w:r>
      <w:r w:rsidR="00C93060" w:rsidRPr="009E773A">
        <w:rPr>
          <w:rFonts w:asciiTheme="majorHAnsi" w:hAnsiTheme="majorHAnsi"/>
          <w:sz w:val="20"/>
          <w:szCs w:val="20"/>
        </w:rPr>
        <w:t xml:space="preserve">Adujo que en el trayecto fueron interceptados por un vehículo sin placas ocupado por presuntos funcionarios policiales vestidos de negro. Según el relato, </w:t>
      </w:r>
      <w:r w:rsidR="00B338F7" w:rsidRPr="009E773A">
        <w:rPr>
          <w:rFonts w:asciiTheme="majorHAnsi" w:hAnsiTheme="majorHAnsi"/>
          <w:sz w:val="20"/>
          <w:szCs w:val="20"/>
        </w:rPr>
        <w:t xml:space="preserve">cuando </w:t>
      </w:r>
      <w:r w:rsidR="00C93060" w:rsidRPr="009E773A">
        <w:rPr>
          <w:rFonts w:asciiTheme="majorHAnsi" w:hAnsiTheme="majorHAnsi"/>
          <w:sz w:val="20"/>
          <w:szCs w:val="20"/>
        </w:rPr>
        <w:t>Jimmy Guerrero descendió del vehí</w:t>
      </w:r>
      <w:r w:rsidR="00335C95" w:rsidRPr="009E773A">
        <w:rPr>
          <w:rFonts w:asciiTheme="majorHAnsi" w:hAnsiTheme="majorHAnsi"/>
          <w:sz w:val="20"/>
          <w:szCs w:val="20"/>
        </w:rPr>
        <w:t xml:space="preserve">culo le dispararon varias veces y, </w:t>
      </w:r>
      <w:r w:rsidR="00C93060" w:rsidRPr="009E773A">
        <w:rPr>
          <w:rFonts w:asciiTheme="majorHAnsi" w:hAnsiTheme="majorHAnsi"/>
          <w:sz w:val="20"/>
          <w:szCs w:val="20"/>
        </w:rPr>
        <w:t>pese a encontrarse herido de gravedad e indefenso, los agresor</w:t>
      </w:r>
      <w:r w:rsidR="00D26BD7" w:rsidRPr="009E773A">
        <w:rPr>
          <w:rFonts w:asciiTheme="majorHAnsi" w:hAnsiTheme="majorHAnsi"/>
          <w:sz w:val="20"/>
          <w:szCs w:val="20"/>
        </w:rPr>
        <w:t>es</w:t>
      </w:r>
      <w:r w:rsidR="00C93060" w:rsidRPr="009E773A">
        <w:rPr>
          <w:rFonts w:asciiTheme="majorHAnsi" w:hAnsiTheme="majorHAnsi"/>
          <w:sz w:val="20"/>
          <w:szCs w:val="20"/>
        </w:rPr>
        <w:t xml:space="preserve"> le habrían golpeado fuertemente en el suelo. La parte peticionaria indicó que, cuando Ramón Antonio Molina intentó auxiliar a su sobrino, los presuntos funcionarios le dispararon varias veces</w:t>
      </w:r>
      <w:r w:rsidR="00A935AD" w:rsidRPr="009E773A">
        <w:rPr>
          <w:rFonts w:asciiTheme="majorHAnsi" w:hAnsiTheme="majorHAnsi"/>
          <w:sz w:val="20"/>
          <w:szCs w:val="20"/>
        </w:rPr>
        <w:t xml:space="preserve"> causándole la muerte</w:t>
      </w:r>
      <w:r w:rsidR="00C93060" w:rsidRPr="009E773A">
        <w:rPr>
          <w:rFonts w:asciiTheme="majorHAnsi" w:hAnsiTheme="majorHAnsi"/>
          <w:sz w:val="20"/>
          <w:szCs w:val="20"/>
        </w:rPr>
        <w:t>. De a</w:t>
      </w:r>
      <w:r w:rsidR="00311512" w:rsidRPr="009E773A">
        <w:rPr>
          <w:rFonts w:asciiTheme="majorHAnsi" w:hAnsiTheme="majorHAnsi"/>
          <w:sz w:val="20"/>
          <w:szCs w:val="20"/>
        </w:rPr>
        <w:t xml:space="preserve">cuerdo con la versión del señor José </w:t>
      </w:r>
      <w:r w:rsidR="00C93060" w:rsidRPr="009E773A">
        <w:rPr>
          <w:rFonts w:asciiTheme="majorHAnsi" w:hAnsiTheme="majorHAnsi"/>
          <w:sz w:val="20"/>
          <w:szCs w:val="20"/>
        </w:rPr>
        <w:t>Hernández –quien resultó herido y sobrevivió-</w:t>
      </w:r>
      <w:r w:rsidR="00745FF6" w:rsidRPr="009E773A">
        <w:rPr>
          <w:rFonts w:asciiTheme="majorHAnsi" w:hAnsiTheme="majorHAnsi"/>
          <w:sz w:val="20"/>
          <w:szCs w:val="20"/>
        </w:rPr>
        <w:t xml:space="preserve"> y </w:t>
      </w:r>
      <w:r w:rsidR="00A935AD" w:rsidRPr="009E773A">
        <w:rPr>
          <w:rFonts w:asciiTheme="majorHAnsi" w:hAnsiTheme="majorHAnsi"/>
          <w:sz w:val="20"/>
          <w:szCs w:val="20"/>
        </w:rPr>
        <w:t>un</w:t>
      </w:r>
      <w:r w:rsidR="00527C17" w:rsidRPr="009E773A">
        <w:rPr>
          <w:rFonts w:asciiTheme="majorHAnsi" w:hAnsiTheme="majorHAnsi"/>
          <w:sz w:val="20"/>
          <w:szCs w:val="20"/>
        </w:rPr>
        <w:t xml:space="preserve"> testigo presencial de los hechos, los agresores</w:t>
      </w:r>
      <w:r w:rsidR="00C93060" w:rsidRPr="009E773A">
        <w:rPr>
          <w:rFonts w:asciiTheme="majorHAnsi" w:hAnsiTheme="majorHAnsi"/>
          <w:sz w:val="20"/>
          <w:szCs w:val="20"/>
        </w:rPr>
        <w:t xml:space="preserve"> </w:t>
      </w:r>
      <w:r w:rsidR="00AD6978" w:rsidRPr="009E773A">
        <w:rPr>
          <w:rFonts w:asciiTheme="majorHAnsi" w:hAnsiTheme="majorHAnsi"/>
          <w:sz w:val="20"/>
          <w:szCs w:val="20"/>
        </w:rPr>
        <w:t>habrían atado</w:t>
      </w:r>
      <w:r w:rsidR="00C93060" w:rsidRPr="009E773A">
        <w:rPr>
          <w:rFonts w:asciiTheme="majorHAnsi" w:hAnsiTheme="majorHAnsi"/>
          <w:sz w:val="20"/>
          <w:szCs w:val="20"/>
        </w:rPr>
        <w:t xml:space="preserve"> el cuerpo d</w:t>
      </w:r>
      <w:r w:rsidR="00527C17" w:rsidRPr="009E773A">
        <w:rPr>
          <w:rFonts w:asciiTheme="majorHAnsi" w:hAnsiTheme="majorHAnsi"/>
          <w:sz w:val="20"/>
          <w:szCs w:val="20"/>
        </w:rPr>
        <w:t>e Jimmy Guerrero</w:t>
      </w:r>
      <w:r w:rsidR="00A935AD" w:rsidRPr="009E773A">
        <w:rPr>
          <w:rFonts w:asciiTheme="majorHAnsi" w:hAnsiTheme="majorHAnsi"/>
          <w:sz w:val="20"/>
          <w:szCs w:val="20"/>
        </w:rPr>
        <w:t>, todavía con vida,</w:t>
      </w:r>
      <w:r w:rsidR="00527C17" w:rsidRPr="009E773A">
        <w:rPr>
          <w:rFonts w:asciiTheme="majorHAnsi" w:hAnsiTheme="majorHAnsi"/>
          <w:sz w:val="20"/>
          <w:szCs w:val="20"/>
        </w:rPr>
        <w:t xml:space="preserve"> a un vehículo para posteriormente</w:t>
      </w:r>
      <w:r w:rsidR="00C93060" w:rsidRPr="009E773A">
        <w:rPr>
          <w:rFonts w:asciiTheme="majorHAnsi" w:hAnsiTheme="majorHAnsi"/>
          <w:sz w:val="20"/>
          <w:szCs w:val="20"/>
        </w:rPr>
        <w:t xml:space="preserve"> </w:t>
      </w:r>
      <w:r w:rsidR="00527C17" w:rsidRPr="009E773A">
        <w:rPr>
          <w:rFonts w:asciiTheme="majorHAnsi" w:hAnsiTheme="majorHAnsi"/>
          <w:sz w:val="20"/>
          <w:szCs w:val="20"/>
        </w:rPr>
        <w:t>arrastrarlo</w:t>
      </w:r>
      <w:r w:rsidR="00D26BD7" w:rsidRPr="009E773A">
        <w:rPr>
          <w:rFonts w:asciiTheme="majorHAnsi" w:hAnsiTheme="majorHAnsi"/>
          <w:sz w:val="20"/>
          <w:szCs w:val="20"/>
        </w:rPr>
        <w:t xml:space="preserve"> por el pavimento</w:t>
      </w:r>
      <w:r w:rsidR="00335C95" w:rsidRPr="009E773A">
        <w:rPr>
          <w:rFonts w:asciiTheme="majorHAnsi" w:hAnsiTheme="majorHAnsi"/>
          <w:sz w:val="20"/>
          <w:szCs w:val="20"/>
        </w:rPr>
        <w:t>.</w:t>
      </w:r>
    </w:p>
    <w:p w14:paraId="6E00ABE7" w14:textId="77777777" w:rsidR="00C93060" w:rsidRPr="009E773A" w:rsidRDefault="00C93060" w:rsidP="009A79B6">
      <w:pPr>
        <w:pStyle w:val="ListParagraph"/>
        <w:rPr>
          <w:rFonts w:asciiTheme="majorHAnsi" w:hAnsiTheme="majorHAnsi"/>
          <w:sz w:val="20"/>
          <w:szCs w:val="20"/>
          <w:lang w:val="es-CO"/>
        </w:rPr>
      </w:pPr>
    </w:p>
    <w:p w14:paraId="2ACFB016" w14:textId="77777777" w:rsidR="00C93060" w:rsidRPr="009E773A" w:rsidRDefault="00B81AFC" w:rsidP="009A79B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color w:val="548DD4" w:themeColor="text2" w:themeTint="99"/>
          <w:sz w:val="20"/>
          <w:szCs w:val="20"/>
        </w:rPr>
      </w:pPr>
      <w:r w:rsidRPr="009E773A">
        <w:rPr>
          <w:rFonts w:asciiTheme="majorHAnsi" w:hAnsiTheme="majorHAnsi"/>
          <w:sz w:val="20"/>
          <w:szCs w:val="20"/>
        </w:rPr>
        <w:t xml:space="preserve">Indicó </w:t>
      </w:r>
      <w:r w:rsidR="00C93060" w:rsidRPr="009E773A">
        <w:rPr>
          <w:rFonts w:asciiTheme="majorHAnsi" w:hAnsiTheme="majorHAnsi"/>
          <w:sz w:val="20"/>
          <w:szCs w:val="20"/>
        </w:rPr>
        <w:t>que</w:t>
      </w:r>
      <w:r w:rsidRPr="009E773A">
        <w:rPr>
          <w:rFonts w:asciiTheme="majorHAnsi" w:hAnsiTheme="majorHAnsi"/>
          <w:sz w:val="20"/>
          <w:szCs w:val="20"/>
        </w:rPr>
        <w:t>,</w:t>
      </w:r>
      <w:r w:rsidR="00C93060" w:rsidRPr="009E773A">
        <w:rPr>
          <w:rFonts w:asciiTheme="majorHAnsi" w:hAnsiTheme="majorHAnsi"/>
          <w:sz w:val="20"/>
          <w:szCs w:val="20"/>
        </w:rPr>
        <w:t xml:space="preserve"> previo </w:t>
      </w:r>
      <w:r w:rsidR="00A935AD" w:rsidRPr="009E773A">
        <w:rPr>
          <w:rFonts w:asciiTheme="majorHAnsi" w:hAnsiTheme="majorHAnsi"/>
          <w:sz w:val="20"/>
          <w:szCs w:val="20"/>
        </w:rPr>
        <w:t>a su muerte,</w:t>
      </w:r>
      <w:r w:rsidR="00C93060" w:rsidRPr="009E773A">
        <w:rPr>
          <w:rFonts w:asciiTheme="majorHAnsi" w:hAnsiTheme="majorHAnsi"/>
          <w:sz w:val="20"/>
          <w:szCs w:val="20"/>
        </w:rPr>
        <w:t xml:space="preserve"> Jimmy Guerrero había denunciado en múltiples ocasiones actos de agresión y amenaza contra él y su familia, </w:t>
      </w:r>
      <w:r w:rsidR="00030ED5" w:rsidRPr="009E773A">
        <w:rPr>
          <w:rFonts w:asciiTheme="majorHAnsi" w:hAnsiTheme="majorHAnsi"/>
          <w:sz w:val="20"/>
          <w:szCs w:val="20"/>
        </w:rPr>
        <w:t xml:space="preserve">así como detenciones ilegales y arbitrarias en su contra </w:t>
      </w:r>
      <w:r w:rsidR="00C93060" w:rsidRPr="009E773A">
        <w:rPr>
          <w:rFonts w:asciiTheme="majorHAnsi" w:hAnsiTheme="majorHAnsi"/>
          <w:sz w:val="20"/>
          <w:szCs w:val="20"/>
        </w:rPr>
        <w:t>por parte de funcionarios del mismo cuerpo de seguridad presuntamente i</w:t>
      </w:r>
      <w:r w:rsidR="00030ED5" w:rsidRPr="009E773A">
        <w:rPr>
          <w:rFonts w:asciiTheme="majorHAnsi" w:hAnsiTheme="majorHAnsi"/>
          <w:sz w:val="20"/>
          <w:szCs w:val="20"/>
        </w:rPr>
        <w:t>nvolucrado</w:t>
      </w:r>
      <w:r w:rsidR="00721AD7" w:rsidRPr="009E773A">
        <w:rPr>
          <w:rFonts w:asciiTheme="majorHAnsi" w:hAnsiTheme="majorHAnsi"/>
          <w:sz w:val="20"/>
          <w:szCs w:val="20"/>
        </w:rPr>
        <w:t xml:space="preserve">. Adujo que pese haber </w:t>
      </w:r>
      <w:r w:rsidR="00C93060" w:rsidRPr="009E773A">
        <w:rPr>
          <w:rFonts w:asciiTheme="majorHAnsi" w:hAnsiTheme="majorHAnsi"/>
          <w:sz w:val="20"/>
          <w:szCs w:val="20"/>
        </w:rPr>
        <w:t>solicitado medidas concretas de protección para salvaguardar su vida e integridad personal, el Estado no adoptó ninguna medida para prevenir lo sucedido. La parte peticionaria sostuvo que luego de los hechos</w:t>
      </w:r>
      <w:r w:rsidR="004C6C7B" w:rsidRPr="009E773A">
        <w:rPr>
          <w:rFonts w:asciiTheme="majorHAnsi" w:hAnsiTheme="majorHAnsi"/>
          <w:sz w:val="20"/>
          <w:szCs w:val="20"/>
        </w:rPr>
        <w:t>,</w:t>
      </w:r>
      <w:r w:rsidR="00C93060" w:rsidRPr="009E773A">
        <w:rPr>
          <w:rFonts w:asciiTheme="majorHAnsi" w:hAnsiTheme="majorHAnsi"/>
          <w:sz w:val="20"/>
          <w:szCs w:val="20"/>
        </w:rPr>
        <w:t xml:space="preserve"> los familiares de las presuntas víctimas continuaron siendo objeto de hostigamientos y amenazas. </w:t>
      </w:r>
    </w:p>
    <w:p w14:paraId="7CA2F682" w14:textId="77777777" w:rsidR="00C93060" w:rsidRPr="009E773A" w:rsidRDefault="00C93060" w:rsidP="009A79B6">
      <w:pPr>
        <w:pStyle w:val="ListParagraph"/>
        <w:rPr>
          <w:rFonts w:asciiTheme="majorHAnsi" w:hAnsiTheme="majorHAnsi"/>
          <w:sz w:val="20"/>
          <w:szCs w:val="20"/>
          <w:lang w:val="es-CO"/>
        </w:rPr>
      </w:pPr>
    </w:p>
    <w:p w14:paraId="12D7D41D" w14:textId="6FF291FD" w:rsidR="00A935AD" w:rsidRPr="009E773A" w:rsidRDefault="00721AD7" w:rsidP="009A79B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color w:val="548DD4" w:themeColor="text2" w:themeTint="99"/>
          <w:sz w:val="20"/>
          <w:szCs w:val="20"/>
        </w:rPr>
      </w:pPr>
      <w:r w:rsidRPr="009E773A">
        <w:rPr>
          <w:rFonts w:asciiTheme="majorHAnsi" w:hAnsiTheme="majorHAnsi"/>
          <w:sz w:val="20"/>
          <w:szCs w:val="20"/>
        </w:rPr>
        <w:t xml:space="preserve">Sobre la investigación y procesos judiciales internos, la parte peticionaria destacó que </w:t>
      </w:r>
      <w:r w:rsidR="002A4072" w:rsidRPr="009E773A">
        <w:rPr>
          <w:rFonts w:asciiTheme="majorHAnsi" w:hAnsiTheme="majorHAnsi"/>
          <w:sz w:val="20"/>
          <w:szCs w:val="20"/>
        </w:rPr>
        <w:t>la muerte de las presuntas víctimas fue presentada públicamente por las autoridades como un “enfrentamiento entre bandas”, y que el propio Jefe de la Delegación del Cuerpo de Investigaciones Científicas, Penales y Criminalísticas (en adelante “</w:t>
      </w:r>
      <w:r w:rsidR="00D36848" w:rsidRPr="009E773A">
        <w:rPr>
          <w:rFonts w:asciiTheme="majorHAnsi" w:hAnsiTheme="majorHAnsi"/>
          <w:sz w:val="20"/>
          <w:szCs w:val="20"/>
        </w:rPr>
        <w:t xml:space="preserve">el </w:t>
      </w:r>
      <w:r w:rsidR="002A4072" w:rsidRPr="009E773A">
        <w:rPr>
          <w:rFonts w:asciiTheme="majorHAnsi" w:hAnsiTheme="majorHAnsi"/>
          <w:sz w:val="20"/>
          <w:szCs w:val="20"/>
        </w:rPr>
        <w:t>CICPC”) a cargo de la investigación</w:t>
      </w:r>
      <w:r w:rsidR="00A935AD" w:rsidRPr="009E773A">
        <w:rPr>
          <w:rFonts w:asciiTheme="majorHAnsi" w:hAnsiTheme="majorHAnsi"/>
          <w:sz w:val="20"/>
          <w:szCs w:val="20"/>
        </w:rPr>
        <w:t>,</w:t>
      </w:r>
      <w:r w:rsidR="002A4072" w:rsidRPr="009E773A">
        <w:rPr>
          <w:rFonts w:asciiTheme="majorHAnsi" w:hAnsiTheme="majorHAnsi"/>
          <w:sz w:val="20"/>
          <w:szCs w:val="20"/>
        </w:rPr>
        <w:t xml:space="preserve"> declaró en un medio impreso local que Jimmy Guerrero registraba antecedentes penales y que era un sujeto de “alta peligrosidad”. </w:t>
      </w:r>
      <w:r w:rsidR="00ED3B32" w:rsidRPr="009E773A">
        <w:rPr>
          <w:rFonts w:asciiTheme="majorHAnsi" w:hAnsiTheme="majorHAnsi"/>
          <w:sz w:val="20"/>
          <w:szCs w:val="20"/>
        </w:rPr>
        <w:t>Alegó que la investigación penal interna por l</w:t>
      </w:r>
      <w:r w:rsidR="00A935AD" w:rsidRPr="009E773A">
        <w:rPr>
          <w:rFonts w:asciiTheme="majorHAnsi" w:hAnsiTheme="majorHAnsi"/>
          <w:sz w:val="20"/>
          <w:szCs w:val="20"/>
        </w:rPr>
        <w:t>a muerte</w:t>
      </w:r>
      <w:r w:rsidR="00ED3B32" w:rsidRPr="009E773A">
        <w:rPr>
          <w:rFonts w:asciiTheme="majorHAnsi" w:hAnsiTheme="majorHAnsi"/>
          <w:sz w:val="20"/>
          <w:szCs w:val="20"/>
        </w:rPr>
        <w:t xml:space="preserve"> de las presuntas víctimas </w:t>
      </w:r>
      <w:r w:rsidR="001D1536" w:rsidRPr="009E773A">
        <w:rPr>
          <w:rFonts w:asciiTheme="majorHAnsi" w:hAnsiTheme="majorHAnsi"/>
          <w:sz w:val="20"/>
          <w:szCs w:val="20"/>
        </w:rPr>
        <w:t xml:space="preserve">no </w:t>
      </w:r>
      <w:r w:rsidR="00ED3B32" w:rsidRPr="009E773A">
        <w:rPr>
          <w:rFonts w:asciiTheme="majorHAnsi" w:hAnsiTheme="majorHAnsi"/>
          <w:sz w:val="20"/>
          <w:szCs w:val="20"/>
        </w:rPr>
        <w:t xml:space="preserve">se </w:t>
      </w:r>
      <w:r w:rsidR="00A935AD" w:rsidRPr="009E773A">
        <w:rPr>
          <w:rFonts w:asciiTheme="majorHAnsi" w:hAnsiTheme="majorHAnsi"/>
          <w:sz w:val="20"/>
          <w:szCs w:val="20"/>
        </w:rPr>
        <w:t xml:space="preserve">ha adelantado </w:t>
      </w:r>
      <w:r w:rsidR="001D1536" w:rsidRPr="009E773A">
        <w:rPr>
          <w:rFonts w:asciiTheme="majorHAnsi" w:hAnsiTheme="majorHAnsi"/>
          <w:sz w:val="20"/>
          <w:szCs w:val="20"/>
        </w:rPr>
        <w:t>con</w:t>
      </w:r>
      <w:r w:rsidR="00A935AD" w:rsidRPr="009E773A">
        <w:rPr>
          <w:rFonts w:asciiTheme="majorHAnsi" w:hAnsiTheme="majorHAnsi"/>
          <w:sz w:val="20"/>
          <w:szCs w:val="20"/>
        </w:rPr>
        <w:t xml:space="preserve"> la debida diligencia y</w:t>
      </w:r>
      <w:r w:rsidR="00951D74" w:rsidRPr="009E773A">
        <w:rPr>
          <w:rFonts w:asciiTheme="majorHAnsi" w:hAnsiTheme="majorHAnsi"/>
          <w:sz w:val="20"/>
          <w:szCs w:val="20"/>
        </w:rPr>
        <w:t xml:space="preserve"> han ocurrido </w:t>
      </w:r>
      <w:r w:rsidR="00A935AD" w:rsidRPr="009E773A">
        <w:rPr>
          <w:rFonts w:asciiTheme="majorHAnsi" w:hAnsiTheme="majorHAnsi"/>
          <w:sz w:val="20"/>
          <w:szCs w:val="20"/>
        </w:rPr>
        <w:t xml:space="preserve">dilaciones injustificadas. </w:t>
      </w:r>
    </w:p>
    <w:p w14:paraId="7CF10BD0" w14:textId="77777777" w:rsidR="00A935AD" w:rsidRPr="009E773A" w:rsidRDefault="00A935AD" w:rsidP="009A79B6">
      <w:pPr>
        <w:pStyle w:val="ListParagraph"/>
        <w:rPr>
          <w:rFonts w:asciiTheme="majorHAnsi" w:hAnsiTheme="majorHAnsi"/>
          <w:sz w:val="20"/>
          <w:szCs w:val="20"/>
          <w:lang w:val="es-CO"/>
        </w:rPr>
      </w:pPr>
    </w:p>
    <w:p w14:paraId="465F1C01" w14:textId="77777777" w:rsidR="00721AD7" w:rsidRPr="009E773A" w:rsidRDefault="00B81AFC" w:rsidP="009A79B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color w:val="548DD4" w:themeColor="text2" w:themeTint="99"/>
          <w:sz w:val="20"/>
          <w:szCs w:val="20"/>
        </w:rPr>
      </w:pPr>
      <w:r w:rsidRPr="009E773A">
        <w:rPr>
          <w:rFonts w:asciiTheme="majorHAnsi" w:hAnsiTheme="majorHAnsi"/>
          <w:sz w:val="20"/>
          <w:szCs w:val="20"/>
        </w:rPr>
        <w:t>A</w:t>
      </w:r>
      <w:r w:rsidR="00A935AD" w:rsidRPr="009E773A">
        <w:rPr>
          <w:rFonts w:asciiTheme="majorHAnsi" w:hAnsiTheme="majorHAnsi"/>
          <w:sz w:val="20"/>
          <w:szCs w:val="20"/>
        </w:rPr>
        <w:t xml:space="preserve">legó que estos hechos y la falta de justicia, han causado un profundo dolor y angustia en los familiares de Jimmy Guerrero y Ramón Antonio Molina. </w:t>
      </w:r>
    </w:p>
    <w:p w14:paraId="49C22C80" w14:textId="77777777" w:rsidR="00E94B86" w:rsidRPr="009E773A" w:rsidRDefault="00E94B86" w:rsidP="00A935A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color w:val="548DD4" w:themeColor="text2" w:themeTint="99"/>
          <w:sz w:val="20"/>
          <w:szCs w:val="20"/>
        </w:rPr>
      </w:pPr>
    </w:p>
    <w:p w14:paraId="3932180C" w14:textId="77777777" w:rsidR="00D12193" w:rsidRPr="009E773A" w:rsidRDefault="00D12193" w:rsidP="009A79B6">
      <w:pPr>
        <w:pStyle w:val="Heading2"/>
        <w:ind w:left="0" w:firstLine="0"/>
      </w:pPr>
      <w:bookmarkStart w:id="11" w:name="_Toc2159209"/>
      <w:r w:rsidRPr="009E773A">
        <w:t>ESTADO</w:t>
      </w:r>
      <w:bookmarkEnd w:id="11"/>
      <w:r w:rsidR="00CC63CF" w:rsidRPr="009E773A">
        <w:t xml:space="preserve"> </w:t>
      </w:r>
    </w:p>
    <w:p w14:paraId="51D14D44" w14:textId="77777777" w:rsidR="007C756A" w:rsidRPr="009E773A" w:rsidRDefault="007C756A" w:rsidP="00CC63CF">
      <w:pPr>
        <w:suppressAutoHyphens/>
        <w:rPr>
          <w:rFonts w:asciiTheme="majorHAnsi" w:hAnsiTheme="majorHAnsi"/>
          <w:sz w:val="20"/>
          <w:szCs w:val="20"/>
        </w:rPr>
      </w:pPr>
    </w:p>
    <w:p w14:paraId="658DF96D" w14:textId="33B351F5" w:rsidR="0030514D" w:rsidRPr="009E773A" w:rsidRDefault="00B81AFC" w:rsidP="009A79B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color w:val="FF0000"/>
          <w:sz w:val="20"/>
          <w:szCs w:val="20"/>
        </w:rPr>
      </w:pPr>
      <w:r w:rsidRPr="009E773A">
        <w:rPr>
          <w:rFonts w:asciiTheme="majorHAnsi" w:hAnsiTheme="majorHAnsi"/>
          <w:sz w:val="20"/>
          <w:szCs w:val="20"/>
        </w:rPr>
        <w:t>A</w:t>
      </w:r>
      <w:r w:rsidR="00121E57" w:rsidRPr="009E773A">
        <w:rPr>
          <w:rFonts w:asciiTheme="majorHAnsi" w:hAnsiTheme="majorHAnsi"/>
          <w:sz w:val="20"/>
          <w:szCs w:val="20"/>
        </w:rPr>
        <w:t xml:space="preserve">legó que </w:t>
      </w:r>
      <w:r w:rsidR="00765992" w:rsidRPr="009E773A">
        <w:rPr>
          <w:rFonts w:asciiTheme="majorHAnsi" w:hAnsiTheme="majorHAnsi"/>
          <w:sz w:val="20"/>
          <w:szCs w:val="20"/>
        </w:rPr>
        <w:t>las actuaciones del Ministerio Público en la investigación ha</w:t>
      </w:r>
      <w:r w:rsidR="00935CF9" w:rsidRPr="009E773A">
        <w:rPr>
          <w:rFonts w:asciiTheme="majorHAnsi" w:hAnsiTheme="majorHAnsi"/>
          <w:sz w:val="20"/>
          <w:szCs w:val="20"/>
        </w:rPr>
        <w:t>n</w:t>
      </w:r>
      <w:r w:rsidR="00765992" w:rsidRPr="009E773A">
        <w:rPr>
          <w:rFonts w:asciiTheme="majorHAnsi" w:hAnsiTheme="majorHAnsi"/>
          <w:sz w:val="20"/>
          <w:szCs w:val="20"/>
        </w:rPr>
        <w:t xml:space="preserve"> sido diligente</w:t>
      </w:r>
      <w:r w:rsidR="00935CF9" w:rsidRPr="009E773A">
        <w:rPr>
          <w:rFonts w:asciiTheme="majorHAnsi" w:hAnsiTheme="majorHAnsi"/>
          <w:sz w:val="20"/>
          <w:szCs w:val="20"/>
        </w:rPr>
        <w:t>s</w:t>
      </w:r>
      <w:r w:rsidR="00FE051D" w:rsidRPr="009E773A">
        <w:rPr>
          <w:rFonts w:asciiTheme="majorHAnsi" w:hAnsiTheme="majorHAnsi"/>
          <w:sz w:val="20"/>
          <w:szCs w:val="20"/>
        </w:rPr>
        <w:t>,</w:t>
      </w:r>
      <w:r w:rsidR="00765992" w:rsidRPr="009E773A">
        <w:rPr>
          <w:rFonts w:asciiTheme="majorHAnsi" w:hAnsiTheme="majorHAnsi"/>
          <w:sz w:val="20"/>
          <w:szCs w:val="20"/>
        </w:rPr>
        <w:t xml:space="preserve"> sin perjuicio de que no se haya podido identif</w:t>
      </w:r>
      <w:r w:rsidR="00EF65B8" w:rsidRPr="009E773A">
        <w:rPr>
          <w:rFonts w:asciiTheme="majorHAnsi" w:hAnsiTheme="majorHAnsi"/>
          <w:sz w:val="20"/>
          <w:szCs w:val="20"/>
        </w:rPr>
        <w:t>icar a los responsables</w:t>
      </w:r>
      <w:r w:rsidRPr="009E773A">
        <w:rPr>
          <w:rFonts w:asciiTheme="majorHAnsi" w:hAnsiTheme="majorHAnsi"/>
          <w:sz w:val="20"/>
          <w:szCs w:val="20"/>
        </w:rPr>
        <w:t xml:space="preserve"> y c</w:t>
      </w:r>
      <w:r w:rsidR="004F1A1F" w:rsidRPr="009E773A">
        <w:rPr>
          <w:rFonts w:asciiTheme="majorHAnsi" w:hAnsiTheme="majorHAnsi" w:cs="Arial"/>
          <w:sz w:val="20"/>
          <w:szCs w:val="20"/>
        </w:rPr>
        <w:t>uestionó que Jimmy Guerrero haya sido “arrastrado deliberadamente”</w:t>
      </w:r>
      <w:r w:rsidR="00D74988" w:rsidRPr="009E773A">
        <w:rPr>
          <w:rFonts w:asciiTheme="majorHAnsi" w:hAnsiTheme="majorHAnsi" w:cs="Arial"/>
          <w:sz w:val="20"/>
          <w:szCs w:val="20"/>
        </w:rPr>
        <w:t xml:space="preserve"> en la vía pública</w:t>
      </w:r>
      <w:r w:rsidR="00530874" w:rsidRPr="009E773A">
        <w:rPr>
          <w:rFonts w:asciiTheme="majorHAnsi" w:hAnsiTheme="majorHAnsi" w:cs="Arial"/>
          <w:sz w:val="20"/>
          <w:szCs w:val="20"/>
        </w:rPr>
        <w:t>.</w:t>
      </w:r>
      <w:r w:rsidR="00D74988" w:rsidRPr="009E773A">
        <w:rPr>
          <w:rFonts w:asciiTheme="majorHAnsi" w:hAnsiTheme="majorHAnsi" w:cs="Arial"/>
          <w:sz w:val="20"/>
          <w:szCs w:val="20"/>
        </w:rPr>
        <w:t xml:space="preserve"> </w:t>
      </w:r>
      <w:r w:rsidR="00530874" w:rsidRPr="009E773A">
        <w:rPr>
          <w:rFonts w:asciiTheme="majorHAnsi" w:hAnsiTheme="majorHAnsi" w:cs="Arial"/>
          <w:sz w:val="20"/>
          <w:szCs w:val="20"/>
        </w:rPr>
        <w:t>E</w:t>
      </w:r>
      <w:r w:rsidR="00935CF9" w:rsidRPr="009E773A">
        <w:rPr>
          <w:rFonts w:asciiTheme="majorHAnsi" w:hAnsiTheme="majorHAnsi" w:cs="Arial"/>
          <w:sz w:val="20"/>
          <w:szCs w:val="20"/>
        </w:rPr>
        <w:t>n cambio,</w:t>
      </w:r>
      <w:r w:rsidR="004F1A1F" w:rsidRPr="009E773A">
        <w:rPr>
          <w:rFonts w:asciiTheme="majorHAnsi" w:hAnsiTheme="majorHAnsi" w:cs="Arial"/>
          <w:sz w:val="20"/>
          <w:szCs w:val="20"/>
        </w:rPr>
        <w:t xml:space="preserve"> sostuvo que dado que su cuerpo </w:t>
      </w:r>
      <w:r w:rsidR="00935CF9" w:rsidRPr="009E773A">
        <w:rPr>
          <w:rFonts w:asciiTheme="majorHAnsi" w:hAnsiTheme="majorHAnsi" w:cs="Arial"/>
          <w:sz w:val="20"/>
          <w:szCs w:val="20"/>
        </w:rPr>
        <w:t xml:space="preserve">sin vida </w:t>
      </w:r>
      <w:r w:rsidR="004F1A1F" w:rsidRPr="009E773A">
        <w:rPr>
          <w:rFonts w:asciiTheme="majorHAnsi" w:hAnsiTheme="majorHAnsi" w:cs="Arial"/>
          <w:sz w:val="20"/>
          <w:szCs w:val="20"/>
        </w:rPr>
        <w:t>se encontraba en medio de la vía pública</w:t>
      </w:r>
      <w:r w:rsidR="00935CF9" w:rsidRPr="009E773A">
        <w:rPr>
          <w:rFonts w:asciiTheme="majorHAnsi" w:hAnsiTheme="majorHAnsi" w:cs="Arial"/>
          <w:sz w:val="20"/>
          <w:szCs w:val="20"/>
        </w:rPr>
        <w:t xml:space="preserve"> </w:t>
      </w:r>
      <w:r w:rsidR="004F1A1F" w:rsidRPr="009E773A">
        <w:rPr>
          <w:rFonts w:asciiTheme="majorHAnsi" w:hAnsiTheme="majorHAnsi" w:cs="Arial"/>
          <w:sz w:val="20"/>
          <w:szCs w:val="20"/>
        </w:rPr>
        <w:t>“fue embestido y arrastrado accidentalmente” por un vehículo</w:t>
      </w:r>
      <w:r w:rsidR="004310AE" w:rsidRPr="009E773A">
        <w:rPr>
          <w:rFonts w:asciiTheme="majorHAnsi" w:hAnsiTheme="majorHAnsi" w:cs="Arial"/>
          <w:sz w:val="20"/>
          <w:szCs w:val="20"/>
        </w:rPr>
        <w:t xml:space="preserve">. </w:t>
      </w:r>
      <w:r w:rsidR="001B073E" w:rsidRPr="009E773A">
        <w:rPr>
          <w:rFonts w:asciiTheme="majorHAnsi" w:hAnsiTheme="majorHAnsi" w:cs="Arial"/>
          <w:sz w:val="20"/>
          <w:szCs w:val="20"/>
        </w:rPr>
        <w:t>Señaló que el conductor</w:t>
      </w:r>
      <w:r w:rsidR="00514D84" w:rsidRPr="009E773A">
        <w:rPr>
          <w:rFonts w:asciiTheme="majorHAnsi" w:hAnsiTheme="majorHAnsi" w:cs="Arial"/>
          <w:sz w:val="20"/>
          <w:szCs w:val="20"/>
        </w:rPr>
        <w:t>,</w:t>
      </w:r>
      <w:r w:rsidR="001B073E" w:rsidRPr="009E773A">
        <w:rPr>
          <w:rFonts w:asciiTheme="majorHAnsi" w:hAnsiTheme="majorHAnsi" w:cs="Arial"/>
          <w:sz w:val="20"/>
          <w:szCs w:val="20"/>
        </w:rPr>
        <w:t xml:space="preserve"> al p</w:t>
      </w:r>
      <w:r w:rsidR="00514D84" w:rsidRPr="009E773A">
        <w:rPr>
          <w:rFonts w:asciiTheme="majorHAnsi" w:hAnsiTheme="majorHAnsi" w:cs="Arial"/>
          <w:sz w:val="20"/>
          <w:szCs w:val="20"/>
        </w:rPr>
        <w:t>ercatarse de lo sucedido, logró</w:t>
      </w:r>
      <w:r w:rsidR="001B073E" w:rsidRPr="009E773A">
        <w:rPr>
          <w:rFonts w:asciiTheme="majorHAnsi" w:hAnsiTheme="majorHAnsi" w:cs="Arial"/>
          <w:sz w:val="20"/>
          <w:szCs w:val="20"/>
        </w:rPr>
        <w:t xml:space="preserve"> sacar el cadáver de la presunta víctima debajo del vehículo </w:t>
      </w:r>
      <w:r w:rsidR="00514D84" w:rsidRPr="009E773A">
        <w:rPr>
          <w:rFonts w:asciiTheme="majorHAnsi" w:hAnsiTheme="majorHAnsi" w:cs="Arial"/>
          <w:sz w:val="20"/>
          <w:szCs w:val="20"/>
        </w:rPr>
        <w:t>con ayuda de otras personas</w:t>
      </w:r>
      <w:r w:rsidR="00D74988" w:rsidRPr="009E773A">
        <w:rPr>
          <w:rFonts w:asciiTheme="majorHAnsi" w:hAnsiTheme="majorHAnsi" w:cs="Arial"/>
          <w:sz w:val="20"/>
          <w:szCs w:val="20"/>
        </w:rPr>
        <w:t>,</w:t>
      </w:r>
      <w:r w:rsidR="00514D84" w:rsidRPr="009E773A">
        <w:rPr>
          <w:rFonts w:asciiTheme="majorHAnsi" w:hAnsiTheme="majorHAnsi" w:cs="Arial"/>
          <w:sz w:val="20"/>
          <w:szCs w:val="20"/>
        </w:rPr>
        <w:t xml:space="preserve"> </w:t>
      </w:r>
      <w:r w:rsidR="001B073E" w:rsidRPr="009E773A">
        <w:rPr>
          <w:rFonts w:asciiTheme="majorHAnsi" w:hAnsiTheme="majorHAnsi" w:cs="Arial"/>
          <w:sz w:val="20"/>
          <w:szCs w:val="20"/>
        </w:rPr>
        <w:t>y</w:t>
      </w:r>
      <w:r w:rsidR="00514D84" w:rsidRPr="009E773A">
        <w:rPr>
          <w:rFonts w:asciiTheme="majorHAnsi" w:hAnsiTheme="majorHAnsi" w:cs="Arial"/>
          <w:sz w:val="20"/>
          <w:szCs w:val="20"/>
        </w:rPr>
        <w:t xml:space="preserve"> lo</w:t>
      </w:r>
      <w:r w:rsidR="001B073E" w:rsidRPr="009E773A">
        <w:rPr>
          <w:rFonts w:asciiTheme="majorHAnsi" w:hAnsiTheme="majorHAnsi" w:cs="Arial"/>
          <w:sz w:val="20"/>
          <w:szCs w:val="20"/>
        </w:rPr>
        <w:t xml:space="preserve"> </w:t>
      </w:r>
      <w:r w:rsidR="00514D84" w:rsidRPr="009E773A">
        <w:rPr>
          <w:rFonts w:asciiTheme="majorHAnsi" w:hAnsiTheme="majorHAnsi" w:cs="Arial"/>
          <w:sz w:val="20"/>
          <w:szCs w:val="20"/>
        </w:rPr>
        <w:t>abandonó</w:t>
      </w:r>
      <w:r w:rsidR="001B073E" w:rsidRPr="009E773A">
        <w:rPr>
          <w:rFonts w:asciiTheme="majorHAnsi" w:hAnsiTheme="majorHAnsi" w:cs="Arial"/>
          <w:sz w:val="20"/>
          <w:szCs w:val="20"/>
        </w:rPr>
        <w:t xml:space="preserve"> frente a una estación de servicio cercana.</w:t>
      </w:r>
    </w:p>
    <w:p w14:paraId="12A6AEA1" w14:textId="77777777" w:rsidR="004F1A1F" w:rsidRPr="009E773A" w:rsidRDefault="001B073E" w:rsidP="009A79B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Theme="majorHAnsi" w:hAnsiTheme="majorHAnsi"/>
          <w:color w:val="FF0000"/>
          <w:sz w:val="20"/>
          <w:szCs w:val="20"/>
        </w:rPr>
      </w:pPr>
      <w:r w:rsidRPr="009E773A">
        <w:rPr>
          <w:rFonts w:asciiTheme="majorHAnsi" w:hAnsiTheme="majorHAnsi" w:cs="Arial"/>
          <w:sz w:val="20"/>
          <w:szCs w:val="20"/>
        </w:rPr>
        <w:t xml:space="preserve"> </w:t>
      </w:r>
      <w:r w:rsidR="004F1A1F" w:rsidRPr="009E773A">
        <w:rPr>
          <w:rFonts w:asciiTheme="majorHAnsi" w:hAnsiTheme="majorHAnsi" w:cs="Arial"/>
          <w:sz w:val="20"/>
          <w:szCs w:val="20"/>
        </w:rPr>
        <w:t xml:space="preserve"> </w:t>
      </w:r>
    </w:p>
    <w:p w14:paraId="1F861CC6" w14:textId="151D6CDB" w:rsidR="00263725" w:rsidRPr="009E773A" w:rsidRDefault="00B81AFC" w:rsidP="009A79B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r w:rsidRPr="009E773A">
        <w:rPr>
          <w:rFonts w:asciiTheme="majorHAnsi" w:hAnsiTheme="majorHAnsi"/>
          <w:sz w:val="20"/>
          <w:szCs w:val="20"/>
        </w:rPr>
        <w:t>S</w:t>
      </w:r>
      <w:r w:rsidR="00D74988" w:rsidRPr="009E773A">
        <w:rPr>
          <w:rFonts w:asciiTheme="majorHAnsi" w:hAnsiTheme="majorHAnsi"/>
          <w:sz w:val="20"/>
          <w:szCs w:val="20"/>
        </w:rPr>
        <w:t>ostuvo inicialmente</w:t>
      </w:r>
      <w:r w:rsidR="000804FD" w:rsidRPr="009E773A">
        <w:rPr>
          <w:rFonts w:asciiTheme="majorHAnsi" w:hAnsiTheme="majorHAnsi"/>
          <w:sz w:val="20"/>
          <w:szCs w:val="20"/>
        </w:rPr>
        <w:t xml:space="preserve"> que no es responsable por la violación </w:t>
      </w:r>
      <w:r w:rsidR="005A06ED" w:rsidRPr="009E773A">
        <w:rPr>
          <w:rFonts w:asciiTheme="majorHAnsi" w:hAnsiTheme="majorHAnsi"/>
          <w:sz w:val="20"/>
          <w:szCs w:val="20"/>
        </w:rPr>
        <w:t xml:space="preserve">de la vida, integridad y libertad de las presuntas víctimas puesto que, </w:t>
      </w:r>
      <w:r w:rsidR="000804FD" w:rsidRPr="009E773A">
        <w:rPr>
          <w:rFonts w:asciiTheme="majorHAnsi" w:hAnsiTheme="majorHAnsi"/>
          <w:sz w:val="20"/>
          <w:szCs w:val="20"/>
        </w:rPr>
        <w:t>después de realizada l</w:t>
      </w:r>
      <w:r w:rsidR="00844680" w:rsidRPr="009E773A">
        <w:rPr>
          <w:rFonts w:asciiTheme="majorHAnsi" w:hAnsiTheme="majorHAnsi"/>
          <w:sz w:val="20"/>
          <w:szCs w:val="20"/>
        </w:rPr>
        <w:t>a investigación</w:t>
      </w:r>
      <w:r w:rsidR="00D74988" w:rsidRPr="009E773A">
        <w:rPr>
          <w:rFonts w:asciiTheme="majorHAnsi" w:hAnsiTheme="majorHAnsi"/>
          <w:sz w:val="20"/>
          <w:szCs w:val="20"/>
        </w:rPr>
        <w:t>,</w:t>
      </w:r>
      <w:r w:rsidR="000804FD" w:rsidRPr="009E773A">
        <w:rPr>
          <w:rFonts w:asciiTheme="majorHAnsi" w:hAnsiTheme="majorHAnsi"/>
          <w:sz w:val="20"/>
          <w:szCs w:val="20"/>
        </w:rPr>
        <w:t xml:space="preserve"> no se constató la participación de </w:t>
      </w:r>
      <w:r w:rsidR="005A06ED" w:rsidRPr="009E773A">
        <w:rPr>
          <w:rFonts w:asciiTheme="majorHAnsi" w:hAnsiTheme="majorHAnsi"/>
          <w:sz w:val="20"/>
          <w:szCs w:val="20"/>
        </w:rPr>
        <w:t>agentes policiales.</w:t>
      </w:r>
      <w:r w:rsidR="000804FD" w:rsidRPr="009E773A">
        <w:rPr>
          <w:rFonts w:asciiTheme="majorHAnsi" w:hAnsiTheme="majorHAnsi"/>
          <w:sz w:val="20"/>
          <w:szCs w:val="20"/>
        </w:rPr>
        <w:t xml:space="preserve"> </w:t>
      </w:r>
      <w:r w:rsidRPr="009E773A">
        <w:rPr>
          <w:rFonts w:asciiTheme="majorHAnsi" w:hAnsiTheme="majorHAnsi"/>
          <w:sz w:val="20"/>
          <w:szCs w:val="20"/>
        </w:rPr>
        <w:t>Indicó</w:t>
      </w:r>
      <w:r w:rsidR="000804FD" w:rsidRPr="009E773A">
        <w:rPr>
          <w:rFonts w:asciiTheme="majorHAnsi" w:hAnsiTheme="majorHAnsi"/>
          <w:sz w:val="20"/>
          <w:szCs w:val="20"/>
        </w:rPr>
        <w:t xml:space="preserve"> que </w:t>
      </w:r>
      <w:r w:rsidR="00844680" w:rsidRPr="009E773A">
        <w:rPr>
          <w:rFonts w:asciiTheme="majorHAnsi" w:hAnsiTheme="majorHAnsi"/>
          <w:sz w:val="20"/>
          <w:szCs w:val="20"/>
        </w:rPr>
        <w:t>no puede</w:t>
      </w:r>
      <w:r w:rsidR="000804FD" w:rsidRPr="009E773A">
        <w:rPr>
          <w:rFonts w:asciiTheme="majorHAnsi" w:hAnsiTheme="majorHAnsi"/>
          <w:sz w:val="20"/>
          <w:szCs w:val="20"/>
        </w:rPr>
        <w:t xml:space="preserve"> inferirse</w:t>
      </w:r>
      <w:r w:rsidR="00844680" w:rsidRPr="009E773A">
        <w:rPr>
          <w:rFonts w:asciiTheme="majorHAnsi" w:hAnsiTheme="majorHAnsi"/>
          <w:sz w:val="20"/>
          <w:szCs w:val="20"/>
        </w:rPr>
        <w:t xml:space="preserve"> la participación</w:t>
      </w:r>
      <w:r w:rsidR="000804FD" w:rsidRPr="009E773A">
        <w:rPr>
          <w:rFonts w:asciiTheme="majorHAnsi" w:hAnsiTheme="majorHAnsi"/>
          <w:sz w:val="20"/>
          <w:szCs w:val="20"/>
        </w:rPr>
        <w:t xml:space="preserve"> </w:t>
      </w:r>
      <w:r w:rsidR="00844680" w:rsidRPr="009E773A">
        <w:rPr>
          <w:rFonts w:asciiTheme="majorHAnsi" w:hAnsiTheme="majorHAnsi"/>
          <w:sz w:val="20"/>
          <w:szCs w:val="20"/>
        </w:rPr>
        <w:t xml:space="preserve">de funcionarios policiales </w:t>
      </w:r>
      <w:r w:rsidR="000804FD" w:rsidRPr="009E773A">
        <w:rPr>
          <w:rFonts w:asciiTheme="majorHAnsi" w:hAnsiTheme="majorHAnsi"/>
          <w:sz w:val="20"/>
          <w:szCs w:val="20"/>
        </w:rPr>
        <w:t>de las declaraciones de los testigos que afirman que los autores materiales vestían “ropa oscura y botas”</w:t>
      </w:r>
      <w:r w:rsidR="00267666" w:rsidRPr="009E773A">
        <w:rPr>
          <w:rFonts w:asciiTheme="majorHAnsi" w:hAnsiTheme="majorHAnsi"/>
          <w:sz w:val="20"/>
          <w:szCs w:val="20"/>
        </w:rPr>
        <w:t xml:space="preserve"> y </w:t>
      </w:r>
      <w:r w:rsidR="000804FD" w:rsidRPr="009E773A">
        <w:rPr>
          <w:rFonts w:asciiTheme="majorHAnsi" w:hAnsiTheme="majorHAnsi"/>
          <w:sz w:val="20"/>
          <w:szCs w:val="20"/>
        </w:rPr>
        <w:t xml:space="preserve">señaló </w:t>
      </w:r>
      <w:r w:rsidR="00267666" w:rsidRPr="009E773A">
        <w:rPr>
          <w:rFonts w:asciiTheme="majorHAnsi" w:hAnsiTheme="majorHAnsi"/>
          <w:sz w:val="20"/>
          <w:szCs w:val="20"/>
        </w:rPr>
        <w:t>q</w:t>
      </w:r>
      <w:r w:rsidR="000804FD" w:rsidRPr="009E773A">
        <w:rPr>
          <w:rFonts w:asciiTheme="majorHAnsi" w:hAnsiTheme="majorHAnsi"/>
          <w:sz w:val="20"/>
          <w:szCs w:val="20"/>
        </w:rPr>
        <w:t xml:space="preserve">ue hubo inconsistencias en las declaraciones </w:t>
      </w:r>
      <w:r w:rsidR="006F54CB" w:rsidRPr="009E773A">
        <w:rPr>
          <w:rFonts w:asciiTheme="majorHAnsi" w:hAnsiTheme="majorHAnsi"/>
          <w:sz w:val="20"/>
          <w:szCs w:val="20"/>
        </w:rPr>
        <w:t xml:space="preserve">del testigo </w:t>
      </w:r>
      <w:r w:rsidR="00267666" w:rsidRPr="009E773A">
        <w:rPr>
          <w:rFonts w:asciiTheme="majorHAnsi" w:hAnsiTheme="majorHAnsi"/>
          <w:sz w:val="20"/>
          <w:szCs w:val="20"/>
        </w:rPr>
        <w:lastRenderedPageBreak/>
        <w:t xml:space="preserve">sobreviviente </w:t>
      </w:r>
      <w:r w:rsidR="00D7172B" w:rsidRPr="009E773A">
        <w:rPr>
          <w:rFonts w:asciiTheme="majorHAnsi" w:hAnsiTheme="majorHAnsi"/>
          <w:sz w:val="20"/>
          <w:szCs w:val="20"/>
        </w:rPr>
        <w:t xml:space="preserve">José </w:t>
      </w:r>
      <w:r w:rsidR="006F54CB" w:rsidRPr="009E773A">
        <w:rPr>
          <w:rFonts w:asciiTheme="majorHAnsi" w:hAnsiTheme="majorHAnsi"/>
          <w:sz w:val="20"/>
          <w:szCs w:val="20"/>
        </w:rPr>
        <w:t>Hernández</w:t>
      </w:r>
      <w:r w:rsidR="00267666" w:rsidRPr="009E773A">
        <w:rPr>
          <w:rFonts w:asciiTheme="majorHAnsi" w:hAnsiTheme="majorHAnsi"/>
          <w:sz w:val="20"/>
          <w:szCs w:val="20"/>
        </w:rPr>
        <w:t xml:space="preserve">. </w:t>
      </w:r>
      <w:r w:rsidR="006F54CB" w:rsidRPr="009E773A">
        <w:rPr>
          <w:rFonts w:asciiTheme="majorHAnsi" w:hAnsiTheme="majorHAnsi"/>
          <w:sz w:val="20"/>
          <w:szCs w:val="20"/>
        </w:rPr>
        <w:t xml:space="preserve">Asimismo, </w:t>
      </w:r>
      <w:r w:rsidR="000804FD" w:rsidRPr="009E773A">
        <w:rPr>
          <w:rFonts w:asciiTheme="majorHAnsi" w:hAnsiTheme="majorHAnsi" w:cs="Arial"/>
          <w:sz w:val="20"/>
          <w:szCs w:val="20"/>
        </w:rPr>
        <w:t xml:space="preserve">argumentó que </w:t>
      </w:r>
      <w:r w:rsidR="006F54CB" w:rsidRPr="009E773A">
        <w:rPr>
          <w:rFonts w:asciiTheme="majorHAnsi" w:hAnsiTheme="majorHAnsi" w:cs="Arial"/>
          <w:sz w:val="20"/>
          <w:szCs w:val="20"/>
        </w:rPr>
        <w:t>Jimmy Guerrero</w:t>
      </w:r>
      <w:r w:rsidR="000804FD" w:rsidRPr="009E773A">
        <w:rPr>
          <w:rFonts w:asciiTheme="majorHAnsi" w:hAnsiTheme="majorHAnsi" w:cs="Arial"/>
          <w:sz w:val="20"/>
          <w:szCs w:val="20"/>
        </w:rPr>
        <w:t xml:space="preserve"> nunca fue privad</w:t>
      </w:r>
      <w:r w:rsidR="006F54CB" w:rsidRPr="009E773A">
        <w:rPr>
          <w:rFonts w:asciiTheme="majorHAnsi" w:hAnsiTheme="majorHAnsi" w:cs="Arial"/>
          <w:sz w:val="20"/>
          <w:szCs w:val="20"/>
        </w:rPr>
        <w:t>o</w:t>
      </w:r>
      <w:r w:rsidR="000804FD" w:rsidRPr="009E773A">
        <w:rPr>
          <w:rFonts w:asciiTheme="majorHAnsi" w:hAnsiTheme="majorHAnsi" w:cs="Arial"/>
          <w:sz w:val="20"/>
          <w:szCs w:val="20"/>
        </w:rPr>
        <w:t xml:space="preserve"> de su libertad o encarcelad</w:t>
      </w:r>
      <w:r w:rsidR="006F54CB" w:rsidRPr="009E773A">
        <w:rPr>
          <w:rFonts w:asciiTheme="majorHAnsi" w:hAnsiTheme="majorHAnsi" w:cs="Arial"/>
          <w:sz w:val="20"/>
          <w:szCs w:val="20"/>
        </w:rPr>
        <w:t>o</w:t>
      </w:r>
      <w:r w:rsidR="000804FD" w:rsidRPr="009E773A">
        <w:rPr>
          <w:rFonts w:asciiTheme="majorHAnsi" w:hAnsiTheme="majorHAnsi" w:cs="Arial"/>
          <w:sz w:val="20"/>
          <w:szCs w:val="20"/>
        </w:rPr>
        <w:t xml:space="preserve"> de forma arbitraria.</w:t>
      </w:r>
    </w:p>
    <w:p w14:paraId="770A99F0" w14:textId="77777777" w:rsidR="00711768" w:rsidRPr="009E773A" w:rsidRDefault="00711768" w:rsidP="009A79B6">
      <w:pPr>
        <w:pStyle w:val="ListParagraph"/>
        <w:rPr>
          <w:rFonts w:asciiTheme="majorHAnsi" w:hAnsiTheme="majorHAnsi"/>
          <w:sz w:val="20"/>
          <w:szCs w:val="20"/>
          <w:lang w:val="es-CO"/>
        </w:rPr>
      </w:pPr>
    </w:p>
    <w:p w14:paraId="6CC08D5D" w14:textId="77777777" w:rsidR="00711768" w:rsidRPr="009E773A" w:rsidRDefault="002025D1" w:rsidP="009A79B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color w:val="FF0000"/>
          <w:sz w:val="20"/>
          <w:szCs w:val="20"/>
        </w:rPr>
      </w:pPr>
      <w:r w:rsidRPr="009E773A">
        <w:rPr>
          <w:rFonts w:asciiTheme="majorHAnsi" w:hAnsiTheme="majorHAnsi" w:cs="Arial"/>
          <w:sz w:val="20"/>
          <w:szCs w:val="20"/>
        </w:rPr>
        <w:t>A</w:t>
      </w:r>
      <w:r w:rsidR="00711768" w:rsidRPr="009E773A">
        <w:rPr>
          <w:rFonts w:asciiTheme="majorHAnsi" w:hAnsiTheme="majorHAnsi" w:cs="Arial"/>
          <w:sz w:val="20"/>
          <w:szCs w:val="20"/>
        </w:rPr>
        <w:t xml:space="preserve">legó que los familiares </w:t>
      </w:r>
      <w:r w:rsidR="00711768" w:rsidRPr="009E773A">
        <w:rPr>
          <w:rFonts w:asciiTheme="majorHAnsi" w:hAnsiTheme="majorHAnsi"/>
          <w:sz w:val="20"/>
          <w:szCs w:val="20"/>
        </w:rPr>
        <w:t>de</w:t>
      </w:r>
      <w:r w:rsidR="00711768" w:rsidRPr="009E773A">
        <w:rPr>
          <w:rFonts w:asciiTheme="majorHAnsi" w:hAnsiTheme="majorHAnsi" w:cs="Arial"/>
          <w:sz w:val="20"/>
          <w:szCs w:val="20"/>
        </w:rPr>
        <w:t xml:space="preserve"> las presuntas víctimas fueron </w:t>
      </w:r>
      <w:r w:rsidR="00D74988" w:rsidRPr="009E773A">
        <w:rPr>
          <w:rFonts w:asciiTheme="majorHAnsi" w:hAnsiTheme="majorHAnsi" w:cs="Arial"/>
          <w:sz w:val="20"/>
          <w:szCs w:val="20"/>
        </w:rPr>
        <w:t>escuchados</w:t>
      </w:r>
      <w:r w:rsidR="00711768" w:rsidRPr="009E773A">
        <w:rPr>
          <w:rFonts w:asciiTheme="majorHAnsi" w:hAnsiTheme="majorHAnsi" w:cs="Arial"/>
          <w:sz w:val="20"/>
          <w:szCs w:val="20"/>
        </w:rPr>
        <w:t xml:space="preserve"> d</w:t>
      </w:r>
      <w:r w:rsidR="006F54CB" w:rsidRPr="009E773A">
        <w:rPr>
          <w:rFonts w:asciiTheme="majorHAnsi" w:hAnsiTheme="majorHAnsi" w:cs="Arial"/>
          <w:sz w:val="20"/>
          <w:szCs w:val="20"/>
        </w:rPr>
        <w:t>urante la investigación interna</w:t>
      </w:r>
      <w:r w:rsidR="00711768" w:rsidRPr="009E773A">
        <w:rPr>
          <w:rFonts w:asciiTheme="majorHAnsi" w:hAnsiTheme="majorHAnsi" w:cs="Arial"/>
          <w:sz w:val="20"/>
          <w:szCs w:val="20"/>
        </w:rPr>
        <w:t xml:space="preserve"> y se les garantizó el acceso a recursos sencillo</w:t>
      </w:r>
      <w:r w:rsidR="00433B8C" w:rsidRPr="009E773A">
        <w:rPr>
          <w:rFonts w:asciiTheme="majorHAnsi" w:hAnsiTheme="majorHAnsi" w:cs="Arial"/>
          <w:sz w:val="20"/>
          <w:szCs w:val="20"/>
        </w:rPr>
        <w:t>s</w:t>
      </w:r>
      <w:r w:rsidR="006F54CB" w:rsidRPr="009E773A">
        <w:rPr>
          <w:rFonts w:asciiTheme="majorHAnsi" w:hAnsiTheme="majorHAnsi" w:cs="Arial"/>
          <w:sz w:val="20"/>
          <w:szCs w:val="20"/>
        </w:rPr>
        <w:t xml:space="preserve"> y rápidos</w:t>
      </w:r>
      <w:r w:rsidRPr="009E773A">
        <w:rPr>
          <w:rFonts w:asciiTheme="majorHAnsi" w:hAnsiTheme="majorHAnsi" w:cs="Arial"/>
          <w:sz w:val="20"/>
          <w:szCs w:val="20"/>
        </w:rPr>
        <w:t xml:space="preserve"> por lo que no se vulneraron los derechos a las garantías y protección judiciales</w:t>
      </w:r>
      <w:r w:rsidR="00711768" w:rsidRPr="009E773A">
        <w:rPr>
          <w:rFonts w:asciiTheme="majorHAnsi" w:hAnsiTheme="majorHAnsi" w:cs="Arial"/>
          <w:sz w:val="20"/>
          <w:szCs w:val="20"/>
        </w:rPr>
        <w:t>.</w:t>
      </w:r>
      <w:r w:rsidR="00711768" w:rsidRPr="009E773A">
        <w:rPr>
          <w:rFonts w:asciiTheme="majorHAnsi" w:hAnsiTheme="majorHAnsi" w:cs="Arial"/>
          <w:b/>
          <w:sz w:val="20"/>
          <w:szCs w:val="20"/>
        </w:rPr>
        <w:t xml:space="preserve"> </w:t>
      </w:r>
      <w:r w:rsidR="00711768" w:rsidRPr="009E773A">
        <w:rPr>
          <w:rFonts w:asciiTheme="majorHAnsi" w:hAnsiTheme="majorHAnsi" w:cs="Arial"/>
          <w:sz w:val="20"/>
          <w:szCs w:val="20"/>
        </w:rPr>
        <w:t>Adujo que la investigación adelantada a nivel interno ha sido diligente e imparcial</w:t>
      </w:r>
      <w:r w:rsidR="006F54CB" w:rsidRPr="009E773A">
        <w:rPr>
          <w:rFonts w:asciiTheme="majorHAnsi" w:hAnsiTheme="majorHAnsi" w:cs="Arial"/>
          <w:sz w:val="20"/>
          <w:szCs w:val="20"/>
        </w:rPr>
        <w:t>,</w:t>
      </w:r>
      <w:r w:rsidR="00711768" w:rsidRPr="009E773A">
        <w:rPr>
          <w:rFonts w:asciiTheme="majorHAnsi" w:hAnsiTheme="majorHAnsi" w:cs="Arial"/>
          <w:sz w:val="20"/>
          <w:szCs w:val="20"/>
        </w:rPr>
        <w:t xml:space="preserve"> y </w:t>
      </w:r>
      <w:r w:rsidR="006F54CB" w:rsidRPr="009E773A">
        <w:rPr>
          <w:rFonts w:asciiTheme="majorHAnsi" w:hAnsiTheme="majorHAnsi" w:cs="Arial"/>
          <w:sz w:val="20"/>
          <w:szCs w:val="20"/>
        </w:rPr>
        <w:t xml:space="preserve">que </w:t>
      </w:r>
      <w:r w:rsidR="00711768" w:rsidRPr="009E773A">
        <w:rPr>
          <w:rFonts w:asciiTheme="majorHAnsi" w:hAnsiTheme="majorHAnsi" w:cs="Arial"/>
          <w:sz w:val="20"/>
          <w:szCs w:val="20"/>
        </w:rPr>
        <w:t xml:space="preserve">se ha garantizado el derecho de las presuntas víctimas a la obtención de justicia. </w:t>
      </w:r>
      <w:r w:rsidRPr="009E773A">
        <w:rPr>
          <w:rFonts w:asciiTheme="majorHAnsi" w:hAnsiTheme="majorHAnsi" w:cs="Arial"/>
          <w:sz w:val="20"/>
          <w:szCs w:val="20"/>
        </w:rPr>
        <w:t>E</w:t>
      </w:r>
      <w:r w:rsidR="00711768" w:rsidRPr="009E773A">
        <w:rPr>
          <w:rFonts w:asciiTheme="majorHAnsi" w:hAnsiTheme="majorHAnsi" w:cs="Arial"/>
          <w:sz w:val="20"/>
          <w:szCs w:val="20"/>
        </w:rPr>
        <w:t xml:space="preserve">xplicó que en tanto no </w:t>
      </w:r>
      <w:r w:rsidR="0042611D" w:rsidRPr="009E773A">
        <w:rPr>
          <w:rFonts w:asciiTheme="majorHAnsi" w:hAnsiTheme="majorHAnsi" w:cs="Arial"/>
          <w:sz w:val="20"/>
          <w:szCs w:val="20"/>
        </w:rPr>
        <w:t>se</w:t>
      </w:r>
      <w:r w:rsidR="00711768" w:rsidRPr="009E773A">
        <w:rPr>
          <w:rFonts w:asciiTheme="majorHAnsi" w:hAnsiTheme="majorHAnsi" w:cs="Arial"/>
          <w:sz w:val="20"/>
          <w:szCs w:val="20"/>
        </w:rPr>
        <w:t xml:space="preserve"> obten</w:t>
      </w:r>
      <w:r w:rsidR="0042611D" w:rsidRPr="009E773A">
        <w:rPr>
          <w:rFonts w:asciiTheme="majorHAnsi" w:hAnsiTheme="majorHAnsi" w:cs="Arial"/>
          <w:sz w:val="20"/>
          <w:szCs w:val="20"/>
        </w:rPr>
        <w:t>ga</w:t>
      </w:r>
      <w:r w:rsidR="00711768" w:rsidRPr="009E773A">
        <w:rPr>
          <w:rFonts w:asciiTheme="majorHAnsi" w:hAnsiTheme="majorHAnsi" w:cs="Arial"/>
          <w:sz w:val="20"/>
          <w:szCs w:val="20"/>
        </w:rPr>
        <w:t xml:space="preserve"> una sentencia </w:t>
      </w:r>
      <w:r w:rsidR="002F08FD" w:rsidRPr="009E773A">
        <w:rPr>
          <w:rFonts w:asciiTheme="majorHAnsi" w:hAnsiTheme="majorHAnsi" w:cs="Arial"/>
          <w:sz w:val="20"/>
          <w:szCs w:val="20"/>
        </w:rPr>
        <w:t xml:space="preserve">penal </w:t>
      </w:r>
      <w:r w:rsidR="006F54CB" w:rsidRPr="009E773A">
        <w:rPr>
          <w:rFonts w:asciiTheme="majorHAnsi" w:hAnsiTheme="majorHAnsi" w:cs="Arial"/>
          <w:sz w:val="20"/>
          <w:szCs w:val="20"/>
        </w:rPr>
        <w:t>en</w:t>
      </w:r>
      <w:r w:rsidR="00711768" w:rsidRPr="009E773A">
        <w:rPr>
          <w:rFonts w:asciiTheme="majorHAnsi" w:hAnsiTheme="majorHAnsi" w:cs="Arial"/>
          <w:sz w:val="20"/>
          <w:szCs w:val="20"/>
        </w:rPr>
        <w:t xml:space="preserve"> firme por los hechos</w:t>
      </w:r>
      <w:r w:rsidR="00D74988" w:rsidRPr="009E773A">
        <w:rPr>
          <w:rFonts w:asciiTheme="majorHAnsi" w:hAnsiTheme="majorHAnsi" w:cs="Arial"/>
          <w:sz w:val="20"/>
          <w:szCs w:val="20"/>
        </w:rPr>
        <w:t>,</w:t>
      </w:r>
      <w:r w:rsidR="00711768" w:rsidRPr="009E773A">
        <w:rPr>
          <w:rFonts w:asciiTheme="majorHAnsi" w:hAnsiTheme="majorHAnsi" w:cs="Arial"/>
          <w:sz w:val="20"/>
          <w:szCs w:val="20"/>
        </w:rPr>
        <w:t xml:space="preserve"> no se </w:t>
      </w:r>
      <w:r w:rsidR="0042611D" w:rsidRPr="009E773A">
        <w:rPr>
          <w:rFonts w:asciiTheme="majorHAnsi" w:hAnsiTheme="majorHAnsi" w:cs="Arial"/>
          <w:sz w:val="20"/>
          <w:szCs w:val="20"/>
        </w:rPr>
        <w:t xml:space="preserve">pueden </w:t>
      </w:r>
      <w:r w:rsidR="00711768" w:rsidRPr="009E773A">
        <w:rPr>
          <w:rFonts w:asciiTheme="majorHAnsi" w:hAnsiTheme="majorHAnsi" w:cs="Arial"/>
          <w:sz w:val="20"/>
          <w:szCs w:val="20"/>
        </w:rPr>
        <w:t>activar los mecanismos de reparación civil</w:t>
      </w:r>
      <w:r w:rsidR="00711768" w:rsidRPr="009E773A">
        <w:rPr>
          <w:rFonts w:asciiTheme="majorHAnsi" w:hAnsiTheme="majorHAnsi" w:cs="Arial"/>
          <w:b/>
          <w:sz w:val="20"/>
          <w:szCs w:val="20"/>
        </w:rPr>
        <w:t xml:space="preserve"> </w:t>
      </w:r>
      <w:r w:rsidR="00711768" w:rsidRPr="009E773A">
        <w:rPr>
          <w:rFonts w:asciiTheme="majorHAnsi" w:hAnsiTheme="majorHAnsi" w:cs="Arial"/>
          <w:sz w:val="20"/>
          <w:szCs w:val="20"/>
        </w:rPr>
        <w:t>por daños y perjuicios.</w:t>
      </w:r>
      <w:r w:rsidR="00711768" w:rsidRPr="009E773A">
        <w:rPr>
          <w:rFonts w:asciiTheme="majorHAnsi" w:hAnsiTheme="majorHAnsi" w:cs="Arial"/>
          <w:b/>
          <w:sz w:val="20"/>
          <w:szCs w:val="20"/>
        </w:rPr>
        <w:t xml:space="preserve"> </w:t>
      </w:r>
    </w:p>
    <w:p w14:paraId="31FC0852" w14:textId="77777777" w:rsidR="002F08FD" w:rsidRPr="009E773A" w:rsidRDefault="002F08FD" w:rsidP="009A79B6">
      <w:pPr>
        <w:pStyle w:val="ListParagraph"/>
        <w:rPr>
          <w:rFonts w:asciiTheme="majorHAnsi" w:hAnsiTheme="majorHAnsi"/>
          <w:color w:val="FF0000"/>
          <w:sz w:val="20"/>
          <w:szCs w:val="20"/>
          <w:lang w:val="es-CO"/>
        </w:rPr>
      </w:pPr>
    </w:p>
    <w:p w14:paraId="2CD7FC0B" w14:textId="77777777" w:rsidR="002F08FD" w:rsidRPr="009E773A" w:rsidRDefault="00C24F6C" w:rsidP="009A79B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color w:val="FF0000"/>
          <w:sz w:val="20"/>
          <w:szCs w:val="20"/>
        </w:rPr>
      </w:pPr>
      <w:r w:rsidRPr="009E773A">
        <w:rPr>
          <w:rFonts w:asciiTheme="majorHAnsi" w:hAnsiTheme="majorHAnsi" w:cs="Arial"/>
          <w:sz w:val="20"/>
          <w:szCs w:val="20"/>
        </w:rPr>
        <w:t>S</w:t>
      </w:r>
      <w:r w:rsidR="0042477C" w:rsidRPr="009E773A">
        <w:rPr>
          <w:rFonts w:asciiTheme="majorHAnsi" w:hAnsiTheme="majorHAnsi" w:cs="Arial"/>
          <w:sz w:val="20"/>
          <w:szCs w:val="20"/>
        </w:rPr>
        <w:t>eñaló que la legislación procesal penal en Venezuela no establece un lapso específico para que se individualice a posibles responsables luego de iniciada la investigación por parte del Ministerio Público, y que en algunos casos ello no es posible pese a la práctica de pruebas y diligencias</w:t>
      </w:r>
      <w:r w:rsidRPr="009E773A">
        <w:rPr>
          <w:rFonts w:asciiTheme="majorHAnsi" w:hAnsiTheme="majorHAnsi" w:cs="Arial"/>
          <w:sz w:val="20"/>
          <w:szCs w:val="20"/>
        </w:rPr>
        <w:t>, por lo que la falta de enjuiciamiento</w:t>
      </w:r>
      <w:r w:rsidR="0030514D" w:rsidRPr="009E773A">
        <w:rPr>
          <w:rFonts w:asciiTheme="majorHAnsi" w:hAnsiTheme="majorHAnsi" w:cs="Arial"/>
          <w:sz w:val="20"/>
          <w:szCs w:val="20"/>
        </w:rPr>
        <w:t xml:space="preserve">, pese al tiempo transcurrido, </w:t>
      </w:r>
      <w:r w:rsidRPr="009E773A">
        <w:rPr>
          <w:rFonts w:asciiTheme="majorHAnsi" w:hAnsiTheme="majorHAnsi" w:cs="Arial"/>
          <w:sz w:val="20"/>
          <w:szCs w:val="20"/>
        </w:rPr>
        <w:t>no es una vulneración a sus obligaciones internacionales</w:t>
      </w:r>
      <w:r w:rsidR="0042477C" w:rsidRPr="009E773A">
        <w:rPr>
          <w:rFonts w:asciiTheme="majorHAnsi" w:hAnsiTheme="majorHAnsi" w:cs="Arial"/>
          <w:sz w:val="20"/>
          <w:szCs w:val="20"/>
        </w:rPr>
        <w:t xml:space="preserve">. </w:t>
      </w:r>
    </w:p>
    <w:p w14:paraId="74ED0C0F" w14:textId="77777777" w:rsidR="00711768" w:rsidRPr="009E773A" w:rsidRDefault="00711768" w:rsidP="009A79B6">
      <w:pPr>
        <w:pStyle w:val="ListParagraph"/>
        <w:rPr>
          <w:rFonts w:asciiTheme="majorHAnsi" w:hAnsiTheme="majorHAnsi" w:cs="Arial"/>
          <w:sz w:val="20"/>
          <w:szCs w:val="20"/>
          <w:lang w:val="es-CO"/>
        </w:rPr>
      </w:pPr>
    </w:p>
    <w:p w14:paraId="44F48207" w14:textId="77777777" w:rsidR="004F1A1F" w:rsidRPr="009E773A" w:rsidRDefault="00C24F6C" w:rsidP="009A79B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r w:rsidRPr="009E773A">
        <w:rPr>
          <w:rFonts w:asciiTheme="majorHAnsi" w:hAnsiTheme="majorHAnsi"/>
          <w:sz w:val="20"/>
          <w:szCs w:val="20"/>
        </w:rPr>
        <w:t>C</w:t>
      </w:r>
      <w:r w:rsidR="004F1A1F" w:rsidRPr="009E773A">
        <w:rPr>
          <w:rFonts w:asciiTheme="majorHAnsi" w:hAnsiTheme="majorHAnsi"/>
          <w:sz w:val="20"/>
          <w:szCs w:val="20"/>
        </w:rPr>
        <w:t xml:space="preserve">uestionó la alegada existencia de un contexto de ejecuciones </w:t>
      </w:r>
      <w:r w:rsidR="004F1A1F" w:rsidRPr="009E773A">
        <w:rPr>
          <w:rFonts w:asciiTheme="majorHAnsi" w:hAnsiTheme="majorHAnsi" w:cs="Arial"/>
          <w:sz w:val="20"/>
          <w:szCs w:val="20"/>
        </w:rPr>
        <w:t>extrajudiciales</w:t>
      </w:r>
      <w:r w:rsidR="004F1A1F" w:rsidRPr="009E773A">
        <w:rPr>
          <w:rFonts w:asciiTheme="majorHAnsi" w:hAnsiTheme="majorHAnsi"/>
          <w:sz w:val="20"/>
          <w:szCs w:val="20"/>
        </w:rPr>
        <w:t xml:space="preserve"> en Venezuela </w:t>
      </w:r>
      <w:r w:rsidR="007E75DF" w:rsidRPr="009E773A">
        <w:rPr>
          <w:rFonts w:asciiTheme="majorHAnsi" w:hAnsiTheme="majorHAnsi"/>
          <w:sz w:val="20"/>
          <w:szCs w:val="20"/>
        </w:rPr>
        <w:t>con</w:t>
      </w:r>
      <w:r w:rsidR="004F1A1F" w:rsidRPr="009E773A">
        <w:rPr>
          <w:rFonts w:asciiTheme="majorHAnsi" w:hAnsiTheme="majorHAnsi"/>
          <w:sz w:val="20"/>
          <w:szCs w:val="20"/>
        </w:rPr>
        <w:t xml:space="preserve"> el patrón descrito por la parte peticionaria. Adujo que en el caso específico no se han verificado actos d</w:t>
      </w:r>
      <w:r w:rsidR="007E75DF" w:rsidRPr="009E773A">
        <w:rPr>
          <w:rFonts w:asciiTheme="majorHAnsi" w:hAnsiTheme="majorHAnsi"/>
          <w:sz w:val="20"/>
          <w:szCs w:val="20"/>
        </w:rPr>
        <w:t>e encubrimiento que favorezcan</w:t>
      </w:r>
      <w:r w:rsidR="004F1A1F" w:rsidRPr="009E773A">
        <w:rPr>
          <w:rFonts w:asciiTheme="majorHAnsi" w:hAnsiTheme="majorHAnsi"/>
          <w:sz w:val="20"/>
          <w:szCs w:val="20"/>
        </w:rPr>
        <w:t xml:space="preserve"> la impunidad de los hechos</w:t>
      </w:r>
      <w:r w:rsidRPr="009E773A">
        <w:rPr>
          <w:rFonts w:asciiTheme="majorHAnsi" w:hAnsiTheme="majorHAnsi"/>
          <w:sz w:val="20"/>
          <w:szCs w:val="20"/>
        </w:rPr>
        <w:t xml:space="preserve"> ni la participación directa de agentes estatales</w:t>
      </w:r>
      <w:r w:rsidR="0042477C" w:rsidRPr="009E773A">
        <w:rPr>
          <w:rFonts w:asciiTheme="majorHAnsi" w:hAnsiTheme="majorHAnsi"/>
          <w:sz w:val="20"/>
          <w:szCs w:val="20"/>
        </w:rPr>
        <w:t>. En la misma línea, arguyó que no se ha pretendido la estigmatización ni discriminación de las presuntas víctimas, sino que se desprende de los expedientes internos la existencia de antecedentes y procesos</w:t>
      </w:r>
      <w:r w:rsidR="00267666" w:rsidRPr="009E773A">
        <w:rPr>
          <w:rFonts w:asciiTheme="majorHAnsi" w:hAnsiTheme="majorHAnsi"/>
          <w:sz w:val="20"/>
          <w:szCs w:val="20"/>
        </w:rPr>
        <w:t xml:space="preserve"> penales</w:t>
      </w:r>
      <w:r w:rsidR="0042477C" w:rsidRPr="009E773A">
        <w:rPr>
          <w:rFonts w:asciiTheme="majorHAnsi" w:hAnsiTheme="majorHAnsi"/>
          <w:sz w:val="20"/>
          <w:szCs w:val="20"/>
        </w:rPr>
        <w:t xml:space="preserve"> abiertos en contra de Jimmy Guerrero, los cuales “servían de indicios suficientes para acreditar sus relaciones con otros infractores de leyes penales venezolanas”. </w:t>
      </w:r>
    </w:p>
    <w:p w14:paraId="732D13A4" w14:textId="77777777" w:rsidR="004F1A1F" w:rsidRPr="009E773A" w:rsidRDefault="004F1A1F" w:rsidP="009A79B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Theme="majorHAnsi" w:hAnsiTheme="majorHAnsi"/>
          <w:sz w:val="20"/>
          <w:szCs w:val="20"/>
        </w:rPr>
      </w:pPr>
    </w:p>
    <w:p w14:paraId="23577743" w14:textId="77777777" w:rsidR="004A77A9" w:rsidRPr="009E773A" w:rsidRDefault="003221C5" w:rsidP="009A79B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color w:val="FF0000"/>
          <w:sz w:val="20"/>
          <w:szCs w:val="20"/>
        </w:rPr>
      </w:pPr>
      <w:r w:rsidRPr="009E773A">
        <w:rPr>
          <w:rFonts w:asciiTheme="majorHAnsi" w:hAnsiTheme="majorHAnsi" w:cs="Arial"/>
          <w:sz w:val="20"/>
          <w:szCs w:val="20"/>
        </w:rPr>
        <w:t>Sobre el</w:t>
      </w:r>
      <w:r w:rsidR="00F37478" w:rsidRPr="009E773A">
        <w:rPr>
          <w:rFonts w:asciiTheme="majorHAnsi" w:hAnsiTheme="majorHAnsi" w:cs="Arial"/>
          <w:sz w:val="20"/>
          <w:szCs w:val="20"/>
        </w:rPr>
        <w:t xml:space="preserve"> alegado</w:t>
      </w:r>
      <w:r w:rsidRPr="009E773A">
        <w:rPr>
          <w:rFonts w:asciiTheme="majorHAnsi" w:hAnsiTheme="majorHAnsi" w:cs="Arial"/>
          <w:sz w:val="20"/>
          <w:szCs w:val="20"/>
        </w:rPr>
        <w:t xml:space="preserve"> hostigamiento por parte de funcionarios policiales del </w:t>
      </w:r>
      <w:r w:rsidR="00D74988" w:rsidRPr="009E773A">
        <w:rPr>
          <w:rFonts w:asciiTheme="majorHAnsi" w:hAnsiTheme="majorHAnsi" w:cs="Arial"/>
          <w:sz w:val="20"/>
          <w:szCs w:val="20"/>
        </w:rPr>
        <w:t>e</w:t>
      </w:r>
      <w:r w:rsidRPr="009E773A">
        <w:rPr>
          <w:rFonts w:asciiTheme="majorHAnsi" w:hAnsiTheme="majorHAnsi" w:cs="Arial"/>
          <w:sz w:val="20"/>
          <w:szCs w:val="20"/>
        </w:rPr>
        <w:t xml:space="preserve">stado Falcón, </w:t>
      </w:r>
      <w:r w:rsidR="00D74988" w:rsidRPr="009E773A">
        <w:rPr>
          <w:rFonts w:asciiTheme="majorHAnsi" w:hAnsiTheme="majorHAnsi" w:cs="Arial"/>
          <w:sz w:val="20"/>
          <w:szCs w:val="20"/>
        </w:rPr>
        <w:t>argumentó</w:t>
      </w:r>
      <w:r w:rsidRPr="009E773A">
        <w:rPr>
          <w:rFonts w:asciiTheme="majorHAnsi" w:hAnsiTheme="majorHAnsi" w:cs="Arial"/>
          <w:sz w:val="20"/>
          <w:szCs w:val="20"/>
        </w:rPr>
        <w:t xml:space="preserve"> que las denuncias</w:t>
      </w:r>
      <w:r w:rsidR="00D74988" w:rsidRPr="009E773A">
        <w:rPr>
          <w:rFonts w:asciiTheme="majorHAnsi" w:hAnsiTheme="majorHAnsi" w:cs="Arial"/>
          <w:sz w:val="20"/>
          <w:szCs w:val="20"/>
        </w:rPr>
        <w:t xml:space="preserve"> previas realizadas por la presunta víctima,</w:t>
      </w:r>
      <w:r w:rsidRPr="009E773A">
        <w:rPr>
          <w:rFonts w:asciiTheme="majorHAnsi" w:hAnsiTheme="majorHAnsi" w:cs="Arial"/>
          <w:sz w:val="20"/>
          <w:szCs w:val="20"/>
        </w:rPr>
        <w:t xml:space="preserve"> contra el cuerpo de policía</w:t>
      </w:r>
      <w:r w:rsidR="00D74988" w:rsidRPr="009E773A">
        <w:rPr>
          <w:rFonts w:asciiTheme="majorHAnsi" w:hAnsiTheme="majorHAnsi" w:cs="Arial"/>
          <w:sz w:val="20"/>
          <w:szCs w:val="20"/>
        </w:rPr>
        <w:t>,</w:t>
      </w:r>
      <w:r w:rsidRPr="009E773A">
        <w:rPr>
          <w:rFonts w:asciiTheme="majorHAnsi" w:hAnsiTheme="majorHAnsi" w:cs="Arial"/>
          <w:sz w:val="20"/>
          <w:szCs w:val="20"/>
        </w:rPr>
        <w:t xml:space="preserve"> se llevaron a cabo con el fin de impedir que estos pudieran ejercer vigilancia sobre Jimmy Guerrero, y que no es </w:t>
      </w:r>
      <w:r w:rsidR="00AC475B" w:rsidRPr="009E773A">
        <w:rPr>
          <w:rFonts w:asciiTheme="majorHAnsi" w:hAnsiTheme="majorHAnsi" w:cs="Arial"/>
          <w:sz w:val="20"/>
          <w:szCs w:val="20"/>
        </w:rPr>
        <w:t>“</w:t>
      </w:r>
      <w:r w:rsidRPr="009E773A">
        <w:rPr>
          <w:rFonts w:asciiTheme="majorHAnsi" w:hAnsiTheme="majorHAnsi" w:cs="Arial"/>
          <w:sz w:val="20"/>
          <w:szCs w:val="20"/>
        </w:rPr>
        <w:t>insólito</w:t>
      </w:r>
      <w:r w:rsidR="00AC475B" w:rsidRPr="009E773A">
        <w:rPr>
          <w:rFonts w:asciiTheme="majorHAnsi" w:hAnsiTheme="majorHAnsi" w:cs="Arial"/>
          <w:sz w:val="20"/>
          <w:szCs w:val="20"/>
        </w:rPr>
        <w:t>”</w:t>
      </w:r>
      <w:r w:rsidRPr="009E773A">
        <w:rPr>
          <w:rFonts w:asciiTheme="majorHAnsi" w:hAnsiTheme="majorHAnsi" w:cs="Arial"/>
          <w:sz w:val="20"/>
          <w:szCs w:val="20"/>
        </w:rPr>
        <w:t xml:space="preserve"> que su muerte se haya producido por un </w:t>
      </w:r>
      <w:r w:rsidR="00AC475B" w:rsidRPr="009E773A">
        <w:rPr>
          <w:rFonts w:asciiTheme="majorHAnsi" w:hAnsiTheme="majorHAnsi" w:cs="Arial"/>
          <w:sz w:val="20"/>
          <w:szCs w:val="20"/>
        </w:rPr>
        <w:t>“</w:t>
      </w:r>
      <w:r w:rsidRPr="009E773A">
        <w:rPr>
          <w:rFonts w:asciiTheme="majorHAnsi" w:hAnsiTheme="majorHAnsi" w:cs="Arial"/>
          <w:sz w:val="20"/>
          <w:szCs w:val="20"/>
        </w:rPr>
        <w:t>ajuste de cuentas entre bandas, lo que es frecuente cuando se hace parte del mundo delincuencial</w:t>
      </w:r>
      <w:r w:rsidR="00AC475B" w:rsidRPr="009E773A">
        <w:rPr>
          <w:rFonts w:asciiTheme="majorHAnsi" w:hAnsiTheme="majorHAnsi" w:cs="Arial"/>
          <w:sz w:val="20"/>
          <w:szCs w:val="20"/>
        </w:rPr>
        <w:t>”</w:t>
      </w:r>
      <w:r w:rsidRPr="009E773A">
        <w:rPr>
          <w:rFonts w:asciiTheme="majorHAnsi" w:hAnsiTheme="majorHAnsi" w:cs="Arial"/>
          <w:sz w:val="20"/>
          <w:szCs w:val="20"/>
        </w:rPr>
        <w:t>.</w:t>
      </w:r>
      <w:r w:rsidR="00C52B96" w:rsidRPr="009E773A">
        <w:rPr>
          <w:rFonts w:asciiTheme="majorHAnsi" w:hAnsiTheme="majorHAnsi" w:cs="Arial"/>
          <w:sz w:val="20"/>
          <w:szCs w:val="20"/>
        </w:rPr>
        <w:t xml:space="preserve"> </w:t>
      </w:r>
      <w:r w:rsidR="00D74988" w:rsidRPr="009E773A">
        <w:rPr>
          <w:rFonts w:asciiTheme="majorHAnsi" w:hAnsiTheme="majorHAnsi" w:cs="Arial"/>
          <w:sz w:val="20"/>
          <w:szCs w:val="20"/>
        </w:rPr>
        <w:t>En dicho marco</w:t>
      </w:r>
      <w:r w:rsidRPr="009E773A">
        <w:rPr>
          <w:rFonts w:asciiTheme="majorHAnsi" w:hAnsiTheme="majorHAnsi" w:cs="Arial"/>
          <w:sz w:val="20"/>
          <w:szCs w:val="20"/>
        </w:rPr>
        <w:t xml:space="preserve">, el Estado justificó </w:t>
      </w:r>
      <w:r w:rsidR="00D74988" w:rsidRPr="009E773A">
        <w:rPr>
          <w:rFonts w:asciiTheme="majorHAnsi" w:hAnsiTheme="majorHAnsi" w:cs="Arial"/>
          <w:sz w:val="20"/>
          <w:szCs w:val="20"/>
        </w:rPr>
        <w:t>una</w:t>
      </w:r>
      <w:r w:rsidRPr="009E773A">
        <w:rPr>
          <w:rFonts w:asciiTheme="majorHAnsi" w:hAnsiTheme="majorHAnsi" w:cs="Arial"/>
          <w:sz w:val="20"/>
          <w:szCs w:val="20"/>
        </w:rPr>
        <w:t xml:space="preserve"> medida de allanamiento a la casa </w:t>
      </w:r>
      <w:r w:rsidR="00AC475B" w:rsidRPr="009E773A">
        <w:rPr>
          <w:rFonts w:asciiTheme="majorHAnsi" w:hAnsiTheme="majorHAnsi" w:cs="Arial"/>
          <w:sz w:val="20"/>
          <w:szCs w:val="20"/>
        </w:rPr>
        <w:t>de</w:t>
      </w:r>
      <w:r w:rsidRPr="009E773A">
        <w:rPr>
          <w:rFonts w:asciiTheme="majorHAnsi" w:hAnsiTheme="majorHAnsi" w:cs="Arial"/>
          <w:sz w:val="20"/>
          <w:szCs w:val="20"/>
        </w:rPr>
        <w:t xml:space="preserve"> Jimmy Guerrero y </w:t>
      </w:r>
      <w:r w:rsidR="00AC475B" w:rsidRPr="009E773A">
        <w:rPr>
          <w:rFonts w:asciiTheme="majorHAnsi" w:hAnsiTheme="majorHAnsi" w:cs="Arial"/>
          <w:sz w:val="20"/>
          <w:szCs w:val="20"/>
        </w:rPr>
        <w:t>mencionó</w:t>
      </w:r>
      <w:r w:rsidRPr="009E773A">
        <w:rPr>
          <w:rFonts w:asciiTheme="majorHAnsi" w:hAnsiTheme="majorHAnsi" w:cs="Arial"/>
          <w:sz w:val="20"/>
          <w:szCs w:val="20"/>
        </w:rPr>
        <w:t xml:space="preserve"> otras medidas que </w:t>
      </w:r>
      <w:r w:rsidR="00AC475B" w:rsidRPr="009E773A">
        <w:rPr>
          <w:rFonts w:asciiTheme="majorHAnsi" w:hAnsiTheme="majorHAnsi" w:cs="Arial"/>
          <w:sz w:val="20"/>
          <w:szCs w:val="20"/>
        </w:rPr>
        <w:t>la presunta víctima</w:t>
      </w:r>
      <w:r w:rsidRPr="009E773A">
        <w:rPr>
          <w:rFonts w:asciiTheme="majorHAnsi" w:hAnsiTheme="majorHAnsi" w:cs="Arial"/>
          <w:sz w:val="20"/>
          <w:szCs w:val="20"/>
        </w:rPr>
        <w:t xml:space="preserve"> pudo haber </w:t>
      </w:r>
      <w:r w:rsidR="007E75DF" w:rsidRPr="009E773A">
        <w:rPr>
          <w:rFonts w:asciiTheme="majorHAnsi" w:hAnsiTheme="majorHAnsi" w:cs="Arial"/>
          <w:sz w:val="20"/>
          <w:szCs w:val="20"/>
        </w:rPr>
        <w:t>interpuesto</w:t>
      </w:r>
      <w:r w:rsidRPr="009E773A">
        <w:rPr>
          <w:rFonts w:asciiTheme="majorHAnsi" w:hAnsiTheme="majorHAnsi" w:cs="Arial"/>
          <w:sz w:val="20"/>
          <w:szCs w:val="20"/>
        </w:rPr>
        <w:t xml:space="preserve"> para </w:t>
      </w:r>
      <w:r w:rsidR="007E75DF" w:rsidRPr="009E773A">
        <w:rPr>
          <w:rFonts w:asciiTheme="majorHAnsi" w:hAnsiTheme="majorHAnsi" w:cs="Arial"/>
          <w:sz w:val="20"/>
          <w:szCs w:val="20"/>
        </w:rPr>
        <w:t xml:space="preserve">solicitar protección. </w:t>
      </w:r>
    </w:p>
    <w:p w14:paraId="6D870267" w14:textId="77777777" w:rsidR="0081458C" w:rsidRPr="009E773A" w:rsidRDefault="0081458C" w:rsidP="009A79B6">
      <w:pPr>
        <w:pStyle w:val="ListParagraph"/>
        <w:rPr>
          <w:rFonts w:asciiTheme="majorHAnsi" w:hAnsiTheme="majorHAnsi"/>
          <w:color w:val="FF0000"/>
          <w:sz w:val="20"/>
          <w:szCs w:val="20"/>
          <w:lang w:val="es-CO"/>
        </w:rPr>
      </w:pPr>
    </w:p>
    <w:p w14:paraId="6F742B0B" w14:textId="77777777" w:rsidR="008B4215" w:rsidRPr="009E773A" w:rsidRDefault="00616AB8" w:rsidP="009A79B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r w:rsidRPr="009E773A">
        <w:rPr>
          <w:rFonts w:asciiTheme="majorHAnsi" w:hAnsiTheme="majorHAnsi"/>
          <w:sz w:val="20"/>
          <w:szCs w:val="20"/>
        </w:rPr>
        <w:t>Posteriormente, en su comunicación</w:t>
      </w:r>
      <w:r w:rsidR="00875DE1" w:rsidRPr="009E773A">
        <w:rPr>
          <w:rFonts w:asciiTheme="majorHAnsi" w:hAnsiTheme="majorHAnsi"/>
          <w:sz w:val="20"/>
          <w:szCs w:val="20"/>
        </w:rPr>
        <w:t xml:space="preserve"> de</w:t>
      </w:r>
      <w:r w:rsidR="008B4215" w:rsidRPr="009E773A">
        <w:rPr>
          <w:rFonts w:asciiTheme="majorHAnsi" w:hAnsiTheme="majorHAnsi"/>
          <w:sz w:val="20"/>
          <w:szCs w:val="20"/>
        </w:rPr>
        <w:t xml:space="preserve"> 9 de junio de 2016</w:t>
      </w:r>
      <w:r w:rsidR="00D74988" w:rsidRPr="009E773A">
        <w:rPr>
          <w:rFonts w:asciiTheme="majorHAnsi" w:hAnsiTheme="majorHAnsi"/>
          <w:sz w:val="20"/>
          <w:szCs w:val="20"/>
        </w:rPr>
        <w:t>,</w:t>
      </w:r>
      <w:r w:rsidR="0081458C" w:rsidRPr="009E773A">
        <w:rPr>
          <w:rFonts w:asciiTheme="majorHAnsi" w:hAnsiTheme="majorHAnsi"/>
          <w:sz w:val="20"/>
          <w:szCs w:val="20"/>
        </w:rPr>
        <w:t xml:space="preserve"> el Estado </w:t>
      </w:r>
      <w:r w:rsidR="008B4215" w:rsidRPr="009E773A">
        <w:rPr>
          <w:rFonts w:asciiTheme="majorHAnsi" w:hAnsiTheme="majorHAnsi"/>
          <w:sz w:val="20"/>
          <w:szCs w:val="20"/>
        </w:rPr>
        <w:t xml:space="preserve">informó que se había emitido una </w:t>
      </w:r>
      <w:r w:rsidR="00B7039E" w:rsidRPr="009E773A">
        <w:rPr>
          <w:rFonts w:asciiTheme="majorHAnsi" w:hAnsiTheme="majorHAnsi"/>
          <w:sz w:val="20"/>
          <w:szCs w:val="20"/>
        </w:rPr>
        <w:t>orden de aprehensión en contra de un funcionario que se desempeñaba como comisario y jefe de la Zona Policial 2 de las Fuerzas Armadas Policiales del estado Falcón, por los hechos relacionados con la muerte de la</w:t>
      </w:r>
      <w:r w:rsidR="00644A55" w:rsidRPr="009E773A">
        <w:rPr>
          <w:rFonts w:asciiTheme="majorHAnsi" w:hAnsiTheme="majorHAnsi"/>
          <w:sz w:val="20"/>
          <w:szCs w:val="20"/>
        </w:rPr>
        <w:t>s</w:t>
      </w:r>
      <w:r w:rsidR="00B7039E" w:rsidRPr="009E773A">
        <w:rPr>
          <w:rFonts w:asciiTheme="majorHAnsi" w:hAnsiTheme="majorHAnsi"/>
          <w:sz w:val="20"/>
          <w:szCs w:val="20"/>
        </w:rPr>
        <w:t xml:space="preserve"> presunta</w:t>
      </w:r>
      <w:r w:rsidR="00644A55" w:rsidRPr="009E773A">
        <w:rPr>
          <w:rFonts w:asciiTheme="majorHAnsi" w:hAnsiTheme="majorHAnsi"/>
          <w:sz w:val="20"/>
          <w:szCs w:val="20"/>
        </w:rPr>
        <w:t>s</w:t>
      </w:r>
      <w:r w:rsidR="00B7039E" w:rsidRPr="009E773A">
        <w:rPr>
          <w:rFonts w:asciiTheme="majorHAnsi" w:hAnsiTheme="majorHAnsi"/>
          <w:sz w:val="20"/>
          <w:szCs w:val="20"/>
        </w:rPr>
        <w:t xml:space="preserve"> víctima</w:t>
      </w:r>
      <w:r w:rsidR="00644A55" w:rsidRPr="009E773A">
        <w:rPr>
          <w:rFonts w:asciiTheme="majorHAnsi" w:hAnsiTheme="majorHAnsi"/>
          <w:sz w:val="20"/>
          <w:szCs w:val="20"/>
        </w:rPr>
        <w:t>s</w:t>
      </w:r>
      <w:r w:rsidR="00B7039E" w:rsidRPr="009E773A">
        <w:rPr>
          <w:rFonts w:asciiTheme="majorHAnsi" w:hAnsiTheme="majorHAnsi"/>
          <w:sz w:val="20"/>
          <w:szCs w:val="20"/>
        </w:rPr>
        <w:t xml:space="preserve">. </w:t>
      </w:r>
    </w:p>
    <w:p w14:paraId="56A42820" w14:textId="77777777" w:rsidR="004A77A9" w:rsidRPr="009E773A" w:rsidRDefault="004A77A9" w:rsidP="004A77A9">
      <w:pPr>
        <w:pStyle w:val="ListParagraph"/>
        <w:rPr>
          <w:rFonts w:asciiTheme="majorHAnsi" w:hAnsiTheme="majorHAnsi" w:cs="Arial"/>
          <w:sz w:val="20"/>
          <w:szCs w:val="20"/>
          <w:lang w:val="es-CO"/>
        </w:rPr>
      </w:pPr>
    </w:p>
    <w:p w14:paraId="72A43973" w14:textId="77777777" w:rsidR="00D12193" w:rsidRPr="009E773A" w:rsidRDefault="00D12193" w:rsidP="009A79B6">
      <w:pPr>
        <w:pStyle w:val="Heading1"/>
        <w:ind w:left="720" w:hanging="720"/>
      </w:pPr>
      <w:bookmarkStart w:id="12" w:name="_Toc2159210"/>
      <w:r w:rsidRPr="009E773A">
        <w:t>DETERMINACIONES DE HECHO</w:t>
      </w:r>
      <w:bookmarkEnd w:id="12"/>
    </w:p>
    <w:p w14:paraId="213CEB36" w14:textId="77777777" w:rsidR="007C756A" w:rsidRPr="009E773A" w:rsidRDefault="007C756A" w:rsidP="009A79B6">
      <w:pPr>
        <w:ind w:left="720" w:hanging="720"/>
        <w:rPr>
          <w:rFonts w:asciiTheme="majorHAnsi" w:hAnsiTheme="majorHAnsi"/>
          <w:b/>
          <w:sz w:val="20"/>
          <w:szCs w:val="20"/>
        </w:rPr>
      </w:pPr>
    </w:p>
    <w:p w14:paraId="391848F7" w14:textId="77777777" w:rsidR="004255D1" w:rsidRPr="009E773A" w:rsidRDefault="001E17CE" w:rsidP="009A79B6">
      <w:pPr>
        <w:pStyle w:val="Heading2"/>
        <w:numPr>
          <w:ilvl w:val="0"/>
          <w:numId w:val="65"/>
        </w:numPr>
        <w:ind w:left="720" w:hanging="720"/>
      </w:pPr>
      <w:bookmarkStart w:id="13" w:name="_Toc2159211"/>
      <w:r w:rsidRPr="009E773A">
        <w:t>Contexto</w:t>
      </w:r>
      <w:bookmarkEnd w:id="13"/>
    </w:p>
    <w:p w14:paraId="73B3F71B" w14:textId="77777777" w:rsidR="004255D1" w:rsidRPr="009E773A" w:rsidRDefault="004255D1" w:rsidP="004255D1">
      <w:pPr>
        <w:pStyle w:val="ListParagraph"/>
        <w:ind w:left="1440"/>
        <w:rPr>
          <w:rFonts w:asciiTheme="majorHAnsi" w:hAnsiTheme="majorHAnsi"/>
          <w:b/>
          <w:color w:val="FF0000"/>
          <w:sz w:val="20"/>
          <w:szCs w:val="20"/>
          <w:lang w:val="es-CO"/>
        </w:rPr>
      </w:pPr>
    </w:p>
    <w:p w14:paraId="5A1BBCAB" w14:textId="77777777" w:rsidR="00347947" w:rsidRPr="009E773A" w:rsidRDefault="004255D1" w:rsidP="009A79B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cs="Calibri"/>
          <w:sz w:val="20"/>
          <w:szCs w:val="20"/>
        </w:rPr>
      </w:pPr>
      <w:r w:rsidRPr="009E773A">
        <w:rPr>
          <w:rFonts w:asciiTheme="majorHAnsi" w:hAnsiTheme="majorHAnsi" w:cs="Calibri"/>
          <w:sz w:val="20"/>
          <w:szCs w:val="20"/>
        </w:rPr>
        <w:t>En el presente c</w:t>
      </w:r>
      <w:r w:rsidR="00986F0B" w:rsidRPr="009E773A">
        <w:rPr>
          <w:rFonts w:asciiTheme="majorHAnsi" w:hAnsiTheme="majorHAnsi" w:cs="Calibri"/>
          <w:sz w:val="20"/>
          <w:szCs w:val="20"/>
        </w:rPr>
        <w:t>aso</w:t>
      </w:r>
      <w:r w:rsidR="00806AC0" w:rsidRPr="009E773A">
        <w:rPr>
          <w:rFonts w:asciiTheme="majorHAnsi" w:hAnsiTheme="majorHAnsi" w:cs="Calibri"/>
          <w:sz w:val="20"/>
          <w:szCs w:val="20"/>
        </w:rPr>
        <w:t xml:space="preserve"> la parte peticionaria alegó</w:t>
      </w:r>
      <w:r w:rsidRPr="009E773A">
        <w:rPr>
          <w:rFonts w:asciiTheme="majorHAnsi" w:hAnsiTheme="majorHAnsi" w:cs="Calibri"/>
          <w:sz w:val="20"/>
          <w:szCs w:val="20"/>
        </w:rPr>
        <w:t xml:space="preserve"> que la muerte de las presun</w:t>
      </w:r>
      <w:r w:rsidR="00347947" w:rsidRPr="009E773A">
        <w:rPr>
          <w:rFonts w:asciiTheme="majorHAnsi" w:hAnsiTheme="majorHAnsi" w:cs="Calibri"/>
          <w:sz w:val="20"/>
          <w:szCs w:val="20"/>
        </w:rPr>
        <w:t xml:space="preserve">tas víctimas es un reflejo del </w:t>
      </w:r>
      <w:r w:rsidRPr="009E773A">
        <w:rPr>
          <w:rFonts w:asciiTheme="majorHAnsi" w:hAnsiTheme="majorHAnsi" w:cs="Calibri"/>
          <w:sz w:val="20"/>
          <w:szCs w:val="20"/>
        </w:rPr>
        <w:t>contexto de</w:t>
      </w:r>
      <w:r w:rsidR="008E6940" w:rsidRPr="009E773A">
        <w:rPr>
          <w:rFonts w:asciiTheme="majorHAnsi" w:hAnsiTheme="majorHAnsi" w:cs="Calibri"/>
          <w:sz w:val="20"/>
          <w:szCs w:val="20"/>
        </w:rPr>
        <w:t xml:space="preserve"> ejecuciones extrajudiciales en Venezuela</w:t>
      </w:r>
      <w:r w:rsidR="00347947" w:rsidRPr="009E773A">
        <w:rPr>
          <w:rFonts w:asciiTheme="majorHAnsi" w:hAnsiTheme="majorHAnsi" w:cs="Calibri"/>
          <w:sz w:val="20"/>
          <w:szCs w:val="20"/>
        </w:rPr>
        <w:t>, y específicamente en</w:t>
      </w:r>
      <w:r w:rsidR="00C25324" w:rsidRPr="009E773A">
        <w:rPr>
          <w:rFonts w:asciiTheme="majorHAnsi" w:hAnsiTheme="majorHAnsi" w:cs="Calibri"/>
          <w:sz w:val="20"/>
          <w:szCs w:val="20"/>
        </w:rPr>
        <w:t xml:space="preserve"> el estado</w:t>
      </w:r>
      <w:r w:rsidR="00347947" w:rsidRPr="009E773A">
        <w:rPr>
          <w:rFonts w:asciiTheme="majorHAnsi" w:hAnsiTheme="majorHAnsi" w:cs="Calibri"/>
          <w:sz w:val="20"/>
          <w:szCs w:val="20"/>
        </w:rPr>
        <w:t xml:space="preserve"> Falcón</w:t>
      </w:r>
      <w:r w:rsidRPr="009E773A">
        <w:rPr>
          <w:rFonts w:asciiTheme="majorHAnsi" w:hAnsiTheme="majorHAnsi" w:cs="Calibri"/>
          <w:sz w:val="20"/>
          <w:szCs w:val="20"/>
        </w:rPr>
        <w:t xml:space="preserve">. La Comisión, a través de sus diferentes mecanismos ha identificado un contexto de ejecuciones extrajudiciales en el país desde hace varios años. Asimismo, la Corte Interamericana se ha referido a dicho contexto en su análisis de casos que lo ejemplifican. </w:t>
      </w:r>
      <w:r w:rsidR="00347947" w:rsidRPr="009E773A">
        <w:rPr>
          <w:rFonts w:asciiTheme="majorHAnsi" w:hAnsiTheme="majorHAnsi" w:cs="Calibri"/>
          <w:sz w:val="20"/>
          <w:szCs w:val="20"/>
        </w:rPr>
        <w:t>La determinación sobre la existencia de dicho contexto y la caracterización de la problemática en los casos referidos fue analizada tanto por la Comisión, como por la Corte, teniendo en cuenta informes de autoridades estatales</w:t>
      </w:r>
      <w:r w:rsidR="00347947" w:rsidRPr="009E773A">
        <w:rPr>
          <w:rStyle w:val="FootnoteReference"/>
          <w:rFonts w:asciiTheme="majorHAnsi" w:hAnsiTheme="majorHAnsi" w:cs="Calibri"/>
          <w:sz w:val="20"/>
          <w:szCs w:val="20"/>
        </w:rPr>
        <w:footnoteReference w:id="4"/>
      </w:r>
      <w:r w:rsidR="00347947" w:rsidRPr="009E773A">
        <w:rPr>
          <w:rFonts w:asciiTheme="majorHAnsi" w:hAnsiTheme="majorHAnsi" w:cs="Calibri"/>
          <w:sz w:val="20"/>
          <w:szCs w:val="20"/>
        </w:rPr>
        <w:t xml:space="preserve"> y organizaciones no gubernamentales internacionales</w:t>
      </w:r>
      <w:r w:rsidR="00347947" w:rsidRPr="009E773A">
        <w:rPr>
          <w:rStyle w:val="FootnoteReference"/>
          <w:rFonts w:asciiTheme="majorHAnsi" w:hAnsiTheme="majorHAnsi" w:cs="Calibri"/>
          <w:sz w:val="20"/>
          <w:szCs w:val="20"/>
        </w:rPr>
        <w:footnoteReference w:id="5"/>
      </w:r>
      <w:r w:rsidR="00347947" w:rsidRPr="009E773A">
        <w:rPr>
          <w:rFonts w:asciiTheme="majorHAnsi" w:hAnsiTheme="majorHAnsi" w:cs="Calibri"/>
          <w:sz w:val="20"/>
          <w:szCs w:val="20"/>
        </w:rPr>
        <w:t xml:space="preserve"> y nacionales</w:t>
      </w:r>
      <w:r w:rsidR="00347947" w:rsidRPr="009E773A">
        <w:rPr>
          <w:rStyle w:val="FootnoteReference"/>
          <w:rFonts w:asciiTheme="majorHAnsi" w:hAnsiTheme="majorHAnsi" w:cs="Calibri"/>
          <w:sz w:val="20"/>
          <w:szCs w:val="20"/>
        </w:rPr>
        <w:footnoteReference w:id="6"/>
      </w:r>
      <w:r w:rsidR="00347947" w:rsidRPr="009E773A">
        <w:rPr>
          <w:rFonts w:asciiTheme="majorHAnsi" w:hAnsiTheme="majorHAnsi" w:cs="Calibri"/>
          <w:sz w:val="20"/>
          <w:szCs w:val="20"/>
        </w:rPr>
        <w:t>. El marco temporal de dichas fuentes abarca los hechos alegados en el presente caso.</w:t>
      </w:r>
    </w:p>
    <w:p w14:paraId="7521E1AE" w14:textId="77777777" w:rsidR="00EF5682" w:rsidRPr="009E773A" w:rsidRDefault="00EF5682" w:rsidP="009A79B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Theme="majorHAnsi" w:hAnsiTheme="majorHAnsi" w:cs="Calibri"/>
          <w:sz w:val="20"/>
          <w:szCs w:val="20"/>
        </w:rPr>
      </w:pPr>
    </w:p>
    <w:p w14:paraId="2FDBD031" w14:textId="0051E96D" w:rsidR="004255D1" w:rsidRPr="009E773A" w:rsidRDefault="00347947" w:rsidP="009A79B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cs="Calibri"/>
          <w:sz w:val="20"/>
          <w:szCs w:val="20"/>
        </w:rPr>
      </w:pPr>
      <w:r w:rsidRPr="009E773A">
        <w:rPr>
          <w:rFonts w:asciiTheme="majorHAnsi" w:hAnsiTheme="majorHAnsi" w:cs="Calibri"/>
          <w:sz w:val="20"/>
          <w:szCs w:val="20"/>
        </w:rPr>
        <w:t>E</w:t>
      </w:r>
      <w:r w:rsidRPr="009E773A">
        <w:rPr>
          <w:rFonts w:asciiTheme="majorHAnsi" w:hAnsiTheme="majorHAnsi"/>
          <w:sz w:val="20"/>
          <w:szCs w:val="20"/>
        </w:rPr>
        <w:t xml:space="preserve">l Relator Especial de Naciones Unidas sobre las ejecuciones extrajudiciales, sumarias o </w:t>
      </w:r>
      <w:r w:rsidRPr="009E773A">
        <w:rPr>
          <w:rFonts w:asciiTheme="majorHAnsi" w:hAnsiTheme="majorHAnsi" w:cs="Arial"/>
          <w:sz w:val="20"/>
          <w:szCs w:val="20"/>
        </w:rPr>
        <w:t>arbitrarias</w:t>
      </w:r>
      <w:r w:rsidRPr="009E773A">
        <w:rPr>
          <w:rFonts w:asciiTheme="majorHAnsi" w:hAnsiTheme="majorHAnsi"/>
          <w:sz w:val="20"/>
          <w:szCs w:val="20"/>
        </w:rPr>
        <w:t xml:space="preserve"> </w:t>
      </w:r>
      <w:r w:rsidR="00820E0D" w:rsidRPr="009E773A">
        <w:rPr>
          <w:rFonts w:asciiTheme="majorHAnsi" w:hAnsiTheme="majorHAnsi" w:cs="Calibri"/>
          <w:sz w:val="20"/>
          <w:szCs w:val="20"/>
        </w:rPr>
        <w:t>también se han referido al mencionado contexto</w:t>
      </w:r>
      <w:r w:rsidR="00820E0D" w:rsidRPr="009E773A">
        <w:rPr>
          <w:rFonts w:asciiTheme="majorHAnsi" w:hAnsiTheme="majorHAnsi"/>
          <w:sz w:val="20"/>
          <w:szCs w:val="20"/>
        </w:rPr>
        <w:t xml:space="preserve"> </w:t>
      </w:r>
      <w:r w:rsidRPr="009E773A">
        <w:rPr>
          <w:rFonts w:asciiTheme="majorHAnsi" w:hAnsiTheme="majorHAnsi"/>
          <w:sz w:val="20"/>
          <w:szCs w:val="20"/>
        </w:rPr>
        <w:t>en varios de sus informes, de denuncias de ejecuciones extrajudiciales a manos de agentes de seguridad que se cometen en Venezuela, y sobre las amenazas recibidas por familiares de víctimas para evitar la denuncia de los hechos</w:t>
      </w:r>
      <w:r w:rsidRPr="009E773A">
        <w:rPr>
          <w:rStyle w:val="FootnoteReference"/>
          <w:rFonts w:asciiTheme="majorHAnsi" w:hAnsiTheme="majorHAnsi"/>
          <w:sz w:val="20"/>
          <w:szCs w:val="20"/>
        </w:rPr>
        <w:footnoteReference w:id="7"/>
      </w:r>
      <w:r w:rsidRPr="009E773A">
        <w:rPr>
          <w:rFonts w:asciiTheme="majorHAnsi" w:hAnsiTheme="majorHAnsi"/>
          <w:sz w:val="20"/>
          <w:szCs w:val="20"/>
        </w:rPr>
        <w:t>. En efecto, la Comisión observa que e</w:t>
      </w:r>
      <w:r w:rsidR="0074617E" w:rsidRPr="009E773A">
        <w:rPr>
          <w:rFonts w:asciiTheme="majorHAnsi" w:hAnsiTheme="majorHAnsi"/>
          <w:sz w:val="20"/>
          <w:szCs w:val="20"/>
        </w:rPr>
        <w:t>n</w:t>
      </w:r>
      <w:r w:rsidRPr="009E773A">
        <w:rPr>
          <w:rFonts w:asciiTheme="majorHAnsi" w:hAnsiTheme="majorHAnsi"/>
          <w:sz w:val="20"/>
          <w:szCs w:val="20"/>
        </w:rPr>
        <w:t xml:space="preserve"> 2001 </w:t>
      </w:r>
      <w:r w:rsidRPr="009E773A">
        <w:rPr>
          <w:rFonts w:asciiTheme="majorHAnsi" w:hAnsiTheme="majorHAnsi" w:cs="Arial"/>
          <w:sz w:val="20"/>
          <w:szCs w:val="20"/>
        </w:rPr>
        <w:t xml:space="preserve">el </w:t>
      </w:r>
      <w:r w:rsidRPr="009E773A">
        <w:rPr>
          <w:rFonts w:asciiTheme="majorHAnsi" w:hAnsiTheme="majorHAnsi"/>
          <w:sz w:val="20"/>
          <w:szCs w:val="20"/>
        </w:rPr>
        <w:t xml:space="preserve">Comité de Derechos Humanos </w:t>
      </w:r>
      <w:r w:rsidRPr="009E773A">
        <w:rPr>
          <w:rFonts w:asciiTheme="majorHAnsi" w:hAnsiTheme="majorHAnsi" w:cs="Arial"/>
          <w:sz w:val="20"/>
          <w:szCs w:val="20"/>
        </w:rPr>
        <w:t>e</w:t>
      </w:r>
      <w:r w:rsidRPr="009E773A">
        <w:rPr>
          <w:rFonts w:asciiTheme="majorHAnsi" w:hAnsiTheme="majorHAnsi"/>
          <w:sz w:val="20"/>
          <w:szCs w:val="20"/>
        </w:rPr>
        <w:t xml:space="preserve">n sus observaciones finales sobre Venezuela </w:t>
      </w:r>
      <w:r w:rsidR="00277670" w:rsidRPr="009E773A">
        <w:rPr>
          <w:rFonts w:asciiTheme="majorHAnsi" w:hAnsiTheme="majorHAnsi"/>
          <w:sz w:val="20"/>
          <w:szCs w:val="20"/>
        </w:rPr>
        <w:t xml:space="preserve">manifestó </w:t>
      </w:r>
      <w:r w:rsidRPr="009E773A">
        <w:rPr>
          <w:rFonts w:asciiTheme="majorHAnsi" w:hAnsiTheme="majorHAnsi"/>
          <w:sz w:val="20"/>
          <w:szCs w:val="20"/>
        </w:rPr>
        <w:t>su grave preocupación por “las numerosas denuncias sobre ejecuciones extrajudiciales y […] la falta de respuesta del Estado respecto de las mismas”</w:t>
      </w:r>
      <w:r w:rsidRPr="009E773A">
        <w:rPr>
          <w:rStyle w:val="FootnoteReference"/>
          <w:rFonts w:asciiTheme="majorHAnsi" w:hAnsiTheme="majorHAnsi"/>
          <w:sz w:val="20"/>
          <w:szCs w:val="20"/>
        </w:rPr>
        <w:footnoteReference w:id="8"/>
      </w:r>
      <w:r w:rsidRPr="009E773A">
        <w:rPr>
          <w:rFonts w:asciiTheme="majorHAnsi" w:hAnsiTheme="majorHAnsi" w:cs="TimesNewRoman"/>
          <w:sz w:val="20"/>
          <w:szCs w:val="20"/>
        </w:rPr>
        <w:t xml:space="preserve">. </w:t>
      </w:r>
    </w:p>
    <w:p w14:paraId="1ECEA492" w14:textId="77777777" w:rsidR="004255D1" w:rsidRPr="009E773A" w:rsidRDefault="004255D1" w:rsidP="009A79B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cs="Calibri"/>
          <w:sz w:val="20"/>
          <w:szCs w:val="20"/>
        </w:rPr>
      </w:pPr>
    </w:p>
    <w:p w14:paraId="788C346D" w14:textId="77777777" w:rsidR="004255D1" w:rsidRPr="009E773A" w:rsidRDefault="00820E0D" w:rsidP="009A79B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cs="Calibri"/>
          <w:sz w:val="20"/>
          <w:szCs w:val="20"/>
        </w:rPr>
      </w:pPr>
      <w:r w:rsidRPr="009E773A">
        <w:rPr>
          <w:rFonts w:asciiTheme="majorHAnsi" w:hAnsiTheme="majorHAnsi" w:cs="Calibri"/>
          <w:sz w:val="20"/>
          <w:szCs w:val="20"/>
        </w:rPr>
        <w:t>En el caso de la CI</w:t>
      </w:r>
      <w:r w:rsidR="00D73DD6" w:rsidRPr="009E773A">
        <w:rPr>
          <w:rFonts w:asciiTheme="majorHAnsi" w:hAnsiTheme="majorHAnsi" w:cs="Calibri"/>
          <w:sz w:val="20"/>
          <w:szCs w:val="20"/>
        </w:rPr>
        <w:t>D</w:t>
      </w:r>
      <w:r w:rsidRPr="009E773A">
        <w:rPr>
          <w:rFonts w:asciiTheme="majorHAnsi" w:hAnsiTheme="majorHAnsi" w:cs="Calibri"/>
          <w:sz w:val="20"/>
          <w:szCs w:val="20"/>
        </w:rPr>
        <w:t>H, d</w:t>
      </w:r>
      <w:r w:rsidR="004255D1" w:rsidRPr="009E773A">
        <w:rPr>
          <w:rFonts w:asciiTheme="majorHAnsi" w:hAnsiTheme="majorHAnsi" w:cs="Calibri"/>
          <w:sz w:val="20"/>
          <w:szCs w:val="20"/>
        </w:rPr>
        <w:t xml:space="preserve">esde su visita </w:t>
      </w:r>
      <w:r w:rsidR="004255D1" w:rsidRPr="009E773A">
        <w:rPr>
          <w:rFonts w:asciiTheme="majorHAnsi" w:hAnsiTheme="majorHAnsi" w:cs="Calibri"/>
          <w:i/>
          <w:sz w:val="20"/>
          <w:szCs w:val="20"/>
        </w:rPr>
        <w:t>in loco</w:t>
      </w:r>
      <w:r w:rsidR="004255D1" w:rsidRPr="009E773A">
        <w:rPr>
          <w:rFonts w:asciiTheme="majorHAnsi" w:hAnsiTheme="majorHAnsi" w:cs="Calibri"/>
          <w:sz w:val="20"/>
          <w:szCs w:val="20"/>
        </w:rPr>
        <w:t xml:space="preserve"> efectuada a Venezuela en el año 2002</w:t>
      </w:r>
      <w:r w:rsidRPr="009E773A">
        <w:rPr>
          <w:rFonts w:asciiTheme="majorHAnsi" w:hAnsiTheme="majorHAnsi" w:cs="Calibri"/>
          <w:sz w:val="20"/>
          <w:szCs w:val="20"/>
        </w:rPr>
        <w:t xml:space="preserve"> </w:t>
      </w:r>
      <w:r w:rsidR="004255D1" w:rsidRPr="009E773A">
        <w:rPr>
          <w:rFonts w:asciiTheme="majorHAnsi" w:hAnsiTheme="majorHAnsi" w:cs="Calibri"/>
          <w:sz w:val="20"/>
          <w:szCs w:val="20"/>
        </w:rPr>
        <w:t>verificó la existencia de</w:t>
      </w:r>
      <w:r w:rsidR="004255D1" w:rsidRPr="009E773A">
        <w:rPr>
          <w:rFonts w:asciiTheme="majorHAnsi" w:hAnsiTheme="majorHAnsi" w:cs="Arial"/>
          <w:sz w:val="20"/>
          <w:szCs w:val="20"/>
        </w:rPr>
        <w:t xml:space="preserve"> una problemática de ejecuciones extrajudiciales cometidas por agentes de las policías estaduales y/o grupos parapoliciales o “de exterminio” bajo su aquiescencia o colaboración, a través de diversos patrones.  Tanto en sus informes de los años 2002, 2003, 2005, 2009, como en su informe </w:t>
      </w:r>
      <w:r w:rsidR="00587C3F" w:rsidRPr="009E773A">
        <w:rPr>
          <w:rFonts w:asciiTheme="majorHAnsi" w:hAnsiTheme="majorHAnsi" w:cs="Arial"/>
          <w:sz w:val="20"/>
          <w:szCs w:val="20"/>
        </w:rPr>
        <w:t>de país de 2017</w:t>
      </w:r>
      <w:r w:rsidR="004255D1" w:rsidRPr="009E773A">
        <w:rPr>
          <w:rFonts w:asciiTheme="majorHAnsi" w:hAnsiTheme="majorHAnsi" w:cs="Arial"/>
          <w:sz w:val="20"/>
          <w:szCs w:val="20"/>
        </w:rPr>
        <w:t>, la CIDH analizó las caract</w:t>
      </w:r>
      <w:r w:rsidRPr="009E773A">
        <w:rPr>
          <w:rFonts w:asciiTheme="majorHAnsi" w:hAnsiTheme="majorHAnsi" w:cs="Arial"/>
          <w:sz w:val="20"/>
          <w:szCs w:val="20"/>
        </w:rPr>
        <w:t>erísticas de este tipo de casos</w:t>
      </w:r>
      <w:r w:rsidR="004255D1" w:rsidRPr="009E773A">
        <w:rPr>
          <w:rFonts w:asciiTheme="majorHAnsi" w:hAnsiTheme="majorHAnsi" w:cs="Arial"/>
          <w:sz w:val="20"/>
          <w:szCs w:val="20"/>
        </w:rPr>
        <w:t xml:space="preserve"> y expresó su preocupación por la continuidad de este fenómeno, así como por la grave situación de impunidad registrada en dichos casos</w:t>
      </w:r>
      <w:r w:rsidR="004255D1" w:rsidRPr="009E773A">
        <w:rPr>
          <w:rStyle w:val="FootnoteReference"/>
          <w:rFonts w:asciiTheme="majorHAnsi" w:hAnsiTheme="majorHAnsi" w:cs="Arial"/>
          <w:sz w:val="20"/>
          <w:szCs w:val="20"/>
        </w:rPr>
        <w:footnoteReference w:id="9"/>
      </w:r>
      <w:r w:rsidR="004E00A5" w:rsidRPr="009E773A">
        <w:rPr>
          <w:rFonts w:asciiTheme="majorHAnsi" w:hAnsiTheme="majorHAnsi" w:cs="Arial"/>
          <w:sz w:val="20"/>
          <w:szCs w:val="20"/>
        </w:rPr>
        <w:t>.</w:t>
      </w:r>
    </w:p>
    <w:p w14:paraId="35C42D10" w14:textId="77777777" w:rsidR="004E00A5" w:rsidRPr="009E773A" w:rsidRDefault="004E00A5" w:rsidP="009A79B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cs="Calibri"/>
          <w:sz w:val="20"/>
          <w:szCs w:val="20"/>
        </w:rPr>
      </w:pPr>
    </w:p>
    <w:p w14:paraId="42019534" w14:textId="77777777" w:rsidR="004E00A5" w:rsidRPr="009E773A" w:rsidRDefault="004E00A5" w:rsidP="009A79B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cs="Calibri"/>
          <w:sz w:val="20"/>
          <w:szCs w:val="20"/>
        </w:rPr>
      </w:pPr>
      <w:r w:rsidRPr="009E773A">
        <w:rPr>
          <w:rFonts w:asciiTheme="majorHAnsi" w:hAnsiTheme="majorHAnsi" w:cs="Arial"/>
          <w:sz w:val="20"/>
          <w:szCs w:val="20"/>
        </w:rPr>
        <w:t xml:space="preserve">Sobre el </w:t>
      </w:r>
      <w:r w:rsidRPr="009E773A">
        <w:rPr>
          <w:rFonts w:asciiTheme="majorHAnsi" w:hAnsiTheme="majorHAnsi" w:cs="Arial"/>
          <w:i/>
          <w:sz w:val="20"/>
          <w:szCs w:val="20"/>
        </w:rPr>
        <w:t>modus operandi</w:t>
      </w:r>
      <w:r w:rsidR="00203A2A" w:rsidRPr="009E773A">
        <w:rPr>
          <w:rFonts w:asciiTheme="majorHAnsi" w:hAnsiTheme="majorHAnsi" w:cs="Arial"/>
          <w:sz w:val="20"/>
          <w:szCs w:val="20"/>
        </w:rPr>
        <w:t xml:space="preserve"> de las ejecuciones, </w:t>
      </w:r>
      <w:r w:rsidRPr="009E773A">
        <w:rPr>
          <w:rFonts w:asciiTheme="majorHAnsi" w:hAnsiTheme="majorHAnsi" w:cs="Arial"/>
          <w:sz w:val="20"/>
          <w:szCs w:val="20"/>
        </w:rPr>
        <w:t>la CIDH ha identificado que, en algunos casos</w:t>
      </w:r>
      <w:r w:rsidR="00203A2A" w:rsidRPr="009E773A">
        <w:rPr>
          <w:rFonts w:asciiTheme="majorHAnsi" w:hAnsiTheme="majorHAnsi" w:cs="Arial"/>
          <w:sz w:val="20"/>
          <w:szCs w:val="20"/>
        </w:rPr>
        <w:t>,</w:t>
      </w:r>
      <w:r w:rsidRPr="009E773A">
        <w:rPr>
          <w:rFonts w:asciiTheme="majorHAnsi" w:hAnsiTheme="majorHAnsi" w:cs="Arial"/>
          <w:sz w:val="20"/>
          <w:szCs w:val="20"/>
        </w:rPr>
        <w:t xml:space="preserve"> </w:t>
      </w:r>
      <w:r w:rsidR="00203A2A" w:rsidRPr="009E773A">
        <w:rPr>
          <w:rFonts w:asciiTheme="majorHAnsi" w:hAnsiTheme="majorHAnsi" w:cs="Arial"/>
          <w:sz w:val="20"/>
          <w:szCs w:val="20"/>
        </w:rPr>
        <w:t>estas se realizan en el marco de</w:t>
      </w:r>
      <w:r w:rsidRPr="009E773A">
        <w:rPr>
          <w:rFonts w:asciiTheme="majorHAnsi" w:hAnsiTheme="majorHAnsi"/>
          <w:sz w:val="20"/>
          <w:szCs w:val="20"/>
        </w:rPr>
        <w:t xml:space="preserve"> enfrentamientos simulados durante el curso de procedimientos de rutina</w:t>
      </w:r>
      <w:r w:rsidR="00203A2A" w:rsidRPr="009E773A">
        <w:rPr>
          <w:rFonts w:asciiTheme="majorHAnsi" w:hAnsiTheme="majorHAnsi"/>
          <w:sz w:val="20"/>
          <w:szCs w:val="20"/>
        </w:rPr>
        <w:t xml:space="preserve"> (por ejemplo, resistencia a la detención)</w:t>
      </w:r>
      <w:r w:rsidRPr="009E773A">
        <w:rPr>
          <w:rFonts w:asciiTheme="majorHAnsi" w:hAnsiTheme="majorHAnsi"/>
          <w:sz w:val="20"/>
          <w:szCs w:val="20"/>
        </w:rPr>
        <w:t xml:space="preserve">, </w:t>
      </w:r>
      <w:r w:rsidR="00203A2A" w:rsidRPr="009E773A">
        <w:rPr>
          <w:rFonts w:asciiTheme="majorHAnsi" w:hAnsiTheme="majorHAnsi"/>
          <w:sz w:val="20"/>
          <w:szCs w:val="20"/>
        </w:rPr>
        <w:t xml:space="preserve">o cuando las </w:t>
      </w:r>
      <w:r w:rsidRPr="009E773A">
        <w:rPr>
          <w:rFonts w:asciiTheme="majorHAnsi" w:hAnsiTheme="majorHAnsi"/>
          <w:sz w:val="20"/>
          <w:szCs w:val="20"/>
        </w:rPr>
        <w:t xml:space="preserve">víctimas han sido detenidas ilegal y/o arbitrariamente </w:t>
      </w:r>
      <w:r w:rsidR="00203A2A" w:rsidRPr="009E773A">
        <w:rPr>
          <w:rFonts w:asciiTheme="majorHAnsi" w:hAnsiTheme="majorHAnsi"/>
          <w:sz w:val="20"/>
          <w:szCs w:val="20"/>
        </w:rPr>
        <w:t>y se encuentran b</w:t>
      </w:r>
      <w:r w:rsidRPr="009E773A">
        <w:rPr>
          <w:rFonts w:asciiTheme="majorHAnsi" w:hAnsiTheme="majorHAnsi"/>
          <w:sz w:val="20"/>
          <w:szCs w:val="20"/>
        </w:rPr>
        <w:t xml:space="preserve">ajo custodia estatal. </w:t>
      </w:r>
      <w:r w:rsidR="00203A2A" w:rsidRPr="009E773A">
        <w:rPr>
          <w:rFonts w:asciiTheme="majorHAnsi" w:hAnsiTheme="majorHAnsi"/>
          <w:sz w:val="20"/>
          <w:szCs w:val="20"/>
        </w:rPr>
        <w:t>Así también, e</w:t>
      </w:r>
      <w:r w:rsidRPr="009E773A">
        <w:rPr>
          <w:rFonts w:asciiTheme="majorHAnsi" w:hAnsiTheme="majorHAnsi" w:cs="Arial"/>
          <w:sz w:val="20"/>
          <w:szCs w:val="20"/>
        </w:rPr>
        <w:t>n</w:t>
      </w:r>
      <w:r w:rsidRPr="009E773A">
        <w:rPr>
          <w:rFonts w:asciiTheme="majorHAnsi" w:hAnsiTheme="majorHAnsi"/>
          <w:sz w:val="20"/>
          <w:szCs w:val="20"/>
        </w:rPr>
        <w:t xml:space="preserve"> otras circunstancias, </w:t>
      </w:r>
      <w:r w:rsidR="00203A2A" w:rsidRPr="009E773A">
        <w:rPr>
          <w:rFonts w:asciiTheme="majorHAnsi" w:hAnsiTheme="majorHAnsi"/>
          <w:sz w:val="20"/>
          <w:szCs w:val="20"/>
        </w:rPr>
        <w:t xml:space="preserve">se ha identificado que los ataques se producen </w:t>
      </w:r>
      <w:r w:rsidRPr="009E773A">
        <w:rPr>
          <w:rFonts w:asciiTheme="majorHAnsi" w:hAnsiTheme="majorHAnsi"/>
          <w:sz w:val="20"/>
          <w:szCs w:val="20"/>
        </w:rPr>
        <w:t xml:space="preserve">tras allanamientos ilegales de personas encapuchadas o no </w:t>
      </w:r>
      <w:r w:rsidRPr="009E773A">
        <w:rPr>
          <w:rFonts w:asciiTheme="majorHAnsi" w:hAnsiTheme="majorHAnsi" w:cs="Arial"/>
          <w:sz w:val="20"/>
          <w:szCs w:val="20"/>
        </w:rPr>
        <w:t>identificadas</w:t>
      </w:r>
      <w:r w:rsidRPr="009E773A">
        <w:rPr>
          <w:rFonts w:asciiTheme="majorHAnsi" w:hAnsiTheme="majorHAnsi"/>
          <w:sz w:val="20"/>
          <w:szCs w:val="20"/>
        </w:rPr>
        <w:t xml:space="preserve"> que proceden al asesinato de las víctimas</w:t>
      </w:r>
      <w:r w:rsidRPr="009E773A">
        <w:rPr>
          <w:rStyle w:val="FootnoteReference"/>
          <w:rFonts w:asciiTheme="majorHAnsi" w:hAnsiTheme="majorHAnsi" w:cs="Arial"/>
          <w:sz w:val="20"/>
          <w:szCs w:val="20"/>
        </w:rPr>
        <w:footnoteReference w:id="10"/>
      </w:r>
      <w:r w:rsidRPr="009E773A">
        <w:rPr>
          <w:rFonts w:asciiTheme="majorHAnsi" w:hAnsiTheme="majorHAnsi"/>
          <w:sz w:val="20"/>
          <w:szCs w:val="20"/>
        </w:rPr>
        <w:t xml:space="preserve">. </w:t>
      </w:r>
    </w:p>
    <w:p w14:paraId="51C5D64A" w14:textId="77777777" w:rsidR="004255D1" w:rsidRPr="009E773A" w:rsidRDefault="004255D1" w:rsidP="009A79B6">
      <w:pPr>
        <w:pStyle w:val="ListParagraph"/>
        <w:ind w:left="0"/>
        <w:jc w:val="both"/>
        <w:rPr>
          <w:rFonts w:asciiTheme="majorHAnsi" w:hAnsiTheme="majorHAnsi" w:cs="Calibri"/>
          <w:sz w:val="20"/>
          <w:szCs w:val="20"/>
          <w:lang w:val="es-CO"/>
        </w:rPr>
      </w:pPr>
    </w:p>
    <w:p w14:paraId="2DBAAC07" w14:textId="77777777" w:rsidR="004255D1" w:rsidRPr="009E773A" w:rsidRDefault="004255D1" w:rsidP="009A79B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cs="Calibri"/>
          <w:sz w:val="20"/>
          <w:szCs w:val="20"/>
        </w:rPr>
      </w:pPr>
      <w:r w:rsidRPr="009E773A">
        <w:rPr>
          <w:rFonts w:asciiTheme="majorHAnsi" w:hAnsiTheme="majorHAnsi" w:cs="Calibri"/>
          <w:sz w:val="20"/>
          <w:szCs w:val="20"/>
        </w:rPr>
        <w:t xml:space="preserve">Con base en la información documentada por organizaciones de la sociedad civil venezolana, la Comisión también ha establecido que este fenómeno afecta comúnmente a los “sectores más humildes”, en el marco de operativos o planes preventivos orientados a la detección, detención y retención de ciudadanos de supuesto comportamiento delictivo. Así, se “[…] detienen a supuestos involucrados y sin tomar las medidas pertinentes </w:t>
      </w:r>
      <w:r w:rsidRPr="009E773A">
        <w:rPr>
          <w:rFonts w:asciiTheme="majorHAnsi" w:hAnsiTheme="majorHAnsi" w:cs="Calibri"/>
          <w:i/>
          <w:sz w:val="20"/>
          <w:szCs w:val="20"/>
        </w:rPr>
        <w:t>in fraganti</w:t>
      </w:r>
      <w:r w:rsidR="006B366A" w:rsidRPr="009E773A">
        <w:rPr>
          <w:rFonts w:asciiTheme="majorHAnsi" w:hAnsiTheme="majorHAnsi" w:cs="Calibri"/>
          <w:sz w:val="20"/>
          <w:szCs w:val="20"/>
        </w:rPr>
        <w:t xml:space="preserve">  en la comisión de delitos o</w:t>
      </w:r>
      <w:r w:rsidRPr="009E773A">
        <w:rPr>
          <w:rFonts w:asciiTheme="majorHAnsi" w:hAnsiTheme="majorHAnsi" w:cs="Calibri"/>
          <w:sz w:val="20"/>
          <w:szCs w:val="20"/>
        </w:rPr>
        <w:t xml:space="preserve"> siendo detenidas, son aprehendidas brutalmente, mediante golpes […] y en muchos casos disparadas a quemarropa en presencia de testigos, introducidas a la unidad policial heridas, aparecen luego muertas en algún sitio abandonado o ingresadas sin signos vitales a un hospital o centro médico”</w:t>
      </w:r>
      <w:r w:rsidRPr="009E773A">
        <w:rPr>
          <w:rStyle w:val="FootnoteReference"/>
          <w:rFonts w:asciiTheme="majorHAnsi" w:hAnsiTheme="majorHAnsi" w:cs="Calibri"/>
          <w:sz w:val="20"/>
          <w:szCs w:val="20"/>
        </w:rPr>
        <w:footnoteReference w:id="11"/>
      </w:r>
      <w:r w:rsidRPr="009E773A">
        <w:rPr>
          <w:rFonts w:asciiTheme="majorHAnsi" w:hAnsiTheme="majorHAnsi" w:cs="Calibri"/>
          <w:sz w:val="20"/>
          <w:szCs w:val="20"/>
        </w:rPr>
        <w:t xml:space="preserve">. </w:t>
      </w:r>
      <w:r w:rsidR="00203A2A" w:rsidRPr="009E773A">
        <w:rPr>
          <w:rFonts w:asciiTheme="majorHAnsi" w:hAnsiTheme="majorHAnsi" w:cs="Calibri"/>
          <w:sz w:val="20"/>
          <w:szCs w:val="20"/>
        </w:rPr>
        <w:t xml:space="preserve">De acuerdo con la parte peticionaria, las víctimas en el </w:t>
      </w:r>
      <w:r w:rsidR="00183B07" w:rsidRPr="009E773A">
        <w:rPr>
          <w:rFonts w:asciiTheme="majorHAnsi" w:hAnsiTheme="majorHAnsi" w:cs="Calibri"/>
          <w:sz w:val="20"/>
          <w:szCs w:val="20"/>
        </w:rPr>
        <w:t>e</w:t>
      </w:r>
      <w:r w:rsidR="00203A2A" w:rsidRPr="009E773A">
        <w:rPr>
          <w:rFonts w:asciiTheme="majorHAnsi" w:hAnsiTheme="majorHAnsi" w:cs="Calibri"/>
          <w:sz w:val="20"/>
          <w:szCs w:val="20"/>
        </w:rPr>
        <w:t>stado de Falc</w:t>
      </w:r>
      <w:r w:rsidR="001B1056" w:rsidRPr="009E773A">
        <w:rPr>
          <w:rFonts w:asciiTheme="majorHAnsi" w:hAnsiTheme="majorHAnsi" w:cs="Calibri"/>
          <w:sz w:val="20"/>
          <w:szCs w:val="20"/>
        </w:rPr>
        <w:t>ón son “hombres jóvenes (…) pertenecientes a los sectores socio económicos más vulnerables”</w:t>
      </w:r>
      <w:r w:rsidR="001B1056" w:rsidRPr="009E773A">
        <w:rPr>
          <w:rStyle w:val="FootnoteReference"/>
          <w:rFonts w:asciiTheme="majorHAnsi" w:hAnsiTheme="majorHAnsi" w:cs="Calibri"/>
          <w:sz w:val="20"/>
          <w:szCs w:val="20"/>
        </w:rPr>
        <w:footnoteReference w:id="12"/>
      </w:r>
      <w:r w:rsidR="001B1056" w:rsidRPr="009E773A">
        <w:rPr>
          <w:rFonts w:asciiTheme="majorHAnsi" w:hAnsiTheme="majorHAnsi" w:cs="Calibri"/>
          <w:sz w:val="20"/>
          <w:szCs w:val="20"/>
        </w:rPr>
        <w:t xml:space="preserve">. </w:t>
      </w:r>
    </w:p>
    <w:p w14:paraId="6D664588" w14:textId="77777777" w:rsidR="005F667C" w:rsidRPr="009E773A" w:rsidRDefault="005F667C" w:rsidP="009A79B6">
      <w:pPr>
        <w:pStyle w:val="ListParagraph"/>
        <w:ind w:left="0"/>
        <w:jc w:val="both"/>
        <w:rPr>
          <w:rFonts w:asciiTheme="majorHAnsi" w:hAnsiTheme="majorHAnsi" w:cs="Calibri"/>
          <w:sz w:val="20"/>
          <w:szCs w:val="20"/>
          <w:lang w:val="es-CO"/>
        </w:rPr>
      </w:pPr>
    </w:p>
    <w:p w14:paraId="07866D11" w14:textId="77777777" w:rsidR="005F667C" w:rsidRPr="009E773A" w:rsidRDefault="001B1056" w:rsidP="009A79B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cs="Calibri"/>
          <w:sz w:val="20"/>
          <w:szCs w:val="20"/>
        </w:rPr>
      </w:pPr>
      <w:r w:rsidRPr="009E773A">
        <w:rPr>
          <w:rFonts w:asciiTheme="majorHAnsi" w:hAnsiTheme="majorHAnsi" w:cs="Calibri"/>
          <w:sz w:val="20"/>
          <w:szCs w:val="20"/>
        </w:rPr>
        <w:t>Asimismo, el</w:t>
      </w:r>
      <w:r w:rsidR="005F667C" w:rsidRPr="009E773A">
        <w:rPr>
          <w:rFonts w:asciiTheme="majorHAnsi" w:hAnsiTheme="majorHAnsi" w:cs="Calibri"/>
          <w:sz w:val="20"/>
          <w:szCs w:val="20"/>
        </w:rPr>
        <w:t xml:space="preserve"> </w:t>
      </w:r>
      <w:r w:rsidR="005F667C" w:rsidRPr="009E773A">
        <w:rPr>
          <w:rFonts w:asciiTheme="majorHAnsi" w:hAnsiTheme="majorHAnsi" w:cs="Calibri"/>
          <w:i/>
          <w:sz w:val="20"/>
          <w:szCs w:val="20"/>
        </w:rPr>
        <w:t>modus operandi</w:t>
      </w:r>
      <w:r w:rsidRPr="009E773A">
        <w:rPr>
          <w:rFonts w:asciiTheme="majorHAnsi" w:hAnsiTheme="majorHAnsi" w:cs="Calibri"/>
          <w:sz w:val="20"/>
          <w:szCs w:val="20"/>
        </w:rPr>
        <w:t xml:space="preserve"> también incluye</w:t>
      </w:r>
      <w:r w:rsidR="005F667C" w:rsidRPr="009E773A">
        <w:rPr>
          <w:rFonts w:asciiTheme="majorHAnsi" w:hAnsiTheme="majorHAnsi" w:cs="Calibri"/>
          <w:sz w:val="20"/>
          <w:szCs w:val="20"/>
        </w:rPr>
        <w:t xml:space="preserve">: las amenazas y el asesinato en contra de testigos, incluyendo testigos presenciales de los hechos, quienes por esta situación “generalmente no forman parte de la investigación de los hechos que adelanta el Ministerio Público”; la “modificación del lugar del suceso” incluyendo la modificación o alteración de las evidencias, y la criminalización de las víctimas ante la opinión pública justificando su muerte “como </w:t>
      </w:r>
      <w:r w:rsidR="005F667C" w:rsidRPr="009E773A">
        <w:rPr>
          <w:rFonts w:asciiTheme="majorHAnsi" w:hAnsiTheme="majorHAnsi" w:cs="Calibri"/>
          <w:sz w:val="20"/>
          <w:szCs w:val="20"/>
        </w:rPr>
        <w:lastRenderedPageBreak/>
        <w:t>la respuesta efectiva que dan las autoridades luego de que se ha producido un hecho delictivo (generalmente hurto o robo) protagonizado por la víctima”</w:t>
      </w:r>
      <w:r w:rsidR="005F667C" w:rsidRPr="009E773A">
        <w:rPr>
          <w:rStyle w:val="FootnoteReference"/>
          <w:rFonts w:asciiTheme="majorHAnsi" w:hAnsiTheme="majorHAnsi" w:cs="Calibri"/>
          <w:sz w:val="20"/>
          <w:szCs w:val="20"/>
        </w:rPr>
        <w:footnoteReference w:id="13"/>
      </w:r>
      <w:r w:rsidR="005F667C" w:rsidRPr="009E773A">
        <w:rPr>
          <w:rFonts w:asciiTheme="majorHAnsi" w:hAnsiTheme="majorHAnsi" w:cs="Calibri"/>
          <w:sz w:val="20"/>
          <w:szCs w:val="20"/>
        </w:rPr>
        <w:t>. Por su parte, la Defensoría del Pueblo en su informe anual del año 2001 identificó dentro de los “elementos comunes que favorecen la impunidad” en estos casos, “[…] la aceptación del discurso de enfrentamiento policial por parte de los organismos encargados de hacer cumplir la ley y por la propia ciudadanía, en virtud de que la misma conlleva a que no se realicen las investigaciones penales respectivas”</w:t>
      </w:r>
      <w:r w:rsidR="005F667C" w:rsidRPr="009E773A">
        <w:rPr>
          <w:rStyle w:val="FootnoteReference"/>
          <w:rFonts w:asciiTheme="majorHAnsi" w:hAnsiTheme="majorHAnsi" w:cs="Calibri"/>
          <w:sz w:val="20"/>
          <w:szCs w:val="20"/>
        </w:rPr>
        <w:footnoteReference w:id="14"/>
      </w:r>
      <w:r w:rsidR="005F667C" w:rsidRPr="009E773A">
        <w:rPr>
          <w:rFonts w:asciiTheme="majorHAnsi" w:hAnsiTheme="majorHAnsi" w:cs="Calibri"/>
          <w:sz w:val="20"/>
          <w:szCs w:val="20"/>
        </w:rPr>
        <w:t xml:space="preserve">. </w:t>
      </w:r>
    </w:p>
    <w:p w14:paraId="4B12E5FD" w14:textId="77777777" w:rsidR="005F667C" w:rsidRPr="009E773A" w:rsidRDefault="005F667C" w:rsidP="009A79B6">
      <w:pPr>
        <w:pStyle w:val="ListParagraph"/>
        <w:ind w:left="0"/>
        <w:jc w:val="both"/>
        <w:rPr>
          <w:rFonts w:asciiTheme="majorHAnsi" w:hAnsiTheme="majorHAnsi" w:cs="Calibri"/>
          <w:sz w:val="20"/>
          <w:szCs w:val="20"/>
          <w:lang w:val="es-CO"/>
        </w:rPr>
      </w:pPr>
    </w:p>
    <w:p w14:paraId="2F0DF952" w14:textId="0001CCE3" w:rsidR="0075241B" w:rsidRPr="009E773A" w:rsidRDefault="001B1056" w:rsidP="009A79B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cs="Calibri"/>
          <w:sz w:val="20"/>
          <w:szCs w:val="20"/>
          <w:lang w:val="es-ES"/>
        </w:rPr>
      </w:pPr>
      <w:r w:rsidRPr="009E773A">
        <w:rPr>
          <w:rFonts w:asciiTheme="majorHAnsi" w:hAnsiTheme="majorHAnsi" w:cs="Calibri"/>
          <w:sz w:val="20"/>
          <w:szCs w:val="20"/>
        </w:rPr>
        <w:t xml:space="preserve">En este sentido, </w:t>
      </w:r>
      <w:r w:rsidR="00E76BDE" w:rsidRPr="009E773A">
        <w:rPr>
          <w:rFonts w:asciiTheme="majorHAnsi" w:hAnsiTheme="majorHAnsi" w:cs="Calibri"/>
          <w:sz w:val="20"/>
          <w:szCs w:val="20"/>
        </w:rPr>
        <w:t xml:space="preserve">sin dejar de reconocer el fenómeno a escala nacional, </w:t>
      </w:r>
      <w:r w:rsidRPr="009E773A">
        <w:rPr>
          <w:rFonts w:asciiTheme="majorHAnsi" w:hAnsiTheme="majorHAnsi" w:cs="Calibri"/>
          <w:sz w:val="20"/>
          <w:szCs w:val="20"/>
        </w:rPr>
        <w:t xml:space="preserve">el contexto descrito ha sido </w:t>
      </w:r>
      <w:r w:rsidR="008D2852" w:rsidRPr="009E773A">
        <w:rPr>
          <w:rFonts w:asciiTheme="majorHAnsi" w:hAnsiTheme="majorHAnsi" w:cs="Calibri"/>
          <w:sz w:val="20"/>
          <w:szCs w:val="20"/>
        </w:rPr>
        <w:t xml:space="preserve">dado por probado y </w:t>
      </w:r>
      <w:r w:rsidRPr="009E773A">
        <w:rPr>
          <w:rFonts w:asciiTheme="majorHAnsi" w:hAnsiTheme="majorHAnsi" w:cs="Calibri"/>
          <w:sz w:val="20"/>
          <w:szCs w:val="20"/>
        </w:rPr>
        <w:t xml:space="preserve">adscrito por la CIDH </w:t>
      </w:r>
      <w:r w:rsidR="008D2852" w:rsidRPr="009E773A">
        <w:rPr>
          <w:rFonts w:asciiTheme="majorHAnsi" w:hAnsiTheme="majorHAnsi" w:cs="Calibri"/>
          <w:sz w:val="20"/>
          <w:szCs w:val="20"/>
        </w:rPr>
        <w:t xml:space="preserve">y la Corte </w:t>
      </w:r>
      <w:r w:rsidR="00E76BDE" w:rsidRPr="009E773A">
        <w:rPr>
          <w:rFonts w:asciiTheme="majorHAnsi" w:hAnsiTheme="majorHAnsi" w:cs="Calibri"/>
          <w:sz w:val="20"/>
          <w:szCs w:val="20"/>
        </w:rPr>
        <w:t xml:space="preserve">en los casos </w:t>
      </w:r>
      <w:r w:rsidR="005F667C" w:rsidRPr="009E773A">
        <w:rPr>
          <w:rFonts w:asciiTheme="majorHAnsi" w:hAnsiTheme="majorHAnsi" w:cs="Calibri"/>
          <w:i/>
          <w:sz w:val="20"/>
          <w:szCs w:val="20"/>
        </w:rPr>
        <w:t>Familia Barrios vs. Venezuela</w:t>
      </w:r>
      <w:r w:rsidR="00E76BDE" w:rsidRPr="009E773A">
        <w:rPr>
          <w:rStyle w:val="FootnoteReference"/>
          <w:rFonts w:asciiTheme="majorHAnsi" w:hAnsiTheme="majorHAnsi" w:cs="Calibri"/>
          <w:sz w:val="20"/>
          <w:szCs w:val="20"/>
        </w:rPr>
        <w:footnoteReference w:id="15"/>
      </w:r>
      <w:r w:rsidR="00E76BDE" w:rsidRPr="009E773A">
        <w:rPr>
          <w:rFonts w:asciiTheme="majorHAnsi" w:hAnsiTheme="majorHAnsi" w:cs="Calibri"/>
          <w:sz w:val="20"/>
          <w:szCs w:val="20"/>
        </w:rPr>
        <w:t xml:space="preserve"> y </w:t>
      </w:r>
      <w:r w:rsidR="005F667C" w:rsidRPr="009E773A">
        <w:rPr>
          <w:rFonts w:asciiTheme="majorHAnsi" w:hAnsiTheme="majorHAnsi" w:cs="Calibri"/>
          <w:i/>
          <w:sz w:val="20"/>
          <w:szCs w:val="20"/>
        </w:rPr>
        <w:t>Hermanos Landaeta Mejías y otros vs. Venezuela</w:t>
      </w:r>
      <w:r w:rsidR="00E76BDE" w:rsidRPr="009E773A">
        <w:rPr>
          <w:rStyle w:val="FootnoteReference"/>
          <w:rFonts w:asciiTheme="majorHAnsi" w:hAnsiTheme="majorHAnsi"/>
          <w:sz w:val="20"/>
          <w:szCs w:val="20"/>
        </w:rPr>
        <w:footnoteReference w:id="16"/>
      </w:r>
      <w:r w:rsidR="00E76BDE" w:rsidRPr="009E773A">
        <w:rPr>
          <w:rFonts w:asciiTheme="majorHAnsi" w:hAnsiTheme="majorHAnsi" w:cs="Calibri"/>
          <w:sz w:val="20"/>
          <w:szCs w:val="20"/>
        </w:rPr>
        <w:t xml:space="preserve"> por la acción de policías regionales en el estado Aragua.</w:t>
      </w:r>
      <w:r w:rsidR="008D2852" w:rsidRPr="009E773A">
        <w:rPr>
          <w:rFonts w:asciiTheme="majorHAnsi" w:hAnsiTheme="majorHAnsi" w:cs="Calibri"/>
          <w:sz w:val="20"/>
          <w:szCs w:val="20"/>
        </w:rPr>
        <w:t xml:space="preserve"> </w:t>
      </w:r>
      <w:r w:rsidR="00E76BDE" w:rsidRPr="009E773A">
        <w:rPr>
          <w:rFonts w:asciiTheme="majorHAnsi" w:hAnsiTheme="majorHAnsi" w:cs="Calibri"/>
          <w:sz w:val="20"/>
          <w:szCs w:val="20"/>
        </w:rPr>
        <w:t xml:space="preserve"> Asimismo, </w:t>
      </w:r>
      <w:r w:rsidR="005E77EA" w:rsidRPr="009E773A">
        <w:rPr>
          <w:rFonts w:asciiTheme="majorHAnsi" w:hAnsiTheme="majorHAnsi" w:cs="Calibri"/>
          <w:sz w:val="20"/>
          <w:szCs w:val="20"/>
        </w:rPr>
        <w:t xml:space="preserve">en el caso </w:t>
      </w:r>
      <w:r w:rsidR="005E77EA" w:rsidRPr="009E773A">
        <w:rPr>
          <w:rFonts w:asciiTheme="majorHAnsi" w:hAnsiTheme="majorHAnsi" w:cs="Calibri"/>
          <w:i/>
          <w:sz w:val="20"/>
          <w:szCs w:val="20"/>
        </w:rPr>
        <w:t>Uz</w:t>
      </w:r>
      <w:r w:rsidR="00F42D31" w:rsidRPr="009E773A">
        <w:rPr>
          <w:rFonts w:asciiTheme="majorHAnsi" w:hAnsiTheme="majorHAnsi" w:cs="Calibri"/>
          <w:i/>
          <w:sz w:val="20"/>
          <w:szCs w:val="20"/>
        </w:rPr>
        <w:t>cá</w:t>
      </w:r>
      <w:r w:rsidR="005E77EA" w:rsidRPr="009E773A">
        <w:rPr>
          <w:rFonts w:asciiTheme="majorHAnsi" w:hAnsiTheme="majorHAnsi" w:cs="Calibri"/>
          <w:i/>
          <w:sz w:val="20"/>
          <w:szCs w:val="20"/>
        </w:rPr>
        <w:t>tegui y otros vs. Venezuela</w:t>
      </w:r>
      <w:r w:rsidR="005E77EA" w:rsidRPr="009E773A">
        <w:rPr>
          <w:rFonts w:asciiTheme="majorHAnsi" w:hAnsiTheme="majorHAnsi" w:cs="Calibri"/>
          <w:sz w:val="20"/>
          <w:szCs w:val="20"/>
        </w:rPr>
        <w:t xml:space="preserve"> la Comisión </w:t>
      </w:r>
      <w:r w:rsidR="00F42D31" w:rsidRPr="009E773A">
        <w:rPr>
          <w:rFonts w:asciiTheme="majorHAnsi" w:hAnsiTheme="majorHAnsi" w:cs="Calibri"/>
          <w:sz w:val="20"/>
          <w:szCs w:val="20"/>
        </w:rPr>
        <w:t>reconoció la incidencia del contexto en el estado Falcón</w:t>
      </w:r>
      <w:r w:rsidR="00965FBD" w:rsidRPr="009E773A">
        <w:rPr>
          <w:rFonts w:asciiTheme="majorHAnsi" w:hAnsiTheme="majorHAnsi" w:cs="Calibri"/>
          <w:sz w:val="20"/>
          <w:szCs w:val="20"/>
        </w:rPr>
        <w:t xml:space="preserve"> a partir de la información pública de órganos del Estado venezolano en el mismo marco temporal que los hechos del presente caso</w:t>
      </w:r>
      <w:r w:rsidR="00965FBD" w:rsidRPr="009E773A">
        <w:rPr>
          <w:rStyle w:val="FootnoteReference"/>
          <w:rFonts w:asciiTheme="majorHAnsi" w:hAnsiTheme="majorHAnsi" w:cs="Calibri"/>
          <w:sz w:val="20"/>
          <w:szCs w:val="20"/>
        </w:rPr>
        <w:footnoteReference w:id="17"/>
      </w:r>
      <w:r w:rsidR="00965FBD" w:rsidRPr="009E773A">
        <w:rPr>
          <w:rFonts w:asciiTheme="majorHAnsi" w:hAnsiTheme="majorHAnsi" w:cs="Calibri"/>
          <w:sz w:val="20"/>
          <w:szCs w:val="20"/>
        </w:rPr>
        <w:t>.</w:t>
      </w:r>
      <w:r w:rsidR="00183B07" w:rsidRPr="009E773A">
        <w:rPr>
          <w:rFonts w:asciiTheme="majorHAnsi" w:hAnsiTheme="majorHAnsi" w:cs="Calibri"/>
          <w:sz w:val="20"/>
          <w:szCs w:val="20"/>
        </w:rPr>
        <w:t xml:space="preserve"> E</w:t>
      </w:r>
      <w:r w:rsidR="00965FBD" w:rsidRPr="009E773A">
        <w:rPr>
          <w:rFonts w:asciiTheme="majorHAnsi" w:hAnsiTheme="majorHAnsi" w:cs="Calibri"/>
          <w:sz w:val="20"/>
          <w:szCs w:val="20"/>
        </w:rPr>
        <w:t>n su sentencia sobre el mismo caso la Co</w:t>
      </w:r>
      <w:r w:rsidR="005F667C" w:rsidRPr="009E773A">
        <w:rPr>
          <w:rFonts w:asciiTheme="majorHAnsi" w:hAnsiTheme="majorHAnsi"/>
          <w:sz w:val="20"/>
          <w:szCs w:val="20"/>
        </w:rPr>
        <w:t xml:space="preserve">rte Interamericana </w:t>
      </w:r>
      <w:r w:rsidR="00D85AE3" w:rsidRPr="009E773A">
        <w:rPr>
          <w:rFonts w:asciiTheme="majorHAnsi" w:hAnsiTheme="majorHAnsi"/>
          <w:sz w:val="20"/>
          <w:szCs w:val="20"/>
        </w:rPr>
        <w:t xml:space="preserve">determinó </w:t>
      </w:r>
      <w:r w:rsidR="005F667C" w:rsidRPr="009E773A">
        <w:rPr>
          <w:rFonts w:asciiTheme="majorHAnsi" w:hAnsiTheme="majorHAnsi"/>
          <w:sz w:val="20"/>
          <w:szCs w:val="20"/>
        </w:rPr>
        <w:t>que para ese momento “en el Estado ocurrían ejecuciones extrajudiciales y otros abusos por parte de las fuerzas policiales, en particular por las policías estaduales y municipales”</w:t>
      </w:r>
      <w:r w:rsidR="00D85AE3" w:rsidRPr="009E773A">
        <w:rPr>
          <w:rFonts w:asciiTheme="majorHAnsi" w:hAnsiTheme="majorHAnsi"/>
          <w:sz w:val="20"/>
          <w:szCs w:val="20"/>
        </w:rPr>
        <w:t xml:space="preserve"> adscribiendo dicho contexto al estado Falcón</w:t>
      </w:r>
      <w:r w:rsidR="005F667C" w:rsidRPr="009E773A">
        <w:rPr>
          <w:rStyle w:val="FootnoteReference"/>
          <w:rFonts w:asciiTheme="majorHAnsi" w:hAnsiTheme="majorHAnsi"/>
          <w:sz w:val="20"/>
          <w:szCs w:val="20"/>
        </w:rPr>
        <w:footnoteReference w:id="18"/>
      </w:r>
      <w:r w:rsidR="005F667C" w:rsidRPr="009E773A">
        <w:rPr>
          <w:rFonts w:asciiTheme="majorHAnsi" w:hAnsiTheme="majorHAnsi"/>
          <w:sz w:val="20"/>
          <w:szCs w:val="20"/>
        </w:rPr>
        <w:t>.</w:t>
      </w:r>
      <w:r w:rsidR="009B35E6" w:rsidRPr="009E773A">
        <w:rPr>
          <w:rFonts w:asciiTheme="majorHAnsi" w:hAnsiTheme="majorHAnsi"/>
          <w:sz w:val="20"/>
          <w:szCs w:val="20"/>
        </w:rPr>
        <w:t xml:space="preserve"> La parte peticionaria indicó que de acuerdo con su investigación en el </w:t>
      </w:r>
      <w:r w:rsidR="001922CF" w:rsidRPr="009E773A">
        <w:rPr>
          <w:rFonts w:asciiTheme="majorHAnsi" w:hAnsiTheme="majorHAnsi"/>
          <w:sz w:val="20"/>
          <w:szCs w:val="20"/>
        </w:rPr>
        <w:t>e</w:t>
      </w:r>
      <w:r w:rsidR="009B35E6" w:rsidRPr="009E773A">
        <w:rPr>
          <w:rFonts w:asciiTheme="majorHAnsi" w:hAnsiTheme="majorHAnsi"/>
          <w:sz w:val="20"/>
          <w:szCs w:val="20"/>
        </w:rPr>
        <w:t xml:space="preserve">stado Falcón se realizó un proceso de restructuración </w:t>
      </w:r>
      <w:r w:rsidR="0020192C" w:rsidRPr="009E773A">
        <w:rPr>
          <w:rFonts w:asciiTheme="majorHAnsi" w:hAnsiTheme="majorHAnsi"/>
          <w:sz w:val="20"/>
          <w:szCs w:val="20"/>
        </w:rPr>
        <w:t>policial, en el</w:t>
      </w:r>
      <w:r w:rsidR="009B35E6" w:rsidRPr="009E773A">
        <w:rPr>
          <w:rFonts w:asciiTheme="majorHAnsi" w:hAnsiTheme="majorHAnsi"/>
          <w:sz w:val="20"/>
          <w:szCs w:val="20"/>
        </w:rPr>
        <w:t xml:space="preserve"> año 2000</w:t>
      </w:r>
      <w:r w:rsidR="0020192C" w:rsidRPr="009E773A">
        <w:rPr>
          <w:rFonts w:asciiTheme="majorHAnsi" w:hAnsiTheme="majorHAnsi"/>
          <w:sz w:val="20"/>
          <w:szCs w:val="20"/>
        </w:rPr>
        <w:t xml:space="preserve">, </w:t>
      </w:r>
      <w:r w:rsidR="00775BC9" w:rsidRPr="009E773A">
        <w:rPr>
          <w:rFonts w:asciiTheme="majorHAnsi" w:hAnsiTheme="majorHAnsi"/>
          <w:sz w:val="20"/>
          <w:szCs w:val="20"/>
        </w:rPr>
        <w:t xml:space="preserve">creó dos “brigadas de élite” </w:t>
      </w:r>
      <w:r w:rsidR="0020192C" w:rsidRPr="009E773A">
        <w:rPr>
          <w:rFonts w:asciiTheme="majorHAnsi" w:hAnsiTheme="majorHAnsi"/>
          <w:sz w:val="20"/>
          <w:szCs w:val="20"/>
        </w:rPr>
        <w:t xml:space="preserve">momento a partir </w:t>
      </w:r>
      <w:r w:rsidR="00347947" w:rsidRPr="009E773A">
        <w:rPr>
          <w:rFonts w:asciiTheme="majorHAnsi" w:hAnsiTheme="majorHAnsi"/>
          <w:sz w:val="20"/>
          <w:szCs w:val="20"/>
        </w:rPr>
        <w:t>del cual se reportaron más</w:t>
      </w:r>
      <w:r w:rsidR="0020192C" w:rsidRPr="009E773A">
        <w:rPr>
          <w:rFonts w:asciiTheme="majorHAnsi" w:hAnsiTheme="majorHAnsi"/>
          <w:sz w:val="20"/>
          <w:szCs w:val="20"/>
        </w:rPr>
        <w:t xml:space="preserve"> muertes por enfrentamientos policiales en los municipios de Coro y Punto Fijo. </w:t>
      </w:r>
      <w:r w:rsidR="00347947" w:rsidRPr="009E773A">
        <w:rPr>
          <w:rFonts w:asciiTheme="majorHAnsi" w:hAnsiTheme="majorHAnsi"/>
          <w:sz w:val="20"/>
          <w:szCs w:val="20"/>
        </w:rPr>
        <w:t>Las muertes</w:t>
      </w:r>
      <w:r w:rsidR="0020192C" w:rsidRPr="009E773A">
        <w:rPr>
          <w:rFonts w:asciiTheme="majorHAnsi" w:hAnsiTheme="majorHAnsi"/>
          <w:sz w:val="20"/>
          <w:szCs w:val="20"/>
        </w:rPr>
        <w:t xml:space="preserve"> bajo las modalidades ya</w:t>
      </w:r>
      <w:r w:rsidR="00775BC9" w:rsidRPr="009E773A">
        <w:rPr>
          <w:rFonts w:asciiTheme="majorHAnsi" w:hAnsiTheme="majorHAnsi"/>
          <w:sz w:val="20"/>
          <w:szCs w:val="20"/>
        </w:rPr>
        <w:t xml:space="preserve"> descritas fueron incrementando, siempre caracterizadas por las narrativas contradictorias entre las fuerzas policiales y los familiares de las víctimas</w:t>
      </w:r>
      <w:r w:rsidR="00775BC9" w:rsidRPr="009E773A">
        <w:rPr>
          <w:rStyle w:val="FootnoteReference"/>
          <w:rFonts w:asciiTheme="majorHAnsi" w:hAnsiTheme="majorHAnsi"/>
          <w:sz w:val="20"/>
          <w:szCs w:val="20"/>
        </w:rPr>
        <w:footnoteReference w:id="19"/>
      </w:r>
      <w:r w:rsidR="00347947" w:rsidRPr="009E773A">
        <w:rPr>
          <w:rFonts w:asciiTheme="majorHAnsi" w:hAnsiTheme="majorHAnsi"/>
          <w:sz w:val="20"/>
          <w:szCs w:val="20"/>
        </w:rPr>
        <w:t xml:space="preserve">, </w:t>
      </w:r>
      <w:r w:rsidR="00775BC9" w:rsidRPr="009E773A">
        <w:rPr>
          <w:rFonts w:asciiTheme="majorHAnsi" w:hAnsiTheme="majorHAnsi"/>
          <w:sz w:val="20"/>
          <w:szCs w:val="20"/>
        </w:rPr>
        <w:t xml:space="preserve">y la falta de investigación. Hacía el 2005 la parte peticionaria contaba 200 casos que respondían al patrón, de los cuales 180 no superaban la etapa de investigación. </w:t>
      </w:r>
    </w:p>
    <w:p w14:paraId="46229388" w14:textId="77777777" w:rsidR="008D2852" w:rsidRPr="009E773A" w:rsidRDefault="008D2852" w:rsidP="009A79B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Theme="majorHAnsi" w:hAnsiTheme="majorHAnsi" w:cs="Calibri"/>
          <w:sz w:val="20"/>
          <w:szCs w:val="20"/>
          <w:lang w:val="es-ES"/>
        </w:rPr>
      </w:pPr>
    </w:p>
    <w:p w14:paraId="3782B2F5" w14:textId="77777777" w:rsidR="00502AD3" w:rsidRPr="009E773A" w:rsidRDefault="001E17CE" w:rsidP="009A79B6">
      <w:pPr>
        <w:pStyle w:val="Heading2"/>
        <w:ind w:firstLine="0"/>
      </w:pPr>
      <w:bookmarkStart w:id="14" w:name="_Toc2159212"/>
      <w:r w:rsidRPr="009E773A">
        <w:t>Información disponible sobre las presuntas víctimas y sus familiares</w:t>
      </w:r>
      <w:bookmarkEnd w:id="14"/>
    </w:p>
    <w:p w14:paraId="2C181FB8" w14:textId="77777777" w:rsidR="00502AD3" w:rsidRPr="009E773A" w:rsidRDefault="00502AD3" w:rsidP="009A79B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634"/>
        <w:jc w:val="both"/>
        <w:rPr>
          <w:rFonts w:asciiTheme="majorHAnsi" w:hAnsiTheme="majorHAnsi"/>
          <w:sz w:val="20"/>
          <w:szCs w:val="20"/>
        </w:rPr>
      </w:pPr>
    </w:p>
    <w:p w14:paraId="3485B0F5" w14:textId="77777777" w:rsidR="00BE1DA0" w:rsidRPr="009E773A" w:rsidRDefault="00502AD3" w:rsidP="009A79B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r w:rsidRPr="009E773A">
        <w:rPr>
          <w:rFonts w:asciiTheme="majorHAnsi" w:hAnsiTheme="majorHAnsi"/>
          <w:sz w:val="20"/>
          <w:szCs w:val="20"/>
        </w:rPr>
        <w:t xml:space="preserve">Jimmy Guerrero nació </w:t>
      </w:r>
      <w:r w:rsidR="000A4FCF" w:rsidRPr="009E773A">
        <w:rPr>
          <w:rFonts w:asciiTheme="majorHAnsi" w:hAnsiTheme="majorHAnsi"/>
          <w:sz w:val="20"/>
          <w:szCs w:val="20"/>
        </w:rPr>
        <w:t>el 19 de abril de 1976</w:t>
      </w:r>
      <w:r w:rsidR="00BE1DA0" w:rsidRPr="009E773A">
        <w:rPr>
          <w:rFonts w:asciiTheme="majorHAnsi" w:hAnsiTheme="majorHAnsi"/>
          <w:sz w:val="20"/>
          <w:szCs w:val="20"/>
        </w:rPr>
        <w:t xml:space="preserve"> en </w:t>
      </w:r>
      <w:r w:rsidR="004033D2" w:rsidRPr="009E773A">
        <w:rPr>
          <w:rFonts w:asciiTheme="majorHAnsi" w:hAnsiTheme="majorHAnsi"/>
          <w:sz w:val="20"/>
          <w:szCs w:val="20"/>
        </w:rPr>
        <w:t>el</w:t>
      </w:r>
      <w:r w:rsidR="00BE1DA0" w:rsidRPr="009E773A">
        <w:rPr>
          <w:rFonts w:asciiTheme="majorHAnsi" w:hAnsiTheme="majorHAnsi"/>
          <w:sz w:val="20"/>
          <w:szCs w:val="20"/>
        </w:rPr>
        <w:t xml:space="preserve"> estado Falcón</w:t>
      </w:r>
      <w:r w:rsidR="00095221" w:rsidRPr="009E773A">
        <w:rPr>
          <w:rFonts w:asciiTheme="majorHAnsi" w:hAnsiTheme="majorHAnsi"/>
          <w:sz w:val="20"/>
          <w:szCs w:val="20"/>
        </w:rPr>
        <w:t>, Venezuela</w:t>
      </w:r>
      <w:r w:rsidR="00BE1DA0" w:rsidRPr="009E773A">
        <w:rPr>
          <w:rFonts w:asciiTheme="majorHAnsi" w:hAnsiTheme="majorHAnsi"/>
          <w:sz w:val="20"/>
          <w:szCs w:val="20"/>
        </w:rPr>
        <w:t xml:space="preserve">. </w:t>
      </w:r>
      <w:r w:rsidR="000A4FCF" w:rsidRPr="009E773A">
        <w:rPr>
          <w:rFonts w:asciiTheme="majorHAnsi" w:hAnsiTheme="majorHAnsi"/>
          <w:sz w:val="20"/>
          <w:szCs w:val="20"/>
        </w:rPr>
        <w:t>Para la fecha de los hechos</w:t>
      </w:r>
      <w:r w:rsidR="00063914" w:rsidRPr="009E773A">
        <w:rPr>
          <w:rFonts w:asciiTheme="majorHAnsi" w:hAnsiTheme="majorHAnsi"/>
          <w:sz w:val="20"/>
          <w:szCs w:val="20"/>
        </w:rPr>
        <w:t xml:space="preserve"> tenía 26 años de edad.</w:t>
      </w:r>
      <w:r w:rsidR="00BE1DA0" w:rsidRPr="009E773A">
        <w:rPr>
          <w:rFonts w:asciiTheme="majorHAnsi" w:hAnsiTheme="majorHAnsi"/>
          <w:sz w:val="20"/>
          <w:szCs w:val="20"/>
        </w:rPr>
        <w:t xml:space="preserve"> En el expediente ante la CIDH se han identificado los siguientes familiares: </w:t>
      </w:r>
      <w:r w:rsidR="000E381D" w:rsidRPr="009E773A">
        <w:rPr>
          <w:rFonts w:asciiTheme="majorHAnsi" w:hAnsiTheme="majorHAnsi"/>
          <w:sz w:val="20"/>
          <w:szCs w:val="20"/>
        </w:rPr>
        <w:t>Nieves Guerrero</w:t>
      </w:r>
      <w:r w:rsidR="002F3DB4" w:rsidRPr="009E773A">
        <w:rPr>
          <w:rFonts w:asciiTheme="majorHAnsi" w:hAnsiTheme="majorHAnsi"/>
          <w:sz w:val="20"/>
          <w:szCs w:val="20"/>
        </w:rPr>
        <w:t xml:space="preserve"> </w:t>
      </w:r>
      <w:r w:rsidR="00BE1DA0" w:rsidRPr="009E773A">
        <w:rPr>
          <w:rFonts w:asciiTheme="majorHAnsi" w:hAnsiTheme="majorHAnsi"/>
          <w:sz w:val="20"/>
          <w:szCs w:val="20"/>
        </w:rPr>
        <w:t>(padre), E</w:t>
      </w:r>
      <w:r w:rsidRPr="009E773A">
        <w:rPr>
          <w:rFonts w:asciiTheme="majorHAnsi" w:hAnsiTheme="majorHAnsi"/>
          <w:sz w:val="20"/>
          <w:szCs w:val="20"/>
        </w:rPr>
        <w:t>milia Meléndez</w:t>
      </w:r>
      <w:r w:rsidR="00BE1DA0" w:rsidRPr="009E773A">
        <w:rPr>
          <w:rFonts w:asciiTheme="majorHAnsi" w:hAnsiTheme="majorHAnsi"/>
          <w:sz w:val="20"/>
          <w:szCs w:val="20"/>
        </w:rPr>
        <w:t xml:space="preserve"> (madre)</w:t>
      </w:r>
      <w:r w:rsidRPr="009E773A">
        <w:rPr>
          <w:rFonts w:asciiTheme="majorHAnsi" w:hAnsiTheme="majorHAnsi"/>
          <w:sz w:val="20"/>
          <w:szCs w:val="20"/>
        </w:rPr>
        <w:t xml:space="preserve">; </w:t>
      </w:r>
      <w:r w:rsidR="00BE1DA0" w:rsidRPr="009E773A">
        <w:rPr>
          <w:rFonts w:asciiTheme="majorHAnsi" w:hAnsiTheme="majorHAnsi"/>
          <w:sz w:val="20"/>
          <w:szCs w:val="20"/>
        </w:rPr>
        <w:t>sus hermanos y hermana: Franklin, Yarelis y Jean Carlos, todos de apellido Guerrero; y sus hijos e hijas, María Guadalupe Guerrero, Francisco Guerrero, Yimmi Eliécer Colina, Jiannibeth Stephanny Colina, y Diana Colina, quienes tenían 8, 7, 6, 5 y 4 años</w:t>
      </w:r>
      <w:r w:rsidR="00CA4536" w:rsidRPr="009E773A">
        <w:rPr>
          <w:rFonts w:asciiTheme="majorHAnsi" w:hAnsiTheme="majorHAnsi"/>
          <w:sz w:val="20"/>
          <w:szCs w:val="20"/>
        </w:rPr>
        <w:t xml:space="preserve"> al momento de </w:t>
      </w:r>
      <w:r w:rsidR="00095221" w:rsidRPr="009E773A">
        <w:rPr>
          <w:rFonts w:asciiTheme="majorHAnsi" w:hAnsiTheme="majorHAnsi"/>
          <w:sz w:val="20"/>
          <w:szCs w:val="20"/>
        </w:rPr>
        <w:t>presentarse la</w:t>
      </w:r>
      <w:r w:rsidR="00CA4536" w:rsidRPr="009E773A">
        <w:rPr>
          <w:rFonts w:asciiTheme="majorHAnsi" w:hAnsiTheme="majorHAnsi"/>
          <w:sz w:val="20"/>
          <w:szCs w:val="20"/>
        </w:rPr>
        <w:t xml:space="preserve"> petición inicial</w:t>
      </w:r>
      <w:r w:rsidR="00BE1DA0" w:rsidRPr="009E773A">
        <w:rPr>
          <w:rFonts w:asciiTheme="majorHAnsi" w:hAnsiTheme="majorHAnsi"/>
          <w:sz w:val="20"/>
          <w:szCs w:val="20"/>
        </w:rPr>
        <w:t>. También se identificó a su sobrina Fraily Guerrero</w:t>
      </w:r>
      <w:r w:rsidR="00BE1DA0" w:rsidRPr="009E773A">
        <w:rPr>
          <w:rStyle w:val="FootnoteReference"/>
          <w:rFonts w:asciiTheme="majorHAnsi" w:hAnsiTheme="majorHAnsi"/>
          <w:sz w:val="20"/>
          <w:szCs w:val="20"/>
        </w:rPr>
        <w:footnoteReference w:id="20"/>
      </w:r>
      <w:r w:rsidR="00BE1DA0" w:rsidRPr="009E773A">
        <w:rPr>
          <w:rFonts w:asciiTheme="majorHAnsi" w:hAnsiTheme="majorHAnsi"/>
          <w:sz w:val="20"/>
          <w:szCs w:val="20"/>
        </w:rPr>
        <w:t>, y a su pareja Anny Colina</w:t>
      </w:r>
      <w:r w:rsidR="004033D2" w:rsidRPr="009E773A">
        <w:rPr>
          <w:rFonts w:asciiTheme="majorHAnsi" w:hAnsiTheme="majorHAnsi"/>
          <w:sz w:val="20"/>
          <w:szCs w:val="20"/>
        </w:rPr>
        <w:t>, quien se encontraba embarazada al momento de los hechos</w:t>
      </w:r>
      <w:r w:rsidR="005B3936" w:rsidRPr="009E773A">
        <w:rPr>
          <w:rStyle w:val="FootnoteReference"/>
          <w:rFonts w:asciiTheme="majorHAnsi" w:hAnsiTheme="majorHAnsi"/>
          <w:sz w:val="20"/>
          <w:szCs w:val="20"/>
        </w:rPr>
        <w:footnoteReference w:id="21"/>
      </w:r>
      <w:r w:rsidR="00BE1DA0" w:rsidRPr="009E773A">
        <w:rPr>
          <w:rFonts w:asciiTheme="majorHAnsi" w:hAnsiTheme="majorHAnsi"/>
          <w:sz w:val="20"/>
          <w:szCs w:val="20"/>
        </w:rPr>
        <w:t xml:space="preserve">. </w:t>
      </w:r>
    </w:p>
    <w:p w14:paraId="07E27C0D" w14:textId="77777777" w:rsidR="00204027" w:rsidRPr="009E773A" w:rsidRDefault="00204027" w:rsidP="009A79B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634"/>
        <w:jc w:val="both"/>
        <w:rPr>
          <w:rFonts w:asciiTheme="majorHAnsi" w:hAnsiTheme="majorHAnsi"/>
          <w:sz w:val="20"/>
          <w:szCs w:val="20"/>
        </w:rPr>
      </w:pPr>
    </w:p>
    <w:p w14:paraId="16BDB86C" w14:textId="76C4208B" w:rsidR="003D1484" w:rsidRPr="009E773A" w:rsidRDefault="00204027" w:rsidP="009A79B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r w:rsidRPr="009E773A">
        <w:rPr>
          <w:rFonts w:asciiTheme="majorHAnsi" w:hAnsiTheme="majorHAnsi"/>
          <w:sz w:val="20"/>
          <w:szCs w:val="20"/>
        </w:rPr>
        <w:t>Ramón Molina</w:t>
      </w:r>
      <w:r w:rsidR="00095221" w:rsidRPr="009E773A">
        <w:rPr>
          <w:rFonts w:asciiTheme="majorHAnsi" w:hAnsiTheme="majorHAnsi"/>
          <w:sz w:val="20"/>
          <w:szCs w:val="20"/>
        </w:rPr>
        <w:t xml:space="preserve"> era</w:t>
      </w:r>
      <w:r w:rsidRPr="009E773A">
        <w:rPr>
          <w:rFonts w:asciiTheme="majorHAnsi" w:hAnsiTheme="majorHAnsi"/>
          <w:sz w:val="20"/>
          <w:szCs w:val="20"/>
        </w:rPr>
        <w:t xml:space="preserve"> tío de Jimmy Guerrero </w:t>
      </w:r>
      <w:r w:rsidR="00095221" w:rsidRPr="009E773A">
        <w:rPr>
          <w:rFonts w:asciiTheme="majorHAnsi" w:hAnsiTheme="majorHAnsi"/>
          <w:sz w:val="20"/>
          <w:szCs w:val="20"/>
        </w:rPr>
        <w:t xml:space="preserve">y para el momento de los hechos tenía </w:t>
      </w:r>
      <w:r w:rsidR="0007340B" w:rsidRPr="009E773A">
        <w:rPr>
          <w:rFonts w:asciiTheme="majorHAnsi" w:hAnsiTheme="majorHAnsi"/>
          <w:sz w:val="20"/>
          <w:szCs w:val="20"/>
        </w:rPr>
        <w:t>49</w:t>
      </w:r>
      <w:r w:rsidR="00095221" w:rsidRPr="009E773A">
        <w:rPr>
          <w:rFonts w:asciiTheme="majorHAnsi" w:hAnsiTheme="majorHAnsi"/>
          <w:sz w:val="20"/>
          <w:szCs w:val="20"/>
        </w:rPr>
        <w:t xml:space="preserve"> años de edad</w:t>
      </w:r>
      <w:r w:rsidRPr="009E773A">
        <w:rPr>
          <w:rStyle w:val="FootnoteReference"/>
          <w:rFonts w:asciiTheme="majorHAnsi" w:hAnsiTheme="majorHAnsi"/>
          <w:sz w:val="20"/>
          <w:szCs w:val="20"/>
        </w:rPr>
        <w:footnoteReference w:id="22"/>
      </w:r>
      <w:r w:rsidRPr="009E773A">
        <w:rPr>
          <w:rFonts w:asciiTheme="majorHAnsi" w:hAnsiTheme="majorHAnsi"/>
          <w:sz w:val="20"/>
          <w:szCs w:val="20"/>
        </w:rPr>
        <w:t xml:space="preserve">. </w:t>
      </w:r>
      <w:r w:rsidR="006A2FA3" w:rsidRPr="009E773A">
        <w:rPr>
          <w:rFonts w:asciiTheme="majorHAnsi" w:hAnsiTheme="majorHAnsi"/>
          <w:sz w:val="20"/>
          <w:szCs w:val="20"/>
        </w:rPr>
        <w:t xml:space="preserve">En el expediente ante la CIDH se han identificado los siguientes familiares del señor Molina: </w:t>
      </w:r>
      <w:r w:rsidR="00D13C4A" w:rsidRPr="009E773A">
        <w:rPr>
          <w:rFonts w:asciiTheme="majorHAnsi" w:hAnsiTheme="majorHAnsi"/>
          <w:sz w:val="20"/>
          <w:szCs w:val="20"/>
        </w:rPr>
        <w:t>s</w:t>
      </w:r>
      <w:r w:rsidR="00502AD3" w:rsidRPr="009E773A">
        <w:rPr>
          <w:rFonts w:asciiTheme="majorHAnsi" w:hAnsiTheme="majorHAnsi"/>
          <w:sz w:val="20"/>
          <w:szCs w:val="20"/>
        </w:rPr>
        <w:t xml:space="preserve">u esposa </w:t>
      </w:r>
      <w:r w:rsidR="00550166" w:rsidRPr="009E773A">
        <w:rPr>
          <w:rFonts w:asciiTheme="majorHAnsi" w:hAnsiTheme="majorHAnsi"/>
          <w:sz w:val="20"/>
          <w:szCs w:val="20"/>
        </w:rPr>
        <w:t>Soledad Morillo</w:t>
      </w:r>
      <w:r w:rsidR="00502AD3" w:rsidRPr="009E773A">
        <w:rPr>
          <w:rFonts w:asciiTheme="majorHAnsi" w:hAnsiTheme="majorHAnsi"/>
          <w:sz w:val="20"/>
          <w:szCs w:val="20"/>
        </w:rPr>
        <w:t>;</w:t>
      </w:r>
      <w:r w:rsidR="00F86022" w:rsidRPr="009E773A">
        <w:rPr>
          <w:rFonts w:asciiTheme="majorHAnsi" w:hAnsiTheme="majorHAnsi"/>
          <w:sz w:val="20"/>
          <w:szCs w:val="20"/>
        </w:rPr>
        <w:t xml:space="preserve"> y</w:t>
      </w:r>
      <w:r w:rsidR="00502AD3" w:rsidRPr="009E773A">
        <w:rPr>
          <w:rFonts w:asciiTheme="majorHAnsi" w:hAnsiTheme="majorHAnsi"/>
          <w:sz w:val="20"/>
          <w:szCs w:val="20"/>
        </w:rPr>
        <w:t xml:space="preserve"> sus hijos Alexander Ramón Molina, </w:t>
      </w:r>
      <w:r w:rsidR="00F86022" w:rsidRPr="009E773A">
        <w:rPr>
          <w:rFonts w:asciiTheme="majorHAnsi" w:hAnsiTheme="majorHAnsi"/>
          <w:sz w:val="20"/>
          <w:szCs w:val="20"/>
        </w:rPr>
        <w:t>Jeannacary Molina</w:t>
      </w:r>
      <w:r w:rsidR="00A55BB7" w:rsidRPr="009E773A">
        <w:rPr>
          <w:rFonts w:asciiTheme="majorHAnsi" w:hAnsiTheme="majorHAnsi"/>
          <w:sz w:val="20"/>
          <w:szCs w:val="20"/>
        </w:rPr>
        <w:t xml:space="preserve">, </w:t>
      </w:r>
      <w:r w:rsidR="001771BE" w:rsidRPr="009E773A">
        <w:rPr>
          <w:rFonts w:asciiTheme="majorHAnsi" w:hAnsiTheme="majorHAnsi"/>
          <w:sz w:val="20"/>
          <w:szCs w:val="20"/>
        </w:rPr>
        <w:t>Y</w:t>
      </w:r>
      <w:r w:rsidR="00F16894" w:rsidRPr="009E773A">
        <w:rPr>
          <w:rFonts w:asciiTheme="majorHAnsi" w:hAnsiTheme="majorHAnsi"/>
          <w:sz w:val="20"/>
          <w:szCs w:val="20"/>
        </w:rPr>
        <w:t xml:space="preserve">azmín Molina, </w:t>
      </w:r>
      <w:r w:rsidR="00A55BB7" w:rsidRPr="009E773A">
        <w:rPr>
          <w:rFonts w:asciiTheme="majorHAnsi" w:hAnsiTheme="majorHAnsi"/>
          <w:sz w:val="20"/>
          <w:szCs w:val="20"/>
        </w:rPr>
        <w:t xml:space="preserve">Endy Molina </w:t>
      </w:r>
      <w:r w:rsidR="00265320" w:rsidRPr="009E773A">
        <w:rPr>
          <w:rFonts w:asciiTheme="majorHAnsi" w:hAnsiTheme="majorHAnsi"/>
          <w:sz w:val="20"/>
          <w:szCs w:val="20"/>
        </w:rPr>
        <w:t>y</w:t>
      </w:r>
      <w:r w:rsidR="00A55BB7" w:rsidRPr="009E773A">
        <w:rPr>
          <w:rFonts w:asciiTheme="majorHAnsi" w:hAnsiTheme="majorHAnsi"/>
          <w:sz w:val="20"/>
          <w:szCs w:val="20"/>
        </w:rPr>
        <w:t xml:space="preserve"> Ramón Molina, quienes a la fecha de los años tenían 28, 25, 2</w:t>
      </w:r>
      <w:r w:rsidR="00F16894" w:rsidRPr="009E773A">
        <w:rPr>
          <w:rFonts w:asciiTheme="majorHAnsi" w:hAnsiTheme="majorHAnsi"/>
          <w:sz w:val="20"/>
          <w:szCs w:val="20"/>
        </w:rPr>
        <w:t>3</w:t>
      </w:r>
      <w:r w:rsidR="00A55BB7" w:rsidRPr="009E773A">
        <w:rPr>
          <w:rFonts w:asciiTheme="majorHAnsi" w:hAnsiTheme="majorHAnsi"/>
          <w:sz w:val="20"/>
          <w:szCs w:val="20"/>
        </w:rPr>
        <w:t>, 2</w:t>
      </w:r>
      <w:r w:rsidR="00F16894" w:rsidRPr="009E773A">
        <w:rPr>
          <w:rFonts w:asciiTheme="majorHAnsi" w:hAnsiTheme="majorHAnsi"/>
          <w:sz w:val="20"/>
          <w:szCs w:val="20"/>
        </w:rPr>
        <w:t>1</w:t>
      </w:r>
      <w:r w:rsidR="009722C8" w:rsidRPr="009E773A">
        <w:rPr>
          <w:rFonts w:asciiTheme="majorHAnsi" w:hAnsiTheme="majorHAnsi"/>
          <w:sz w:val="20"/>
          <w:szCs w:val="20"/>
        </w:rPr>
        <w:t xml:space="preserve"> y</w:t>
      </w:r>
      <w:r w:rsidR="00A55BB7" w:rsidRPr="009E773A">
        <w:rPr>
          <w:rFonts w:asciiTheme="majorHAnsi" w:hAnsiTheme="majorHAnsi"/>
          <w:sz w:val="20"/>
          <w:szCs w:val="20"/>
        </w:rPr>
        <w:t xml:space="preserve"> 15 años</w:t>
      </w:r>
      <w:r w:rsidR="006A2FA3" w:rsidRPr="009E773A">
        <w:rPr>
          <w:rFonts w:asciiTheme="majorHAnsi" w:hAnsiTheme="majorHAnsi"/>
          <w:sz w:val="20"/>
          <w:szCs w:val="20"/>
        </w:rPr>
        <w:t>,</w:t>
      </w:r>
      <w:r w:rsidR="00A55BB7" w:rsidRPr="009E773A">
        <w:rPr>
          <w:rFonts w:asciiTheme="majorHAnsi" w:hAnsiTheme="majorHAnsi"/>
          <w:sz w:val="20"/>
          <w:szCs w:val="20"/>
        </w:rPr>
        <w:t xml:space="preserve"> respectivamente</w:t>
      </w:r>
      <w:r w:rsidR="00502AD3" w:rsidRPr="009E773A">
        <w:rPr>
          <w:rStyle w:val="FootnoteReference"/>
          <w:rFonts w:asciiTheme="majorHAnsi" w:hAnsiTheme="majorHAnsi"/>
          <w:sz w:val="20"/>
          <w:szCs w:val="20"/>
        </w:rPr>
        <w:footnoteReference w:id="23"/>
      </w:r>
      <w:r w:rsidR="00502AD3" w:rsidRPr="009E773A">
        <w:rPr>
          <w:rFonts w:asciiTheme="majorHAnsi" w:hAnsiTheme="majorHAnsi"/>
          <w:sz w:val="20"/>
          <w:szCs w:val="20"/>
        </w:rPr>
        <w:t>.</w:t>
      </w:r>
      <w:r w:rsidR="00100015" w:rsidRPr="009E773A">
        <w:rPr>
          <w:rFonts w:asciiTheme="majorHAnsi" w:hAnsiTheme="majorHAnsi"/>
          <w:sz w:val="20"/>
          <w:szCs w:val="20"/>
        </w:rPr>
        <w:t xml:space="preserve"> </w:t>
      </w:r>
    </w:p>
    <w:p w14:paraId="0758B578" w14:textId="77777777" w:rsidR="003D1484" w:rsidRPr="009E773A" w:rsidRDefault="003D1484" w:rsidP="009A79B6">
      <w:pPr>
        <w:pStyle w:val="ListParagraph"/>
        <w:rPr>
          <w:rFonts w:asciiTheme="majorHAnsi" w:hAnsiTheme="majorHAnsi"/>
          <w:sz w:val="20"/>
          <w:szCs w:val="20"/>
          <w:lang w:val="es-US"/>
        </w:rPr>
      </w:pPr>
    </w:p>
    <w:p w14:paraId="713672D7" w14:textId="77777777" w:rsidR="005B4769" w:rsidRPr="009E773A" w:rsidRDefault="001F5C7C" w:rsidP="009A79B6">
      <w:pPr>
        <w:pStyle w:val="Heading2"/>
        <w:ind w:firstLine="0"/>
      </w:pPr>
      <w:bookmarkStart w:id="15" w:name="_Toc2159213"/>
      <w:r w:rsidRPr="009E773A">
        <w:t>Hechos previos a la muerte de Jimmy Guerrero y Ramón Antonio Molina</w:t>
      </w:r>
      <w:bookmarkEnd w:id="15"/>
    </w:p>
    <w:p w14:paraId="50E08F6D" w14:textId="77777777" w:rsidR="00502AD3" w:rsidRPr="009E773A" w:rsidRDefault="00502AD3" w:rsidP="009A79B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634"/>
        <w:jc w:val="both"/>
        <w:rPr>
          <w:rFonts w:asciiTheme="majorHAnsi" w:hAnsiTheme="majorHAnsi"/>
          <w:sz w:val="20"/>
          <w:szCs w:val="20"/>
        </w:rPr>
      </w:pPr>
    </w:p>
    <w:p w14:paraId="51EB2309" w14:textId="77777777" w:rsidR="0073270A" w:rsidRPr="009E773A" w:rsidRDefault="00740B94" w:rsidP="009A79B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r w:rsidRPr="009E773A">
        <w:rPr>
          <w:rFonts w:asciiTheme="majorHAnsi" w:hAnsiTheme="majorHAnsi"/>
          <w:sz w:val="20"/>
          <w:szCs w:val="20"/>
        </w:rPr>
        <w:t xml:space="preserve">En el expediente ante la Comisión consta </w:t>
      </w:r>
      <w:r w:rsidR="00C73697" w:rsidRPr="009E773A">
        <w:rPr>
          <w:rFonts w:asciiTheme="majorHAnsi" w:hAnsiTheme="majorHAnsi"/>
          <w:sz w:val="20"/>
          <w:szCs w:val="20"/>
        </w:rPr>
        <w:t>documentación relacionada</w:t>
      </w:r>
      <w:r w:rsidRPr="009E773A">
        <w:rPr>
          <w:rFonts w:asciiTheme="majorHAnsi" w:hAnsiTheme="majorHAnsi"/>
          <w:sz w:val="20"/>
          <w:szCs w:val="20"/>
        </w:rPr>
        <w:t xml:space="preserve"> con hechos previos a la muerte de Jimmy Guerrero, específicamente </w:t>
      </w:r>
      <w:r w:rsidR="00C73697" w:rsidRPr="009E773A">
        <w:rPr>
          <w:rFonts w:asciiTheme="majorHAnsi" w:hAnsiTheme="majorHAnsi"/>
          <w:sz w:val="20"/>
          <w:szCs w:val="20"/>
        </w:rPr>
        <w:t xml:space="preserve">denuncias presentadas por </w:t>
      </w:r>
      <w:r w:rsidRPr="009E773A">
        <w:rPr>
          <w:rFonts w:asciiTheme="majorHAnsi" w:hAnsiTheme="majorHAnsi"/>
          <w:sz w:val="20"/>
          <w:szCs w:val="20"/>
        </w:rPr>
        <w:t>amenazas de muerte, acoso y detenc</w:t>
      </w:r>
      <w:r w:rsidR="009D7A58" w:rsidRPr="009E773A">
        <w:rPr>
          <w:rFonts w:asciiTheme="majorHAnsi" w:hAnsiTheme="majorHAnsi"/>
          <w:sz w:val="20"/>
          <w:szCs w:val="20"/>
        </w:rPr>
        <w:t xml:space="preserve">iones arbitrarias en el Ministerio Público, la Defensoría del Pueblo y la opinión pública a través de medios de comunicación social. </w:t>
      </w:r>
    </w:p>
    <w:p w14:paraId="44ABF353" w14:textId="77777777" w:rsidR="0073270A" w:rsidRPr="009E773A" w:rsidRDefault="0073270A" w:rsidP="009A79B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Theme="majorHAnsi" w:hAnsiTheme="majorHAnsi"/>
          <w:sz w:val="20"/>
          <w:szCs w:val="20"/>
        </w:rPr>
      </w:pPr>
    </w:p>
    <w:p w14:paraId="13A295F1" w14:textId="30FCCD58" w:rsidR="00EB100E" w:rsidRPr="009E773A" w:rsidRDefault="00C73697" w:rsidP="009A79B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r w:rsidRPr="009E773A">
        <w:rPr>
          <w:rFonts w:asciiTheme="majorHAnsi" w:hAnsiTheme="majorHAnsi"/>
          <w:sz w:val="20"/>
          <w:szCs w:val="20"/>
        </w:rPr>
        <w:t xml:space="preserve">Jimmy Guerrero </w:t>
      </w:r>
      <w:r w:rsidR="0073270A" w:rsidRPr="009E773A">
        <w:rPr>
          <w:rFonts w:asciiTheme="majorHAnsi" w:hAnsiTheme="majorHAnsi"/>
          <w:sz w:val="20"/>
          <w:szCs w:val="20"/>
        </w:rPr>
        <w:t>denunció</w:t>
      </w:r>
      <w:r w:rsidR="00EB100E" w:rsidRPr="009E773A">
        <w:rPr>
          <w:rFonts w:asciiTheme="majorHAnsi" w:hAnsiTheme="majorHAnsi"/>
          <w:sz w:val="20"/>
          <w:szCs w:val="20"/>
        </w:rPr>
        <w:t xml:space="preserve">, </w:t>
      </w:r>
      <w:r w:rsidRPr="009E773A">
        <w:rPr>
          <w:rFonts w:asciiTheme="majorHAnsi" w:hAnsiTheme="majorHAnsi"/>
          <w:sz w:val="20"/>
          <w:szCs w:val="20"/>
        </w:rPr>
        <w:t>el 16 de agosto de 2001</w:t>
      </w:r>
      <w:r w:rsidR="00EB100E" w:rsidRPr="009E773A">
        <w:rPr>
          <w:rFonts w:asciiTheme="majorHAnsi" w:hAnsiTheme="majorHAnsi"/>
          <w:sz w:val="20"/>
          <w:szCs w:val="20"/>
        </w:rPr>
        <w:t>,</w:t>
      </w:r>
      <w:r w:rsidRPr="009E773A">
        <w:rPr>
          <w:rFonts w:asciiTheme="majorHAnsi" w:hAnsiTheme="majorHAnsi"/>
          <w:sz w:val="20"/>
          <w:szCs w:val="20"/>
        </w:rPr>
        <w:t xml:space="preserve"> </w:t>
      </w:r>
      <w:r w:rsidR="007936A0" w:rsidRPr="009E773A">
        <w:rPr>
          <w:rFonts w:asciiTheme="majorHAnsi" w:hAnsiTheme="majorHAnsi"/>
          <w:sz w:val="20"/>
          <w:szCs w:val="20"/>
        </w:rPr>
        <w:t xml:space="preserve">“acosamiento policial” </w:t>
      </w:r>
      <w:r w:rsidRPr="009E773A">
        <w:rPr>
          <w:rFonts w:asciiTheme="majorHAnsi" w:hAnsiTheme="majorHAnsi"/>
          <w:sz w:val="20"/>
          <w:szCs w:val="20"/>
        </w:rPr>
        <w:t>ante la Fisca</w:t>
      </w:r>
      <w:r w:rsidR="0073270A" w:rsidRPr="009E773A">
        <w:rPr>
          <w:rFonts w:asciiTheme="majorHAnsi" w:hAnsiTheme="majorHAnsi"/>
          <w:sz w:val="20"/>
          <w:szCs w:val="20"/>
        </w:rPr>
        <w:t>lía Superior del estado Falcón</w:t>
      </w:r>
      <w:r w:rsidR="00EB100E" w:rsidRPr="009E773A">
        <w:rPr>
          <w:rFonts w:asciiTheme="majorHAnsi" w:hAnsiTheme="majorHAnsi"/>
          <w:sz w:val="20"/>
          <w:szCs w:val="20"/>
        </w:rPr>
        <w:t xml:space="preserve"> (en adelante “la Fiscalía Superior”). </w:t>
      </w:r>
      <w:r w:rsidR="00AC3E37" w:rsidRPr="009E773A">
        <w:rPr>
          <w:rFonts w:asciiTheme="majorHAnsi" w:hAnsiTheme="majorHAnsi"/>
          <w:sz w:val="20"/>
          <w:szCs w:val="20"/>
        </w:rPr>
        <w:t>S</w:t>
      </w:r>
      <w:r w:rsidR="00100015" w:rsidRPr="009E773A">
        <w:rPr>
          <w:rFonts w:asciiTheme="majorHAnsi" w:hAnsiTheme="majorHAnsi"/>
          <w:sz w:val="20"/>
          <w:szCs w:val="20"/>
        </w:rPr>
        <w:t>eñaló que en la noche del 13 de agosto de 2001 “</w:t>
      </w:r>
      <w:r w:rsidR="0046232F" w:rsidRPr="009E773A">
        <w:rPr>
          <w:rFonts w:asciiTheme="majorHAnsi" w:hAnsiTheme="majorHAnsi"/>
          <w:sz w:val="20"/>
          <w:szCs w:val="20"/>
        </w:rPr>
        <w:t xml:space="preserve">un motorizado se acercó </w:t>
      </w:r>
      <w:r w:rsidR="0046232F" w:rsidRPr="009E773A">
        <w:rPr>
          <w:rFonts w:asciiTheme="majorHAnsi" w:hAnsiTheme="majorHAnsi"/>
          <w:sz w:val="20"/>
          <w:szCs w:val="20"/>
        </w:rPr>
        <w:lastRenderedPageBreak/>
        <w:t>y me amenazó de muerte y advirtiéndome que siempre ande acompañado porque en lo q</w:t>
      </w:r>
      <w:r w:rsidR="00791849" w:rsidRPr="009E773A">
        <w:rPr>
          <w:rFonts w:asciiTheme="majorHAnsi" w:hAnsiTheme="majorHAnsi"/>
          <w:sz w:val="20"/>
          <w:szCs w:val="20"/>
        </w:rPr>
        <w:t>ue me viera sólo me iba a matar</w:t>
      </w:r>
      <w:r w:rsidR="00100015" w:rsidRPr="009E773A">
        <w:rPr>
          <w:rFonts w:asciiTheme="majorHAnsi" w:hAnsiTheme="majorHAnsi"/>
          <w:sz w:val="20"/>
          <w:szCs w:val="20"/>
        </w:rPr>
        <w:t>”</w:t>
      </w:r>
      <w:r w:rsidR="00691C44" w:rsidRPr="009E773A">
        <w:rPr>
          <w:rStyle w:val="FootnoteReference"/>
          <w:rFonts w:asciiTheme="majorHAnsi" w:hAnsiTheme="majorHAnsi"/>
          <w:sz w:val="20"/>
          <w:szCs w:val="20"/>
        </w:rPr>
        <w:footnoteReference w:id="24"/>
      </w:r>
      <w:r w:rsidR="00691C44" w:rsidRPr="009E773A">
        <w:rPr>
          <w:rFonts w:asciiTheme="majorHAnsi" w:hAnsiTheme="majorHAnsi"/>
          <w:sz w:val="20"/>
          <w:szCs w:val="20"/>
        </w:rPr>
        <w:t xml:space="preserve">. </w:t>
      </w:r>
      <w:r w:rsidR="0073270A" w:rsidRPr="009E773A">
        <w:rPr>
          <w:rFonts w:asciiTheme="majorHAnsi" w:hAnsiTheme="majorHAnsi"/>
          <w:sz w:val="20"/>
          <w:szCs w:val="20"/>
        </w:rPr>
        <w:t>E</w:t>
      </w:r>
      <w:r w:rsidR="00285BE3" w:rsidRPr="009E773A">
        <w:rPr>
          <w:rFonts w:asciiTheme="majorHAnsi" w:hAnsiTheme="majorHAnsi"/>
          <w:sz w:val="20"/>
          <w:szCs w:val="20"/>
        </w:rPr>
        <w:t>l 19 de agosto de 2002</w:t>
      </w:r>
      <w:r w:rsidR="007936A0" w:rsidRPr="009E773A">
        <w:rPr>
          <w:rFonts w:asciiTheme="majorHAnsi" w:hAnsiTheme="majorHAnsi"/>
          <w:sz w:val="20"/>
          <w:szCs w:val="20"/>
        </w:rPr>
        <w:t xml:space="preserve"> </w:t>
      </w:r>
      <w:r w:rsidR="00EB100E" w:rsidRPr="009E773A">
        <w:rPr>
          <w:rFonts w:asciiTheme="majorHAnsi" w:hAnsiTheme="majorHAnsi"/>
          <w:sz w:val="20"/>
          <w:szCs w:val="20"/>
        </w:rPr>
        <w:t>la Fiscalía Superior</w:t>
      </w:r>
      <w:r w:rsidR="007936A0" w:rsidRPr="009E773A">
        <w:rPr>
          <w:rFonts w:asciiTheme="majorHAnsi" w:hAnsiTheme="majorHAnsi"/>
          <w:sz w:val="20"/>
          <w:szCs w:val="20"/>
        </w:rPr>
        <w:t xml:space="preserve"> abrió</w:t>
      </w:r>
      <w:r w:rsidR="00691C44" w:rsidRPr="009E773A">
        <w:rPr>
          <w:rFonts w:asciiTheme="majorHAnsi" w:hAnsiTheme="majorHAnsi"/>
          <w:sz w:val="20"/>
          <w:szCs w:val="20"/>
        </w:rPr>
        <w:t xml:space="preserve"> la causa No. 2202-02, por el delito de amenazas </w:t>
      </w:r>
      <w:r w:rsidR="00EB100E" w:rsidRPr="009E773A">
        <w:rPr>
          <w:rFonts w:asciiTheme="majorHAnsi" w:hAnsiTheme="majorHAnsi"/>
          <w:sz w:val="20"/>
          <w:szCs w:val="20"/>
        </w:rPr>
        <w:t xml:space="preserve">de supuestos </w:t>
      </w:r>
      <w:r w:rsidR="00691C44" w:rsidRPr="009E773A">
        <w:rPr>
          <w:rFonts w:asciiTheme="majorHAnsi" w:hAnsiTheme="majorHAnsi"/>
          <w:sz w:val="20"/>
          <w:szCs w:val="20"/>
        </w:rPr>
        <w:t>funcionario policiales</w:t>
      </w:r>
      <w:r w:rsidR="00691C44" w:rsidRPr="009E773A">
        <w:rPr>
          <w:rStyle w:val="FootnoteReference"/>
          <w:rFonts w:asciiTheme="majorHAnsi" w:hAnsiTheme="majorHAnsi"/>
          <w:sz w:val="20"/>
          <w:szCs w:val="20"/>
        </w:rPr>
        <w:footnoteReference w:id="25"/>
      </w:r>
      <w:r w:rsidR="00EB100E" w:rsidRPr="009E773A">
        <w:rPr>
          <w:rFonts w:asciiTheme="majorHAnsi" w:hAnsiTheme="majorHAnsi"/>
          <w:sz w:val="20"/>
          <w:szCs w:val="20"/>
        </w:rPr>
        <w:t xml:space="preserve">, sin embargo, el </w:t>
      </w:r>
      <w:r w:rsidR="0095526E" w:rsidRPr="009E773A">
        <w:rPr>
          <w:rFonts w:asciiTheme="majorHAnsi" w:hAnsiTheme="majorHAnsi"/>
          <w:sz w:val="20"/>
          <w:szCs w:val="20"/>
        </w:rPr>
        <w:t>1</w:t>
      </w:r>
      <w:r w:rsidR="00285BE3" w:rsidRPr="009E773A">
        <w:rPr>
          <w:rFonts w:asciiTheme="majorHAnsi" w:hAnsiTheme="majorHAnsi"/>
          <w:sz w:val="20"/>
          <w:szCs w:val="20"/>
        </w:rPr>
        <w:t>3</w:t>
      </w:r>
      <w:r w:rsidR="0095526E" w:rsidRPr="009E773A">
        <w:rPr>
          <w:rFonts w:asciiTheme="majorHAnsi" w:hAnsiTheme="majorHAnsi"/>
          <w:sz w:val="20"/>
          <w:szCs w:val="20"/>
        </w:rPr>
        <w:t xml:space="preserve"> de septiembre de 2002</w:t>
      </w:r>
      <w:r w:rsidR="00EB100E" w:rsidRPr="009E773A">
        <w:rPr>
          <w:rFonts w:asciiTheme="majorHAnsi" w:hAnsiTheme="majorHAnsi"/>
          <w:sz w:val="20"/>
          <w:szCs w:val="20"/>
        </w:rPr>
        <w:t xml:space="preserve"> remitió</w:t>
      </w:r>
      <w:r w:rsidR="00691C44" w:rsidRPr="009E773A">
        <w:rPr>
          <w:rFonts w:asciiTheme="majorHAnsi" w:hAnsiTheme="majorHAnsi"/>
          <w:sz w:val="20"/>
          <w:szCs w:val="20"/>
        </w:rPr>
        <w:t xml:space="preserve"> el expediente a otra</w:t>
      </w:r>
      <w:r w:rsidR="0095526E" w:rsidRPr="009E773A">
        <w:rPr>
          <w:rFonts w:asciiTheme="majorHAnsi" w:hAnsiTheme="majorHAnsi"/>
          <w:sz w:val="20"/>
          <w:szCs w:val="20"/>
        </w:rPr>
        <w:t xml:space="preserve"> Fiscalía</w:t>
      </w:r>
      <w:r w:rsidR="00285BE3" w:rsidRPr="009E773A">
        <w:rPr>
          <w:rFonts w:asciiTheme="majorHAnsi" w:hAnsiTheme="majorHAnsi"/>
          <w:sz w:val="20"/>
          <w:szCs w:val="20"/>
        </w:rPr>
        <w:t xml:space="preserve"> “por cuanto en esa representación Fiscal cursa averiguación en su contra y su denuncia versa justamente con relación a dicha causa, pues lo</w:t>
      </w:r>
      <w:r w:rsidR="00E15346" w:rsidRPr="009E773A">
        <w:rPr>
          <w:rFonts w:asciiTheme="majorHAnsi" w:hAnsiTheme="majorHAnsi"/>
          <w:sz w:val="20"/>
          <w:szCs w:val="20"/>
        </w:rPr>
        <w:t>s</w:t>
      </w:r>
      <w:r w:rsidR="00285BE3" w:rsidRPr="009E773A">
        <w:rPr>
          <w:rFonts w:asciiTheme="majorHAnsi" w:hAnsiTheme="majorHAnsi"/>
          <w:sz w:val="20"/>
          <w:szCs w:val="20"/>
        </w:rPr>
        <w:t xml:space="preserve"> funcionarios policiales actuantes en dicho procedimiento son los señalados por parte dicho imputado de acosarlo y amenazarlo de muerte</w:t>
      </w:r>
      <w:r w:rsidR="0095526E" w:rsidRPr="009E773A">
        <w:rPr>
          <w:rFonts w:asciiTheme="majorHAnsi" w:hAnsiTheme="majorHAnsi"/>
          <w:sz w:val="20"/>
          <w:szCs w:val="20"/>
        </w:rPr>
        <w:t>”</w:t>
      </w:r>
      <w:r w:rsidR="0095526E" w:rsidRPr="009E773A">
        <w:rPr>
          <w:rStyle w:val="FootnoteReference"/>
          <w:rFonts w:asciiTheme="majorHAnsi" w:hAnsiTheme="majorHAnsi"/>
          <w:sz w:val="20"/>
          <w:szCs w:val="20"/>
        </w:rPr>
        <w:footnoteReference w:id="26"/>
      </w:r>
      <w:r w:rsidR="0095526E" w:rsidRPr="009E773A">
        <w:rPr>
          <w:rFonts w:asciiTheme="majorHAnsi" w:hAnsiTheme="majorHAnsi"/>
          <w:sz w:val="20"/>
          <w:szCs w:val="20"/>
        </w:rPr>
        <w:t xml:space="preserve">. </w:t>
      </w:r>
      <w:r w:rsidR="00EB100E" w:rsidRPr="009E773A">
        <w:rPr>
          <w:rFonts w:asciiTheme="majorHAnsi" w:hAnsiTheme="majorHAnsi"/>
          <w:sz w:val="20"/>
          <w:szCs w:val="20"/>
        </w:rPr>
        <w:t xml:space="preserve">No constan más diligencias. </w:t>
      </w:r>
    </w:p>
    <w:p w14:paraId="5F5EE968" w14:textId="77777777" w:rsidR="00EB100E" w:rsidRPr="009E773A" w:rsidRDefault="00EB100E" w:rsidP="009A79B6">
      <w:pPr>
        <w:pStyle w:val="ListParagraph"/>
        <w:rPr>
          <w:rFonts w:asciiTheme="majorHAnsi" w:hAnsiTheme="majorHAnsi"/>
          <w:sz w:val="20"/>
          <w:szCs w:val="20"/>
          <w:lang w:val="es-CO"/>
        </w:rPr>
      </w:pPr>
    </w:p>
    <w:p w14:paraId="572D3716" w14:textId="77777777" w:rsidR="009D7A58" w:rsidRPr="009E773A" w:rsidRDefault="007936A0" w:rsidP="009A79B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r w:rsidRPr="009E773A">
        <w:rPr>
          <w:rFonts w:asciiTheme="majorHAnsi" w:hAnsiTheme="majorHAnsi"/>
          <w:sz w:val="20"/>
          <w:szCs w:val="20"/>
        </w:rPr>
        <w:t xml:space="preserve">La segunda denuncia </w:t>
      </w:r>
      <w:r w:rsidR="004004D7" w:rsidRPr="009E773A">
        <w:rPr>
          <w:rFonts w:asciiTheme="majorHAnsi" w:hAnsiTheme="majorHAnsi"/>
          <w:sz w:val="20"/>
          <w:szCs w:val="20"/>
        </w:rPr>
        <w:t xml:space="preserve">penal </w:t>
      </w:r>
      <w:r w:rsidR="009D7A58" w:rsidRPr="009E773A">
        <w:rPr>
          <w:rFonts w:asciiTheme="majorHAnsi" w:hAnsiTheme="majorHAnsi"/>
          <w:sz w:val="20"/>
          <w:szCs w:val="20"/>
        </w:rPr>
        <w:t>fue interpuesta el</w:t>
      </w:r>
      <w:r w:rsidR="00984419" w:rsidRPr="009E773A">
        <w:rPr>
          <w:rFonts w:asciiTheme="majorHAnsi" w:hAnsiTheme="majorHAnsi"/>
          <w:sz w:val="20"/>
          <w:szCs w:val="20"/>
        </w:rPr>
        <w:t xml:space="preserve"> </w:t>
      </w:r>
      <w:r w:rsidR="009D7A58" w:rsidRPr="009E773A">
        <w:rPr>
          <w:rFonts w:asciiTheme="majorHAnsi" w:hAnsiTheme="majorHAnsi"/>
          <w:sz w:val="20"/>
          <w:szCs w:val="20"/>
        </w:rPr>
        <w:t xml:space="preserve">27 de septiembre de 2002. </w:t>
      </w:r>
      <w:r w:rsidR="00C73697" w:rsidRPr="009E773A">
        <w:rPr>
          <w:rFonts w:asciiTheme="majorHAnsi" w:hAnsiTheme="majorHAnsi"/>
          <w:sz w:val="20"/>
          <w:szCs w:val="20"/>
        </w:rPr>
        <w:t>Jimmy Guerrero volvió a denunciar ante la Fiscalía Superior nuevos hechos de “acoso policial”</w:t>
      </w:r>
      <w:r w:rsidR="00036FAF" w:rsidRPr="009E773A">
        <w:rPr>
          <w:rFonts w:asciiTheme="majorHAnsi" w:hAnsiTheme="majorHAnsi"/>
          <w:sz w:val="20"/>
          <w:szCs w:val="20"/>
        </w:rPr>
        <w:t>, refiriendo un episodio en el cual le acusaron de portar un arma de fuego que el afirmó que no le pertenecía</w:t>
      </w:r>
      <w:r w:rsidR="00036FAF" w:rsidRPr="009E773A">
        <w:rPr>
          <w:rStyle w:val="FootnoteReference"/>
          <w:rFonts w:asciiTheme="majorHAnsi" w:hAnsiTheme="majorHAnsi"/>
          <w:sz w:val="20"/>
          <w:szCs w:val="20"/>
        </w:rPr>
        <w:footnoteReference w:id="27"/>
      </w:r>
      <w:r w:rsidR="00036FAF" w:rsidRPr="009E773A">
        <w:rPr>
          <w:rFonts w:asciiTheme="majorHAnsi" w:hAnsiTheme="majorHAnsi"/>
          <w:sz w:val="20"/>
          <w:szCs w:val="20"/>
        </w:rPr>
        <w:t xml:space="preserve">. </w:t>
      </w:r>
      <w:r w:rsidR="009D7A58" w:rsidRPr="009E773A">
        <w:rPr>
          <w:rFonts w:asciiTheme="majorHAnsi" w:hAnsiTheme="majorHAnsi"/>
          <w:sz w:val="20"/>
          <w:szCs w:val="20"/>
        </w:rPr>
        <w:t>La tercera denuncia</w:t>
      </w:r>
      <w:r w:rsidR="004004D7" w:rsidRPr="009E773A">
        <w:rPr>
          <w:rFonts w:asciiTheme="majorHAnsi" w:hAnsiTheme="majorHAnsi"/>
          <w:sz w:val="20"/>
          <w:szCs w:val="20"/>
        </w:rPr>
        <w:t xml:space="preserve"> penal</w:t>
      </w:r>
      <w:r w:rsidR="009D7A58" w:rsidRPr="009E773A">
        <w:rPr>
          <w:rFonts w:asciiTheme="majorHAnsi" w:hAnsiTheme="majorHAnsi"/>
          <w:sz w:val="20"/>
          <w:szCs w:val="20"/>
        </w:rPr>
        <w:t>, se realizó el 4 de noviembre de 2002, interpuesta también por Jimmy Guerrero ante el despacho del Fiscal Segundo de la Circunscripción Judicial del estado Falcón, señalando que había sido detenido sin que se le diera conocimiento del motivo y reiteró que era “frecuente que [le detuvieran] sin motivos”</w:t>
      </w:r>
      <w:r w:rsidR="009D7A58" w:rsidRPr="009E773A">
        <w:rPr>
          <w:rStyle w:val="FootnoteReference"/>
          <w:rFonts w:asciiTheme="majorHAnsi" w:hAnsiTheme="majorHAnsi"/>
          <w:sz w:val="20"/>
          <w:szCs w:val="20"/>
        </w:rPr>
        <w:footnoteReference w:id="28"/>
      </w:r>
      <w:r w:rsidR="009D7A58" w:rsidRPr="009E773A">
        <w:rPr>
          <w:rFonts w:asciiTheme="majorHAnsi" w:hAnsiTheme="majorHAnsi"/>
          <w:sz w:val="20"/>
          <w:szCs w:val="20"/>
        </w:rPr>
        <w:t xml:space="preserve">. No constan más diligencias. </w:t>
      </w:r>
    </w:p>
    <w:p w14:paraId="7CA72DF1" w14:textId="77777777" w:rsidR="00B97551" w:rsidRPr="009E773A" w:rsidRDefault="00B97551" w:rsidP="009A79B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r w:rsidRPr="009E773A">
        <w:rPr>
          <w:rFonts w:asciiTheme="majorHAnsi" w:eastAsia="Cambria" w:hAnsiTheme="majorHAnsi" w:cs="Cambria"/>
          <w:color w:val="000000"/>
          <w:sz w:val="20"/>
          <w:szCs w:val="20"/>
          <w:u w:color="000000"/>
          <w:lang w:val="es-ES" w:eastAsia="es-ES"/>
        </w:rPr>
        <w:t xml:space="preserve"> </w:t>
      </w:r>
    </w:p>
    <w:p w14:paraId="349A666B" w14:textId="77777777" w:rsidR="00036FAF" w:rsidRPr="009E773A" w:rsidRDefault="003221DA" w:rsidP="009A79B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r w:rsidRPr="009E773A">
        <w:rPr>
          <w:rFonts w:asciiTheme="majorHAnsi" w:hAnsiTheme="majorHAnsi"/>
          <w:sz w:val="20"/>
          <w:szCs w:val="20"/>
        </w:rPr>
        <w:t xml:space="preserve">Asimismo, la Comisión observa </w:t>
      </w:r>
      <w:r w:rsidR="004D21FE" w:rsidRPr="009E773A">
        <w:rPr>
          <w:rFonts w:asciiTheme="majorHAnsi" w:hAnsiTheme="majorHAnsi"/>
          <w:sz w:val="20"/>
          <w:szCs w:val="20"/>
        </w:rPr>
        <w:t>la interposición de denuncias ante</w:t>
      </w:r>
      <w:r w:rsidRPr="009E773A">
        <w:rPr>
          <w:rFonts w:asciiTheme="majorHAnsi" w:hAnsiTheme="majorHAnsi"/>
          <w:sz w:val="20"/>
          <w:szCs w:val="20"/>
        </w:rPr>
        <w:t xml:space="preserve"> la Defensoría del Pueblo p</w:t>
      </w:r>
      <w:r w:rsidR="004D21FE" w:rsidRPr="009E773A">
        <w:rPr>
          <w:rFonts w:asciiTheme="majorHAnsi" w:hAnsiTheme="majorHAnsi"/>
          <w:sz w:val="20"/>
          <w:szCs w:val="20"/>
        </w:rPr>
        <w:t xml:space="preserve">or </w:t>
      </w:r>
      <w:r w:rsidRPr="009E773A">
        <w:rPr>
          <w:rFonts w:asciiTheme="majorHAnsi" w:hAnsiTheme="majorHAnsi"/>
          <w:sz w:val="20"/>
          <w:szCs w:val="20"/>
        </w:rPr>
        <w:t>detenciones y acoso policial. A</w:t>
      </w:r>
      <w:r w:rsidR="004004D7" w:rsidRPr="009E773A">
        <w:rPr>
          <w:rFonts w:asciiTheme="majorHAnsi" w:hAnsiTheme="majorHAnsi"/>
          <w:sz w:val="20"/>
          <w:szCs w:val="20"/>
        </w:rPr>
        <w:t>sí, consta una primera denuncia</w:t>
      </w:r>
      <w:r w:rsidRPr="009E773A">
        <w:rPr>
          <w:rFonts w:asciiTheme="majorHAnsi" w:hAnsiTheme="majorHAnsi"/>
          <w:sz w:val="20"/>
          <w:szCs w:val="20"/>
        </w:rPr>
        <w:t xml:space="preserve"> del </w:t>
      </w:r>
      <w:r w:rsidR="005B4769" w:rsidRPr="009E773A">
        <w:rPr>
          <w:rFonts w:asciiTheme="majorHAnsi" w:hAnsiTheme="majorHAnsi"/>
          <w:sz w:val="20"/>
          <w:szCs w:val="20"/>
        </w:rPr>
        <w:t>2</w:t>
      </w:r>
      <w:r w:rsidR="00302146" w:rsidRPr="009E773A">
        <w:rPr>
          <w:rFonts w:asciiTheme="majorHAnsi" w:hAnsiTheme="majorHAnsi"/>
          <w:sz w:val="20"/>
          <w:szCs w:val="20"/>
        </w:rPr>
        <w:t>8</w:t>
      </w:r>
      <w:r w:rsidR="005B4769" w:rsidRPr="009E773A">
        <w:rPr>
          <w:rFonts w:asciiTheme="majorHAnsi" w:hAnsiTheme="majorHAnsi"/>
          <w:sz w:val="20"/>
          <w:szCs w:val="20"/>
        </w:rPr>
        <w:t xml:space="preserve"> de octubre de 2002 </w:t>
      </w:r>
      <w:r w:rsidR="004004D7" w:rsidRPr="009E773A">
        <w:rPr>
          <w:rFonts w:asciiTheme="majorHAnsi" w:hAnsiTheme="majorHAnsi"/>
          <w:sz w:val="20"/>
          <w:szCs w:val="20"/>
        </w:rPr>
        <w:t xml:space="preserve">según la cual </w:t>
      </w:r>
      <w:r w:rsidR="007F1CF2" w:rsidRPr="009E773A">
        <w:rPr>
          <w:rFonts w:asciiTheme="majorHAnsi" w:hAnsiTheme="majorHAnsi"/>
          <w:sz w:val="20"/>
          <w:szCs w:val="20"/>
        </w:rPr>
        <w:t xml:space="preserve"> </w:t>
      </w:r>
      <w:r w:rsidR="004004D7" w:rsidRPr="009E773A">
        <w:rPr>
          <w:rFonts w:asciiTheme="majorHAnsi" w:hAnsiTheme="majorHAnsi"/>
          <w:sz w:val="20"/>
          <w:szCs w:val="20"/>
        </w:rPr>
        <w:t>Jimmy Guerrero</w:t>
      </w:r>
      <w:r w:rsidR="00036FAF" w:rsidRPr="009E773A">
        <w:rPr>
          <w:rFonts w:asciiTheme="majorHAnsi" w:hAnsiTheme="majorHAnsi"/>
          <w:sz w:val="20"/>
          <w:szCs w:val="20"/>
        </w:rPr>
        <w:t xml:space="preserve"> había sido detenido en una ocasión por el Cuerpo Técnico de Investigaciones del estado Falcón, y en otra oportunidad por un “grupo de motorizados de la policía de Coro” en re</w:t>
      </w:r>
      <w:r w:rsidRPr="009E773A">
        <w:rPr>
          <w:rFonts w:asciiTheme="majorHAnsi" w:hAnsiTheme="majorHAnsi"/>
          <w:sz w:val="20"/>
          <w:szCs w:val="20"/>
        </w:rPr>
        <w:t>lación con el robo a un taxista, indicando que</w:t>
      </w:r>
      <w:r w:rsidR="00036FAF" w:rsidRPr="009E773A">
        <w:rPr>
          <w:rFonts w:asciiTheme="majorHAnsi" w:hAnsiTheme="majorHAnsi"/>
          <w:sz w:val="20"/>
          <w:szCs w:val="20"/>
        </w:rPr>
        <w:t xml:space="preserve"> podía reconocer a los funcionarios que lo detuvieron y afirmó que “siempre que me ven en la calle me detienen”</w:t>
      </w:r>
      <w:r w:rsidR="00036FAF" w:rsidRPr="009E773A">
        <w:rPr>
          <w:rStyle w:val="FootnoteReference"/>
          <w:rFonts w:asciiTheme="majorHAnsi" w:hAnsiTheme="majorHAnsi"/>
          <w:sz w:val="20"/>
          <w:szCs w:val="20"/>
        </w:rPr>
        <w:footnoteReference w:id="29"/>
      </w:r>
      <w:r w:rsidR="00036FAF" w:rsidRPr="009E773A">
        <w:rPr>
          <w:rFonts w:asciiTheme="majorHAnsi" w:hAnsiTheme="majorHAnsi"/>
          <w:sz w:val="20"/>
          <w:szCs w:val="20"/>
        </w:rPr>
        <w:t xml:space="preserve">. </w:t>
      </w:r>
      <w:r w:rsidR="00984419" w:rsidRPr="009E773A">
        <w:rPr>
          <w:rFonts w:asciiTheme="majorHAnsi" w:hAnsiTheme="majorHAnsi"/>
          <w:sz w:val="20"/>
          <w:szCs w:val="20"/>
        </w:rPr>
        <w:t>L</w:t>
      </w:r>
      <w:r w:rsidR="00036FAF" w:rsidRPr="009E773A">
        <w:rPr>
          <w:rFonts w:asciiTheme="majorHAnsi" w:hAnsiTheme="majorHAnsi"/>
          <w:sz w:val="20"/>
          <w:szCs w:val="20"/>
        </w:rPr>
        <w:t xml:space="preserve">a Defensoría del Pueblo </w:t>
      </w:r>
      <w:r w:rsidR="00984419" w:rsidRPr="009E773A">
        <w:rPr>
          <w:rFonts w:asciiTheme="majorHAnsi" w:hAnsiTheme="majorHAnsi"/>
          <w:sz w:val="20"/>
          <w:szCs w:val="20"/>
        </w:rPr>
        <w:t xml:space="preserve">remitió el mismo día la denuncia </w:t>
      </w:r>
      <w:r w:rsidR="00036FAF" w:rsidRPr="009E773A">
        <w:rPr>
          <w:rFonts w:asciiTheme="majorHAnsi" w:hAnsiTheme="majorHAnsi"/>
          <w:sz w:val="20"/>
          <w:szCs w:val="20"/>
        </w:rPr>
        <w:t>al Fiscal Superior</w:t>
      </w:r>
      <w:r w:rsidR="00036FAF" w:rsidRPr="009E773A">
        <w:rPr>
          <w:rStyle w:val="FootnoteReference"/>
          <w:rFonts w:asciiTheme="majorHAnsi" w:hAnsiTheme="majorHAnsi"/>
          <w:sz w:val="20"/>
          <w:szCs w:val="20"/>
        </w:rPr>
        <w:footnoteReference w:id="30"/>
      </w:r>
      <w:r w:rsidR="00036FAF" w:rsidRPr="009E773A">
        <w:rPr>
          <w:rFonts w:asciiTheme="majorHAnsi" w:hAnsiTheme="majorHAnsi"/>
          <w:sz w:val="20"/>
          <w:szCs w:val="20"/>
        </w:rPr>
        <w:t xml:space="preserve">. </w:t>
      </w:r>
    </w:p>
    <w:p w14:paraId="2257F80E" w14:textId="77777777" w:rsidR="00302146" w:rsidRPr="009E773A" w:rsidRDefault="00302146" w:rsidP="009A79B6">
      <w:pPr>
        <w:rPr>
          <w:rFonts w:asciiTheme="majorHAnsi" w:hAnsiTheme="majorHAnsi"/>
          <w:sz w:val="20"/>
          <w:szCs w:val="20"/>
        </w:rPr>
      </w:pPr>
    </w:p>
    <w:p w14:paraId="23D3FB1E" w14:textId="6D5E83EE" w:rsidR="009577DB" w:rsidRPr="009E773A" w:rsidRDefault="003221DA" w:rsidP="009A79B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r w:rsidRPr="009E773A">
        <w:rPr>
          <w:rFonts w:asciiTheme="majorHAnsi" w:hAnsiTheme="majorHAnsi"/>
          <w:sz w:val="20"/>
          <w:szCs w:val="20"/>
        </w:rPr>
        <w:t>La segunda denuncia se refier</w:t>
      </w:r>
      <w:r w:rsidR="001B6087" w:rsidRPr="009E773A">
        <w:rPr>
          <w:rFonts w:asciiTheme="majorHAnsi" w:hAnsiTheme="majorHAnsi"/>
          <w:sz w:val="20"/>
          <w:szCs w:val="20"/>
        </w:rPr>
        <w:t>e</w:t>
      </w:r>
      <w:r w:rsidRPr="009E773A">
        <w:rPr>
          <w:rFonts w:asciiTheme="majorHAnsi" w:hAnsiTheme="majorHAnsi"/>
          <w:sz w:val="20"/>
          <w:szCs w:val="20"/>
        </w:rPr>
        <w:t xml:space="preserve"> a la detención sufrida por Jimmy Guerrero </w:t>
      </w:r>
      <w:r w:rsidR="000C07DF" w:rsidRPr="009E773A">
        <w:rPr>
          <w:rFonts w:asciiTheme="majorHAnsi" w:hAnsiTheme="majorHAnsi"/>
          <w:sz w:val="20"/>
          <w:szCs w:val="20"/>
        </w:rPr>
        <w:t>el</w:t>
      </w:r>
      <w:r w:rsidR="00DD14B3" w:rsidRPr="009E773A">
        <w:rPr>
          <w:rFonts w:asciiTheme="majorHAnsi" w:hAnsiTheme="majorHAnsi"/>
          <w:sz w:val="20"/>
          <w:szCs w:val="20"/>
        </w:rPr>
        <w:t xml:space="preserve"> 17 de febrero de 2003</w:t>
      </w:r>
      <w:r w:rsidRPr="009E773A">
        <w:rPr>
          <w:rFonts w:asciiTheme="majorHAnsi" w:hAnsiTheme="majorHAnsi"/>
          <w:sz w:val="20"/>
          <w:szCs w:val="20"/>
        </w:rPr>
        <w:t xml:space="preserve"> </w:t>
      </w:r>
      <w:r w:rsidR="000C07DF" w:rsidRPr="009E773A">
        <w:rPr>
          <w:rFonts w:asciiTheme="majorHAnsi" w:hAnsiTheme="majorHAnsi"/>
          <w:sz w:val="20"/>
          <w:szCs w:val="20"/>
        </w:rPr>
        <w:t>por u</w:t>
      </w:r>
      <w:r w:rsidR="000C6B8C" w:rsidRPr="009E773A">
        <w:rPr>
          <w:rFonts w:asciiTheme="majorHAnsi" w:hAnsiTheme="majorHAnsi"/>
          <w:sz w:val="20"/>
          <w:szCs w:val="20"/>
        </w:rPr>
        <w:t>n grupo de personas motorizadas, que él identificó como funcionarios de las Fuerzas Armadas Policiales del estado Falcón. Sus aprehensores no habrían contado con orden de detención, lo encapucharon, robaron sus objetos personales, lo golpearon y le “dieron una patada en el ojo derecho” y le “echaban gas lacrimógeno y [le] dieron con su arma en la cabeza”</w:t>
      </w:r>
      <w:r w:rsidR="000C6B8C" w:rsidRPr="009E773A">
        <w:rPr>
          <w:rStyle w:val="FootnoteReference"/>
          <w:rFonts w:asciiTheme="majorHAnsi" w:hAnsiTheme="majorHAnsi"/>
          <w:sz w:val="20"/>
          <w:szCs w:val="20"/>
        </w:rPr>
        <w:footnoteReference w:id="31"/>
      </w:r>
      <w:r w:rsidR="000C6B8C" w:rsidRPr="009E773A">
        <w:rPr>
          <w:rFonts w:asciiTheme="majorHAnsi" w:hAnsiTheme="majorHAnsi"/>
          <w:sz w:val="20"/>
          <w:szCs w:val="20"/>
        </w:rPr>
        <w:t xml:space="preserve">. </w:t>
      </w:r>
      <w:r w:rsidR="000C07DF" w:rsidRPr="009E773A">
        <w:rPr>
          <w:rFonts w:asciiTheme="majorHAnsi" w:hAnsiTheme="majorHAnsi"/>
          <w:sz w:val="20"/>
          <w:szCs w:val="20"/>
        </w:rPr>
        <w:t xml:space="preserve">La denuncia fue también interpuesta por la señora Erimay Loyo, quien </w:t>
      </w:r>
      <w:r w:rsidR="0022017C" w:rsidRPr="009E773A">
        <w:rPr>
          <w:rFonts w:asciiTheme="majorHAnsi" w:hAnsiTheme="majorHAnsi"/>
          <w:sz w:val="20"/>
          <w:szCs w:val="20"/>
        </w:rPr>
        <w:t>relató los hechos de modo consistente con lo indicado anteriormente</w:t>
      </w:r>
      <w:r w:rsidR="009577DB" w:rsidRPr="009E773A">
        <w:rPr>
          <w:rStyle w:val="FootnoteReference"/>
          <w:rFonts w:asciiTheme="majorHAnsi" w:hAnsiTheme="majorHAnsi"/>
          <w:sz w:val="20"/>
          <w:szCs w:val="20"/>
        </w:rPr>
        <w:footnoteReference w:id="32"/>
      </w:r>
      <w:r w:rsidR="009577DB" w:rsidRPr="009E773A">
        <w:rPr>
          <w:rFonts w:asciiTheme="majorHAnsi" w:hAnsiTheme="majorHAnsi"/>
          <w:sz w:val="20"/>
          <w:szCs w:val="20"/>
        </w:rPr>
        <w:t xml:space="preserve">. Ese mismo día, una representante de la Defensoría del Pueblo se trasladó hasta un retén policial de las Fuerzas Armadas, donde corroboró que </w:t>
      </w:r>
      <w:r w:rsidR="00823979" w:rsidRPr="009E773A">
        <w:rPr>
          <w:rFonts w:asciiTheme="majorHAnsi" w:hAnsiTheme="majorHAnsi"/>
          <w:sz w:val="20"/>
          <w:szCs w:val="20"/>
        </w:rPr>
        <w:t xml:space="preserve">allí se encontraba </w:t>
      </w:r>
      <w:r w:rsidR="00C11B24" w:rsidRPr="009E773A">
        <w:rPr>
          <w:rFonts w:asciiTheme="majorHAnsi" w:hAnsiTheme="majorHAnsi"/>
          <w:sz w:val="20"/>
          <w:szCs w:val="20"/>
        </w:rPr>
        <w:t xml:space="preserve">detenido </w:t>
      </w:r>
      <w:r w:rsidR="00823979" w:rsidRPr="009E773A">
        <w:rPr>
          <w:rFonts w:asciiTheme="majorHAnsi" w:hAnsiTheme="majorHAnsi"/>
          <w:sz w:val="20"/>
          <w:szCs w:val="20"/>
        </w:rPr>
        <w:t>Jimmy Guerrero</w:t>
      </w:r>
      <w:r w:rsidR="00C11B24" w:rsidRPr="009E773A">
        <w:rPr>
          <w:rFonts w:asciiTheme="majorHAnsi" w:hAnsiTheme="majorHAnsi"/>
          <w:sz w:val="20"/>
          <w:szCs w:val="20"/>
        </w:rPr>
        <w:t xml:space="preserve"> </w:t>
      </w:r>
      <w:r w:rsidR="00823979" w:rsidRPr="009E773A">
        <w:rPr>
          <w:rFonts w:asciiTheme="majorHAnsi" w:hAnsiTheme="majorHAnsi"/>
          <w:sz w:val="20"/>
          <w:szCs w:val="20"/>
        </w:rPr>
        <w:t>en una unidad de orden público</w:t>
      </w:r>
      <w:r w:rsidR="00A60964" w:rsidRPr="009E773A">
        <w:rPr>
          <w:rStyle w:val="FootnoteReference"/>
          <w:rFonts w:asciiTheme="majorHAnsi" w:hAnsiTheme="majorHAnsi"/>
          <w:sz w:val="20"/>
          <w:szCs w:val="20"/>
        </w:rPr>
        <w:footnoteReference w:id="33"/>
      </w:r>
      <w:r w:rsidR="00823979" w:rsidRPr="009E773A">
        <w:rPr>
          <w:rFonts w:asciiTheme="majorHAnsi" w:hAnsiTheme="majorHAnsi"/>
          <w:sz w:val="20"/>
          <w:szCs w:val="20"/>
        </w:rPr>
        <w:t>.</w:t>
      </w:r>
      <w:r w:rsidR="009577DB" w:rsidRPr="009E773A">
        <w:rPr>
          <w:rFonts w:asciiTheme="majorHAnsi" w:hAnsiTheme="majorHAnsi"/>
          <w:sz w:val="20"/>
          <w:szCs w:val="20"/>
        </w:rPr>
        <w:t xml:space="preserve"> </w:t>
      </w:r>
      <w:r w:rsidR="00BD679B" w:rsidRPr="009E773A">
        <w:rPr>
          <w:rFonts w:asciiTheme="majorHAnsi" w:hAnsiTheme="majorHAnsi"/>
          <w:sz w:val="20"/>
          <w:szCs w:val="20"/>
        </w:rPr>
        <w:t>El reconocimiento médico legal del 19 de febrero del 2003 determinó la existencia “edema traumático a nivel de región frontal; equimosis suborbitaria derecha; traumatismo torácico cerrado, complicado con una neuritis intercostal de origen traumático; lesiones producidas por instrumento contundente”</w:t>
      </w:r>
      <w:r w:rsidR="00BD679B" w:rsidRPr="009E773A">
        <w:rPr>
          <w:rStyle w:val="FootnoteReference"/>
          <w:rFonts w:asciiTheme="majorHAnsi" w:hAnsiTheme="majorHAnsi"/>
          <w:sz w:val="20"/>
          <w:szCs w:val="20"/>
        </w:rPr>
        <w:footnoteReference w:id="34"/>
      </w:r>
      <w:r w:rsidR="00BD679B" w:rsidRPr="009E773A">
        <w:rPr>
          <w:rFonts w:asciiTheme="majorHAnsi" w:hAnsiTheme="majorHAnsi"/>
          <w:sz w:val="20"/>
          <w:szCs w:val="20"/>
        </w:rPr>
        <w:t>.</w:t>
      </w:r>
      <w:r w:rsidR="0022017C" w:rsidRPr="009E773A">
        <w:rPr>
          <w:rFonts w:asciiTheme="majorHAnsi" w:hAnsiTheme="majorHAnsi"/>
          <w:sz w:val="20"/>
          <w:szCs w:val="20"/>
        </w:rPr>
        <w:t xml:space="preserve"> La </w:t>
      </w:r>
      <w:r w:rsidR="009577DB" w:rsidRPr="009E773A">
        <w:rPr>
          <w:rFonts w:asciiTheme="majorHAnsi" w:hAnsiTheme="majorHAnsi"/>
          <w:sz w:val="20"/>
          <w:szCs w:val="20"/>
        </w:rPr>
        <w:t>Defensoría del Pueblo</w:t>
      </w:r>
      <w:r w:rsidR="002E6252" w:rsidRPr="009E773A">
        <w:rPr>
          <w:rFonts w:asciiTheme="majorHAnsi" w:hAnsiTheme="majorHAnsi"/>
          <w:sz w:val="20"/>
          <w:szCs w:val="20"/>
        </w:rPr>
        <w:t xml:space="preserve"> puso en conocimiento de la Fiscalía Segunda estos hechos, y solicitó iniciar una investigación por posibles actos de tortura y tratos crueles inhumanos y degradantes, </w:t>
      </w:r>
      <w:r w:rsidR="0022017C" w:rsidRPr="009E773A">
        <w:rPr>
          <w:rFonts w:asciiTheme="majorHAnsi" w:hAnsiTheme="majorHAnsi"/>
          <w:sz w:val="20"/>
          <w:szCs w:val="20"/>
        </w:rPr>
        <w:t xml:space="preserve">y </w:t>
      </w:r>
      <w:r w:rsidR="002E6252" w:rsidRPr="009E773A">
        <w:rPr>
          <w:rFonts w:asciiTheme="majorHAnsi" w:hAnsiTheme="majorHAnsi"/>
          <w:sz w:val="20"/>
          <w:szCs w:val="20"/>
        </w:rPr>
        <w:t>dar seguimiento a la causa penal No. 2202-02. Asimismo, la Defensoría solicitó medidas de protección a favor de Jimmy Guerrero</w:t>
      </w:r>
      <w:r w:rsidR="002E6252" w:rsidRPr="009E773A">
        <w:rPr>
          <w:rStyle w:val="FootnoteReference"/>
          <w:rFonts w:asciiTheme="majorHAnsi" w:hAnsiTheme="majorHAnsi"/>
          <w:sz w:val="20"/>
          <w:szCs w:val="20"/>
        </w:rPr>
        <w:footnoteReference w:id="35"/>
      </w:r>
      <w:r w:rsidR="002E6252" w:rsidRPr="009E773A">
        <w:rPr>
          <w:rFonts w:asciiTheme="majorHAnsi" w:hAnsiTheme="majorHAnsi"/>
          <w:sz w:val="20"/>
          <w:szCs w:val="20"/>
        </w:rPr>
        <w:t xml:space="preserve">. </w:t>
      </w:r>
      <w:r w:rsidR="009577DB" w:rsidRPr="009E773A">
        <w:rPr>
          <w:rFonts w:asciiTheme="majorHAnsi" w:hAnsiTheme="majorHAnsi"/>
          <w:sz w:val="20"/>
          <w:szCs w:val="20"/>
        </w:rPr>
        <w:t xml:space="preserve"> </w:t>
      </w:r>
    </w:p>
    <w:p w14:paraId="1655730F" w14:textId="77777777" w:rsidR="007618AE" w:rsidRPr="009E773A" w:rsidRDefault="007618AE" w:rsidP="009A79B6">
      <w:pPr>
        <w:rPr>
          <w:rFonts w:asciiTheme="majorHAnsi" w:hAnsiTheme="majorHAnsi"/>
          <w:sz w:val="20"/>
          <w:szCs w:val="20"/>
        </w:rPr>
      </w:pPr>
    </w:p>
    <w:p w14:paraId="672BD306" w14:textId="0550148F" w:rsidR="007741A0" w:rsidRPr="009E773A" w:rsidRDefault="00BD70B1" w:rsidP="009A79B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r w:rsidRPr="009E773A">
        <w:rPr>
          <w:rFonts w:asciiTheme="majorHAnsi" w:hAnsiTheme="majorHAnsi"/>
          <w:sz w:val="20"/>
          <w:szCs w:val="20"/>
        </w:rPr>
        <w:t>E</w:t>
      </w:r>
      <w:r w:rsidR="00B52A81" w:rsidRPr="009E773A">
        <w:rPr>
          <w:rFonts w:asciiTheme="majorHAnsi" w:hAnsiTheme="majorHAnsi"/>
          <w:sz w:val="20"/>
          <w:szCs w:val="20"/>
        </w:rPr>
        <w:t>l 6 de marzo de 2003 J</w:t>
      </w:r>
      <w:r w:rsidRPr="009E773A">
        <w:rPr>
          <w:rFonts w:asciiTheme="majorHAnsi" w:hAnsiTheme="majorHAnsi"/>
          <w:sz w:val="20"/>
          <w:szCs w:val="20"/>
        </w:rPr>
        <w:t>immy Guerrero</w:t>
      </w:r>
      <w:r w:rsidR="00B52A81" w:rsidRPr="009E773A">
        <w:rPr>
          <w:rFonts w:asciiTheme="majorHAnsi" w:hAnsiTheme="majorHAnsi"/>
          <w:sz w:val="20"/>
          <w:szCs w:val="20"/>
        </w:rPr>
        <w:t xml:space="preserve"> </w:t>
      </w:r>
      <w:r w:rsidR="0022017C" w:rsidRPr="009E773A">
        <w:rPr>
          <w:rFonts w:asciiTheme="majorHAnsi" w:hAnsiTheme="majorHAnsi"/>
          <w:sz w:val="20"/>
          <w:szCs w:val="20"/>
        </w:rPr>
        <w:t>interp</w:t>
      </w:r>
      <w:r w:rsidR="00BE30B2" w:rsidRPr="009E773A">
        <w:rPr>
          <w:rFonts w:asciiTheme="majorHAnsi" w:hAnsiTheme="majorHAnsi"/>
          <w:sz w:val="20"/>
          <w:szCs w:val="20"/>
        </w:rPr>
        <w:t>uso</w:t>
      </w:r>
      <w:r w:rsidR="0022017C" w:rsidRPr="009E773A">
        <w:rPr>
          <w:rFonts w:asciiTheme="majorHAnsi" w:hAnsiTheme="majorHAnsi"/>
          <w:sz w:val="20"/>
          <w:szCs w:val="20"/>
        </w:rPr>
        <w:t xml:space="preserve"> una tercera </w:t>
      </w:r>
      <w:r w:rsidR="00977043" w:rsidRPr="009E773A">
        <w:rPr>
          <w:rFonts w:asciiTheme="majorHAnsi" w:hAnsiTheme="majorHAnsi"/>
          <w:sz w:val="20"/>
          <w:szCs w:val="20"/>
        </w:rPr>
        <w:t>denunci</w:t>
      </w:r>
      <w:r w:rsidR="0022017C" w:rsidRPr="009E773A">
        <w:rPr>
          <w:rFonts w:asciiTheme="majorHAnsi" w:hAnsiTheme="majorHAnsi"/>
          <w:sz w:val="20"/>
          <w:szCs w:val="20"/>
        </w:rPr>
        <w:t>a</w:t>
      </w:r>
      <w:r w:rsidR="00977043" w:rsidRPr="009E773A">
        <w:rPr>
          <w:rFonts w:asciiTheme="majorHAnsi" w:hAnsiTheme="majorHAnsi"/>
          <w:sz w:val="20"/>
          <w:szCs w:val="20"/>
        </w:rPr>
        <w:t xml:space="preserve"> </w:t>
      </w:r>
      <w:r w:rsidR="0022017C" w:rsidRPr="009E773A">
        <w:rPr>
          <w:rFonts w:asciiTheme="majorHAnsi" w:hAnsiTheme="majorHAnsi"/>
          <w:sz w:val="20"/>
          <w:szCs w:val="20"/>
        </w:rPr>
        <w:t xml:space="preserve">ante la Defensoría dado </w:t>
      </w:r>
      <w:r w:rsidR="00977043" w:rsidRPr="009E773A">
        <w:rPr>
          <w:rFonts w:asciiTheme="majorHAnsi" w:hAnsiTheme="majorHAnsi"/>
          <w:sz w:val="20"/>
          <w:szCs w:val="20"/>
        </w:rPr>
        <w:t>que funcionarios de la policía</w:t>
      </w:r>
      <w:r w:rsidR="0022017C" w:rsidRPr="009E773A">
        <w:rPr>
          <w:rFonts w:asciiTheme="majorHAnsi" w:hAnsiTheme="majorHAnsi"/>
          <w:sz w:val="20"/>
          <w:szCs w:val="20"/>
        </w:rPr>
        <w:t xml:space="preserve"> </w:t>
      </w:r>
      <w:r w:rsidR="00E35E50" w:rsidRPr="009E773A">
        <w:rPr>
          <w:rFonts w:asciiTheme="majorHAnsi" w:hAnsiTheme="majorHAnsi"/>
          <w:sz w:val="20"/>
          <w:szCs w:val="20"/>
        </w:rPr>
        <w:t xml:space="preserve">daban </w:t>
      </w:r>
      <w:r w:rsidR="00726365" w:rsidRPr="009E773A">
        <w:rPr>
          <w:rFonts w:asciiTheme="majorHAnsi" w:hAnsiTheme="majorHAnsi"/>
          <w:sz w:val="20"/>
          <w:szCs w:val="20"/>
        </w:rPr>
        <w:t xml:space="preserve">vueltas alrededor de su casa </w:t>
      </w:r>
      <w:r w:rsidR="00977043" w:rsidRPr="009E773A">
        <w:rPr>
          <w:rFonts w:asciiTheme="majorHAnsi" w:hAnsiTheme="majorHAnsi"/>
          <w:sz w:val="20"/>
          <w:szCs w:val="20"/>
        </w:rPr>
        <w:t>y que habían vuelto a señalarle como responsable de un robo</w:t>
      </w:r>
      <w:r w:rsidR="00977043" w:rsidRPr="009E773A">
        <w:rPr>
          <w:rStyle w:val="FootnoteReference"/>
          <w:rFonts w:asciiTheme="majorHAnsi" w:hAnsiTheme="majorHAnsi"/>
          <w:sz w:val="20"/>
          <w:szCs w:val="20"/>
        </w:rPr>
        <w:footnoteReference w:id="36"/>
      </w:r>
      <w:r w:rsidR="00977043" w:rsidRPr="009E773A">
        <w:rPr>
          <w:rFonts w:asciiTheme="majorHAnsi" w:hAnsiTheme="majorHAnsi"/>
          <w:sz w:val="20"/>
          <w:szCs w:val="20"/>
        </w:rPr>
        <w:t xml:space="preserve">. </w:t>
      </w:r>
      <w:r w:rsidR="0022017C" w:rsidRPr="009E773A">
        <w:rPr>
          <w:rFonts w:asciiTheme="majorHAnsi" w:hAnsiTheme="majorHAnsi"/>
          <w:sz w:val="20"/>
          <w:szCs w:val="20"/>
        </w:rPr>
        <w:t>El 10 de marzo la</w:t>
      </w:r>
      <w:r w:rsidR="00977043" w:rsidRPr="009E773A">
        <w:rPr>
          <w:rFonts w:asciiTheme="majorHAnsi" w:hAnsiTheme="majorHAnsi"/>
          <w:sz w:val="20"/>
          <w:szCs w:val="20"/>
        </w:rPr>
        <w:t xml:space="preserve"> denuncia fue remitida a la Fiscalía Segunda </w:t>
      </w:r>
      <w:r w:rsidR="0022017C" w:rsidRPr="009E773A">
        <w:rPr>
          <w:rFonts w:asciiTheme="majorHAnsi" w:hAnsiTheme="majorHAnsi"/>
          <w:sz w:val="20"/>
          <w:szCs w:val="20"/>
        </w:rPr>
        <w:t xml:space="preserve">y </w:t>
      </w:r>
      <w:r w:rsidR="00E7746E" w:rsidRPr="009E773A">
        <w:rPr>
          <w:rFonts w:asciiTheme="majorHAnsi" w:hAnsiTheme="majorHAnsi"/>
          <w:sz w:val="20"/>
          <w:szCs w:val="20"/>
        </w:rPr>
        <w:t xml:space="preserve">se solicitó </w:t>
      </w:r>
      <w:r w:rsidR="0022017C" w:rsidRPr="009E773A">
        <w:rPr>
          <w:rFonts w:asciiTheme="majorHAnsi" w:hAnsiTheme="majorHAnsi"/>
          <w:sz w:val="20"/>
          <w:szCs w:val="20"/>
        </w:rPr>
        <w:t>también</w:t>
      </w:r>
      <w:r w:rsidR="00977043" w:rsidRPr="009E773A">
        <w:rPr>
          <w:rFonts w:asciiTheme="majorHAnsi" w:hAnsiTheme="majorHAnsi"/>
          <w:sz w:val="20"/>
          <w:szCs w:val="20"/>
        </w:rPr>
        <w:t xml:space="preserve"> información sobre </w:t>
      </w:r>
      <w:r w:rsidR="003B752C" w:rsidRPr="009E773A">
        <w:rPr>
          <w:rFonts w:asciiTheme="majorHAnsi" w:hAnsiTheme="majorHAnsi"/>
          <w:sz w:val="20"/>
          <w:szCs w:val="20"/>
        </w:rPr>
        <w:t xml:space="preserve">el requerimiento de </w:t>
      </w:r>
      <w:r w:rsidR="00977043" w:rsidRPr="009E773A">
        <w:rPr>
          <w:rFonts w:asciiTheme="majorHAnsi" w:hAnsiTheme="majorHAnsi"/>
          <w:sz w:val="20"/>
          <w:szCs w:val="20"/>
        </w:rPr>
        <w:t>medidas de prot</w:t>
      </w:r>
      <w:r w:rsidR="0022017C" w:rsidRPr="009E773A">
        <w:rPr>
          <w:rFonts w:asciiTheme="majorHAnsi" w:hAnsiTheme="majorHAnsi"/>
          <w:sz w:val="20"/>
          <w:szCs w:val="20"/>
        </w:rPr>
        <w:t>ección</w:t>
      </w:r>
      <w:r w:rsidR="00977043" w:rsidRPr="009E773A">
        <w:rPr>
          <w:rStyle w:val="FootnoteReference"/>
          <w:rFonts w:asciiTheme="majorHAnsi" w:hAnsiTheme="majorHAnsi"/>
          <w:sz w:val="20"/>
          <w:szCs w:val="20"/>
        </w:rPr>
        <w:footnoteReference w:id="37"/>
      </w:r>
      <w:r w:rsidR="00977043" w:rsidRPr="009E773A">
        <w:rPr>
          <w:rFonts w:asciiTheme="majorHAnsi" w:hAnsiTheme="majorHAnsi"/>
          <w:sz w:val="20"/>
          <w:szCs w:val="20"/>
        </w:rPr>
        <w:t xml:space="preserve">. </w:t>
      </w:r>
    </w:p>
    <w:p w14:paraId="174B7F73" w14:textId="77777777" w:rsidR="00977043" w:rsidRPr="009E773A" w:rsidRDefault="00977043" w:rsidP="009A79B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Theme="majorHAnsi" w:hAnsiTheme="majorHAnsi"/>
          <w:sz w:val="20"/>
          <w:szCs w:val="20"/>
        </w:rPr>
      </w:pPr>
    </w:p>
    <w:p w14:paraId="46651254" w14:textId="77777777" w:rsidR="00483EAF" w:rsidRPr="009E773A" w:rsidRDefault="009D7A58" w:rsidP="009A79B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r w:rsidRPr="009E773A">
        <w:rPr>
          <w:rFonts w:asciiTheme="majorHAnsi" w:hAnsiTheme="majorHAnsi"/>
          <w:sz w:val="20"/>
          <w:szCs w:val="20"/>
        </w:rPr>
        <w:lastRenderedPageBreak/>
        <w:t>Finalmente, constan en el expediente</w:t>
      </w:r>
      <w:r w:rsidR="00726365" w:rsidRPr="009E773A">
        <w:rPr>
          <w:rFonts w:asciiTheme="majorHAnsi" w:hAnsiTheme="majorHAnsi"/>
          <w:sz w:val="20"/>
          <w:szCs w:val="20"/>
        </w:rPr>
        <w:t xml:space="preserve"> varias</w:t>
      </w:r>
      <w:r w:rsidRPr="009E773A">
        <w:rPr>
          <w:rFonts w:asciiTheme="majorHAnsi" w:hAnsiTheme="majorHAnsi"/>
          <w:sz w:val="20"/>
          <w:szCs w:val="20"/>
        </w:rPr>
        <w:t xml:space="preserve"> notas de prensa de esa época, en las cuales Jimmy Guerrero denunció públicamente “acoso por parte de organismos de seguridad”</w:t>
      </w:r>
      <w:r w:rsidRPr="009E773A">
        <w:rPr>
          <w:rStyle w:val="FootnoteReference"/>
          <w:rFonts w:asciiTheme="majorHAnsi" w:hAnsiTheme="majorHAnsi"/>
          <w:sz w:val="20"/>
          <w:szCs w:val="20"/>
        </w:rPr>
        <w:footnoteReference w:id="38"/>
      </w:r>
      <w:r w:rsidRPr="009E773A">
        <w:rPr>
          <w:rFonts w:asciiTheme="majorHAnsi" w:hAnsiTheme="majorHAnsi"/>
          <w:sz w:val="20"/>
          <w:szCs w:val="20"/>
        </w:rPr>
        <w:t xml:space="preserve">. </w:t>
      </w:r>
    </w:p>
    <w:p w14:paraId="2E7CF928" w14:textId="77777777" w:rsidR="009D7A58" w:rsidRPr="009E773A" w:rsidRDefault="009D7A58" w:rsidP="009A79B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p>
    <w:p w14:paraId="0B6F48CE" w14:textId="77777777" w:rsidR="006B65FA" w:rsidRPr="009E773A" w:rsidRDefault="00977043" w:rsidP="00E533EA">
      <w:pPr>
        <w:pStyle w:val="Heading2"/>
        <w:ind w:left="0" w:firstLine="0"/>
      </w:pPr>
      <w:bookmarkStart w:id="16" w:name="_Toc2159214"/>
      <w:r w:rsidRPr="009E773A">
        <w:t>La muerte de Jimmy Guerrero y Ramón Antonio Molina en los hechos ocurridos entre el 29 y 30 de marzo de 2003</w:t>
      </w:r>
      <w:bookmarkEnd w:id="16"/>
      <w:r w:rsidRPr="009E773A">
        <w:t xml:space="preserve"> </w:t>
      </w:r>
    </w:p>
    <w:p w14:paraId="4748AF13" w14:textId="77777777" w:rsidR="00423E05" w:rsidRPr="009E773A" w:rsidRDefault="00423E05" w:rsidP="009A79B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rPr>
      </w:pPr>
    </w:p>
    <w:p w14:paraId="4A713422" w14:textId="1A11A1B9" w:rsidR="000E032A" w:rsidRPr="009E773A" w:rsidRDefault="006F756F" w:rsidP="009A79B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r w:rsidRPr="009E773A">
        <w:rPr>
          <w:rFonts w:asciiTheme="majorHAnsi" w:hAnsiTheme="majorHAnsi"/>
          <w:sz w:val="20"/>
          <w:szCs w:val="20"/>
        </w:rPr>
        <w:t xml:space="preserve">La noche del 29 de marzo de 2003, Jimmy Guerrero y miembros de su familia se trasladaron de Coro a Punto fijo para asistir al velorio de un pariente. En </w:t>
      </w:r>
      <w:r w:rsidR="00A00FFB" w:rsidRPr="009E773A">
        <w:rPr>
          <w:rFonts w:asciiTheme="majorHAnsi" w:hAnsiTheme="majorHAnsi"/>
          <w:sz w:val="20"/>
          <w:szCs w:val="20"/>
        </w:rPr>
        <w:t xml:space="preserve">el </w:t>
      </w:r>
      <w:r w:rsidRPr="009E773A">
        <w:rPr>
          <w:rFonts w:asciiTheme="majorHAnsi" w:hAnsiTheme="majorHAnsi"/>
          <w:sz w:val="20"/>
          <w:szCs w:val="20"/>
        </w:rPr>
        <w:t>trayecto su vehículo fue abordado por una “comisión policial” la que pregunt</w:t>
      </w:r>
      <w:r w:rsidR="00F31594" w:rsidRPr="009E773A">
        <w:rPr>
          <w:rFonts w:asciiTheme="majorHAnsi" w:hAnsiTheme="majorHAnsi"/>
          <w:sz w:val="20"/>
          <w:szCs w:val="20"/>
        </w:rPr>
        <w:t>ó</w:t>
      </w:r>
      <w:r w:rsidRPr="009E773A">
        <w:rPr>
          <w:rFonts w:asciiTheme="majorHAnsi" w:hAnsiTheme="majorHAnsi"/>
          <w:sz w:val="20"/>
          <w:szCs w:val="20"/>
        </w:rPr>
        <w:t xml:space="preserve"> su destino, y luego los dejó continuar</w:t>
      </w:r>
      <w:r w:rsidRPr="009E773A">
        <w:rPr>
          <w:rStyle w:val="FootnoteReference"/>
          <w:rFonts w:asciiTheme="majorHAnsi" w:hAnsiTheme="majorHAnsi"/>
          <w:sz w:val="20"/>
          <w:szCs w:val="20"/>
        </w:rPr>
        <w:footnoteReference w:id="39"/>
      </w:r>
      <w:r w:rsidRPr="009E773A">
        <w:rPr>
          <w:rFonts w:asciiTheme="majorHAnsi" w:hAnsiTheme="majorHAnsi"/>
          <w:sz w:val="20"/>
          <w:szCs w:val="20"/>
        </w:rPr>
        <w:t xml:space="preserve">. En medio de la noche, Jimmy Guerrero, </w:t>
      </w:r>
      <w:r w:rsidR="001B03AF" w:rsidRPr="009E773A">
        <w:rPr>
          <w:rFonts w:asciiTheme="majorHAnsi" w:hAnsiTheme="majorHAnsi"/>
          <w:sz w:val="20"/>
          <w:szCs w:val="20"/>
        </w:rPr>
        <w:t xml:space="preserve">Ramón Molina </w:t>
      </w:r>
      <w:r w:rsidRPr="009E773A">
        <w:rPr>
          <w:rFonts w:asciiTheme="majorHAnsi" w:hAnsiTheme="majorHAnsi"/>
          <w:sz w:val="20"/>
          <w:szCs w:val="20"/>
        </w:rPr>
        <w:t xml:space="preserve">y José Hernández se dirigieron a realizar unas compras, donde </w:t>
      </w:r>
      <w:r w:rsidR="00492CBD" w:rsidRPr="009E773A">
        <w:rPr>
          <w:rFonts w:asciiTheme="majorHAnsi" w:hAnsiTheme="majorHAnsi"/>
          <w:sz w:val="20"/>
          <w:szCs w:val="20"/>
        </w:rPr>
        <w:t>fueron víctimas del</w:t>
      </w:r>
      <w:r w:rsidRPr="009E773A">
        <w:rPr>
          <w:rFonts w:asciiTheme="majorHAnsi" w:hAnsiTheme="majorHAnsi"/>
          <w:sz w:val="20"/>
          <w:szCs w:val="20"/>
        </w:rPr>
        <w:t xml:space="preserve"> ataque </w:t>
      </w:r>
      <w:r w:rsidR="00492CBD" w:rsidRPr="009E773A">
        <w:rPr>
          <w:rFonts w:asciiTheme="majorHAnsi" w:hAnsiTheme="majorHAnsi"/>
          <w:sz w:val="20"/>
          <w:szCs w:val="20"/>
        </w:rPr>
        <w:t>ya descrito</w:t>
      </w:r>
      <w:r w:rsidR="000E032A" w:rsidRPr="009E773A">
        <w:rPr>
          <w:rFonts w:asciiTheme="majorHAnsi" w:hAnsiTheme="majorHAnsi"/>
          <w:sz w:val="20"/>
          <w:szCs w:val="20"/>
        </w:rPr>
        <w:t xml:space="preserve">. </w:t>
      </w:r>
      <w:r w:rsidR="00200564" w:rsidRPr="009E773A">
        <w:rPr>
          <w:rFonts w:asciiTheme="majorHAnsi" w:hAnsiTheme="majorHAnsi"/>
          <w:sz w:val="20"/>
          <w:szCs w:val="20"/>
        </w:rPr>
        <w:t>Según el C</w:t>
      </w:r>
      <w:r w:rsidR="00B3598E" w:rsidRPr="009E773A">
        <w:rPr>
          <w:rFonts w:asciiTheme="majorHAnsi" w:hAnsiTheme="majorHAnsi"/>
          <w:sz w:val="20"/>
          <w:szCs w:val="20"/>
        </w:rPr>
        <w:t>ICPC</w:t>
      </w:r>
      <w:r w:rsidR="00B43131" w:rsidRPr="009E773A">
        <w:rPr>
          <w:rFonts w:asciiTheme="majorHAnsi" w:hAnsiTheme="majorHAnsi"/>
          <w:sz w:val="20"/>
          <w:szCs w:val="20"/>
        </w:rPr>
        <w:t>,</w:t>
      </w:r>
      <w:r w:rsidR="00200564" w:rsidRPr="009E773A">
        <w:rPr>
          <w:rFonts w:asciiTheme="majorHAnsi" w:hAnsiTheme="majorHAnsi"/>
          <w:sz w:val="20"/>
          <w:szCs w:val="20"/>
        </w:rPr>
        <w:t xml:space="preserve"> el </w:t>
      </w:r>
      <w:r w:rsidR="00492CBD" w:rsidRPr="009E773A">
        <w:rPr>
          <w:rFonts w:asciiTheme="majorHAnsi" w:hAnsiTheme="majorHAnsi"/>
          <w:sz w:val="20"/>
          <w:szCs w:val="20"/>
        </w:rPr>
        <w:t>cuerpo de Jimmy Guerrero</w:t>
      </w:r>
      <w:r w:rsidR="0048374E" w:rsidRPr="009E773A">
        <w:rPr>
          <w:rFonts w:asciiTheme="majorHAnsi" w:hAnsiTheme="majorHAnsi"/>
          <w:sz w:val="20"/>
          <w:szCs w:val="20"/>
        </w:rPr>
        <w:t xml:space="preserve"> </w:t>
      </w:r>
      <w:r w:rsidR="000E032A" w:rsidRPr="009E773A">
        <w:rPr>
          <w:rFonts w:asciiTheme="majorHAnsi" w:hAnsiTheme="majorHAnsi"/>
          <w:sz w:val="20"/>
          <w:szCs w:val="20"/>
        </w:rPr>
        <w:t>fue encontrado en</w:t>
      </w:r>
      <w:r w:rsidR="00B07EE9" w:rsidRPr="009E773A">
        <w:rPr>
          <w:rFonts w:asciiTheme="majorHAnsi" w:hAnsiTheme="majorHAnsi"/>
          <w:sz w:val="20"/>
          <w:szCs w:val="20"/>
        </w:rPr>
        <w:t xml:space="preserve"> la</w:t>
      </w:r>
      <w:r w:rsidR="001C7A86" w:rsidRPr="009E773A">
        <w:rPr>
          <w:rFonts w:asciiTheme="majorHAnsi" w:hAnsiTheme="majorHAnsi"/>
          <w:sz w:val="20"/>
          <w:szCs w:val="20"/>
        </w:rPr>
        <w:t xml:space="preserve"> prolongación Girardot, específicamente en la </w:t>
      </w:r>
      <w:r w:rsidR="00130120" w:rsidRPr="009E773A">
        <w:rPr>
          <w:rFonts w:asciiTheme="majorHAnsi" w:hAnsiTheme="majorHAnsi"/>
          <w:sz w:val="20"/>
          <w:szCs w:val="20"/>
        </w:rPr>
        <w:t>e</w:t>
      </w:r>
      <w:r w:rsidR="00B07EE9" w:rsidRPr="009E773A">
        <w:rPr>
          <w:rFonts w:asciiTheme="majorHAnsi" w:hAnsiTheme="majorHAnsi"/>
          <w:sz w:val="20"/>
          <w:szCs w:val="20"/>
        </w:rPr>
        <w:t>stación de servicio Santa Irene</w:t>
      </w:r>
      <w:r w:rsidR="00E0272E" w:rsidRPr="009E773A">
        <w:rPr>
          <w:rFonts w:asciiTheme="majorHAnsi" w:hAnsiTheme="majorHAnsi"/>
          <w:sz w:val="20"/>
          <w:szCs w:val="20"/>
        </w:rPr>
        <w:t>, en Punto Fijo, estado Falcón</w:t>
      </w:r>
      <w:r w:rsidR="001C7A86" w:rsidRPr="009E773A">
        <w:rPr>
          <w:rStyle w:val="FootnoteReference"/>
          <w:rFonts w:asciiTheme="majorHAnsi" w:hAnsiTheme="majorHAnsi"/>
          <w:sz w:val="20"/>
          <w:szCs w:val="20"/>
        </w:rPr>
        <w:footnoteReference w:id="40"/>
      </w:r>
      <w:r w:rsidR="00083478" w:rsidRPr="009E773A">
        <w:rPr>
          <w:rFonts w:asciiTheme="majorHAnsi" w:hAnsiTheme="majorHAnsi"/>
          <w:sz w:val="20"/>
          <w:szCs w:val="20"/>
        </w:rPr>
        <w:t xml:space="preserve">. </w:t>
      </w:r>
      <w:r w:rsidR="000E032A" w:rsidRPr="009E773A">
        <w:rPr>
          <w:rFonts w:asciiTheme="majorHAnsi" w:hAnsiTheme="majorHAnsi"/>
          <w:sz w:val="20"/>
          <w:szCs w:val="20"/>
        </w:rPr>
        <w:t>Según el protocolo de autopsia, la causa de muerte fue “shock Hipovolemico, hemoperitoneo masivo, lesión arterial debido a herida por proyectil disparado por arma de fuego”</w:t>
      </w:r>
      <w:r w:rsidR="0011131D" w:rsidRPr="009E773A">
        <w:rPr>
          <w:rFonts w:asciiTheme="majorHAnsi" w:hAnsiTheme="majorHAnsi"/>
          <w:sz w:val="20"/>
          <w:szCs w:val="20"/>
        </w:rPr>
        <w:t xml:space="preserve">. </w:t>
      </w:r>
      <w:r w:rsidR="001C13E5" w:rsidRPr="009E773A">
        <w:rPr>
          <w:rFonts w:asciiTheme="majorHAnsi" w:hAnsiTheme="majorHAnsi"/>
          <w:sz w:val="20"/>
          <w:szCs w:val="20"/>
        </w:rPr>
        <w:t>La</w:t>
      </w:r>
      <w:r w:rsidR="0011131D" w:rsidRPr="009E773A">
        <w:rPr>
          <w:rFonts w:asciiTheme="majorHAnsi" w:hAnsiTheme="majorHAnsi"/>
          <w:sz w:val="20"/>
          <w:szCs w:val="20"/>
        </w:rPr>
        <w:t xml:space="preserve"> </w:t>
      </w:r>
      <w:r w:rsidR="00063FAC" w:rsidRPr="009E773A">
        <w:rPr>
          <w:rFonts w:asciiTheme="majorHAnsi" w:hAnsiTheme="majorHAnsi"/>
          <w:sz w:val="20"/>
          <w:szCs w:val="20"/>
        </w:rPr>
        <w:t>pericia de trayectoria balística</w:t>
      </w:r>
      <w:r w:rsidR="001C13E5" w:rsidRPr="009E773A">
        <w:rPr>
          <w:rFonts w:asciiTheme="majorHAnsi" w:hAnsiTheme="majorHAnsi"/>
          <w:sz w:val="20"/>
          <w:szCs w:val="20"/>
        </w:rPr>
        <w:t xml:space="preserve"> da</w:t>
      </w:r>
      <w:r w:rsidR="0011131D" w:rsidRPr="009E773A">
        <w:rPr>
          <w:rFonts w:asciiTheme="majorHAnsi" w:hAnsiTheme="majorHAnsi"/>
          <w:sz w:val="20"/>
          <w:szCs w:val="20"/>
        </w:rPr>
        <w:t xml:space="preserve"> cuenta de </w:t>
      </w:r>
      <w:r w:rsidR="00063FAC" w:rsidRPr="009E773A">
        <w:rPr>
          <w:rFonts w:asciiTheme="majorHAnsi" w:hAnsiTheme="majorHAnsi"/>
          <w:sz w:val="20"/>
          <w:szCs w:val="20"/>
        </w:rPr>
        <w:t>tres</w:t>
      </w:r>
      <w:r w:rsidR="0011131D" w:rsidRPr="009E773A">
        <w:rPr>
          <w:rFonts w:asciiTheme="majorHAnsi" w:hAnsiTheme="majorHAnsi"/>
          <w:sz w:val="20"/>
          <w:szCs w:val="20"/>
        </w:rPr>
        <w:t xml:space="preserve"> disparos en el cuerpo, indicando que la trayectoria de los disparos de la cabeza </w:t>
      </w:r>
      <w:r w:rsidR="00063FAC" w:rsidRPr="009E773A">
        <w:rPr>
          <w:rFonts w:asciiTheme="majorHAnsi" w:hAnsiTheme="majorHAnsi"/>
          <w:sz w:val="20"/>
          <w:szCs w:val="20"/>
        </w:rPr>
        <w:t>fue</w:t>
      </w:r>
      <w:r w:rsidR="0011131D" w:rsidRPr="009E773A">
        <w:rPr>
          <w:rFonts w:asciiTheme="majorHAnsi" w:hAnsiTheme="majorHAnsi"/>
          <w:sz w:val="20"/>
          <w:szCs w:val="20"/>
        </w:rPr>
        <w:t xml:space="preserve"> </w:t>
      </w:r>
      <w:r w:rsidR="00063FAC" w:rsidRPr="009E773A">
        <w:rPr>
          <w:rFonts w:asciiTheme="majorHAnsi" w:hAnsiTheme="majorHAnsi"/>
          <w:sz w:val="20"/>
          <w:szCs w:val="20"/>
        </w:rPr>
        <w:t>descendente, de izquierda a derecha</w:t>
      </w:r>
      <w:r w:rsidR="00063FAC" w:rsidRPr="009E773A">
        <w:rPr>
          <w:rStyle w:val="FootnoteReference"/>
          <w:rFonts w:asciiTheme="majorHAnsi" w:hAnsiTheme="majorHAnsi"/>
          <w:sz w:val="20"/>
          <w:szCs w:val="20"/>
        </w:rPr>
        <w:footnoteReference w:id="41"/>
      </w:r>
      <w:r w:rsidR="000E032A" w:rsidRPr="009E773A">
        <w:rPr>
          <w:rFonts w:asciiTheme="majorHAnsi" w:hAnsiTheme="majorHAnsi"/>
          <w:sz w:val="20"/>
          <w:szCs w:val="20"/>
        </w:rPr>
        <w:t xml:space="preserve">. Asimismo, su cuerpo presentaba: </w:t>
      </w:r>
    </w:p>
    <w:p w14:paraId="73E9DA16" w14:textId="77777777" w:rsidR="000E032A" w:rsidRPr="009E773A" w:rsidRDefault="000E032A" w:rsidP="009A79B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Theme="majorHAnsi" w:hAnsiTheme="majorHAnsi"/>
          <w:sz w:val="20"/>
          <w:szCs w:val="20"/>
        </w:rPr>
      </w:pPr>
    </w:p>
    <w:p w14:paraId="6D6060BF" w14:textId="77777777" w:rsidR="00811B2E" w:rsidRPr="009E773A" w:rsidRDefault="000E032A" w:rsidP="009A79B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hAnsiTheme="majorHAnsi"/>
          <w:sz w:val="20"/>
          <w:szCs w:val="20"/>
        </w:rPr>
      </w:pPr>
      <w:r w:rsidRPr="009E773A">
        <w:rPr>
          <w:rFonts w:asciiTheme="majorHAnsi" w:hAnsiTheme="majorHAnsi"/>
          <w:sz w:val="20"/>
          <w:szCs w:val="20"/>
        </w:rPr>
        <w:t>(…) Cabeza: apreciándose dos orificios de entrada de proyectiles de arma de fuego, (…) provocando pequeño hematoma epicraneal izquierdo, fracturando hueso parietal izquierdo, fracturando techo de orbita ocular derecho, lesionando lóbulos parietal y frontal. (…), fracturando escama del temporal izquierdo, lesionando lóbulos temporal y parietal izquierdos, (…). Boca: Escoriaciones en comisura labial izquierda (…) Tórax: Simétrico, apreciándose extensas escoriaciones producidas por arrastre en toda la superficie anterior del tórax con gran pérdida de piel.  Abdomen: (…) apreciándose extensas escoriaciones en abdomen con gran pérdida de piel</w:t>
      </w:r>
      <w:r w:rsidRPr="009E773A">
        <w:rPr>
          <w:rStyle w:val="FootnoteReference"/>
          <w:rFonts w:asciiTheme="majorHAnsi" w:hAnsiTheme="majorHAnsi"/>
          <w:sz w:val="20"/>
          <w:szCs w:val="20"/>
        </w:rPr>
        <w:footnoteReference w:id="42"/>
      </w:r>
      <w:r w:rsidRPr="009E773A">
        <w:rPr>
          <w:rFonts w:asciiTheme="majorHAnsi" w:hAnsiTheme="majorHAnsi"/>
          <w:sz w:val="20"/>
          <w:szCs w:val="20"/>
        </w:rPr>
        <w:t>.</w:t>
      </w:r>
    </w:p>
    <w:p w14:paraId="256C68D0" w14:textId="77777777" w:rsidR="00726365" w:rsidRPr="009E773A" w:rsidRDefault="000E032A" w:rsidP="009A79B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hAnsiTheme="majorHAnsi"/>
          <w:sz w:val="20"/>
          <w:szCs w:val="20"/>
        </w:rPr>
      </w:pPr>
      <w:r w:rsidRPr="009E773A">
        <w:rPr>
          <w:rFonts w:asciiTheme="majorHAnsi" w:hAnsiTheme="majorHAnsi"/>
          <w:sz w:val="20"/>
          <w:szCs w:val="20"/>
        </w:rPr>
        <w:t xml:space="preserve"> </w:t>
      </w:r>
    </w:p>
    <w:p w14:paraId="4AFDBCEB" w14:textId="4ED0209D" w:rsidR="000E032A" w:rsidRPr="009E773A" w:rsidRDefault="00492CBD" w:rsidP="009A79B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r w:rsidRPr="009E773A">
        <w:rPr>
          <w:rFonts w:asciiTheme="majorHAnsi" w:hAnsiTheme="majorHAnsi"/>
          <w:sz w:val="20"/>
          <w:szCs w:val="20"/>
        </w:rPr>
        <w:t>El</w:t>
      </w:r>
      <w:r w:rsidR="0083217C" w:rsidRPr="009E773A">
        <w:rPr>
          <w:rFonts w:asciiTheme="majorHAnsi" w:hAnsiTheme="majorHAnsi"/>
          <w:sz w:val="20"/>
          <w:szCs w:val="20"/>
        </w:rPr>
        <w:t xml:space="preserve"> cuerpo</w:t>
      </w:r>
      <w:r w:rsidR="000E032A" w:rsidRPr="009E773A">
        <w:rPr>
          <w:rFonts w:asciiTheme="majorHAnsi" w:hAnsiTheme="majorHAnsi"/>
          <w:sz w:val="20"/>
          <w:szCs w:val="20"/>
        </w:rPr>
        <w:t xml:space="preserve"> </w:t>
      </w:r>
      <w:r w:rsidRPr="009E773A">
        <w:rPr>
          <w:rFonts w:asciiTheme="majorHAnsi" w:hAnsiTheme="majorHAnsi"/>
          <w:sz w:val="20"/>
          <w:szCs w:val="20"/>
        </w:rPr>
        <w:t xml:space="preserve">de Ramón Molina </w:t>
      </w:r>
      <w:r w:rsidR="000E032A" w:rsidRPr="009E773A">
        <w:rPr>
          <w:rFonts w:asciiTheme="majorHAnsi" w:hAnsiTheme="majorHAnsi"/>
          <w:sz w:val="20"/>
          <w:szCs w:val="20"/>
        </w:rPr>
        <w:t>fue hallado frente a una licorería en el callejón Buenos Aires de la Urbanización Santa Irene, en Punto Fijo, estado Falcón. Según el protocolo de autopsia, la causa de muerte fue “Hemoperidario, hemomediastino, lesión cardiaca severa debido a herida por proyectil disparado por arma de fuego”. Según dicha prueba, éste presentaba varios “orificios de entrada de proyectil de arma de fuego” en el tórax</w:t>
      </w:r>
      <w:r w:rsidR="000E032A" w:rsidRPr="009E773A">
        <w:rPr>
          <w:rStyle w:val="FootnoteReference"/>
          <w:rFonts w:asciiTheme="majorHAnsi" w:hAnsiTheme="majorHAnsi"/>
          <w:sz w:val="20"/>
          <w:szCs w:val="20"/>
        </w:rPr>
        <w:footnoteReference w:id="43"/>
      </w:r>
      <w:r w:rsidR="00F852A0" w:rsidRPr="009E773A">
        <w:rPr>
          <w:rFonts w:asciiTheme="majorHAnsi" w:hAnsiTheme="majorHAnsi"/>
          <w:sz w:val="20"/>
          <w:szCs w:val="20"/>
        </w:rPr>
        <w:t xml:space="preserve">. </w:t>
      </w:r>
      <w:r w:rsidR="00063FAC" w:rsidRPr="009E773A">
        <w:rPr>
          <w:rFonts w:asciiTheme="majorHAnsi" w:hAnsiTheme="majorHAnsi"/>
          <w:sz w:val="20"/>
          <w:szCs w:val="20"/>
        </w:rPr>
        <w:t xml:space="preserve">La pericia de trayectoria balística da cuenta </w:t>
      </w:r>
      <w:r w:rsidR="00014FEE" w:rsidRPr="009E773A">
        <w:rPr>
          <w:rFonts w:asciiTheme="majorHAnsi" w:hAnsiTheme="majorHAnsi"/>
          <w:sz w:val="20"/>
          <w:szCs w:val="20"/>
        </w:rPr>
        <w:t>de un disparo con trayectoria descendente, de adelante hacia atrás, y de derecha a izquierda</w:t>
      </w:r>
      <w:r w:rsidR="00014FEE" w:rsidRPr="009E773A">
        <w:rPr>
          <w:rStyle w:val="FootnoteReference"/>
          <w:rFonts w:asciiTheme="majorHAnsi" w:hAnsiTheme="majorHAnsi"/>
          <w:sz w:val="20"/>
          <w:szCs w:val="20"/>
        </w:rPr>
        <w:footnoteReference w:id="44"/>
      </w:r>
      <w:r w:rsidR="00014FEE" w:rsidRPr="009E773A">
        <w:rPr>
          <w:rFonts w:asciiTheme="majorHAnsi" w:hAnsiTheme="majorHAnsi"/>
          <w:sz w:val="20"/>
          <w:szCs w:val="20"/>
        </w:rPr>
        <w:t>.</w:t>
      </w:r>
    </w:p>
    <w:p w14:paraId="0345568C" w14:textId="77777777" w:rsidR="00E0272E" w:rsidRPr="009E773A" w:rsidRDefault="00E0272E" w:rsidP="009A79B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p>
    <w:p w14:paraId="1615DDCD" w14:textId="218009F1" w:rsidR="00E0272E" w:rsidRPr="009E773A" w:rsidRDefault="00E0272E" w:rsidP="009A79B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r w:rsidRPr="009E773A">
        <w:rPr>
          <w:rFonts w:asciiTheme="majorHAnsi" w:hAnsiTheme="majorHAnsi"/>
          <w:sz w:val="20"/>
          <w:szCs w:val="20"/>
        </w:rPr>
        <w:t>La Comisión observa que</w:t>
      </w:r>
      <w:r w:rsidR="002F4557" w:rsidRPr="009E773A">
        <w:rPr>
          <w:rFonts w:asciiTheme="majorHAnsi" w:hAnsiTheme="majorHAnsi"/>
          <w:sz w:val="20"/>
          <w:szCs w:val="20"/>
        </w:rPr>
        <w:t xml:space="preserve"> s</w:t>
      </w:r>
      <w:r w:rsidR="00957F33" w:rsidRPr="009E773A">
        <w:rPr>
          <w:rFonts w:asciiTheme="majorHAnsi" w:hAnsiTheme="majorHAnsi"/>
          <w:sz w:val="20"/>
          <w:szCs w:val="20"/>
        </w:rPr>
        <w:t>urgieron distintas versiones e información pública sobre las circunstancias en que ocurrieron los hechos</w:t>
      </w:r>
      <w:r w:rsidRPr="009E773A">
        <w:rPr>
          <w:rFonts w:asciiTheme="majorHAnsi" w:hAnsiTheme="majorHAnsi"/>
          <w:sz w:val="20"/>
          <w:szCs w:val="20"/>
        </w:rPr>
        <w:t>. En primer lugar, en el expediente ante la CIDH constan diversas notas d</w:t>
      </w:r>
      <w:r w:rsidR="0048374E" w:rsidRPr="009E773A">
        <w:rPr>
          <w:rFonts w:asciiTheme="majorHAnsi" w:hAnsiTheme="majorHAnsi"/>
          <w:sz w:val="20"/>
          <w:szCs w:val="20"/>
        </w:rPr>
        <w:t>e prensa en las cuales se reseñó</w:t>
      </w:r>
      <w:r w:rsidRPr="009E773A">
        <w:rPr>
          <w:rFonts w:asciiTheme="majorHAnsi" w:hAnsiTheme="majorHAnsi"/>
          <w:sz w:val="20"/>
          <w:szCs w:val="20"/>
        </w:rPr>
        <w:t xml:space="preserve"> la muerte de Jimmy Guerrero y Ramón Antonio Molina</w:t>
      </w:r>
      <w:r w:rsidR="00957F33" w:rsidRPr="009E773A">
        <w:rPr>
          <w:rFonts w:asciiTheme="majorHAnsi" w:hAnsiTheme="majorHAnsi"/>
          <w:sz w:val="20"/>
          <w:szCs w:val="20"/>
        </w:rPr>
        <w:t>. Algunas de estas notas refirieron declaraciones de funcionarios policiales y su versión en cuanto a que se había tratado de un enfrentamiento</w:t>
      </w:r>
      <w:r w:rsidR="00F852A0" w:rsidRPr="009E773A">
        <w:rPr>
          <w:rFonts w:asciiTheme="majorHAnsi" w:hAnsiTheme="majorHAnsi"/>
          <w:sz w:val="20"/>
          <w:szCs w:val="20"/>
        </w:rPr>
        <w:t xml:space="preserve"> entre bandas</w:t>
      </w:r>
      <w:r w:rsidR="00957F33" w:rsidRPr="009E773A">
        <w:rPr>
          <w:rFonts w:asciiTheme="majorHAnsi" w:hAnsiTheme="majorHAnsi"/>
          <w:sz w:val="20"/>
          <w:szCs w:val="20"/>
        </w:rPr>
        <w:t>. Así, consta que el comisario jefe de la Delegación del CICPC del estado Falcón declaró públicamente que “uno de los sujetos muertos a tiros a la noche del sábado frente a la Distribuidora “Rodríguez” de Punto Fijo [Jimmy Guerrero] registraba antecedentes policiales por diversos delitos y además era miembro de una banda delictiva que se dedicaba al robo y hurto de viviendas. […] Este sujeto era de alta peligrosidad”</w:t>
      </w:r>
      <w:r w:rsidR="00957F33" w:rsidRPr="009E773A">
        <w:rPr>
          <w:rStyle w:val="FootnoteReference"/>
          <w:rFonts w:asciiTheme="majorHAnsi" w:hAnsiTheme="majorHAnsi"/>
          <w:sz w:val="20"/>
          <w:szCs w:val="20"/>
        </w:rPr>
        <w:footnoteReference w:id="45"/>
      </w:r>
      <w:r w:rsidR="00957F33" w:rsidRPr="009E773A">
        <w:rPr>
          <w:rFonts w:asciiTheme="majorHAnsi" w:hAnsiTheme="majorHAnsi"/>
          <w:sz w:val="20"/>
          <w:szCs w:val="20"/>
        </w:rPr>
        <w:t>.</w:t>
      </w:r>
    </w:p>
    <w:p w14:paraId="5FEACA01" w14:textId="77777777" w:rsidR="007E761E" w:rsidRPr="009E773A" w:rsidRDefault="007E761E" w:rsidP="009A79B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p>
    <w:p w14:paraId="4D54729C" w14:textId="77777777" w:rsidR="001B03AF" w:rsidRPr="009E773A" w:rsidRDefault="007E761E" w:rsidP="009A79B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r w:rsidRPr="009E773A">
        <w:rPr>
          <w:rFonts w:asciiTheme="majorHAnsi" w:hAnsiTheme="majorHAnsi"/>
          <w:sz w:val="20"/>
          <w:szCs w:val="20"/>
        </w:rPr>
        <w:t>En segundo lugar, existe una versión referida en actas policiales según la cual en la licorería donde se encontraban las presuntas víctimas, ocurrió un atraco</w:t>
      </w:r>
      <w:r w:rsidR="00A00AC7" w:rsidRPr="009E773A">
        <w:rPr>
          <w:rFonts w:asciiTheme="majorHAnsi" w:hAnsiTheme="majorHAnsi"/>
          <w:sz w:val="20"/>
          <w:szCs w:val="20"/>
        </w:rPr>
        <w:t xml:space="preserve">. Específicamente, una persona declaró que, al tratar de salir del </w:t>
      </w:r>
      <w:r w:rsidR="00A00AC7" w:rsidRPr="009E773A">
        <w:rPr>
          <w:rFonts w:asciiTheme="majorHAnsi" w:hAnsiTheme="majorHAnsi"/>
          <w:sz w:val="20"/>
          <w:szCs w:val="20"/>
        </w:rPr>
        <w:lastRenderedPageBreak/>
        <w:t>lugar, por accidente había arrastrado el cuerpo que fue identificado como de Jimmy Guerrero, con su vehículo</w:t>
      </w:r>
      <w:r w:rsidR="00A00AC7" w:rsidRPr="009E773A">
        <w:rPr>
          <w:rStyle w:val="FootnoteReference"/>
          <w:rFonts w:asciiTheme="majorHAnsi" w:hAnsiTheme="majorHAnsi"/>
          <w:sz w:val="20"/>
          <w:szCs w:val="20"/>
        </w:rPr>
        <w:footnoteReference w:id="46"/>
      </w:r>
      <w:r w:rsidR="00A00AC7" w:rsidRPr="009E773A">
        <w:rPr>
          <w:rFonts w:asciiTheme="majorHAnsi" w:hAnsiTheme="majorHAnsi"/>
          <w:sz w:val="20"/>
          <w:szCs w:val="20"/>
        </w:rPr>
        <w:t>. Esta versión fue confirmada por la esposa de dicho conductor</w:t>
      </w:r>
      <w:r w:rsidR="00A00AC7" w:rsidRPr="009E773A">
        <w:rPr>
          <w:rStyle w:val="FootnoteReference"/>
          <w:rFonts w:asciiTheme="majorHAnsi" w:hAnsiTheme="majorHAnsi"/>
          <w:sz w:val="20"/>
          <w:szCs w:val="20"/>
        </w:rPr>
        <w:footnoteReference w:id="47"/>
      </w:r>
      <w:r w:rsidR="00A00AC7" w:rsidRPr="009E773A">
        <w:rPr>
          <w:rFonts w:asciiTheme="majorHAnsi" w:hAnsiTheme="majorHAnsi"/>
          <w:sz w:val="20"/>
          <w:szCs w:val="20"/>
        </w:rPr>
        <w:t xml:space="preserve">. </w:t>
      </w:r>
    </w:p>
    <w:p w14:paraId="3BBDBA3E" w14:textId="77777777" w:rsidR="007E761E" w:rsidRPr="009E773A" w:rsidRDefault="00A00AC7" w:rsidP="009A79B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r w:rsidRPr="009E773A">
        <w:rPr>
          <w:rFonts w:asciiTheme="majorHAnsi" w:hAnsiTheme="majorHAnsi"/>
          <w:sz w:val="20"/>
          <w:szCs w:val="20"/>
        </w:rPr>
        <w:t xml:space="preserve"> </w:t>
      </w:r>
    </w:p>
    <w:p w14:paraId="789EA1C1" w14:textId="77777777" w:rsidR="0083514A" w:rsidRPr="009E773A" w:rsidRDefault="00A00AC7" w:rsidP="009A79B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r w:rsidRPr="009E773A">
        <w:rPr>
          <w:rFonts w:asciiTheme="majorHAnsi" w:hAnsiTheme="majorHAnsi"/>
          <w:sz w:val="20"/>
          <w:szCs w:val="20"/>
        </w:rPr>
        <w:t xml:space="preserve">En tercer lugar, </w:t>
      </w:r>
      <w:r w:rsidR="004D21FE" w:rsidRPr="009E773A">
        <w:rPr>
          <w:rFonts w:asciiTheme="majorHAnsi" w:hAnsiTheme="majorHAnsi"/>
          <w:sz w:val="20"/>
          <w:szCs w:val="20"/>
        </w:rPr>
        <w:t>la prensa</w:t>
      </w:r>
      <w:r w:rsidRPr="009E773A">
        <w:rPr>
          <w:rFonts w:asciiTheme="majorHAnsi" w:hAnsiTheme="majorHAnsi"/>
          <w:sz w:val="20"/>
          <w:szCs w:val="20"/>
        </w:rPr>
        <w:t xml:space="preserve"> reseñó que la</w:t>
      </w:r>
      <w:r w:rsidR="002F4557" w:rsidRPr="009E773A">
        <w:rPr>
          <w:rFonts w:asciiTheme="majorHAnsi" w:hAnsiTheme="majorHAnsi"/>
          <w:sz w:val="20"/>
          <w:szCs w:val="20"/>
        </w:rPr>
        <w:t>s</w:t>
      </w:r>
      <w:r w:rsidRPr="009E773A">
        <w:rPr>
          <w:rFonts w:asciiTheme="majorHAnsi" w:hAnsiTheme="majorHAnsi"/>
          <w:sz w:val="20"/>
          <w:szCs w:val="20"/>
        </w:rPr>
        <w:t xml:space="preserve"> muerte</w:t>
      </w:r>
      <w:r w:rsidR="002F4557" w:rsidRPr="009E773A">
        <w:rPr>
          <w:rFonts w:asciiTheme="majorHAnsi" w:hAnsiTheme="majorHAnsi"/>
          <w:sz w:val="20"/>
          <w:szCs w:val="20"/>
        </w:rPr>
        <w:t>s no se eran</w:t>
      </w:r>
      <w:r w:rsidRPr="009E773A">
        <w:rPr>
          <w:rFonts w:asciiTheme="majorHAnsi" w:hAnsiTheme="majorHAnsi"/>
          <w:sz w:val="20"/>
          <w:szCs w:val="20"/>
        </w:rPr>
        <w:t xml:space="preserve"> “un ajuste entre bandas” sino que </w:t>
      </w:r>
      <w:r w:rsidR="002F4557" w:rsidRPr="009E773A">
        <w:rPr>
          <w:rFonts w:asciiTheme="majorHAnsi" w:hAnsiTheme="majorHAnsi"/>
          <w:sz w:val="20"/>
          <w:szCs w:val="20"/>
        </w:rPr>
        <w:t>fueron</w:t>
      </w:r>
      <w:r w:rsidRPr="009E773A">
        <w:rPr>
          <w:rFonts w:asciiTheme="majorHAnsi" w:hAnsiTheme="majorHAnsi"/>
          <w:sz w:val="20"/>
          <w:szCs w:val="20"/>
        </w:rPr>
        <w:t xml:space="preserve"> perpetrada</w:t>
      </w:r>
      <w:r w:rsidR="002F4557" w:rsidRPr="009E773A">
        <w:rPr>
          <w:rFonts w:asciiTheme="majorHAnsi" w:hAnsiTheme="majorHAnsi"/>
          <w:sz w:val="20"/>
          <w:szCs w:val="20"/>
        </w:rPr>
        <w:t>s</w:t>
      </w:r>
      <w:r w:rsidRPr="009E773A">
        <w:rPr>
          <w:rFonts w:asciiTheme="majorHAnsi" w:hAnsiTheme="majorHAnsi"/>
          <w:sz w:val="20"/>
          <w:szCs w:val="20"/>
        </w:rPr>
        <w:t xml:space="preserve"> por funcionarios policiales</w:t>
      </w:r>
      <w:r w:rsidR="00D7172B" w:rsidRPr="009E773A">
        <w:rPr>
          <w:rFonts w:asciiTheme="majorHAnsi" w:hAnsiTheme="majorHAnsi"/>
          <w:sz w:val="20"/>
          <w:szCs w:val="20"/>
        </w:rPr>
        <w:t xml:space="preserve">, como denunciaron el </w:t>
      </w:r>
      <w:r w:rsidRPr="009E773A">
        <w:rPr>
          <w:rFonts w:asciiTheme="majorHAnsi" w:hAnsiTheme="majorHAnsi"/>
          <w:sz w:val="20"/>
          <w:szCs w:val="20"/>
        </w:rPr>
        <w:t>padre y el hermano de Jimmy Guerrero, Jean Carlos Guerrero</w:t>
      </w:r>
      <w:r w:rsidR="00D7172B" w:rsidRPr="009E773A">
        <w:rPr>
          <w:rFonts w:asciiTheme="majorHAnsi" w:hAnsiTheme="majorHAnsi"/>
          <w:sz w:val="20"/>
          <w:szCs w:val="20"/>
        </w:rPr>
        <w:t>. L</w:t>
      </w:r>
      <w:r w:rsidR="0083514A" w:rsidRPr="009E773A">
        <w:rPr>
          <w:rFonts w:asciiTheme="majorHAnsi" w:hAnsiTheme="majorHAnsi"/>
          <w:sz w:val="20"/>
          <w:szCs w:val="20"/>
        </w:rPr>
        <w:t>a versión de Jean Carlos Guerrero es consistente con su denuncia ante el Fiscal Superior, según la cual su hermano “fue torturado antes de asesinarlo” y que el responsable de estos hechos sería el entonces comandante de las Fuerzas Armadas Policiales del estado Falcón, Oswaldo Rodríguez León</w:t>
      </w:r>
      <w:r w:rsidR="0083514A" w:rsidRPr="009E773A">
        <w:rPr>
          <w:rStyle w:val="FootnoteReference"/>
          <w:rFonts w:asciiTheme="majorHAnsi" w:hAnsiTheme="majorHAnsi"/>
          <w:sz w:val="20"/>
          <w:szCs w:val="20"/>
        </w:rPr>
        <w:footnoteReference w:id="48"/>
      </w:r>
      <w:r w:rsidR="002F4557" w:rsidRPr="009E773A">
        <w:rPr>
          <w:rFonts w:asciiTheme="majorHAnsi" w:hAnsiTheme="majorHAnsi"/>
          <w:sz w:val="20"/>
          <w:szCs w:val="20"/>
        </w:rPr>
        <w:t xml:space="preserve">. Lo mismo se desprende de su </w:t>
      </w:r>
      <w:r w:rsidR="0083514A" w:rsidRPr="009E773A">
        <w:rPr>
          <w:rFonts w:asciiTheme="majorHAnsi" w:hAnsiTheme="majorHAnsi"/>
          <w:sz w:val="20"/>
          <w:szCs w:val="20"/>
        </w:rPr>
        <w:t>testimonio ante la audiencia pública ante la CIDH</w:t>
      </w:r>
      <w:r w:rsidR="0083514A" w:rsidRPr="009E773A">
        <w:rPr>
          <w:rStyle w:val="FootnoteReference"/>
          <w:rFonts w:asciiTheme="majorHAnsi" w:hAnsiTheme="majorHAnsi"/>
          <w:sz w:val="20"/>
          <w:szCs w:val="20"/>
        </w:rPr>
        <w:footnoteReference w:id="49"/>
      </w:r>
      <w:r w:rsidR="00D7172B" w:rsidRPr="009E773A">
        <w:rPr>
          <w:rFonts w:asciiTheme="majorHAnsi" w:hAnsiTheme="majorHAnsi"/>
          <w:sz w:val="20"/>
          <w:szCs w:val="20"/>
        </w:rPr>
        <w:t xml:space="preserve">. </w:t>
      </w:r>
    </w:p>
    <w:p w14:paraId="78B06305" w14:textId="77777777" w:rsidR="00353C76" w:rsidRPr="009E773A" w:rsidRDefault="00353C76" w:rsidP="009A79B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p>
    <w:p w14:paraId="21D3A50A" w14:textId="49826800" w:rsidR="00075324" w:rsidRPr="009E773A" w:rsidRDefault="00D7172B" w:rsidP="009A79B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r w:rsidRPr="009E773A">
        <w:rPr>
          <w:rFonts w:asciiTheme="majorHAnsi" w:hAnsiTheme="majorHAnsi"/>
          <w:sz w:val="20"/>
          <w:szCs w:val="20"/>
        </w:rPr>
        <w:t>El padre y hermano de Jimmy Guerrero también declararon que había sobrevivido el señor José Hernández, que era testigo presencial, y que se encontraba gravemente herido y temían por su seguridad</w:t>
      </w:r>
      <w:r w:rsidRPr="009E773A">
        <w:rPr>
          <w:rStyle w:val="FootnoteReference"/>
          <w:rFonts w:asciiTheme="majorHAnsi" w:hAnsiTheme="majorHAnsi"/>
          <w:sz w:val="20"/>
          <w:szCs w:val="20"/>
        </w:rPr>
        <w:footnoteReference w:id="50"/>
      </w:r>
      <w:r w:rsidRPr="009E773A">
        <w:rPr>
          <w:rFonts w:asciiTheme="majorHAnsi" w:hAnsiTheme="majorHAnsi"/>
          <w:sz w:val="20"/>
          <w:szCs w:val="20"/>
        </w:rPr>
        <w:t>. E</w:t>
      </w:r>
      <w:r w:rsidR="00496623" w:rsidRPr="009E773A">
        <w:rPr>
          <w:rFonts w:asciiTheme="majorHAnsi" w:hAnsiTheme="majorHAnsi"/>
          <w:sz w:val="20"/>
          <w:szCs w:val="20"/>
        </w:rPr>
        <w:t xml:space="preserve">l señor Hernández </w:t>
      </w:r>
      <w:r w:rsidR="00A00AC7" w:rsidRPr="009E773A">
        <w:rPr>
          <w:rFonts w:asciiTheme="majorHAnsi" w:hAnsiTheme="majorHAnsi"/>
          <w:sz w:val="20"/>
          <w:szCs w:val="20"/>
        </w:rPr>
        <w:t>rindió su testimonio anticipad</w:t>
      </w:r>
      <w:r w:rsidR="0083217C" w:rsidRPr="009E773A">
        <w:rPr>
          <w:rFonts w:asciiTheme="majorHAnsi" w:hAnsiTheme="majorHAnsi"/>
          <w:sz w:val="20"/>
          <w:szCs w:val="20"/>
        </w:rPr>
        <w:t>o</w:t>
      </w:r>
      <w:r w:rsidR="00496623" w:rsidRPr="009E773A">
        <w:rPr>
          <w:rFonts w:asciiTheme="majorHAnsi" w:hAnsiTheme="majorHAnsi"/>
          <w:sz w:val="20"/>
          <w:szCs w:val="20"/>
        </w:rPr>
        <w:t xml:space="preserve"> e indicó </w:t>
      </w:r>
      <w:r w:rsidR="00344D40" w:rsidRPr="009E773A">
        <w:rPr>
          <w:rFonts w:asciiTheme="majorHAnsi" w:hAnsiTheme="majorHAnsi"/>
          <w:sz w:val="20"/>
          <w:szCs w:val="20"/>
        </w:rPr>
        <w:t>que a</w:t>
      </w:r>
      <w:r w:rsidR="00A00AC7" w:rsidRPr="009E773A">
        <w:rPr>
          <w:rFonts w:asciiTheme="majorHAnsi" w:hAnsiTheme="majorHAnsi"/>
          <w:sz w:val="20"/>
          <w:szCs w:val="20"/>
        </w:rPr>
        <w:t>l llegar a la licorería, Jimmy Guerrero se bajó hacer las compras y fue cuando “llegaron 4 personas, vestidas de negro”, “vestidos de policía”, quienes empezaron a disparar. El señor Hernández relató que fue herido cuando trató de bajarse del carro, al igual que el señor Molina, a cuyo cuerpo se arrimó y se “[hizo] el muerto”. También afirmó que podía ver “por el orillo de la puerta cuando le estaban danto patadas a [Jimmy] Meléndez,</w:t>
      </w:r>
      <w:r w:rsidR="00785C60" w:rsidRPr="009E773A">
        <w:rPr>
          <w:rFonts w:asciiTheme="majorHAnsi" w:hAnsiTheme="majorHAnsi"/>
          <w:sz w:val="20"/>
          <w:szCs w:val="20"/>
        </w:rPr>
        <w:t xml:space="preserve"> [SIC]</w:t>
      </w:r>
      <w:r w:rsidR="00A00AC7" w:rsidRPr="009E773A">
        <w:rPr>
          <w:rFonts w:asciiTheme="majorHAnsi" w:hAnsiTheme="majorHAnsi"/>
          <w:sz w:val="20"/>
          <w:szCs w:val="20"/>
        </w:rPr>
        <w:t xml:space="preserve"> le hicieron dos disparos y se lo llevaron de arrastra por los pies […]”. Adicionalmente, señaló que luego de ser trasladado al hospital, 3 funcionarios policiales le habían interrogado que por qué “estaba diciendo que eran los po</w:t>
      </w:r>
      <w:r w:rsidR="00EB657F" w:rsidRPr="009E773A">
        <w:rPr>
          <w:rFonts w:asciiTheme="majorHAnsi" w:hAnsiTheme="majorHAnsi"/>
          <w:sz w:val="20"/>
          <w:szCs w:val="20"/>
        </w:rPr>
        <w:t>licías los que habían disparado</w:t>
      </w:r>
      <w:r w:rsidR="00A00AC7" w:rsidRPr="009E773A">
        <w:rPr>
          <w:rFonts w:asciiTheme="majorHAnsi" w:hAnsiTheme="majorHAnsi"/>
          <w:sz w:val="20"/>
          <w:szCs w:val="20"/>
        </w:rPr>
        <w:t>, si los únicos funcionarios de guardia esa noche eran estos funcionarios que le interrogaron</w:t>
      </w:r>
      <w:r w:rsidR="00EB0F7F" w:rsidRPr="009E773A">
        <w:rPr>
          <w:rFonts w:asciiTheme="majorHAnsi" w:hAnsiTheme="majorHAnsi"/>
          <w:sz w:val="20"/>
          <w:szCs w:val="20"/>
        </w:rPr>
        <w:t>”</w:t>
      </w:r>
      <w:r w:rsidR="00A00AC7" w:rsidRPr="009E773A">
        <w:rPr>
          <w:rStyle w:val="FootnoteReference"/>
          <w:rFonts w:asciiTheme="majorHAnsi" w:hAnsiTheme="majorHAnsi"/>
          <w:sz w:val="20"/>
          <w:szCs w:val="20"/>
        </w:rPr>
        <w:footnoteReference w:id="51"/>
      </w:r>
      <w:r w:rsidR="00A00AC7" w:rsidRPr="009E773A">
        <w:rPr>
          <w:rFonts w:asciiTheme="majorHAnsi" w:hAnsiTheme="majorHAnsi"/>
          <w:sz w:val="20"/>
          <w:szCs w:val="20"/>
        </w:rPr>
        <w:t>.</w:t>
      </w:r>
      <w:r w:rsidR="00496623" w:rsidRPr="009E773A">
        <w:rPr>
          <w:rFonts w:asciiTheme="majorHAnsi" w:hAnsiTheme="majorHAnsi"/>
          <w:sz w:val="20"/>
          <w:szCs w:val="20"/>
        </w:rPr>
        <w:t xml:space="preserve"> </w:t>
      </w:r>
    </w:p>
    <w:p w14:paraId="4F6F2B9A" w14:textId="77777777" w:rsidR="00496623" w:rsidRPr="009E773A" w:rsidRDefault="00496623" w:rsidP="009A79B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Theme="majorHAnsi" w:hAnsiTheme="majorHAnsi"/>
          <w:sz w:val="20"/>
          <w:szCs w:val="20"/>
        </w:rPr>
      </w:pPr>
    </w:p>
    <w:p w14:paraId="76E88AE8" w14:textId="7069E20C" w:rsidR="005454FA" w:rsidRPr="009E773A" w:rsidRDefault="00075324" w:rsidP="009A79B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r w:rsidRPr="009E773A">
        <w:rPr>
          <w:rFonts w:asciiTheme="majorHAnsi" w:hAnsiTheme="majorHAnsi"/>
          <w:sz w:val="20"/>
          <w:szCs w:val="20"/>
        </w:rPr>
        <w:t xml:space="preserve">Sobre esta versión, consta en el expediente </w:t>
      </w:r>
      <w:r w:rsidR="004D21FE" w:rsidRPr="009E773A">
        <w:rPr>
          <w:rFonts w:asciiTheme="majorHAnsi" w:hAnsiTheme="majorHAnsi"/>
          <w:sz w:val="20"/>
          <w:szCs w:val="20"/>
        </w:rPr>
        <w:t xml:space="preserve">un </w:t>
      </w:r>
      <w:r w:rsidR="005454FA" w:rsidRPr="009E773A">
        <w:rPr>
          <w:rFonts w:asciiTheme="majorHAnsi" w:hAnsiTheme="majorHAnsi"/>
          <w:sz w:val="20"/>
          <w:szCs w:val="20"/>
        </w:rPr>
        <w:t xml:space="preserve">acta de entrevista a un testigo presencial de los hechos </w:t>
      </w:r>
      <w:r w:rsidR="00C84BFE" w:rsidRPr="009E773A">
        <w:rPr>
          <w:rFonts w:asciiTheme="majorHAnsi" w:hAnsiTheme="majorHAnsi"/>
          <w:sz w:val="20"/>
          <w:szCs w:val="20"/>
        </w:rPr>
        <w:t xml:space="preserve">quien </w:t>
      </w:r>
      <w:r w:rsidR="005454FA" w:rsidRPr="009E773A">
        <w:rPr>
          <w:rFonts w:asciiTheme="majorHAnsi" w:hAnsiTheme="majorHAnsi"/>
          <w:sz w:val="20"/>
          <w:szCs w:val="20"/>
        </w:rPr>
        <w:t xml:space="preserve">declaró que se encontraba trabajando en la licorería “a eso de la 1:30 de la madrugada” cuando llegó un </w:t>
      </w:r>
      <w:r w:rsidR="004635AB" w:rsidRPr="009E773A">
        <w:rPr>
          <w:rFonts w:asciiTheme="majorHAnsi" w:hAnsiTheme="majorHAnsi"/>
          <w:sz w:val="20"/>
          <w:szCs w:val="20"/>
        </w:rPr>
        <w:t>ciudadano a comprar unas bebidas, indicando que</w:t>
      </w:r>
      <w:r w:rsidR="00427EB0" w:rsidRPr="009E773A">
        <w:rPr>
          <w:rFonts w:asciiTheme="majorHAnsi" w:hAnsiTheme="majorHAnsi"/>
          <w:sz w:val="20"/>
          <w:szCs w:val="20"/>
        </w:rPr>
        <w:t xml:space="preserve"> llegó</w:t>
      </w:r>
      <w:r w:rsidR="004635AB" w:rsidRPr="009E773A">
        <w:rPr>
          <w:rFonts w:asciiTheme="majorHAnsi" w:hAnsiTheme="majorHAnsi"/>
          <w:sz w:val="20"/>
          <w:szCs w:val="20"/>
        </w:rPr>
        <w:t xml:space="preserve"> un </w:t>
      </w:r>
      <w:r w:rsidR="005454FA" w:rsidRPr="009E773A">
        <w:rPr>
          <w:rFonts w:asciiTheme="majorHAnsi" w:hAnsiTheme="majorHAnsi"/>
          <w:sz w:val="20"/>
          <w:szCs w:val="20"/>
        </w:rPr>
        <w:t>vehículo del cual se ba</w:t>
      </w:r>
      <w:r w:rsidR="004635AB" w:rsidRPr="009E773A">
        <w:rPr>
          <w:rFonts w:asciiTheme="majorHAnsi" w:hAnsiTheme="majorHAnsi"/>
          <w:sz w:val="20"/>
          <w:szCs w:val="20"/>
        </w:rPr>
        <w:t>jaron dos hombres, uno de “</w:t>
      </w:r>
      <w:r w:rsidR="005454FA" w:rsidRPr="009E773A">
        <w:rPr>
          <w:rFonts w:asciiTheme="majorHAnsi" w:hAnsiTheme="majorHAnsi"/>
          <w:sz w:val="20"/>
          <w:szCs w:val="20"/>
        </w:rPr>
        <w:t>ellos agarró al que me compró las botellas por el cuello y nos dijo a nosotros que no nos metiéramos (…) entonces le pegó un tiro en la cabeza y lo tiró para el suelo, entonces se bajó del carro MONZA el señor Ramón Molina, quien trabaja para nosotros y dijo que pasaba, (…) enseguida le dispararon en ráfagas seguidas (…). Luego entró a la cuadra un SEP de color LADRILLO claro y le pasó por encima al cadáver, dio la vuelta, se bajó uno de los tripulares amarró el cuerpo por una pierna con un mecate de los finos y lo amarró al parachoques trasero y se lo llevó de arrastra”</w:t>
      </w:r>
      <w:r w:rsidR="005454FA" w:rsidRPr="009E773A">
        <w:rPr>
          <w:rStyle w:val="FootnoteReference"/>
          <w:rFonts w:asciiTheme="majorHAnsi" w:hAnsiTheme="majorHAnsi"/>
          <w:sz w:val="20"/>
          <w:szCs w:val="20"/>
        </w:rPr>
        <w:footnoteReference w:id="52"/>
      </w:r>
      <w:r w:rsidR="005454FA" w:rsidRPr="009E773A">
        <w:rPr>
          <w:rFonts w:asciiTheme="majorHAnsi" w:hAnsiTheme="majorHAnsi"/>
          <w:sz w:val="20"/>
          <w:szCs w:val="20"/>
        </w:rPr>
        <w:t>.</w:t>
      </w:r>
      <w:r w:rsidR="001B03AF" w:rsidRPr="009E773A">
        <w:rPr>
          <w:rFonts w:asciiTheme="majorHAnsi" w:hAnsiTheme="majorHAnsi"/>
          <w:sz w:val="20"/>
          <w:szCs w:val="20"/>
        </w:rPr>
        <w:t xml:space="preserve"> </w:t>
      </w:r>
      <w:r w:rsidR="004635AB" w:rsidRPr="009E773A">
        <w:rPr>
          <w:rFonts w:asciiTheme="majorHAnsi" w:hAnsiTheme="majorHAnsi"/>
          <w:sz w:val="20"/>
          <w:szCs w:val="20"/>
        </w:rPr>
        <w:t>El testigo describió físicamente a los que identificó como los atacantes</w:t>
      </w:r>
      <w:r w:rsidR="005454FA" w:rsidRPr="009E773A">
        <w:rPr>
          <w:rStyle w:val="FootnoteReference"/>
          <w:rFonts w:asciiTheme="majorHAnsi" w:hAnsiTheme="majorHAnsi"/>
          <w:sz w:val="20"/>
          <w:szCs w:val="20"/>
        </w:rPr>
        <w:footnoteReference w:id="53"/>
      </w:r>
      <w:r w:rsidR="005454FA" w:rsidRPr="009E773A">
        <w:rPr>
          <w:rFonts w:asciiTheme="majorHAnsi" w:hAnsiTheme="majorHAnsi"/>
          <w:sz w:val="20"/>
          <w:szCs w:val="20"/>
        </w:rPr>
        <w:t>.</w:t>
      </w:r>
    </w:p>
    <w:p w14:paraId="5225EFEC" w14:textId="77777777" w:rsidR="004A373E" w:rsidRPr="009E773A" w:rsidRDefault="004A373E" w:rsidP="009A79B6">
      <w:pPr>
        <w:pStyle w:val="ListParagraph"/>
        <w:rPr>
          <w:rFonts w:asciiTheme="majorHAnsi" w:hAnsiTheme="majorHAnsi"/>
          <w:sz w:val="20"/>
          <w:szCs w:val="20"/>
          <w:lang w:val="es-ES"/>
        </w:rPr>
      </w:pPr>
    </w:p>
    <w:p w14:paraId="14722480" w14:textId="2BCA5676" w:rsidR="0030514D" w:rsidRPr="009E773A" w:rsidRDefault="008C23F9" w:rsidP="009A79B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9360"/>
        </w:tabs>
        <w:jc w:val="both"/>
        <w:rPr>
          <w:rFonts w:asciiTheme="majorHAnsi" w:eastAsia="Cambria" w:hAnsiTheme="majorHAnsi" w:cs="Cambria"/>
          <w:color w:val="000000"/>
          <w:sz w:val="20"/>
          <w:szCs w:val="20"/>
          <w:u w:color="000000"/>
          <w:lang w:val="es-ES" w:eastAsia="es-ES"/>
        </w:rPr>
      </w:pPr>
      <w:r w:rsidRPr="009E773A">
        <w:rPr>
          <w:rFonts w:asciiTheme="majorHAnsi" w:hAnsiTheme="majorHAnsi"/>
          <w:sz w:val="20"/>
          <w:szCs w:val="20"/>
        </w:rPr>
        <w:lastRenderedPageBreak/>
        <w:t>Asimismo, l</w:t>
      </w:r>
      <w:r w:rsidR="004635AB" w:rsidRPr="009E773A">
        <w:rPr>
          <w:rFonts w:asciiTheme="majorHAnsi" w:hAnsiTheme="majorHAnsi"/>
          <w:sz w:val="20"/>
          <w:szCs w:val="20"/>
        </w:rPr>
        <w:t xml:space="preserve">a Comisión encuentra en el expediente </w:t>
      </w:r>
      <w:r w:rsidR="00ED62E7" w:rsidRPr="009E773A">
        <w:rPr>
          <w:rFonts w:asciiTheme="majorHAnsi" w:hAnsiTheme="majorHAnsi"/>
          <w:sz w:val="20"/>
          <w:szCs w:val="20"/>
        </w:rPr>
        <w:t xml:space="preserve">otras </w:t>
      </w:r>
      <w:r w:rsidR="004635AB" w:rsidRPr="009E773A">
        <w:rPr>
          <w:rFonts w:asciiTheme="majorHAnsi" w:hAnsiTheme="majorHAnsi"/>
          <w:sz w:val="20"/>
          <w:szCs w:val="20"/>
        </w:rPr>
        <w:t xml:space="preserve">declaraciones de testigos </w:t>
      </w:r>
      <w:r w:rsidR="004A373E" w:rsidRPr="009E773A">
        <w:rPr>
          <w:rFonts w:asciiTheme="majorHAnsi" w:hAnsiTheme="majorHAnsi"/>
          <w:sz w:val="20"/>
          <w:szCs w:val="20"/>
        </w:rPr>
        <w:t>consistentes con el relato de la parte peticionaria, en relación con el lugar de hallazgo</w:t>
      </w:r>
      <w:r w:rsidR="00ED62E7" w:rsidRPr="009E773A">
        <w:rPr>
          <w:rFonts w:asciiTheme="majorHAnsi" w:hAnsiTheme="majorHAnsi"/>
          <w:sz w:val="20"/>
          <w:szCs w:val="20"/>
        </w:rPr>
        <w:t xml:space="preserve"> </w:t>
      </w:r>
      <w:r w:rsidR="004A373E" w:rsidRPr="009E773A">
        <w:rPr>
          <w:rFonts w:asciiTheme="majorHAnsi" w:hAnsiTheme="majorHAnsi"/>
          <w:sz w:val="20"/>
          <w:szCs w:val="20"/>
        </w:rPr>
        <w:t>d</w:t>
      </w:r>
      <w:r w:rsidR="00ED62E7" w:rsidRPr="009E773A">
        <w:rPr>
          <w:rFonts w:asciiTheme="majorHAnsi" w:hAnsiTheme="majorHAnsi"/>
          <w:sz w:val="20"/>
          <w:szCs w:val="20"/>
        </w:rPr>
        <w:t>el cuerpo de Jimmy Guerrero</w:t>
      </w:r>
      <w:r w:rsidR="009A719F" w:rsidRPr="009E773A">
        <w:rPr>
          <w:rStyle w:val="FootnoteReference"/>
          <w:rFonts w:asciiTheme="majorHAnsi" w:hAnsiTheme="majorHAnsi"/>
          <w:sz w:val="20"/>
          <w:szCs w:val="20"/>
        </w:rPr>
        <w:footnoteReference w:id="54"/>
      </w:r>
      <w:r w:rsidR="00ED62E7" w:rsidRPr="009E773A">
        <w:rPr>
          <w:rFonts w:asciiTheme="majorHAnsi" w:hAnsiTheme="majorHAnsi"/>
          <w:sz w:val="20"/>
          <w:szCs w:val="20"/>
        </w:rPr>
        <w:t xml:space="preserve">, </w:t>
      </w:r>
      <w:r w:rsidR="004A373E" w:rsidRPr="009E773A">
        <w:rPr>
          <w:rFonts w:asciiTheme="majorHAnsi" w:hAnsiTheme="majorHAnsi"/>
          <w:sz w:val="20"/>
          <w:szCs w:val="20"/>
        </w:rPr>
        <w:t>la identificación del carro usado para cometer el asesinato</w:t>
      </w:r>
      <w:r w:rsidR="004A373E" w:rsidRPr="009E773A">
        <w:rPr>
          <w:rStyle w:val="FootnoteReference"/>
          <w:rFonts w:asciiTheme="majorHAnsi" w:hAnsiTheme="majorHAnsi"/>
          <w:sz w:val="20"/>
          <w:szCs w:val="20"/>
        </w:rPr>
        <w:footnoteReference w:id="55"/>
      </w:r>
      <w:r w:rsidRPr="009E773A">
        <w:rPr>
          <w:rFonts w:asciiTheme="majorHAnsi" w:hAnsiTheme="majorHAnsi"/>
          <w:sz w:val="20"/>
          <w:szCs w:val="20"/>
        </w:rPr>
        <w:t xml:space="preserve"> y el arrastre de su cuerpo</w:t>
      </w:r>
      <w:r w:rsidRPr="009E773A">
        <w:rPr>
          <w:rStyle w:val="FootnoteReference"/>
          <w:rFonts w:asciiTheme="majorHAnsi" w:hAnsiTheme="majorHAnsi"/>
          <w:sz w:val="20"/>
          <w:szCs w:val="20"/>
        </w:rPr>
        <w:footnoteReference w:id="56"/>
      </w:r>
      <w:r w:rsidR="004A373E" w:rsidRPr="009E773A">
        <w:rPr>
          <w:rFonts w:asciiTheme="majorHAnsi" w:hAnsiTheme="majorHAnsi"/>
          <w:sz w:val="20"/>
          <w:szCs w:val="20"/>
        </w:rPr>
        <w:t>,</w:t>
      </w:r>
      <w:r w:rsidRPr="009E773A">
        <w:rPr>
          <w:rFonts w:asciiTheme="majorHAnsi" w:hAnsiTheme="majorHAnsi"/>
          <w:sz w:val="20"/>
          <w:szCs w:val="20"/>
        </w:rPr>
        <w:t xml:space="preserve"> </w:t>
      </w:r>
      <w:r w:rsidR="004A373E" w:rsidRPr="009E773A">
        <w:rPr>
          <w:rFonts w:asciiTheme="majorHAnsi" w:hAnsiTheme="majorHAnsi"/>
          <w:sz w:val="20"/>
          <w:szCs w:val="20"/>
        </w:rPr>
        <w:t xml:space="preserve">y que, en general, </w:t>
      </w:r>
      <w:r w:rsidRPr="009E773A">
        <w:rPr>
          <w:rFonts w:asciiTheme="majorHAnsi" w:hAnsiTheme="majorHAnsi"/>
          <w:sz w:val="20"/>
          <w:szCs w:val="20"/>
        </w:rPr>
        <w:t>notaron la dinámica de los hechos en los términos ya descritos</w:t>
      </w:r>
      <w:r w:rsidR="0021236A" w:rsidRPr="009E773A">
        <w:rPr>
          <w:rStyle w:val="FootnoteReference"/>
          <w:rFonts w:asciiTheme="majorHAnsi" w:hAnsiTheme="majorHAnsi"/>
          <w:sz w:val="20"/>
          <w:szCs w:val="20"/>
        </w:rPr>
        <w:footnoteReference w:id="57"/>
      </w:r>
      <w:r w:rsidR="004A373E" w:rsidRPr="009E773A">
        <w:rPr>
          <w:rFonts w:asciiTheme="majorHAnsi" w:hAnsiTheme="majorHAnsi"/>
          <w:sz w:val="20"/>
          <w:szCs w:val="20"/>
        </w:rPr>
        <w:t>.</w:t>
      </w:r>
    </w:p>
    <w:p w14:paraId="79EF0E53" w14:textId="77777777" w:rsidR="00984419" w:rsidRPr="00D27622" w:rsidRDefault="00984419" w:rsidP="009A79B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9360"/>
        </w:tabs>
        <w:jc w:val="both"/>
        <w:rPr>
          <w:rFonts w:asciiTheme="majorHAnsi" w:eastAsia="Cambria" w:hAnsiTheme="majorHAnsi" w:cs="Cambria"/>
          <w:b/>
          <w:color w:val="000000"/>
          <w:sz w:val="20"/>
          <w:szCs w:val="20"/>
          <w:u w:color="000000"/>
          <w:lang w:val="es-ES" w:eastAsia="es-ES"/>
        </w:rPr>
      </w:pPr>
    </w:p>
    <w:p w14:paraId="63057F76" w14:textId="77777777" w:rsidR="00425014" w:rsidRPr="00D27622" w:rsidRDefault="00425014" w:rsidP="00D27622">
      <w:pPr>
        <w:pStyle w:val="Heading2"/>
        <w:ind w:left="0" w:firstLine="0"/>
        <w:rPr>
          <w:rFonts w:asciiTheme="majorHAnsi" w:hAnsiTheme="majorHAnsi"/>
          <w:szCs w:val="20"/>
        </w:rPr>
      </w:pPr>
      <w:bookmarkStart w:id="17" w:name="_Toc2159215"/>
      <w:r w:rsidRPr="00D27622">
        <w:rPr>
          <w:rFonts w:asciiTheme="majorHAnsi" w:hAnsiTheme="majorHAnsi"/>
          <w:szCs w:val="20"/>
        </w:rPr>
        <w:t>Investigaciones y procesos judiciales iniciados por la muerte de Jimmy Guerrero y Ramón Molina</w:t>
      </w:r>
      <w:bookmarkEnd w:id="17"/>
    </w:p>
    <w:p w14:paraId="64F7AEB4" w14:textId="77777777" w:rsidR="00425014" w:rsidRPr="009E773A" w:rsidRDefault="00425014" w:rsidP="009A79B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rPr>
      </w:pPr>
    </w:p>
    <w:p w14:paraId="0CF60B42" w14:textId="1A7F7A93" w:rsidR="004E00A5" w:rsidRPr="009E773A" w:rsidRDefault="002461A8" w:rsidP="009A79B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9360"/>
        </w:tabs>
        <w:jc w:val="both"/>
        <w:rPr>
          <w:rFonts w:asciiTheme="majorHAnsi" w:hAnsiTheme="majorHAnsi"/>
          <w:sz w:val="20"/>
          <w:szCs w:val="20"/>
          <w:lang w:val="es-ES"/>
        </w:rPr>
      </w:pPr>
      <w:r w:rsidRPr="009E773A">
        <w:rPr>
          <w:rFonts w:asciiTheme="majorHAnsi" w:hAnsiTheme="majorHAnsi"/>
          <w:sz w:val="20"/>
          <w:szCs w:val="20"/>
        </w:rPr>
        <w:t>A continuación</w:t>
      </w:r>
      <w:r w:rsidR="006873E8" w:rsidRPr="009E773A">
        <w:rPr>
          <w:rFonts w:asciiTheme="majorHAnsi" w:hAnsiTheme="majorHAnsi"/>
          <w:sz w:val="20"/>
          <w:szCs w:val="20"/>
        </w:rPr>
        <w:t>,</w:t>
      </w:r>
      <w:r w:rsidRPr="009E773A">
        <w:rPr>
          <w:rFonts w:asciiTheme="majorHAnsi" w:hAnsiTheme="majorHAnsi"/>
          <w:sz w:val="20"/>
          <w:szCs w:val="20"/>
        </w:rPr>
        <w:t xml:space="preserve"> la CIDH dará cuenta de las principales diligencias realizadas en el marco de la investigación de </w:t>
      </w:r>
      <w:r w:rsidR="009A5745" w:rsidRPr="009E773A">
        <w:rPr>
          <w:rFonts w:asciiTheme="majorHAnsi" w:hAnsiTheme="majorHAnsi"/>
          <w:sz w:val="20"/>
          <w:szCs w:val="20"/>
        </w:rPr>
        <w:t xml:space="preserve">las muertes de las presuntas víctimas. </w:t>
      </w:r>
      <w:r w:rsidR="00F77D85" w:rsidRPr="009E773A">
        <w:rPr>
          <w:rFonts w:asciiTheme="majorHAnsi" w:hAnsiTheme="majorHAnsi"/>
          <w:sz w:val="20"/>
          <w:szCs w:val="20"/>
        </w:rPr>
        <w:t xml:space="preserve">Los contenidos pertinentes de algunas diligencias ya fueron referidos en la sección anterior. </w:t>
      </w:r>
    </w:p>
    <w:p w14:paraId="561A8A9D" w14:textId="77777777" w:rsidR="004E00A5" w:rsidRPr="009E773A" w:rsidRDefault="004E00A5" w:rsidP="009A79B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9360"/>
        </w:tabs>
        <w:ind w:left="630"/>
        <w:jc w:val="both"/>
        <w:rPr>
          <w:rFonts w:asciiTheme="majorHAnsi" w:hAnsiTheme="majorHAnsi"/>
          <w:sz w:val="20"/>
          <w:szCs w:val="20"/>
          <w:lang w:val="es-ES"/>
        </w:rPr>
      </w:pPr>
    </w:p>
    <w:p w14:paraId="5344863F" w14:textId="135999D5" w:rsidR="00C45EC3" w:rsidRPr="009E773A" w:rsidRDefault="00E4496E" w:rsidP="009A79B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9360"/>
        </w:tabs>
        <w:jc w:val="both"/>
        <w:rPr>
          <w:rFonts w:asciiTheme="majorHAnsi" w:hAnsiTheme="majorHAnsi"/>
          <w:sz w:val="20"/>
          <w:szCs w:val="20"/>
          <w:lang w:val="es-ES"/>
        </w:rPr>
      </w:pPr>
      <w:r w:rsidRPr="009E773A">
        <w:rPr>
          <w:rFonts w:asciiTheme="majorHAnsi" w:hAnsiTheme="majorHAnsi"/>
          <w:sz w:val="20"/>
          <w:szCs w:val="20"/>
        </w:rPr>
        <w:t>El 30 de marzo de 2003 el Fiscal Sexto de la Circuns</w:t>
      </w:r>
      <w:r w:rsidR="00726AFE" w:rsidRPr="009E773A">
        <w:rPr>
          <w:rFonts w:asciiTheme="majorHAnsi" w:hAnsiTheme="majorHAnsi"/>
          <w:sz w:val="20"/>
          <w:szCs w:val="20"/>
        </w:rPr>
        <w:t xml:space="preserve">cripción Judicial del Estado </w:t>
      </w:r>
      <w:r w:rsidRPr="009E773A">
        <w:rPr>
          <w:rFonts w:asciiTheme="majorHAnsi" w:hAnsiTheme="majorHAnsi"/>
          <w:sz w:val="20"/>
          <w:szCs w:val="20"/>
        </w:rPr>
        <w:t>Falcón</w:t>
      </w:r>
      <w:r w:rsidR="0001645E" w:rsidRPr="009E773A">
        <w:rPr>
          <w:rFonts w:asciiTheme="majorHAnsi" w:hAnsiTheme="majorHAnsi"/>
          <w:sz w:val="20"/>
          <w:szCs w:val="20"/>
        </w:rPr>
        <w:t xml:space="preserve"> (en adelante “el Fiscal Sexto”)</w:t>
      </w:r>
      <w:r w:rsidRPr="009E773A">
        <w:rPr>
          <w:rFonts w:asciiTheme="majorHAnsi" w:hAnsiTheme="majorHAnsi"/>
          <w:sz w:val="20"/>
          <w:szCs w:val="20"/>
        </w:rPr>
        <w:t xml:space="preserve"> profirió una orden de apertura de investigación por lo sucedido</w:t>
      </w:r>
      <w:r w:rsidRPr="009E773A">
        <w:rPr>
          <w:rStyle w:val="FootnoteReference"/>
          <w:rFonts w:asciiTheme="majorHAnsi" w:hAnsiTheme="majorHAnsi"/>
          <w:sz w:val="20"/>
          <w:szCs w:val="20"/>
        </w:rPr>
        <w:footnoteReference w:id="58"/>
      </w:r>
      <w:r w:rsidRPr="009E773A">
        <w:rPr>
          <w:rFonts w:asciiTheme="majorHAnsi" w:hAnsiTheme="majorHAnsi"/>
          <w:sz w:val="20"/>
          <w:szCs w:val="20"/>
        </w:rPr>
        <w:t xml:space="preserve">. </w:t>
      </w:r>
      <w:r w:rsidR="006873E8" w:rsidRPr="009E773A">
        <w:rPr>
          <w:rFonts w:asciiTheme="majorHAnsi" w:hAnsiTheme="majorHAnsi"/>
          <w:sz w:val="20"/>
          <w:szCs w:val="20"/>
          <w:lang w:val="es-ES_tradnl"/>
        </w:rPr>
        <w:t>D</w:t>
      </w:r>
      <w:r w:rsidR="002077A4" w:rsidRPr="009E773A">
        <w:rPr>
          <w:rFonts w:asciiTheme="majorHAnsi" w:hAnsiTheme="majorHAnsi"/>
          <w:sz w:val="20"/>
          <w:szCs w:val="20"/>
          <w:lang w:val="es-ES_tradnl"/>
        </w:rPr>
        <w:t>el expediente, se desprende que el</w:t>
      </w:r>
      <w:r w:rsidR="006873E8" w:rsidRPr="009E773A">
        <w:rPr>
          <w:rFonts w:asciiTheme="majorHAnsi" w:hAnsiTheme="majorHAnsi"/>
          <w:sz w:val="20"/>
          <w:szCs w:val="20"/>
          <w:lang w:val="es-ES"/>
        </w:rPr>
        <w:t xml:space="preserve"> </w:t>
      </w:r>
      <w:r w:rsidR="00FF482E" w:rsidRPr="009E773A">
        <w:rPr>
          <w:rFonts w:asciiTheme="majorHAnsi" w:hAnsiTheme="majorHAnsi"/>
          <w:sz w:val="20"/>
          <w:szCs w:val="20"/>
          <w:lang w:val="es-ES"/>
        </w:rPr>
        <w:t xml:space="preserve">mismo día </w:t>
      </w:r>
      <w:r w:rsidR="006873E8" w:rsidRPr="009E773A">
        <w:rPr>
          <w:rFonts w:asciiTheme="majorHAnsi" w:hAnsiTheme="majorHAnsi"/>
          <w:sz w:val="20"/>
          <w:szCs w:val="20"/>
          <w:lang w:val="es-ES"/>
        </w:rPr>
        <w:t>se practicaron inspecciones</w:t>
      </w:r>
      <w:r w:rsidR="0016009C" w:rsidRPr="009E773A">
        <w:rPr>
          <w:rFonts w:asciiTheme="majorHAnsi" w:hAnsiTheme="majorHAnsi"/>
          <w:sz w:val="20"/>
          <w:szCs w:val="20"/>
          <w:lang w:val="es-ES"/>
        </w:rPr>
        <w:t xml:space="preserve"> en </w:t>
      </w:r>
      <w:r w:rsidR="006873E8" w:rsidRPr="009E773A">
        <w:rPr>
          <w:rFonts w:asciiTheme="majorHAnsi" w:hAnsiTheme="majorHAnsi"/>
          <w:sz w:val="20"/>
          <w:szCs w:val="20"/>
          <w:lang w:val="es-ES"/>
        </w:rPr>
        <w:t xml:space="preserve">la </w:t>
      </w:r>
      <w:r w:rsidR="0016009C" w:rsidRPr="009E773A">
        <w:rPr>
          <w:rFonts w:asciiTheme="majorHAnsi" w:hAnsiTheme="majorHAnsi"/>
          <w:sz w:val="20"/>
          <w:szCs w:val="20"/>
          <w:lang w:val="es-ES"/>
        </w:rPr>
        <w:t>vía pública</w:t>
      </w:r>
      <w:r w:rsidR="0016009C" w:rsidRPr="009E773A">
        <w:rPr>
          <w:rStyle w:val="FootnoteReference"/>
          <w:rFonts w:asciiTheme="majorHAnsi" w:hAnsiTheme="majorHAnsi"/>
          <w:sz w:val="20"/>
          <w:szCs w:val="20"/>
        </w:rPr>
        <w:footnoteReference w:id="59"/>
      </w:r>
      <w:r w:rsidR="0016009C" w:rsidRPr="009E773A">
        <w:rPr>
          <w:rFonts w:asciiTheme="majorHAnsi" w:hAnsiTheme="majorHAnsi"/>
          <w:sz w:val="20"/>
          <w:szCs w:val="20"/>
          <w:lang w:val="es-ES"/>
        </w:rPr>
        <w:t xml:space="preserve"> y </w:t>
      </w:r>
      <w:r w:rsidR="00C45EC3" w:rsidRPr="009E773A">
        <w:rPr>
          <w:rFonts w:asciiTheme="majorHAnsi" w:hAnsiTheme="majorHAnsi"/>
          <w:sz w:val="20"/>
          <w:szCs w:val="20"/>
          <w:lang w:val="es-ES"/>
        </w:rPr>
        <w:t xml:space="preserve">en </w:t>
      </w:r>
      <w:r w:rsidR="006873E8" w:rsidRPr="009E773A">
        <w:rPr>
          <w:rFonts w:asciiTheme="majorHAnsi" w:hAnsiTheme="majorHAnsi"/>
          <w:sz w:val="20"/>
          <w:szCs w:val="20"/>
          <w:lang w:val="es-ES"/>
        </w:rPr>
        <w:t xml:space="preserve">la </w:t>
      </w:r>
      <w:r w:rsidR="00C45EC3" w:rsidRPr="009E773A">
        <w:rPr>
          <w:rFonts w:asciiTheme="majorHAnsi" w:hAnsiTheme="majorHAnsi"/>
          <w:sz w:val="20"/>
          <w:szCs w:val="20"/>
          <w:lang w:val="es-ES"/>
        </w:rPr>
        <w:t>estación de servicios</w:t>
      </w:r>
      <w:r w:rsidR="002077A4" w:rsidRPr="009E773A">
        <w:rPr>
          <w:rFonts w:asciiTheme="majorHAnsi" w:hAnsiTheme="majorHAnsi"/>
          <w:sz w:val="20"/>
          <w:szCs w:val="20"/>
          <w:lang w:val="es-ES"/>
        </w:rPr>
        <w:t xml:space="preserve"> </w:t>
      </w:r>
      <w:r w:rsidR="00C869FE" w:rsidRPr="009E773A">
        <w:rPr>
          <w:rFonts w:asciiTheme="majorHAnsi" w:hAnsiTheme="majorHAnsi"/>
          <w:sz w:val="20"/>
          <w:szCs w:val="20"/>
          <w:lang w:val="es-ES"/>
        </w:rPr>
        <w:t>de la que consta el hallazgo “[d]</w:t>
      </w:r>
      <w:r w:rsidR="00BA647B" w:rsidRPr="009E773A">
        <w:rPr>
          <w:rFonts w:asciiTheme="majorHAnsi" w:hAnsiTheme="majorHAnsi"/>
          <w:sz w:val="20"/>
          <w:szCs w:val="20"/>
          <w:lang w:val="es-ES"/>
        </w:rPr>
        <w:t>el cuerpo ya cadáver de una persona joven, (…) así mismo se le aprecian excoriaciones con pérdida de la epidermis a nivel de hombro izquierdo, región pectoral abdominal, antebrazo derecho e izquierdo y parte lateral izquierda de la cara, con desprendimiento</w:t>
      </w:r>
      <w:r w:rsidR="00607E30" w:rsidRPr="009E773A">
        <w:rPr>
          <w:rFonts w:asciiTheme="majorHAnsi" w:hAnsiTheme="majorHAnsi"/>
          <w:sz w:val="20"/>
          <w:szCs w:val="20"/>
          <w:lang w:val="es-ES"/>
        </w:rPr>
        <w:t xml:space="preserve"> de la oreja izquierda (…). Luego de un minucioso y detenido rastre, se pudo aprecia</w:t>
      </w:r>
      <w:r w:rsidR="009D5733" w:rsidRPr="009E773A">
        <w:rPr>
          <w:rFonts w:asciiTheme="majorHAnsi" w:hAnsiTheme="majorHAnsi"/>
          <w:sz w:val="20"/>
          <w:szCs w:val="20"/>
          <w:lang w:val="es-ES"/>
        </w:rPr>
        <w:t>r</w:t>
      </w:r>
      <w:r w:rsidR="00607E30" w:rsidRPr="009E773A">
        <w:rPr>
          <w:rFonts w:asciiTheme="majorHAnsi" w:hAnsiTheme="majorHAnsi"/>
          <w:sz w:val="20"/>
          <w:szCs w:val="20"/>
          <w:lang w:val="es-ES"/>
        </w:rPr>
        <w:t xml:space="preserve"> sobre el piso, específicamente desde la entrada (Prolongación Girardot), hasta donde se encuentra el cadáver, marca de neumáticos de vehículos</w:t>
      </w:r>
      <w:r w:rsidR="006873E8" w:rsidRPr="009E773A">
        <w:rPr>
          <w:rFonts w:asciiTheme="majorHAnsi" w:hAnsiTheme="majorHAnsi"/>
          <w:sz w:val="20"/>
          <w:szCs w:val="20"/>
          <w:lang w:val="es-ES"/>
        </w:rPr>
        <w:t xml:space="preserve"> (…)</w:t>
      </w:r>
      <w:r w:rsidR="00607E30" w:rsidRPr="009E773A">
        <w:rPr>
          <w:rFonts w:asciiTheme="majorHAnsi" w:hAnsiTheme="majorHAnsi"/>
          <w:sz w:val="20"/>
          <w:szCs w:val="20"/>
          <w:lang w:val="es-ES"/>
        </w:rPr>
        <w:t>”</w:t>
      </w:r>
      <w:r w:rsidR="00607E30" w:rsidRPr="009E773A">
        <w:rPr>
          <w:rStyle w:val="FootnoteReference"/>
          <w:rFonts w:asciiTheme="majorHAnsi" w:hAnsiTheme="majorHAnsi"/>
          <w:sz w:val="20"/>
          <w:szCs w:val="20"/>
        </w:rPr>
        <w:footnoteReference w:id="60"/>
      </w:r>
      <w:r w:rsidR="00607E30" w:rsidRPr="009E773A">
        <w:rPr>
          <w:rFonts w:asciiTheme="majorHAnsi" w:hAnsiTheme="majorHAnsi"/>
          <w:sz w:val="20"/>
          <w:szCs w:val="20"/>
          <w:lang w:val="es-ES"/>
        </w:rPr>
        <w:t>.</w:t>
      </w:r>
    </w:p>
    <w:p w14:paraId="17A0B3E7" w14:textId="77777777" w:rsidR="00DE1474" w:rsidRPr="009E773A" w:rsidRDefault="00DE1474" w:rsidP="009A79B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9360"/>
        </w:tabs>
        <w:ind w:left="630"/>
        <w:jc w:val="both"/>
        <w:rPr>
          <w:rFonts w:asciiTheme="majorHAnsi" w:hAnsiTheme="majorHAnsi"/>
          <w:sz w:val="20"/>
          <w:szCs w:val="20"/>
        </w:rPr>
      </w:pPr>
    </w:p>
    <w:p w14:paraId="06DEF73B" w14:textId="6F6F2BAF" w:rsidR="00B33269" w:rsidRPr="009E773A" w:rsidRDefault="00B33269" w:rsidP="009A79B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9360"/>
        </w:tabs>
        <w:jc w:val="both"/>
        <w:rPr>
          <w:rFonts w:asciiTheme="majorHAnsi" w:hAnsiTheme="majorHAnsi"/>
          <w:sz w:val="20"/>
          <w:szCs w:val="20"/>
        </w:rPr>
      </w:pPr>
      <w:r w:rsidRPr="009E773A">
        <w:rPr>
          <w:rFonts w:asciiTheme="majorHAnsi" w:hAnsiTheme="majorHAnsi"/>
          <w:sz w:val="20"/>
          <w:szCs w:val="20"/>
        </w:rPr>
        <w:t>E</w:t>
      </w:r>
      <w:r w:rsidR="006231AC" w:rsidRPr="009E773A">
        <w:rPr>
          <w:rFonts w:asciiTheme="majorHAnsi" w:hAnsiTheme="majorHAnsi"/>
          <w:sz w:val="20"/>
          <w:szCs w:val="20"/>
        </w:rPr>
        <w:t>n la misma fecha</w:t>
      </w:r>
      <w:r w:rsidR="000D3FA3" w:rsidRPr="009E773A">
        <w:rPr>
          <w:rFonts w:asciiTheme="majorHAnsi" w:hAnsiTheme="majorHAnsi"/>
          <w:sz w:val="20"/>
          <w:szCs w:val="20"/>
        </w:rPr>
        <w:t>,</w:t>
      </w:r>
      <w:r w:rsidR="006231AC" w:rsidRPr="009E773A">
        <w:rPr>
          <w:rFonts w:asciiTheme="majorHAnsi" w:hAnsiTheme="majorHAnsi"/>
          <w:sz w:val="20"/>
          <w:szCs w:val="20"/>
        </w:rPr>
        <w:t xml:space="preserve"> </w:t>
      </w:r>
      <w:r w:rsidRPr="009E773A">
        <w:rPr>
          <w:rFonts w:asciiTheme="majorHAnsi" w:hAnsiTheme="majorHAnsi"/>
          <w:sz w:val="20"/>
          <w:szCs w:val="20"/>
        </w:rPr>
        <w:t xml:space="preserve"> se practicó </w:t>
      </w:r>
      <w:r w:rsidR="001352C6" w:rsidRPr="009E773A">
        <w:rPr>
          <w:rFonts w:asciiTheme="majorHAnsi" w:hAnsiTheme="majorHAnsi"/>
          <w:sz w:val="20"/>
          <w:szCs w:val="20"/>
        </w:rPr>
        <w:t xml:space="preserve">la </w:t>
      </w:r>
      <w:r w:rsidRPr="009E773A">
        <w:rPr>
          <w:rFonts w:asciiTheme="majorHAnsi" w:hAnsiTheme="majorHAnsi"/>
          <w:sz w:val="20"/>
          <w:szCs w:val="20"/>
        </w:rPr>
        <w:t>inspección a cadáveres. El cadáver No.</w:t>
      </w:r>
      <w:r w:rsidR="007274B3" w:rsidRPr="009E773A">
        <w:rPr>
          <w:rFonts w:asciiTheme="majorHAnsi" w:hAnsiTheme="majorHAnsi"/>
          <w:sz w:val="20"/>
          <w:szCs w:val="20"/>
        </w:rPr>
        <w:t xml:space="preserve"> </w:t>
      </w:r>
      <w:r w:rsidRPr="009E773A">
        <w:rPr>
          <w:rFonts w:asciiTheme="majorHAnsi" w:hAnsiTheme="majorHAnsi"/>
          <w:sz w:val="20"/>
          <w:szCs w:val="20"/>
        </w:rPr>
        <w:t>01 presentó “Herida pequeña en forma de orificio circular, de bordes regulares invertidos a nivel de la región pectoral media. Herida pequeña en forma de orificio circular de bordes regulares invertidos y con halos</w:t>
      </w:r>
      <w:r w:rsidR="001352C6" w:rsidRPr="009E773A">
        <w:rPr>
          <w:rFonts w:asciiTheme="majorHAnsi" w:hAnsiTheme="majorHAnsi"/>
          <w:sz w:val="20"/>
          <w:szCs w:val="20"/>
        </w:rPr>
        <w:t xml:space="preserve"> de quemadura a nivel de la región costa izquierda. Dos heridas pequeñas en forma de orificio, a nivel de la región costal izquierda</w:t>
      </w:r>
      <w:r w:rsidR="0011131D" w:rsidRPr="009E773A">
        <w:rPr>
          <w:rFonts w:asciiTheme="majorHAnsi" w:hAnsiTheme="majorHAnsi"/>
          <w:sz w:val="20"/>
          <w:szCs w:val="20"/>
        </w:rPr>
        <w:t xml:space="preserve"> (…)</w:t>
      </w:r>
      <w:r w:rsidR="001352C6" w:rsidRPr="009E773A">
        <w:rPr>
          <w:rFonts w:asciiTheme="majorHAnsi" w:hAnsiTheme="majorHAnsi"/>
          <w:sz w:val="20"/>
          <w:szCs w:val="20"/>
        </w:rPr>
        <w:t>”</w:t>
      </w:r>
      <w:r w:rsidR="00944839" w:rsidRPr="009E773A">
        <w:rPr>
          <w:rStyle w:val="FootnoteReference"/>
          <w:rFonts w:asciiTheme="majorHAnsi" w:hAnsiTheme="majorHAnsi"/>
          <w:sz w:val="20"/>
          <w:szCs w:val="20"/>
        </w:rPr>
        <w:footnoteReference w:id="61"/>
      </w:r>
      <w:r w:rsidR="001352C6" w:rsidRPr="009E773A">
        <w:rPr>
          <w:rFonts w:asciiTheme="majorHAnsi" w:hAnsiTheme="majorHAnsi"/>
          <w:sz w:val="20"/>
          <w:szCs w:val="20"/>
        </w:rPr>
        <w:t>. El cadáver No.</w:t>
      </w:r>
      <w:r w:rsidR="007274B3" w:rsidRPr="009E773A">
        <w:rPr>
          <w:rFonts w:asciiTheme="majorHAnsi" w:hAnsiTheme="majorHAnsi"/>
          <w:sz w:val="20"/>
          <w:szCs w:val="20"/>
        </w:rPr>
        <w:t xml:space="preserve"> </w:t>
      </w:r>
      <w:r w:rsidR="001352C6" w:rsidRPr="009E773A">
        <w:rPr>
          <w:rFonts w:asciiTheme="majorHAnsi" w:hAnsiTheme="majorHAnsi"/>
          <w:sz w:val="20"/>
          <w:szCs w:val="20"/>
        </w:rPr>
        <w:t>02 presentó: “Herida pequeña en forma de orificio de bordes irregulares a nivel de la región parietal izquierda. Herida pequeña en forma de orificio, de nivel superior del dedo anular, Herida</w:t>
      </w:r>
      <w:r w:rsidR="00944839" w:rsidRPr="009E773A">
        <w:rPr>
          <w:rFonts w:asciiTheme="majorHAnsi" w:hAnsiTheme="majorHAnsi"/>
          <w:sz w:val="20"/>
          <w:szCs w:val="20"/>
        </w:rPr>
        <w:t xml:space="preserve"> pequeña en forma de orificio, de bordes irregulares invertidos a nivel</w:t>
      </w:r>
      <w:r w:rsidR="001352C6" w:rsidRPr="009E773A">
        <w:rPr>
          <w:rFonts w:asciiTheme="majorHAnsi" w:hAnsiTheme="majorHAnsi"/>
          <w:sz w:val="20"/>
          <w:szCs w:val="20"/>
        </w:rPr>
        <w:t xml:space="preserve"> </w:t>
      </w:r>
      <w:r w:rsidR="00944839" w:rsidRPr="009E773A">
        <w:rPr>
          <w:rFonts w:asciiTheme="majorHAnsi" w:hAnsiTheme="majorHAnsi"/>
          <w:sz w:val="20"/>
          <w:szCs w:val="20"/>
        </w:rPr>
        <w:t>de la región de la palma del lado izquierdo de la mano izquierda, y excoriaciones fuertes con pérdida de la primera cap</w:t>
      </w:r>
      <w:r w:rsidR="00240388" w:rsidRPr="009E773A">
        <w:rPr>
          <w:rFonts w:asciiTheme="majorHAnsi" w:hAnsiTheme="majorHAnsi"/>
          <w:sz w:val="20"/>
          <w:szCs w:val="20"/>
        </w:rPr>
        <w:t>a de la piel (epidermis)</w:t>
      </w:r>
      <w:r w:rsidR="00944839" w:rsidRPr="009E773A">
        <w:rPr>
          <w:rFonts w:asciiTheme="majorHAnsi" w:hAnsiTheme="majorHAnsi"/>
          <w:sz w:val="20"/>
          <w:szCs w:val="20"/>
        </w:rPr>
        <w:t>”</w:t>
      </w:r>
      <w:r w:rsidR="00240388" w:rsidRPr="009E773A">
        <w:rPr>
          <w:rFonts w:asciiTheme="majorHAnsi" w:hAnsiTheme="majorHAnsi"/>
          <w:sz w:val="20"/>
          <w:szCs w:val="20"/>
        </w:rPr>
        <w:t xml:space="preserve"> en diversas partes del cuerpo, cara y extremidades</w:t>
      </w:r>
      <w:r w:rsidR="00944839" w:rsidRPr="009E773A">
        <w:rPr>
          <w:rStyle w:val="FootnoteReference"/>
          <w:rFonts w:asciiTheme="majorHAnsi" w:hAnsiTheme="majorHAnsi"/>
          <w:sz w:val="20"/>
          <w:szCs w:val="20"/>
        </w:rPr>
        <w:footnoteReference w:id="62"/>
      </w:r>
      <w:r w:rsidR="00944839" w:rsidRPr="009E773A">
        <w:rPr>
          <w:rFonts w:asciiTheme="majorHAnsi" w:hAnsiTheme="majorHAnsi"/>
          <w:sz w:val="20"/>
          <w:szCs w:val="20"/>
        </w:rPr>
        <w:t xml:space="preserve">. </w:t>
      </w:r>
    </w:p>
    <w:p w14:paraId="32BF4BD4" w14:textId="77777777" w:rsidR="00B22CD7" w:rsidRPr="009E773A" w:rsidRDefault="00B22CD7" w:rsidP="009A79B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634"/>
        <w:jc w:val="both"/>
        <w:rPr>
          <w:rFonts w:asciiTheme="majorHAnsi" w:hAnsiTheme="majorHAnsi"/>
          <w:sz w:val="20"/>
          <w:szCs w:val="20"/>
        </w:rPr>
      </w:pPr>
    </w:p>
    <w:p w14:paraId="6FCCE319" w14:textId="16EBD854" w:rsidR="00DE5734" w:rsidRPr="009E773A" w:rsidRDefault="000D3FA3" w:rsidP="009A79B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9360"/>
        </w:tabs>
        <w:jc w:val="both"/>
        <w:rPr>
          <w:rFonts w:asciiTheme="majorHAnsi" w:hAnsiTheme="majorHAnsi"/>
          <w:sz w:val="20"/>
          <w:szCs w:val="20"/>
        </w:rPr>
      </w:pPr>
      <w:r w:rsidRPr="009E773A">
        <w:rPr>
          <w:rFonts w:asciiTheme="majorHAnsi" w:hAnsiTheme="majorHAnsi"/>
          <w:sz w:val="20"/>
          <w:szCs w:val="20"/>
        </w:rPr>
        <w:t xml:space="preserve">El mismo </w:t>
      </w:r>
      <w:r w:rsidR="00B22CD7" w:rsidRPr="009E773A">
        <w:rPr>
          <w:rFonts w:asciiTheme="majorHAnsi" w:hAnsiTheme="majorHAnsi"/>
          <w:sz w:val="20"/>
          <w:szCs w:val="20"/>
        </w:rPr>
        <w:t>30 de marzo</w:t>
      </w:r>
      <w:r w:rsidR="00240388" w:rsidRPr="009E773A">
        <w:rPr>
          <w:rFonts w:asciiTheme="majorHAnsi" w:hAnsiTheme="majorHAnsi"/>
          <w:sz w:val="20"/>
          <w:szCs w:val="20"/>
        </w:rPr>
        <w:t xml:space="preserve"> de 2003, por denuncia ciudadana se encontró, en las inmediaciones de la escena del crimen, debajo de un auto, una</w:t>
      </w:r>
      <w:r w:rsidR="00986583" w:rsidRPr="009E773A">
        <w:rPr>
          <w:rFonts w:asciiTheme="majorHAnsi" w:hAnsiTheme="majorHAnsi"/>
          <w:sz w:val="20"/>
          <w:szCs w:val="20"/>
        </w:rPr>
        <w:t xml:space="preserve"> pistola, marca GABILONDO Y CIA VICTORIA, SERIAL 958084, Calibre 32, cacha de material sintético de color negro, con su cacerina respectiva </w:t>
      </w:r>
      <w:r w:rsidR="00C869FE" w:rsidRPr="009E773A">
        <w:rPr>
          <w:rFonts w:asciiTheme="majorHAnsi" w:hAnsiTheme="majorHAnsi"/>
          <w:sz w:val="20"/>
          <w:szCs w:val="20"/>
        </w:rPr>
        <w:t>con</w:t>
      </w:r>
      <w:r w:rsidR="00986583" w:rsidRPr="009E773A">
        <w:rPr>
          <w:rFonts w:asciiTheme="majorHAnsi" w:hAnsiTheme="majorHAnsi"/>
          <w:sz w:val="20"/>
          <w:szCs w:val="20"/>
        </w:rPr>
        <w:t xml:space="preserve"> 8 balas de calibre</w:t>
      </w:r>
      <w:r w:rsidR="00240388" w:rsidRPr="009E773A">
        <w:rPr>
          <w:rFonts w:asciiTheme="majorHAnsi" w:hAnsiTheme="majorHAnsi"/>
          <w:sz w:val="20"/>
          <w:szCs w:val="20"/>
        </w:rPr>
        <w:t xml:space="preserve"> la que fue incorporada a la prueba</w:t>
      </w:r>
      <w:r w:rsidR="00240388" w:rsidRPr="009E773A">
        <w:rPr>
          <w:rStyle w:val="FootnoteReference"/>
          <w:rFonts w:asciiTheme="majorHAnsi" w:hAnsiTheme="majorHAnsi"/>
          <w:sz w:val="20"/>
          <w:szCs w:val="20"/>
        </w:rPr>
        <w:footnoteReference w:id="63"/>
      </w:r>
      <w:r w:rsidR="002B5D78" w:rsidRPr="009E773A">
        <w:rPr>
          <w:rFonts w:asciiTheme="majorHAnsi" w:hAnsiTheme="majorHAnsi"/>
          <w:sz w:val="20"/>
          <w:szCs w:val="20"/>
        </w:rPr>
        <w:t>.</w:t>
      </w:r>
      <w:r w:rsidR="007A7A40" w:rsidRPr="009E773A">
        <w:rPr>
          <w:rFonts w:asciiTheme="majorHAnsi" w:hAnsiTheme="majorHAnsi"/>
          <w:sz w:val="20"/>
          <w:szCs w:val="20"/>
        </w:rPr>
        <w:t xml:space="preserve"> </w:t>
      </w:r>
      <w:r w:rsidR="00E71D91" w:rsidRPr="009E773A">
        <w:rPr>
          <w:rFonts w:asciiTheme="majorHAnsi" w:hAnsiTheme="majorHAnsi"/>
          <w:sz w:val="20"/>
          <w:szCs w:val="20"/>
        </w:rPr>
        <w:t>Asimismo, e</w:t>
      </w:r>
      <w:r w:rsidR="00DE5734" w:rsidRPr="009E773A">
        <w:rPr>
          <w:rFonts w:asciiTheme="majorHAnsi" w:hAnsiTheme="majorHAnsi"/>
          <w:sz w:val="20"/>
          <w:szCs w:val="20"/>
        </w:rPr>
        <w:t>l 2 de abril de 2003 el Tribunal Penal de Control de Punto Fijo dictó orden de allanamiento de una propiedad con la finalidad de localizar armas de fuego y el vehículo Marca Ford, modelo del Rey, color azul, con placas AUY-463</w:t>
      </w:r>
      <w:r w:rsidR="00CC4477" w:rsidRPr="009E773A">
        <w:rPr>
          <w:rFonts w:asciiTheme="majorHAnsi" w:hAnsiTheme="majorHAnsi"/>
          <w:sz w:val="20"/>
          <w:szCs w:val="20"/>
        </w:rPr>
        <w:t xml:space="preserve"> identificado por testigos</w:t>
      </w:r>
      <w:r w:rsidR="00DE5734" w:rsidRPr="009E773A">
        <w:rPr>
          <w:rStyle w:val="FootnoteReference"/>
          <w:rFonts w:asciiTheme="majorHAnsi" w:hAnsiTheme="majorHAnsi"/>
          <w:sz w:val="20"/>
          <w:szCs w:val="20"/>
        </w:rPr>
        <w:footnoteReference w:id="64"/>
      </w:r>
      <w:r w:rsidR="00DE5734" w:rsidRPr="009E773A">
        <w:rPr>
          <w:rFonts w:asciiTheme="majorHAnsi" w:hAnsiTheme="majorHAnsi"/>
          <w:sz w:val="20"/>
          <w:szCs w:val="20"/>
        </w:rPr>
        <w:t>. La misma se ejecutó a</w:t>
      </w:r>
      <w:r w:rsidR="00A034B7" w:rsidRPr="009E773A">
        <w:rPr>
          <w:rFonts w:asciiTheme="majorHAnsi" w:hAnsiTheme="majorHAnsi"/>
          <w:sz w:val="20"/>
          <w:szCs w:val="20"/>
        </w:rPr>
        <w:t>l</w:t>
      </w:r>
      <w:r w:rsidR="00DE5734" w:rsidRPr="009E773A">
        <w:rPr>
          <w:rFonts w:asciiTheme="majorHAnsi" w:hAnsiTheme="majorHAnsi"/>
          <w:sz w:val="20"/>
          <w:szCs w:val="20"/>
        </w:rPr>
        <w:t xml:space="preserve"> día siguiente</w:t>
      </w:r>
      <w:r w:rsidR="00251744" w:rsidRPr="009E773A">
        <w:rPr>
          <w:rFonts w:asciiTheme="majorHAnsi" w:hAnsiTheme="majorHAnsi"/>
          <w:sz w:val="20"/>
          <w:szCs w:val="20"/>
        </w:rPr>
        <w:t>, no se encontraron</w:t>
      </w:r>
      <w:r w:rsidR="00DE5734" w:rsidRPr="009E773A">
        <w:rPr>
          <w:rFonts w:asciiTheme="majorHAnsi" w:hAnsiTheme="majorHAnsi"/>
          <w:sz w:val="20"/>
          <w:szCs w:val="20"/>
        </w:rPr>
        <w:t xml:space="preserve"> arma</w:t>
      </w:r>
      <w:r w:rsidR="00251744" w:rsidRPr="009E773A">
        <w:rPr>
          <w:rFonts w:asciiTheme="majorHAnsi" w:hAnsiTheme="majorHAnsi"/>
          <w:sz w:val="20"/>
          <w:szCs w:val="20"/>
        </w:rPr>
        <w:t>s</w:t>
      </w:r>
      <w:r w:rsidR="00DE5734" w:rsidRPr="009E773A">
        <w:rPr>
          <w:rFonts w:asciiTheme="majorHAnsi" w:hAnsiTheme="majorHAnsi"/>
          <w:sz w:val="20"/>
          <w:szCs w:val="20"/>
        </w:rPr>
        <w:t>, pero sí se ubicó e incautó el vehículo</w:t>
      </w:r>
      <w:r w:rsidR="00DE5734" w:rsidRPr="009E773A">
        <w:rPr>
          <w:rStyle w:val="FootnoteReference"/>
          <w:rFonts w:asciiTheme="majorHAnsi" w:hAnsiTheme="majorHAnsi"/>
          <w:sz w:val="20"/>
          <w:szCs w:val="20"/>
        </w:rPr>
        <w:footnoteReference w:id="65"/>
      </w:r>
      <w:r w:rsidR="00DE5734" w:rsidRPr="009E773A">
        <w:rPr>
          <w:rFonts w:asciiTheme="majorHAnsi" w:hAnsiTheme="majorHAnsi"/>
          <w:sz w:val="20"/>
          <w:szCs w:val="20"/>
        </w:rPr>
        <w:t>.</w:t>
      </w:r>
    </w:p>
    <w:p w14:paraId="2231232E" w14:textId="77777777" w:rsidR="00E560A0" w:rsidRPr="009E773A" w:rsidRDefault="00E560A0" w:rsidP="009A79B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9360"/>
        </w:tabs>
        <w:ind w:left="630"/>
        <w:jc w:val="both"/>
        <w:rPr>
          <w:rFonts w:asciiTheme="majorHAnsi" w:hAnsiTheme="majorHAnsi"/>
          <w:sz w:val="20"/>
          <w:szCs w:val="20"/>
        </w:rPr>
      </w:pPr>
    </w:p>
    <w:p w14:paraId="521F612B" w14:textId="5AAEABB1" w:rsidR="00425014" w:rsidRPr="009E773A" w:rsidRDefault="00425014" w:rsidP="009A79B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9360"/>
        </w:tabs>
        <w:jc w:val="both"/>
        <w:rPr>
          <w:rFonts w:asciiTheme="majorHAnsi" w:hAnsiTheme="majorHAnsi"/>
          <w:sz w:val="20"/>
          <w:szCs w:val="20"/>
        </w:rPr>
      </w:pPr>
      <w:r w:rsidRPr="009E773A">
        <w:rPr>
          <w:rFonts w:asciiTheme="majorHAnsi" w:hAnsiTheme="majorHAnsi"/>
          <w:sz w:val="20"/>
          <w:szCs w:val="20"/>
        </w:rPr>
        <w:t xml:space="preserve">El </w:t>
      </w:r>
      <w:r w:rsidR="00C869FE" w:rsidRPr="009E773A">
        <w:rPr>
          <w:rFonts w:asciiTheme="majorHAnsi" w:hAnsiTheme="majorHAnsi"/>
          <w:sz w:val="20"/>
          <w:szCs w:val="20"/>
        </w:rPr>
        <w:t>1</w:t>
      </w:r>
      <w:r w:rsidRPr="009E773A">
        <w:rPr>
          <w:rFonts w:asciiTheme="majorHAnsi" w:hAnsiTheme="majorHAnsi"/>
          <w:sz w:val="20"/>
          <w:szCs w:val="20"/>
        </w:rPr>
        <w:t xml:space="preserve"> de abril de 2003 el </w:t>
      </w:r>
      <w:r w:rsidR="00C869FE" w:rsidRPr="009E773A">
        <w:rPr>
          <w:rFonts w:asciiTheme="majorHAnsi" w:hAnsiTheme="majorHAnsi"/>
          <w:sz w:val="20"/>
          <w:szCs w:val="20"/>
        </w:rPr>
        <w:t>CIC</w:t>
      </w:r>
      <w:r w:rsidR="003D5B48" w:rsidRPr="009E773A">
        <w:rPr>
          <w:rFonts w:asciiTheme="majorHAnsi" w:hAnsiTheme="majorHAnsi"/>
          <w:sz w:val="20"/>
          <w:szCs w:val="20"/>
        </w:rPr>
        <w:t>PC</w:t>
      </w:r>
      <w:r w:rsidRPr="009E773A">
        <w:rPr>
          <w:rFonts w:asciiTheme="majorHAnsi" w:hAnsiTheme="majorHAnsi"/>
          <w:sz w:val="20"/>
          <w:szCs w:val="20"/>
        </w:rPr>
        <w:t xml:space="preserve"> ordenó la práctica de</w:t>
      </w:r>
      <w:r w:rsidR="00231006" w:rsidRPr="009E773A">
        <w:rPr>
          <w:rFonts w:asciiTheme="majorHAnsi" w:hAnsiTheme="majorHAnsi"/>
          <w:sz w:val="20"/>
          <w:szCs w:val="20"/>
        </w:rPr>
        <w:t>l</w:t>
      </w:r>
      <w:r w:rsidRPr="009E773A">
        <w:rPr>
          <w:rFonts w:asciiTheme="majorHAnsi" w:hAnsiTheme="majorHAnsi"/>
          <w:sz w:val="20"/>
          <w:szCs w:val="20"/>
        </w:rPr>
        <w:t xml:space="preserve"> Levantamiento Planímetro, Trayectoria Balísticas e Intraórganica. Asimismo, solicitó las copias auténticas de las actas de defunción de los occisos</w:t>
      </w:r>
      <w:r w:rsidR="007C42C4" w:rsidRPr="009E773A">
        <w:rPr>
          <w:rFonts w:asciiTheme="majorHAnsi" w:hAnsiTheme="majorHAnsi"/>
          <w:sz w:val="20"/>
          <w:szCs w:val="20"/>
        </w:rPr>
        <w:t>,</w:t>
      </w:r>
      <w:r w:rsidRPr="009E773A">
        <w:rPr>
          <w:rFonts w:asciiTheme="majorHAnsi" w:hAnsiTheme="majorHAnsi"/>
          <w:sz w:val="20"/>
          <w:szCs w:val="20"/>
        </w:rPr>
        <w:t xml:space="preserve"> los protocolos de autopsia y el informe médico o cuadro clínico de </w:t>
      </w:r>
      <w:r w:rsidR="00231006" w:rsidRPr="009E773A">
        <w:rPr>
          <w:rFonts w:asciiTheme="majorHAnsi" w:hAnsiTheme="majorHAnsi"/>
          <w:sz w:val="20"/>
          <w:szCs w:val="20"/>
        </w:rPr>
        <w:t>José</w:t>
      </w:r>
      <w:r w:rsidRPr="009E773A">
        <w:rPr>
          <w:rFonts w:asciiTheme="majorHAnsi" w:hAnsiTheme="majorHAnsi"/>
          <w:sz w:val="20"/>
          <w:szCs w:val="20"/>
        </w:rPr>
        <w:t xml:space="preserve"> Hernández</w:t>
      </w:r>
      <w:r w:rsidR="00231006" w:rsidRPr="009E773A">
        <w:rPr>
          <w:rStyle w:val="FootnoteReference"/>
          <w:rFonts w:asciiTheme="majorHAnsi" w:hAnsiTheme="majorHAnsi"/>
          <w:sz w:val="20"/>
          <w:szCs w:val="20"/>
        </w:rPr>
        <w:footnoteReference w:id="66"/>
      </w:r>
      <w:r w:rsidR="00231006" w:rsidRPr="009E773A">
        <w:rPr>
          <w:rFonts w:asciiTheme="majorHAnsi" w:hAnsiTheme="majorHAnsi"/>
          <w:sz w:val="20"/>
          <w:szCs w:val="20"/>
        </w:rPr>
        <w:t>.</w:t>
      </w:r>
      <w:r w:rsidR="00C620E8" w:rsidRPr="009E773A">
        <w:rPr>
          <w:rFonts w:asciiTheme="majorHAnsi" w:hAnsiTheme="majorHAnsi"/>
          <w:sz w:val="20"/>
          <w:szCs w:val="20"/>
        </w:rPr>
        <w:t xml:space="preserve"> </w:t>
      </w:r>
      <w:r w:rsidR="00BA46DA" w:rsidRPr="009E773A">
        <w:rPr>
          <w:rFonts w:asciiTheme="majorHAnsi" w:hAnsiTheme="majorHAnsi"/>
          <w:sz w:val="20"/>
          <w:szCs w:val="20"/>
        </w:rPr>
        <w:t>C</w:t>
      </w:r>
      <w:r w:rsidR="00D57DED" w:rsidRPr="009E773A">
        <w:rPr>
          <w:rFonts w:asciiTheme="majorHAnsi" w:hAnsiTheme="majorHAnsi"/>
          <w:sz w:val="20"/>
          <w:szCs w:val="20"/>
        </w:rPr>
        <w:t>onsta que</w:t>
      </w:r>
      <w:r w:rsidR="00C620E8" w:rsidRPr="009E773A">
        <w:rPr>
          <w:rFonts w:asciiTheme="majorHAnsi" w:hAnsiTheme="majorHAnsi"/>
          <w:sz w:val="20"/>
          <w:szCs w:val="20"/>
        </w:rPr>
        <w:t xml:space="preserve"> el 21 de mayo de 2004 el CICPC </w:t>
      </w:r>
      <w:r w:rsidR="00C620E8" w:rsidRPr="009E773A">
        <w:rPr>
          <w:rFonts w:asciiTheme="majorHAnsi" w:hAnsiTheme="majorHAnsi"/>
          <w:sz w:val="20"/>
          <w:szCs w:val="20"/>
        </w:rPr>
        <w:lastRenderedPageBreak/>
        <w:t>profirió un memorándum solicitando la práctica de una pericia hematológica, grupo sanguíneo y determinación de presencia de tones y nitritos</w:t>
      </w:r>
      <w:r w:rsidR="00C620E8" w:rsidRPr="009E773A">
        <w:rPr>
          <w:rStyle w:val="FootnoteReference"/>
          <w:rFonts w:asciiTheme="majorHAnsi" w:hAnsiTheme="majorHAnsi"/>
          <w:sz w:val="20"/>
          <w:szCs w:val="20"/>
        </w:rPr>
        <w:footnoteReference w:id="67"/>
      </w:r>
      <w:r w:rsidR="00C620E8" w:rsidRPr="009E773A">
        <w:rPr>
          <w:rFonts w:asciiTheme="majorHAnsi" w:hAnsiTheme="majorHAnsi"/>
          <w:sz w:val="20"/>
          <w:szCs w:val="20"/>
        </w:rPr>
        <w:t xml:space="preserve"> y una experticia de comparación balística</w:t>
      </w:r>
      <w:r w:rsidR="00C620E8" w:rsidRPr="009E773A">
        <w:rPr>
          <w:rStyle w:val="FootnoteReference"/>
          <w:rFonts w:asciiTheme="majorHAnsi" w:hAnsiTheme="majorHAnsi"/>
          <w:sz w:val="20"/>
          <w:szCs w:val="20"/>
        </w:rPr>
        <w:footnoteReference w:id="68"/>
      </w:r>
      <w:r w:rsidR="00C620E8" w:rsidRPr="009E773A">
        <w:rPr>
          <w:rFonts w:asciiTheme="majorHAnsi" w:hAnsiTheme="majorHAnsi"/>
          <w:sz w:val="20"/>
          <w:szCs w:val="20"/>
        </w:rPr>
        <w:t xml:space="preserve">. </w:t>
      </w:r>
    </w:p>
    <w:p w14:paraId="18DF9713" w14:textId="77777777" w:rsidR="0046744F" w:rsidRPr="009E773A" w:rsidRDefault="0046744F" w:rsidP="009A79B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rPr>
      </w:pPr>
    </w:p>
    <w:p w14:paraId="54B36F52" w14:textId="77777777" w:rsidR="006873E8" w:rsidRPr="009E773A" w:rsidRDefault="006873E8" w:rsidP="009A79B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9360"/>
        </w:tabs>
        <w:jc w:val="both"/>
        <w:rPr>
          <w:rFonts w:asciiTheme="majorHAnsi" w:hAnsiTheme="majorHAnsi"/>
          <w:sz w:val="20"/>
          <w:szCs w:val="20"/>
        </w:rPr>
      </w:pPr>
      <w:r w:rsidRPr="009E773A">
        <w:rPr>
          <w:rFonts w:asciiTheme="majorHAnsi" w:hAnsiTheme="majorHAnsi"/>
          <w:sz w:val="20"/>
          <w:szCs w:val="20"/>
          <w:lang w:val="es-ES"/>
        </w:rPr>
        <w:t>La Comisión nota</w:t>
      </w:r>
      <w:r w:rsidR="00D37092" w:rsidRPr="009E773A">
        <w:rPr>
          <w:rFonts w:asciiTheme="majorHAnsi" w:hAnsiTheme="majorHAnsi"/>
          <w:sz w:val="20"/>
          <w:szCs w:val="20"/>
          <w:lang w:val="es-ES"/>
        </w:rPr>
        <w:t xml:space="preserve"> </w:t>
      </w:r>
      <w:r w:rsidR="009D5733" w:rsidRPr="009E773A">
        <w:rPr>
          <w:rFonts w:asciiTheme="majorHAnsi" w:hAnsiTheme="majorHAnsi"/>
          <w:sz w:val="20"/>
          <w:szCs w:val="20"/>
          <w:lang w:val="es-ES"/>
        </w:rPr>
        <w:t>q</w:t>
      </w:r>
      <w:r w:rsidRPr="009E773A">
        <w:rPr>
          <w:rFonts w:asciiTheme="majorHAnsi" w:hAnsiTheme="majorHAnsi"/>
          <w:sz w:val="20"/>
          <w:szCs w:val="20"/>
          <w:lang w:val="es-ES"/>
        </w:rPr>
        <w:t xml:space="preserve">ue a lo largo de la investigación el CICPC solicitó por varios años </w:t>
      </w:r>
      <w:r w:rsidR="00D337AC" w:rsidRPr="009E773A">
        <w:rPr>
          <w:rFonts w:asciiTheme="majorHAnsi" w:hAnsiTheme="majorHAnsi"/>
          <w:sz w:val="20"/>
          <w:szCs w:val="20"/>
          <w:lang w:val="es-ES"/>
        </w:rPr>
        <w:t xml:space="preserve">consecutivos </w:t>
      </w:r>
      <w:r w:rsidR="00E30D68" w:rsidRPr="009E773A">
        <w:rPr>
          <w:rFonts w:asciiTheme="majorHAnsi" w:hAnsiTheme="majorHAnsi"/>
          <w:sz w:val="20"/>
          <w:szCs w:val="20"/>
          <w:lang w:val="es-ES"/>
        </w:rPr>
        <w:t>(2003, 2004, 2005) diversos</w:t>
      </w:r>
      <w:r w:rsidRPr="009E773A">
        <w:rPr>
          <w:rFonts w:asciiTheme="majorHAnsi" w:hAnsiTheme="majorHAnsi"/>
          <w:sz w:val="20"/>
          <w:szCs w:val="20"/>
          <w:lang w:val="es-ES"/>
        </w:rPr>
        <w:t xml:space="preserve"> documentos para determinar la conexión del crimen cometido con agentes policiales</w:t>
      </w:r>
      <w:r w:rsidR="00D337AC" w:rsidRPr="009E773A">
        <w:rPr>
          <w:rFonts w:asciiTheme="majorHAnsi" w:hAnsiTheme="majorHAnsi"/>
          <w:sz w:val="20"/>
          <w:szCs w:val="20"/>
          <w:lang w:val="es-ES"/>
        </w:rPr>
        <w:t xml:space="preserve">. Con esta finalidad, </w:t>
      </w:r>
      <w:r w:rsidR="00D37092" w:rsidRPr="009E773A">
        <w:rPr>
          <w:rFonts w:asciiTheme="majorHAnsi" w:hAnsiTheme="majorHAnsi"/>
          <w:sz w:val="20"/>
          <w:szCs w:val="20"/>
          <w:lang w:val="es-ES"/>
        </w:rPr>
        <w:t xml:space="preserve">solicitó </w:t>
      </w:r>
      <w:r w:rsidR="00D337AC" w:rsidRPr="009E773A">
        <w:rPr>
          <w:rFonts w:asciiTheme="majorHAnsi" w:hAnsiTheme="majorHAnsi"/>
          <w:sz w:val="20"/>
          <w:szCs w:val="20"/>
          <w:lang w:val="es-ES"/>
        </w:rPr>
        <w:t>al Comandante de las Fuerzas Armas Policiales de Falcón el env</w:t>
      </w:r>
      <w:r w:rsidR="00D37092" w:rsidRPr="009E773A">
        <w:rPr>
          <w:rFonts w:asciiTheme="majorHAnsi" w:hAnsiTheme="majorHAnsi"/>
          <w:sz w:val="20"/>
          <w:szCs w:val="20"/>
          <w:lang w:val="es-ES"/>
        </w:rPr>
        <w:t xml:space="preserve">ío de libros de novedades, </w:t>
      </w:r>
      <w:r w:rsidR="00D337AC" w:rsidRPr="009E773A">
        <w:rPr>
          <w:rFonts w:asciiTheme="majorHAnsi" w:hAnsiTheme="majorHAnsi"/>
          <w:sz w:val="20"/>
          <w:szCs w:val="20"/>
          <w:lang w:val="es-ES"/>
        </w:rPr>
        <w:t>del parque de armas, lista de funcionarios de guardia, listas de nombres, jerarquías y ubicaciones de los funcionarios de guardia, correspondientes al momento de la ocurrencia de los hechos</w:t>
      </w:r>
      <w:r w:rsidR="00E30D68" w:rsidRPr="009E773A">
        <w:rPr>
          <w:rStyle w:val="FootnoteReference"/>
          <w:rFonts w:asciiTheme="majorHAnsi" w:hAnsiTheme="majorHAnsi"/>
          <w:sz w:val="20"/>
          <w:szCs w:val="20"/>
        </w:rPr>
        <w:footnoteReference w:id="69"/>
      </w:r>
      <w:r w:rsidRPr="009E773A">
        <w:rPr>
          <w:rFonts w:asciiTheme="majorHAnsi" w:hAnsiTheme="majorHAnsi"/>
          <w:sz w:val="20"/>
          <w:szCs w:val="20"/>
          <w:lang w:val="es-ES"/>
        </w:rPr>
        <w:t xml:space="preserve">. </w:t>
      </w:r>
      <w:r w:rsidR="00D337AC" w:rsidRPr="009E773A">
        <w:rPr>
          <w:rFonts w:asciiTheme="majorHAnsi" w:hAnsiTheme="majorHAnsi"/>
          <w:sz w:val="20"/>
          <w:szCs w:val="20"/>
          <w:lang w:val="es-ES"/>
        </w:rPr>
        <w:t>La misma información fue solicitada también</w:t>
      </w:r>
      <w:r w:rsidR="00D37092" w:rsidRPr="009E773A">
        <w:rPr>
          <w:rFonts w:asciiTheme="majorHAnsi" w:hAnsiTheme="majorHAnsi"/>
          <w:sz w:val="20"/>
          <w:szCs w:val="20"/>
          <w:lang w:val="es-ES"/>
        </w:rPr>
        <w:t xml:space="preserve"> </w:t>
      </w:r>
      <w:r w:rsidR="002B2F31" w:rsidRPr="009E773A">
        <w:rPr>
          <w:rFonts w:asciiTheme="majorHAnsi" w:hAnsiTheme="majorHAnsi"/>
          <w:sz w:val="20"/>
          <w:szCs w:val="20"/>
          <w:lang w:val="es-ES"/>
        </w:rPr>
        <w:t xml:space="preserve">el año 2004, </w:t>
      </w:r>
      <w:r w:rsidR="00D337AC" w:rsidRPr="009E773A">
        <w:rPr>
          <w:rFonts w:asciiTheme="majorHAnsi" w:hAnsiTheme="majorHAnsi"/>
          <w:sz w:val="20"/>
          <w:szCs w:val="20"/>
          <w:lang w:val="es-ES"/>
        </w:rPr>
        <w:t>por la Fiscalía Sexta</w:t>
      </w:r>
      <w:r w:rsidR="00D337AC" w:rsidRPr="009E773A">
        <w:rPr>
          <w:rStyle w:val="FootnoteReference"/>
          <w:rFonts w:asciiTheme="majorHAnsi" w:hAnsiTheme="majorHAnsi"/>
          <w:sz w:val="20"/>
          <w:szCs w:val="20"/>
        </w:rPr>
        <w:footnoteReference w:id="70"/>
      </w:r>
      <w:r w:rsidR="002B2F31" w:rsidRPr="009E773A">
        <w:rPr>
          <w:rFonts w:asciiTheme="majorHAnsi" w:hAnsiTheme="majorHAnsi"/>
          <w:sz w:val="20"/>
          <w:szCs w:val="20"/>
          <w:lang w:val="es-ES"/>
        </w:rPr>
        <w:t xml:space="preserve">; y, el 2014, por </w:t>
      </w:r>
      <w:r w:rsidR="00D337AC" w:rsidRPr="009E773A">
        <w:rPr>
          <w:rFonts w:asciiTheme="majorHAnsi" w:hAnsiTheme="majorHAnsi"/>
          <w:sz w:val="20"/>
          <w:szCs w:val="20"/>
          <w:lang w:val="es-ES"/>
        </w:rPr>
        <w:t xml:space="preserve">la </w:t>
      </w:r>
      <w:r w:rsidR="00D337AC" w:rsidRPr="009E773A">
        <w:rPr>
          <w:rFonts w:asciiTheme="majorHAnsi" w:hAnsiTheme="majorHAnsi"/>
          <w:color w:val="000000" w:themeColor="text1"/>
          <w:sz w:val="20"/>
          <w:szCs w:val="20"/>
        </w:rPr>
        <w:t xml:space="preserve">Fiscalía </w:t>
      </w:r>
      <w:r w:rsidR="00D337AC" w:rsidRPr="009E773A">
        <w:rPr>
          <w:rFonts w:asciiTheme="majorHAnsi" w:hAnsiTheme="majorHAnsi"/>
          <w:sz w:val="20"/>
          <w:szCs w:val="20"/>
        </w:rPr>
        <w:t>Décima Séptima</w:t>
      </w:r>
      <w:r w:rsidR="00D337AC" w:rsidRPr="009E773A">
        <w:rPr>
          <w:rStyle w:val="FootnoteReference"/>
          <w:rFonts w:asciiTheme="majorHAnsi" w:hAnsiTheme="majorHAnsi"/>
          <w:sz w:val="20"/>
          <w:szCs w:val="20"/>
        </w:rPr>
        <w:footnoteReference w:id="71"/>
      </w:r>
      <w:r w:rsidR="00D337AC" w:rsidRPr="009E773A">
        <w:rPr>
          <w:rFonts w:asciiTheme="majorHAnsi" w:hAnsiTheme="majorHAnsi"/>
          <w:sz w:val="20"/>
          <w:szCs w:val="20"/>
        </w:rPr>
        <w:t xml:space="preserve">. </w:t>
      </w:r>
      <w:r w:rsidR="002B2F31" w:rsidRPr="009E773A">
        <w:rPr>
          <w:rFonts w:asciiTheme="majorHAnsi" w:hAnsiTheme="majorHAnsi"/>
          <w:sz w:val="20"/>
          <w:szCs w:val="20"/>
        </w:rPr>
        <w:t xml:space="preserve">Finalmente, </w:t>
      </w:r>
      <w:r w:rsidR="00D37092" w:rsidRPr="009E773A">
        <w:rPr>
          <w:rFonts w:asciiTheme="majorHAnsi" w:hAnsiTheme="majorHAnsi"/>
          <w:sz w:val="20"/>
          <w:szCs w:val="20"/>
        </w:rPr>
        <w:t xml:space="preserve">el </w:t>
      </w:r>
      <w:r w:rsidR="00D337AC" w:rsidRPr="009E773A">
        <w:rPr>
          <w:rFonts w:asciiTheme="majorHAnsi" w:hAnsiTheme="majorHAnsi"/>
          <w:sz w:val="20"/>
          <w:szCs w:val="20"/>
        </w:rPr>
        <w:t>2015 la Policía informó que los libros de novedades del año 2003 fueron dañados por precipitaciones en el año 2010 en el Centro de Coordinación Policial No. 02</w:t>
      </w:r>
      <w:r w:rsidR="00D337AC" w:rsidRPr="009E773A">
        <w:rPr>
          <w:rStyle w:val="FootnoteReference"/>
          <w:rFonts w:asciiTheme="majorHAnsi" w:hAnsiTheme="majorHAnsi"/>
          <w:sz w:val="20"/>
          <w:szCs w:val="20"/>
        </w:rPr>
        <w:footnoteReference w:id="72"/>
      </w:r>
      <w:r w:rsidR="00D37092" w:rsidRPr="009E773A">
        <w:rPr>
          <w:rFonts w:asciiTheme="majorHAnsi" w:hAnsiTheme="majorHAnsi"/>
          <w:sz w:val="20"/>
          <w:szCs w:val="20"/>
        </w:rPr>
        <w:t xml:space="preserve">. </w:t>
      </w:r>
    </w:p>
    <w:p w14:paraId="02C27835" w14:textId="77777777" w:rsidR="00E30D68" w:rsidRPr="009E773A" w:rsidRDefault="00E30D68" w:rsidP="009A79B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9360"/>
        </w:tabs>
        <w:jc w:val="both"/>
        <w:rPr>
          <w:rFonts w:asciiTheme="majorHAnsi" w:hAnsiTheme="majorHAnsi"/>
          <w:sz w:val="20"/>
          <w:szCs w:val="20"/>
        </w:rPr>
      </w:pPr>
    </w:p>
    <w:p w14:paraId="798A2D71" w14:textId="5883D973" w:rsidR="00173483" w:rsidRPr="009E773A" w:rsidRDefault="00D21C74" w:rsidP="009A79B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9360"/>
        </w:tabs>
        <w:jc w:val="both"/>
        <w:rPr>
          <w:rFonts w:asciiTheme="majorHAnsi" w:hAnsiTheme="majorHAnsi"/>
          <w:sz w:val="20"/>
          <w:szCs w:val="20"/>
        </w:rPr>
      </w:pPr>
      <w:r w:rsidRPr="009E773A">
        <w:rPr>
          <w:rFonts w:asciiTheme="majorHAnsi" w:hAnsiTheme="majorHAnsi"/>
          <w:sz w:val="20"/>
          <w:szCs w:val="20"/>
        </w:rPr>
        <w:t>E</w:t>
      </w:r>
      <w:r w:rsidR="004A6BD2" w:rsidRPr="009E773A">
        <w:rPr>
          <w:rFonts w:asciiTheme="majorHAnsi" w:hAnsiTheme="majorHAnsi"/>
          <w:sz w:val="20"/>
          <w:szCs w:val="20"/>
        </w:rPr>
        <w:t>l 3 de noviembre de 2003</w:t>
      </w:r>
      <w:r w:rsidR="002B0B4D" w:rsidRPr="009E773A">
        <w:rPr>
          <w:rFonts w:asciiTheme="majorHAnsi" w:hAnsiTheme="majorHAnsi"/>
          <w:sz w:val="20"/>
          <w:szCs w:val="20"/>
        </w:rPr>
        <w:t xml:space="preserve"> se </w:t>
      </w:r>
      <w:r w:rsidR="00D70ACC" w:rsidRPr="009E773A">
        <w:rPr>
          <w:rFonts w:asciiTheme="majorHAnsi" w:hAnsiTheme="majorHAnsi"/>
          <w:sz w:val="20"/>
          <w:szCs w:val="20"/>
        </w:rPr>
        <w:t xml:space="preserve">practicó </w:t>
      </w:r>
      <w:r w:rsidR="002B0B4D" w:rsidRPr="009E773A">
        <w:rPr>
          <w:rFonts w:asciiTheme="majorHAnsi" w:hAnsiTheme="majorHAnsi"/>
          <w:sz w:val="20"/>
          <w:szCs w:val="20"/>
        </w:rPr>
        <w:t>un</w:t>
      </w:r>
      <w:r w:rsidR="004A6BD2" w:rsidRPr="009E773A">
        <w:rPr>
          <w:rFonts w:asciiTheme="majorHAnsi" w:hAnsiTheme="majorHAnsi"/>
          <w:sz w:val="20"/>
          <w:szCs w:val="20"/>
        </w:rPr>
        <w:t>a experticia legal</w:t>
      </w:r>
      <w:r w:rsidR="002B0B4D" w:rsidRPr="009E773A">
        <w:rPr>
          <w:rFonts w:asciiTheme="majorHAnsi" w:hAnsiTheme="majorHAnsi"/>
          <w:sz w:val="20"/>
          <w:szCs w:val="20"/>
        </w:rPr>
        <w:t xml:space="preserve"> </w:t>
      </w:r>
      <w:r w:rsidR="00D37092" w:rsidRPr="009E773A">
        <w:rPr>
          <w:rFonts w:asciiTheme="majorHAnsi" w:hAnsiTheme="majorHAnsi"/>
          <w:sz w:val="20"/>
          <w:szCs w:val="20"/>
        </w:rPr>
        <w:t xml:space="preserve">de </w:t>
      </w:r>
      <w:r w:rsidR="006674CC" w:rsidRPr="009E773A">
        <w:rPr>
          <w:rFonts w:asciiTheme="majorHAnsi" w:hAnsiTheme="majorHAnsi"/>
          <w:sz w:val="20"/>
          <w:szCs w:val="20"/>
        </w:rPr>
        <w:t>un proyectil de co</w:t>
      </w:r>
      <w:r w:rsidR="00D70ACC" w:rsidRPr="009E773A">
        <w:rPr>
          <w:rFonts w:asciiTheme="majorHAnsi" w:hAnsiTheme="majorHAnsi"/>
          <w:sz w:val="20"/>
          <w:szCs w:val="20"/>
        </w:rPr>
        <w:t>bre parcialmente deformado</w:t>
      </w:r>
      <w:r w:rsidR="00D37092" w:rsidRPr="009E773A">
        <w:rPr>
          <w:rFonts w:asciiTheme="majorHAnsi" w:hAnsiTheme="majorHAnsi"/>
          <w:sz w:val="20"/>
          <w:szCs w:val="20"/>
        </w:rPr>
        <w:t xml:space="preserve"> y un diskette</w:t>
      </w:r>
      <w:r w:rsidR="006674CC" w:rsidRPr="009E773A">
        <w:rPr>
          <w:rFonts w:asciiTheme="majorHAnsi" w:hAnsiTheme="majorHAnsi"/>
          <w:sz w:val="20"/>
          <w:szCs w:val="20"/>
        </w:rPr>
        <w:t>, custodiados en la delegación de Punto Fijo</w:t>
      </w:r>
      <w:r w:rsidR="00900349" w:rsidRPr="009E773A">
        <w:rPr>
          <w:rStyle w:val="FootnoteReference"/>
          <w:rFonts w:asciiTheme="majorHAnsi" w:hAnsiTheme="majorHAnsi"/>
          <w:sz w:val="20"/>
          <w:szCs w:val="20"/>
        </w:rPr>
        <w:footnoteReference w:id="73"/>
      </w:r>
      <w:r w:rsidR="00900349" w:rsidRPr="009E773A">
        <w:rPr>
          <w:rFonts w:asciiTheme="majorHAnsi" w:hAnsiTheme="majorHAnsi"/>
          <w:sz w:val="20"/>
          <w:szCs w:val="20"/>
        </w:rPr>
        <w:t>.</w:t>
      </w:r>
      <w:r w:rsidR="00D70ACC" w:rsidRPr="009E773A">
        <w:rPr>
          <w:rFonts w:asciiTheme="majorHAnsi" w:hAnsiTheme="majorHAnsi"/>
          <w:sz w:val="20"/>
          <w:szCs w:val="20"/>
        </w:rPr>
        <w:t xml:space="preserve"> Según el peritaje “l</w:t>
      </w:r>
      <w:r w:rsidR="004A6BD2" w:rsidRPr="009E773A">
        <w:rPr>
          <w:rFonts w:asciiTheme="majorHAnsi" w:hAnsiTheme="majorHAnsi"/>
          <w:sz w:val="20"/>
          <w:szCs w:val="20"/>
        </w:rPr>
        <w:t xml:space="preserve">a pieza metálica </w:t>
      </w:r>
      <w:r w:rsidR="00D70ACC" w:rsidRPr="009E773A">
        <w:rPr>
          <w:rFonts w:asciiTheme="majorHAnsi" w:hAnsiTheme="majorHAnsi"/>
          <w:sz w:val="20"/>
          <w:szCs w:val="20"/>
        </w:rPr>
        <w:t>(…) resulta s</w:t>
      </w:r>
      <w:r w:rsidR="004A6BD2" w:rsidRPr="009E773A">
        <w:rPr>
          <w:rFonts w:asciiTheme="majorHAnsi" w:hAnsiTheme="majorHAnsi"/>
          <w:sz w:val="20"/>
          <w:szCs w:val="20"/>
        </w:rPr>
        <w:t xml:space="preserve">er </w:t>
      </w:r>
      <w:r w:rsidR="00D70ACC" w:rsidRPr="009E773A">
        <w:rPr>
          <w:rFonts w:asciiTheme="majorHAnsi" w:hAnsiTheme="majorHAnsi"/>
          <w:sz w:val="20"/>
          <w:szCs w:val="20"/>
        </w:rPr>
        <w:t xml:space="preserve">de </w:t>
      </w:r>
      <w:r w:rsidR="004A6BD2" w:rsidRPr="009E773A">
        <w:rPr>
          <w:rFonts w:asciiTheme="majorHAnsi" w:hAnsiTheme="majorHAnsi"/>
          <w:sz w:val="20"/>
          <w:szCs w:val="20"/>
        </w:rPr>
        <w:t>un proyectil, l</w:t>
      </w:r>
      <w:r w:rsidR="00D70ACC" w:rsidRPr="009E773A">
        <w:rPr>
          <w:rFonts w:asciiTheme="majorHAnsi" w:hAnsiTheme="majorHAnsi"/>
          <w:sz w:val="20"/>
          <w:szCs w:val="20"/>
        </w:rPr>
        <w:t>a cual fue disparada</w:t>
      </w:r>
      <w:r w:rsidR="004A6BD2" w:rsidRPr="009E773A">
        <w:rPr>
          <w:rFonts w:asciiTheme="majorHAnsi" w:hAnsiTheme="majorHAnsi"/>
          <w:sz w:val="20"/>
          <w:szCs w:val="20"/>
        </w:rPr>
        <w:t xml:space="preserve"> por un arma de fuego, ya que presenta</w:t>
      </w:r>
      <w:r w:rsidR="00EA10CA" w:rsidRPr="009E773A">
        <w:rPr>
          <w:rFonts w:asciiTheme="majorHAnsi" w:hAnsiTheme="majorHAnsi"/>
          <w:sz w:val="20"/>
          <w:szCs w:val="20"/>
        </w:rPr>
        <w:t xml:space="preserve"> las huellas de los campos y las estrías dejadas por el pasar por </w:t>
      </w:r>
      <w:r w:rsidR="00B15F62" w:rsidRPr="009E773A">
        <w:rPr>
          <w:rFonts w:asciiTheme="majorHAnsi" w:hAnsiTheme="majorHAnsi"/>
          <w:sz w:val="20"/>
          <w:szCs w:val="20"/>
        </w:rPr>
        <w:t xml:space="preserve">al anima del caño de un arma de fuego. El mismo puede ser sometido a prueba balística. El diskette </w:t>
      </w:r>
      <w:r w:rsidR="00D70ACC" w:rsidRPr="009E773A">
        <w:rPr>
          <w:rFonts w:asciiTheme="majorHAnsi" w:hAnsiTheme="majorHAnsi"/>
          <w:sz w:val="20"/>
          <w:szCs w:val="20"/>
        </w:rPr>
        <w:t>(…)</w:t>
      </w:r>
      <w:r w:rsidR="00B15F62" w:rsidRPr="009E773A">
        <w:rPr>
          <w:rFonts w:asciiTheme="majorHAnsi" w:hAnsiTheme="majorHAnsi"/>
          <w:sz w:val="20"/>
          <w:szCs w:val="20"/>
        </w:rPr>
        <w:t xml:space="preserve"> se aprecia usado y en buen estado estructural”</w:t>
      </w:r>
      <w:r w:rsidR="002B0B4D" w:rsidRPr="009E773A">
        <w:rPr>
          <w:rStyle w:val="FootnoteReference"/>
          <w:rFonts w:asciiTheme="majorHAnsi" w:hAnsiTheme="majorHAnsi"/>
          <w:sz w:val="20"/>
          <w:szCs w:val="20"/>
        </w:rPr>
        <w:footnoteReference w:id="74"/>
      </w:r>
      <w:r w:rsidR="002B0B4D" w:rsidRPr="009E773A">
        <w:rPr>
          <w:rFonts w:asciiTheme="majorHAnsi" w:hAnsiTheme="majorHAnsi"/>
          <w:sz w:val="20"/>
          <w:szCs w:val="20"/>
        </w:rPr>
        <w:t xml:space="preserve">.  </w:t>
      </w:r>
      <w:r w:rsidR="006F4D06" w:rsidRPr="009E773A">
        <w:rPr>
          <w:rFonts w:asciiTheme="majorHAnsi" w:hAnsiTheme="majorHAnsi"/>
          <w:sz w:val="20"/>
          <w:szCs w:val="20"/>
        </w:rPr>
        <w:t xml:space="preserve">El 3 de diciembre de 2003 la subdelegación de Punto Fijo envió un memorándum, con carácter de urgencia, al jefe de la subdelegación Estadal Zulia </w:t>
      </w:r>
      <w:r w:rsidR="00D37092" w:rsidRPr="009E773A">
        <w:rPr>
          <w:rFonts w:asciiTheme="majorHAnsi" w:hAnsiTheme="majorHAnsi"/>
          <w:sz w:val="20"/>
          <w:szCs w:val="20"/>
        </w:rPr>
        <w:t>reiterando su solicitud</w:t>
      </w:r>
      <w:r w:rsidR="006F4D06" w:rsidRPr="009E773A">
        <w:rPr>
          <w:rFonts w:asciiTheme="majorHAnsi" w:hAnsiTheme="majorHAnsi"/>
          <w:sz w:val="20"/>
          <w:szCs w:val="20"/>
        </w:rPr>
        <w:t xml:space="preserve"> de una expert</w:t>
      </w:r>
      <w:r w:rsidR="00257573" w:rsidRPr="009E773A">
        <w:rPr>
          <w:rFonts w:asciiTheme="majorHAnsi" w:hAnsiTheme="majorHAnsi"/>
          <w:sz w:val="20"/>
          <w:szCs w:val="20"/>
        </w:rPr>
        <w:t xml:space="preserve">icia de comparación balística. </w:t>
      </w:r>
    </w:p>
    <w:p w14:paraId="44FE3DFE" w14:textId="77777777" w:rsidR="00173483" w:rsidRPr="009E773A" w:rsidRDefault="00173483" w:rsidP="009A79B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9360"/>
        </w:tabs>
        <w:ind w:left="630"/>
        <w:jc w:val="both"/>
        <w:rPr>
          <w:rFonts w:asciiTheme="majorHAnsi" w:hAnsiTheme="majorHAnsi"/>
          <w:sz w:val="20"/>
          <w:szCs w:val="20"/>
        </w:rPr>
      </w:pPr>
    </w:p>
    <w:p w14:paraId="689D0014" w14:textId="2EC7CB36" w:rsidR="00CE4F64" w:rsidRPr="009E773A" w:rsidRDefault="00665FA9" w:rsidP="009A79B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9360"/>
        </w:tabs>
        <w:jc w:val="both"/>
        <w:rPr>
          <w:rFonts w:asciiTheme="majorHAnsi" w:hAnsiTheme="majorHAnsi"/>
          <w:sz w:val="20"/>
          <w:szCs w:val="20"/>
        </w:rPr>
      </w:pPr>
      <w:r w:rsidRPr="009E773A">
        <w:rPr>
          <w:rFonts w:asciiTheme="majorHAnsi" w:hAnsiTheme="majorHAnsi"/>
          <w:sz w:val="20"/>
          <w:szCs w:val="20"/>
        </w:rPr>
        <w:t>E</w:t>
      </w:r>
      <w:r w:rsidR="00C620E8" w:rsidRPr="009E773A">
        <w:rPr>
          <w:rFonts w:asciiTheme="majorHAnsi" w:hAnsiTheme="majorHAnsi"/>
          <w:sz w:val="20"/>
          <w:szCs w:val="20"/>
        </w:rPr>
        <w:t xml:space="preserve">l 20 de noviembre de 2003 el Fiscal Sexto envió una comunicación al CICPC solicitando información respecto </w:t>
      </w:r>
      <w:r w:rsidR="00396597" w:rsidRPr="009E773A">
        <w:rPr>
          <w:rFonts w:asciiTheme="majorHAnsi" w:hAnsiTheme="majorHAnsi"/>
          <w:sz w:val="20"/>
          <w:szCs w:val="20"/>
        </w:rPr>
        <w:t>de</w:t>
      </w:r>
      <w:r w:rsidR="00C620E8" w:rsidRPr="009E773A">
        <w:rPr>
          <w:rFonts w:asciiTheme="majorHAnsi" w:hAnsiTheme="majorHAnsi"/>
          <w:sz w:val="20"/>
          <w:szCs w:val="20"/>
        </w:rPr>
        <w:t>l estado de la causa penal</w:t>
      </w:r>
      <w:r w:rsidR="00C620E8" w:rsidRPr="009E773A">
        <w:rPr>
          <w:rStyle w:val="FootnoteReference"/>
          <w:rFonts w:asciiTheme="majorHAnsi" w:hAnsiTheme="majorHAnsi"/>
          <w:sz w:val="20"/>
          <w:szCs w:val="20"/>
        </w:rPr>
        <w:footnoteReference w:id="75"/>
      </w:r>
      <w:r w:rsidR="00C620E8" w:rsidRPr="009E773A">
        <w:rPr>
          <w:rFonts w:asciiTheme="majorHAnsi" w:hAnsiTheme="majorHAnsi"/>
          <w:sz w:val="20"/>
          <w:szCs w:val="20"/>
        </w:rPr>
        <w:t xml:space="preserve"> y </w:t>
      </w:r>
      <w:r w:rsidR="00B12234" w:rsidRPr="009E773A">
        <w:rPr>
          <w:rFonts w:asciiTheme="majorHAnsi" w:hAnsiTheme="majorHAnsi"/>
          <w:sz w:val="20"/>
          <w:szCs w:val="20"/>
        </w:rPr>
        <w:t>a mediados del 2004</w:t>
      </w:r>
      <w:r w:rsidR="00C620E8" w:rsidRPr="009E773A">
        <w:rPr>
          <w:rFonts w:asciiTheme="majorHAnsi" w:hAnsiTheme="majorHAnsi"/>
          <w:sz w:val="20"/>
          <w:szCs w:val="20"/>
        </w:rPr>
        <w:t xml:space="preserve"> </w:t>
      </w:r>
      <w:r w:rsidR="00D337AC" w:rsidRPr="009E773A">
        <w:rPr>
          <w:rFonts w:asciiTheme="majorHAnsi" w:hAnsiTheme="majorHAnsi"/>
          <w:sz w:val="20"/>
          <w:szCs w:val="20"/>
        </w:rPr>
        <w:t xml:space="preserve">solicitó </w:t>
      </w:r>
      <w:r w:rsidR="002B0B4D" w:rsidRPr="009E773A">
        <w:rPr>
          <w:rFonts w:asciiTheme="majorHAnsi" w:hAnsiTheme="majorHAnsi"/>
          <w:sz w:val="20"/>
          <w:szCs w:val="20"/>
        </w:rPr>
        <w:t xml:space="preserve">al comandante del </w:t>
      </w:r>
      <w:r w:rsidR="00B12234" w:rsidRPr="009E773A">
        <w:rPr>
          <w:rFonts w:asciiTheme="majorHAnsi" w:hAnsiTheme="majorHAnsi"/>
          <w:sz w:val="20"/>
          <w:szCs w:val="20"/>
        </w:rPr>
        <w:t>CICPC</w:t>
      </w:r>
      <w:r w:rsidR="00C620E8" w:rsidRPr="009E773A">
        <w:rPr>
          <w:rFonts w:asciiTheme="majorHAnsi" w:hAnsiTheme="majorHAnsi"/>
          <w:sz w:val="20"/>
          <w:szCs w:val="20"/>
        </w:rPr>
        <w:t xml:space="preserve"> </w:t>
      </w:r>
      <w:r w:rsidR="002B0B4D" w:rsidRPr="009E773A">
        <w:rPr>
          <w:rFonts w:asciiTheme="majorHAnsi" w:hAnsiTheme="majorHAnsi"/>
          <w:sz w:val="20"/>
          <w:szCs w:val="20"/>
        </w:rPr>
        <w:t>los resultados de las Experticias de Comparación Balís</w:t>
      </w:r>
      <w:r w:rsidR="00B12234" w:rsidRPr="009E773A">
        <w:rPr>
          <w:rFonts w:asciiTheme="majorHAnsi" w:hAnsiTheme="majorHAnsi"/>
          <w:sz w:val="20"/>
          <w:szCs w:val="20"/>
        </w:rPr>
        <w:t>tica</w:t>
      </w:r>
      <w:r w:rsidR="002B0B4D" w:rsidRPr="009E773A">
        <w:rPr>
          <w:rStyle w:val="FootnoteReference"/>
          <w:rFonts w:asciiTheme="majorHAnsi" w:hAnsiTheme="majorHAnsi"/>
          <w:sz w:val="20"/>
          <w:szCs w:val="20"/>
        </w:rPr>
        <w:footnoteReference w:id="76"/>
      </w:r>
      <w:r w:rsidR="00B12234" w:rsidRPr="009E773A">
        <w:rPr>
          <w:rFonts w:asciiTheme="majorHAnsi" w:hAnsiTheme="majorHAnsi"/>
          <w:sz w:val="20"/>
          <w:szCs w:val="20"/>
        </w:rPr>
        <w:t xml:space="preserve"> y </w:t>
      </w:r>
      <w:r w:rsidR="002B0B4D" w:rsidRPr="009E773A">
        <w:rPr>
          <w:rFonts w:asciiTheme="majorHAnsi" w:hAnsiTheme="majorHAnsi"/>
          <w:sz w:val="20"/>
          <w:szCs w:val="20"/>
        </w:rPr>
        <w:t>los resultados del levantamiento planímetro y la trayectoria balística e intraorgánica practicada</w:t>
      </w:r>
      <w:r w:rsidR="002B2F31" w:rsidRPr="009E773A">
        <w:rPr>
          <w:rFonts w:asciiTheme="majorHAnsi" w:hAnsiTheme="majorHAnsi"/>
          <w:sz w:val="20"/>
          <w:szCs w:val="20"/>
        </w:rPr>
        <w:t>s</w:t>
      </w:r>
      <w:r w:rsidR="002B0B4D" w:rsidRPr="009E773A">
        <w:rPr>
          <w:rStyle w:val="FootnoteReference"/>
          <w:rFonts w:asciiTheme="majorHAnsi" w:hAnsiTheme="majorHAnsi"/>
          <w:sz w:val="20"/>
          <w:szCs w:val="20"/>
        </w:rPr>
        <w:footnoteReference w:id="77"/>
      </w:r>
      <w:r w:rsidR="002B0B4D" w:rsidRPr="009E773A">
        <w:rPr>
          <w:rFonts w:asciiTheme="majorHAnsi" w:hAnsiTheme="majorHAnsi"/>
          <w:sz w:val="20"/>
          <w:szCs w:val="20"/>
        </w:rPr>
        <w:t>.</w:t>
      </w:r>
      <w:r w:rsidR="00D97D82" w:rsidRPr="009E773A">
        <w:rPr>
          <w:rFonts w:asciiTheme="majorHAnsi" w:hAnsiTheme="majorHAnsi"/>
          <w:sz w:val="20"/>
          <w:szCs w:val="20"/>
        </w:rPr>
        <w:t xml:space="preserve"> </w:t>
      </w:r>
      <w:r w:rsidR="00CE4F64" w:rsidRPr="009E773A">
        <w:rPr>
          <w:rFonts w:asciiTheme="majorHAnsi" w:hAnsiTheme="majorHAnsi"/>
          <w:sz w:val="20"/>
          <w:szCs w:val="20"/>
        </w:rPr>
        <w:t>Con lo anterior, la Subdelegación de Punto Fijo cursó varios memorandos</w:t>
      </w:r>
      <w:r w:rsidR="00CE4F64" w:rsidRPr="009E773A">
        <w:rPr>
          <w:rStyle w:val="FootnoteReference"/>
          <w:rFonts w:asciiTheme="majorHAnsi" w:hAnsiTheme="majorHAnsi"/>
          <w:sz w:val="20"/>
          <w:szCs w:val="20"/>
        </w:rPr>
        <w:footnoteReference w:id="78"/>
      </w:r>
      <w:r w:rsidR="00CE4F64" w:rsidRPr="009E773A">
        <w:rPr>
          <w:rFonts w:asciiTheme="majorHAnsi" w:hAnsiTheme="majorHAnsi"/>
          <w:sz w:val="20"/>
          <w:szCs w:val="20"/>
        </w:rPr>
        <w:t xml:space="preserve"> para recabar las pericias solicitadas, pero al final indicó que no recibió respuestas</w:t>
      </w:r>
      <w:r w:rsidR="00CE4F64" w:rsidRPr="009E773A">
        <w:rPr>
          <w:rStyle w:val="FootnoteReference"/>
          <w:rFonts w:asciiTheme="majorHAnsi" w:hAnsiTheme="majorHAnsi"/>
          <w:sz w:val="20"/>
          <w:szCs w:val="20"/>
        </w:rPr>
        <w:footnoteReference w:id="79"/>
      </w:r>
      <w:r w:rsidR="00CE4F64" w:rsidRPr="009E773A">
        <w:rPr>
          <w:rFonts w:asciiTheme="majorHAnsi" w:hAnsiTheme="majorHAnsi"/>
          <w:sz w:val="20"/>
          <w:szCs w:val="20"/>
        </w:rPr>
        <w:t>. Ante la falta de resultados, el 10 de enero de 2005 el Despacho del Fiscal Sexto reiteró sus comunicaciones y ordenó nuevamente que se practique</w:t>
      </w:r>
      <w:r w:rsidR="00684EDB" w:rsidRPr="009E773A">
        <w:rPr>
          <w:rFonts w:asciiTheme="majorHAnsi" w:hAnsiTheme="majorHAnsi"/>
          <w:sz w:val="20"/>
          <w:szCs w:val="20"/>
        </w:rPr>
        <w:t>n las pericias solicitadas</w:t>
      </w:r>
      <w:r w:rsidR="00CE4F64" w:rsidRPr="009E773A">
        <w:rPr>
          <w:rStyle w:val="FootnoteReference"/>
          <w:rFonts w:asciiTheme="majorHAnsi" w:hAnsiTheme="majorHAnsi"/>
          <w:sz w:val="20"/>
          <w:szCs w:val="20"/>
        </w:rPr>
        <w:footnoteReference w:id="80"/>
      </w:r>
      <w:r w:rsidR="00CE4F64" w:rsidRPr="009E773A">
        <w:rPr>
          <w:rFonts w:asciiTheme="majorHAnsi" w:hAnsiTheme="majorHAnsi"/>
          <w:sz w:val="20"/>
          <w:szCs w:val="20"/>
        </w:rPr>
        <w:t xml:space="preserve">.     </w:t>
      </w:r>
    </w:p>
    <w:p w14:paraId="6A18F20E" w14:textId="77777777" w:rsidR="002B0B4D" w:rsidRPr="009E773A" w:rsidRDefault="002B0B4D" w:rsidP="009A79B6">
      <w:pPr>
        <w:pStyle w:val="ListParagraph"/>
        <w:ind w:left="0"/>
        <w:jc w:val="both"/>
        <w:rPr>
          <w:rFonts w:asciiTheme="majorHAnsi" w:hAnsiTheme="majorHAnsi"/>
          <w:sz w:val="20"/>
          <w:szCs w:val="20"/>
          <w:lang w:val="es-CO"/>
        </w:rPr>
      </w:pPr>
    </w:p>
    <w:p w14:paraId="5A0AE76A" w14:textId="41CBB4BB" w:rsidR="00254607" w:rsidRPr="009E773A" w:rsidRDefault="00D144AE" w:rsidP="009A79B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9360"/>
        </w:tabs>
        <w:jc w:val="both"/>
        <w:rPr>
          <w:rFonts w:asciiTheme="majorHAnsi" w:hAnsiTheme="majorHAnsi"/>
          <w:sz w:val="20"/>
          <w:szCs w:val="20"/>
        </w:rPr>
      </w:pPr>
      <w:r w:rsidRPr="009E773A">
        <w:rPr>
          <w:rFonts w:asciiTheme="majorHAnsi" w:hAnsiTheme="majorHAnsi"/>
          <w:sz w:val="20"/>
          <w:szCs w:val="20"/>
        </w:rPr>
        <w:t xml:space="preserve">El 9 de febrero de 2005 la Subdelegación de Punto Fijo </w:t>
      </w:r>
      <w:r w:rsidR="002B0B4D" w:rsidRPr="009E773A">
        <w:rPr>
          <w:rFonts w:asciiTheme="majorHAnsi" w:hAnsiTheme="majorHAnsi"/>
          <w:sz w:val="20"/>
          <w:szCs w:val="20"/>
        </w:rPr>
        <w:t>envió una comunicación al Jefe de la Delegación del Estado de Zulia, a fin de solicitar el envío de la experticia de comparación balística practica</w:t>
      </w:r>
      <w:r w:rsidR="00CC4477" w:rsidRPr="009E773A">
        <w:rPr>
          <w:rFonts w:asciiTheme="majorHAnsi" w:hAnsiTheme="majorHAnsi"/>
          <w:sz w:val="20"/>
          <w:szCs w:val="20"/>
        </w:rPr>
        <w:t>da</w:t>
      </w:r>
      <w:r w:rsidR="002B0B4D" w:rsidRPr="009E773A">
        <w:rPr>
          <w:rStyle w:val="FootnoteReference"/>
          <w:rFonts w:asciiTheme="majorHAnsi" w:hAnsiTheme="majorHAnsi"/>
          <w:sz w:val="20"/>
          <w:szCs w:val="20"/>
        </w:rPr>
        <w:footnoteReference w:id="81"/>
      </w:r>
      <w:r w:rsidR="002B0B4D" w:rsidRPr="009E773A">
        <w:rPr>
          <w:rFonts w:asciiTheme="majorHAnsi" w:hAnsiTheme="majorHAnsi"/>
          <w:sz w:val="20"/>
          <w:szCs w:val="20"/>
        </w:rPr>
        <w:t xml:space="preserve">. </w:t>
      </w:r>
      <w:r w:rsidR="00254607" w:rsidRPr="009E773A">
        <w:rPr>
          <w:rFonts w:asciiTheme="majorHAnsi" w:hAnsiTheme="majorHAnsi"/>
          <w:sz w:val="20"/>
          <w:szCs w:val="20"/>
        </w:rPr>
        <w:t xml:space="preserve">El 1 de mayo de 2006 </w:t>
      </w:r>
      <w:r w:rsidR="006519A4" w:rsidRPr="009E773A">
        <w:rPr>
          <w:rFonts w:asciiTheme="majorHAnsi" w:hAnsiTheme="majorHAnsi"/>
          <w:sz w:val="20"/>
          <w:szCs w:val="20"/>
        </w:rPr>
        <w:t>l</w:t>
      </w:r>
      <w:r w:rsidR="00254607" w:rsidRPr="009E773A">
        <w:rPr>
          <w:rFonts w:asciiTheme="majorHAnsi" w:hAnsiTheme="majorHAnsi"/>
          <w:sz w:val="20"/>
          <w:szCs w:val="20"/>
        </w:rPr>
        <w:t>a División de Análisis y Reconstrucción de Hechos Área de Tra</w:t>
      </w:r>
      <w:r w:rsidR="006519A4" w:rsidRPr="009E773A">
        <w:rPr>
          <w:rFonts w:asciiTheme="majorHAnsi" w:hAnsiTheme="majorHAnsi"/>
          <w:sz w:val="20"/>
          <w:szCs w:val="20"/>
        </w:rPr>
        <w:t>yectoria Balística</w:t>
      </w:r>
      <w:r w:rsidR="00254607" w:rsidRPr="009E773A">
        <w:rPr>
          <w:rFonts w:asciiTheme="majorHAnsi" w:hAnsiTheme="majorHAnsi"/>
          <w:sz w:val="20"/>
          <w:szCs w:val="20"/>
        </w:rPr>
        <w:t xml:space="preserve"> practicó </w:t>
      </w:r>
      <w:r w:rsidR="00115531" w:rsidRPr="009E773A">
        <w:rPr>
          <w:rFonts w:asciiTheme="majorHAnsi" w:hAnsiTheme="majorHAnsi"/>
          <w:sz w:val="20"/>
          <w:szCs w:val="20"/>
        </w:rPr>
        <w:t>un peritaje</w:t>
      </w:r>
      <w:r w:rsidR="00322CE9" w:rsidRPr="009E773A">
        <w:rPr>
          <w:rFonts w:asciiTheme="majorHAnsi" w:hAnsiTheme="majorHAnsi"/>
          <w:sz w:val="20"/>
          <w:szCs w:val="20"/>
        </w:rPr>
        <w:t>, concluyendo similarmente en ambos casos, en que “el tirador</w:t>
      </w:r>
      <w:r w:rsidR="00115531" w:rsidRPr="009E773A">
        <w:rPr>
          <w:rFonts w:asciiTheme="majorHAnsi" w:hAnsiTheme="majorHAnsi"/>
          <w:sz w:val="20"/>
          <w:szCs w:val="20"/>
        </w:rPr>
        <w:t xml:space="preserve"> se encuentra hacia el frente de la víctima, efectuando disparo con la boca del cañón del arma de fuego en forma descendente, dirigido a la región anatómica comprometida”</w:t>
      </w:r>
      <w:r w:rsidR="00115531" w:rsidRPr="009E773A">
        <w:rPr>
          <w:rStyle w:val="FootnoteReference"/>
          <w:rFonts w:asciiTheme="majorHAnsi" w:hAnsiTheme="majorHAnsi"/>
          <w:sz w:val="20"/>
          <w:szCs w:val="20"/>
        </w:rPr>
        <w:footnoteReference w:id="82"/>
      </w:r>
      <w:r w:rsidR="00115531" w:rsidRPr="009E773A">
        <w:rPr>
          <w:rFonts w:asciiTheme="majorHAnsi" w:hAnsiTheme="majorHAnsi"/>
          <w:sz w:val="20"/>
          <w:szCs w:val="20"/>
        </w:rPr>
        <w:t>.</w:t>
      </w:r>
    </w:p>
    <w:p w14:paraId="6F5CAFA9" w14:textId="77777777" w:rsidR="00254607" w:rsidRPr="009E773A" w:rsidRDefault="00254607" w:rsidP="009A79B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634"/>
        <w:jc w:val="both"/>
        <w:rPr>
          <w:rFonts w:asciiTheme="majorHAnsi" w:hAnsiTheme="majorHAnsi"/>
          <w:sz w:val="20"/>
          <w:szCs w:val="20"/>
        </w:rPr>
      </w:pPr>
    </w:p>
    <w:p w14:paraId="51CBE4A6" w14:textId="77777777" w:rsidR="00576B27" w:rsidRPr="009E773A" w:rsidRDefault="00576B27" w:rsidP="009A79B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9360"/>
        </w:tabs>
        <w:jc w:val="both"/>
        <w:rPr>
          <w:rFonts w:asciiTheme="majorHAnsi" w:hAnsiTheme="majorHAnsi"/>
          <w:sz w:val="20"/>
          <w:szCs w:val="20"/>
        </w:rPr>
      </w:pPr>
      <w:r w:rsidRPr="009E773A">
        <w:rPr>
          <w:rFonts w:asciiTheme="majorHAnsi" w:hAnsiTheme="majorHAnsi"/>
          <w:sz w:val="20"/>
          <w:szCs w:val="20"/>
        </w:rPr>
        <w:t>El 31 de mayo de 2006 la División de Balística de la Dirección de Criminalística Identificativa</w:t>
      </w:r>
      <w:r w:rsidR="00971AFC" w:rsidRPr="009E773A">
        <w:rPr>
          <w:rFonts w:asciiTheme="majorHAnsi" w:hAnsiTheme="majorHAnsi"/>
          <w:sz w:val="20"/>
          <w:szCs w:val="20"/>
        </w:rPr>
        <w:t xml:space="preserve"> </w:t>
      </w:r>
      <w:r w:rsidRPr="009E773A">
        <w:rPr>
          <w:rFonts w:asciiTheme="majorHAnsi" w:hAnsiTheme="majorHAnsi"/>
          <w:sz w:val="20"/>
          <w:szCs w:val="20"/>
        </w:rPr>
        <w:t xml:space="preserve">- Comparativa, envió al Jefe de la subdelegación Punto Fijo, un Informe de Comparación Balística </w:t>
      </w:r>
      <w:r w:rsidR="00D144AE" w:rsidRPr="009E773A">
        <w:rPr>
          <w:rFonts w:asciiTheme="majorHAnsi" w:hAnsiTheme="majorHAnsi"/>
          <w:sz w:val="20"/>
          <w:szCs w:val="20"/>
        </w:rPr>
        <w:t xml:space="preserve">en el que </w:t>
      </w:r>
      <w:r w:rsidRPr="009E773A">
        <w:rPr>
          <w:rFonts w:asciiTheme="majorHAnsi" w:hAnsiTheme="majorHAnsi"/>
          <w:sz w:val="20"/>
          <w:szCs w:val="20"/>
        </w:rPr>
        <w:t>concluye</w:t>
      </w:r>
      <w:r w:rsidR="00B60D76" w:rsidRPr="009E773A">
        <w:rPr>
          <w:rFonts w:asciiTheme="majorHAnsi" w:hAnsiTheme="majorHAnsi"/>
          <w:sz w:val="20"/>
          <w:szCs w:val="20"/>
        </w:rPr>
        <w:t xml:space="preserve"> que dos de los </w:t>
      </w:r>
      <w:r w:rsidR="00B60D76" w:rsidRPr="009E773A">
        <w:rPr>
          <w:rFonts w:asciiTheme="majorHAnsi" w:hAnsiTheme="majorHAnsi"/>
          <w:sz w:val="20"/>
          <w:szCs w:val="20"/>
        </w:rPr>
        <w:lastRenderedPageBreak/>
        <w:t>elementos analizados</w:t>
      </w:r>
      <w:r w:rsidR="00D63EDB" w:rsidRPr="009E773A">
        <w:rPr>
          <w:rFonts w:asciiTheme="majorHAnsi" w:hAnsiTheme="majorHAnsi"/>
          <w:sz w:val="20"/>
          <w:szCs w:val="20"/>
        </w:rPr>
        <w:t xml:space="preserve"> calibre .40 </w:t>
      </w:r>
      <w:r w:rsidR="00B60D76" w:rsidRPr="009E773A">
        <w:rPr>
          <w:rFonts w:asciiTheme="majorHAnsi" w:hAnsiTheme="majorHAnsi"/>
          <w:sz w:val="20"/>
          <w:szCs w:val="20"/>
        </w:rPr>
        <w:t xml:space="preserve"> (proyectil completo y fragmento) fueron disparados por una misma arma de fuego y que </w:t>
      </w:r>
      <w:r w:rsidR="00D63EDB" w:rsidRPr="009E773A">
        <w:rPr>
          <w:rFonts w:asciiTheme="majorHAnsi" w:hAnsiTheme="majorHAnsi"/>
          <w:sz w:val="20"/>
          <w:szCs w:val="20"/>
        </w:rPr>
        <w:t xml:space="preserve">el </w:t>
      </w:r>
      <w:r w:rsidR="00B60D76" w:rsidRPr="009E773A">
        <w:rPr>
          <w:rFonts w:asciiTheme="majorHAnsi" w:hAnsiTheme="majorHAnsi"/>
          <w:sz w:val="20"/>
          <w:szCs w:val="20"/>
        </w:rPr>
        <w:t>proyectil de calibre 9 mil</w:t>
      </w:r>
      <w:r w:rsidR="00D63EDB" w:rsidRPr="009E773A">
        <w:rPr>
          <w:rFonts w:asciiTheme="majorHAnsi" w:hAnsiTheme="majorHAnsi"/>
          <w:sz w:val="20"/>
          <w:szCs w:val="20"/>
        </w:rPr>
        <w:t>ímetros fue disparada por otra arma</w:t>
      </w:r>
      <w:r w:rsidRPr="009E773A">
        <w:rPr>
          <w:rStyle w:val="FootnoteReference"/>
          <w:rFonts w:asciiTheme="majorHAnsi" w:hAnsiTheme="majorHAnsi"/>
          <w:sz w:val="20"/>
          <w:szCs w:val="20"/>
        </w:rPr>
        <w:footnoteReference w:id="83"/>
      </w:r>
      <w:r w:rsidRPr="009E773A">
        <w:rPr>
          <w:rFonts w:asciiTheme="majorHAnsi" w:hAnsiTheme="majorHAnsi"/>
          <w:sz w:val="20"/>
          <w:szCs w:val="20"/>
        </w:rPr>
        <w:t>.</w:t>
      </w:r>
    </w:p>
    <w:p w14:paraId="160F90B2" w14:textId="77777777" w:rsidR="00576B27" w:rsidRPr="009E773A" w:rsidRDefault="00576B27" w:rsidP="009A79B6">
      <w:pPr>
        <w:pStyle w:val="ListParagraph"/>
        <w:ind w:left="0"/>
        <w:jc w:val="both"/>
        <w:rPr>
          <w:rFonts w:asciiTheme="majorHAnsi" w:hAnsiTheme="majorHAnsi"/>
          <w:sz w:val="20"/>
          <w:szCs w:val="20"/>
          <w:lang w:val="es-CO"/>
        </w:rPr>
      </w:pPr>
    </w:p>
    <w:p w14:paraId="6E2EAEB7" w14:textId="27E0EDE1" w:rsidR="00576B27" w:rsidRPr="009E773A" w:rsidRDefault="00E4496E" w:rsidP="009A79B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9360"/>
        </w:tabs>
        <w:jc w:val="both"/>
        <w:rPr>
          <w:rFonts w:asciiTheme="majorHAnsi" w:hAnsiTheme="majorHAnsi"/>
          <w:sz w:val="20"/>
          <w:szCs w:val="20"/>
        </w:rPr>
      </w:pPr>
      <w:r w:rsidRPr="009E773A">
        <w:rPr>
          <w:rFonts w:asciiTheme="majorHAnsi" w:hAnsiTheme="majorHAnsi"/>
          <w:color w:val="000000" w:themeColor="text1"/>
          <w:sz w:val="20"/>
          <w:szCs w:val="20"/>
        </w:rPr>
        <w:t xml:space="preserve">El 18 de julio de 2007 el </w:t>
      </w:r>
      <w:r w:rsidR="009358AA" w:rsidRPr="009E773A">
        <w:rPr>
          <w:rFonts w:asciiTheme="majorHAnsi" w:hAnsiTheme="majorHAnsi"/>
          <w:color w:val="000000" w:themeColor="text1"/>
          <w:sz w:val="20"/>
          <w:szCs w:val="20"/>
        </w:rPr>
        <w:t>Fiscal General</w:t>
      </w:r>
      <w:r w:rsidRPr="009E773A">
        <w:rPr>
          <w:rFonts w:asciiTheme="majorHAnsi" w:hAnsiTheme="majorHAnsi"/>
          <w:sz w:val="20"/>
          <w:szCs w:val="20"/>
        </w:rPr>
        <w:t xml:space="preserve"> reasign</w:t>
      </w:r>
      <w:r w:rsidR="00115531" w:rsidRPr="009E773A">
        <w:rPr>
          <w:rFonts w:asciiTheme="majorHAnsi" w:hAnsiTheme="majorHAnsi"/>
          <w:sz w:val="20"/>
          <w:szCs w:val="20"/>
        </w:rPr>
        <w:t>ó</w:t>
      </w:r>
      <w:r w:rsidRPr="009E773A">
        <w:rPr>
          <w:rFonts w:asciiTheme="majorHAnsi" w:hAnsiTheme="majorHAnsi"/>
          <w:sz w:val="20"/>
          <w:szCs w:val="20"/>
        </w:rPr>
        <w:t xml:space="preserve"> la causa penal a la Fiscalía Décima Séptima</w:t>
      </w:r>
      <w:r w:rsidR="00726AFE" w:rsidRPr="009E773A">
        <w:rPr>
          <w:rFonts w:asciiTheme="majorHAnsi" w:hAnsiTheme="majorHAnsi"/>
          <w:sz w:val="20"/>
          <w:szCs w:val="20"/>
        </w:rPr>
        <w:t xml:space="preserve"> del Ministerio Público del </w:t>
      </w:r>
      <w:r w:rsidR="00DF42B7" w:rsidRPr="009E773A">
        <w:rPr>
          <w:rFonts w:asciiTheme="majorHAnsi" w:hAnsiTheme="majorHAnsi"/>
          <w:sz w:val="20"/>
          <w:szCs w:val="20"/>
        </w:rPr>
        <w:t>E</w:t>
      </w:r>
      <w:r w:rsidR="007F77A1" w:rsidRPr="009E773A">
        <w:rPr>
          <w:rFonts w:asciiTheme="majorHAnsi" w:hAnsiTheme="majorHAnsi"/>
          <w:sz w:val="20"/>
          <w:szCs w:val="20"/>
        </w:rPr>
        <w:t>stado de Falcón</w:t>
      </w:r>
      <w:r w:rsidR="009358AA" w:rsidRPr="009E773A">
        <w:rPr>
          <w:rFonts w:asciiTheme="majorHAnsi" w:hAnsiTheme="majorHAnsi"/>
          <w:sz w:val="20"/>
          <w:szCs w:val="20"/>
        </w:rPr>
        <w:t xml:space="preserve"> (en adelante “Fiscalía </w:t>
      </w:r>
      <w:r w:rsidR="007F77A1" w:rsidRPr="009E773A">
        <w:rPr>
          <w:rFonts w:asciiTheme="majorHAnsi" w:hAnsiTheme="majorHAnsi"/>
          <w:sz w:val="20"/>
          <w:szCs w:val="20"/>
        </w:rPr>
        <w:t>Décima Séptima”</w:t>
      </w:r>
      <w:r w:rsidR="009358AA" w:rsidRPr="009E773A">
        <w:rPr>
          <w:rFonts w:asciiTheme="majorHAnsi" w:hAnsiTheme="majorHAnsi"/>
          <w:sz w:val="20"/>
          <w:szCs w:val="20"/>
        </w:rPr>
        <w:t>)</w:t>
      </w:r>
      <w:r w:rsidRPr="009E773A">
        <w:rPr>
          <w:rFonts w:asciiTheme="majorHAnsi" w:hAnsiTheme="majorHAnsi"/>
          <w:sz w:val="20"/>
          <w:szCs w:val="20"/>
        </w:rPr>
        <w:t xml:space="preserve">. Asimismo, envió al Juez Primero del Circuito Judicial Penal del Estado Falcón una copia del expediente abierto por la causa penal, para que el mismo </w:t>
      </w:r>
      <w:r w:rsidR="008A6868" w:rsidRPr="009E773A">
        <w:rPr>
          <w:rFonts w:asciiTheme="majorHAnsi" w:hAnsiTheme="majorHAnsi"/>
          <w:sz w:val="20"/>
          <w:szCs w:val="20"/>
        </w:rPr>
        <w:t>fuera</w:t>
      </w:r>
      <w:r w:rsidRPr="009E773A">
        <w:rPr>
          <w:rFonts w:asciiTheme="majorHAnsi" w:hAnsiTheme="majorHAnsi"/>
          <w:sz w:val="20"/>
          <w:szCs w:val="20"/>
        </w:rPr>
        <w:t xml:space="preserve"> remitido al Fiscal Décimo Séptimo del Ministerio Público, “quien conocerá separada o conjuntamente por este Despacho para realizar el acto conclusivo respectivo</w:t>
      </w:r>
      <w:r w:rsidR="009358AA" w:rsidRPr="009E773A">
        <w:rPr>
          <w:rFonts w:asciiTheme="majorHAnsi" w:hAnsiTheme="majorHAnsi"/>
          <w:sz w:val="20"/>
          <w:szCs w:val="20"/>
        </w:rPr>
        <w:t>”</w:t>
      </w:r>
      <w:r w:rsidRPr="009E773A">
        <w:rPr>
          <w:rStyle w:val="FootnoteReference"/>
          <w:rFonts w:asciiTheme="majorHAnsi" w:hAnsiTheme="majorHAnsi"/>
          <w:sz w:val="20"/>
          <w:szCs w:val="20"/>
        </w:rPr>
        <w:footnoteReference w:id="84"/>
      </w:r>
      <w:r w:rsidRPr="009E773A">
        <w:rPr>
          <w:rFonts w:asciiTheme="majorHAnsi" w:hAnsiTheme="majorHAnsi"/>
          <w:sz w:val="20"/>
          <w:szCs w:val="20"/>
        </w:rPr>
        <w:t>.</w:t>
      </w:r>
      <w:r w:rsidR="007F77A1" w:rsidRPr="009E773A">
        <w:rPr>
          <w:rFonts w:asciiTheme="majorHAnsi" w:hAnsiTheme="majorHAnsi"/>
          <w:sz w:val="20"/>
          <w:szCs w:val="20"/>
        </w:rPr>
        <w:t xml:space="preserve"> En virtud de lo anterior, el</w:t>
      </w:r>
      <w:r w:rsidR="00576B27" w:rsidRPr="009E773A">
        <w:rPr>
          <w:rFonts w:asciiTheme="majorHAnsi" w:hAnsiTheme="majorHAnsi"/>
          <w:sz w:val="20"/>
          <w:szCs w:val="20"/>
        </w:rPr>
        <w:t xml:space="preserve"> 16 de </w:t>
      </w:r>
      <w:r w:rsidR="007F77A1" w:rsidRPr="009E773A">
        <w:rPr>
          <w:rFonts w:asciiTheme="majorHAnsi" w:hAnsiTheme="majorHAnsi"/>
          <w:sz w:val="20"/>
          <w:szCs w:val="20"/>
        </w:rPr>
        <w:t>d</w:t>
      </w:r>
      <w:r w:rsidR="00576B27" w:rsidRPr="009E773A">
        <w:rPr>
          <w:rFonts w:asciiTheme="majorHAnsi" w:hAnsiTheme="majorHAnsi"/>
          <w:sz w:val="20"/>
          <w:szCs w:val="20"/>
        </w:rPr>
        <w:t xml:space="preserve">iciembre de 2008 la Fiscalía Décima Séptima solicitó al </w:t>
      </w:r>
      <w:r w:rsidR="007F77A1" w:rsidRPr="009E773A">
        <w:rPr>
          <w:rFonts w:asciiTheme="majorHAnsi" w:hAnsiTheme="majorHAnsi"/>
          <w:sz w:val="20"/>
          <w:szCs w:val="20"/>
        </w:rPr>
        <w:t>CICPC</w:t>
      </w:r>
      <w:r w:rsidR="00576B27" w:rsidRPr="009E773A">
        <w:rPr>
          <w:rFonts w:asciiTheme="majorHAnsi" w:hAnsiTheme="majorHAnsi"/>
          <w:sz w:val="20"/>
          <w:szCs w:val="20"/>
        </w:rPr>
        <w:t xml:space="preserve"> y a la Delegación Punto Fijo, la remisión de todas las actuaciones practicadas en la causa</w:t>
      </w:r>
      <w:r w:rsidR="00576B27" w:rsidRPr="009E773A">
        <w:rPr>
          <w:rStyle w:val="FootnoteReference"/>
          <w:rFonts w:asciiTheme="majorHAnsi" w:hAnsiTheme="majorHAnsi"/>
          <w:sz w:val="20"/>
          <w:szCs w:val="20"/>
        </w:rPr>
        <w:footnoteReference w:id="85"/>
      </w:r>
      <w:r w:rsidR="00576B27" w:rsidRPr="009E773A">
        <w:rPr>
          <w:rFonts w:asciiTheme="majorHAnsi" w:hAnsiTheme="majorHAnsi"/>
          <w:sz w:val="20"/>
          <w:szCs w:val="20"/>
        </w:rPr>
        <w:t>.</w:t>
      </w:r>
    </w:p>
    <w:p w14:paraId="0FF18936" w14:textId="77777777" w:rsidR="00EB0F7F" w:rsidRPr="009E773A" w:rsidRDefault="00EB0F7F" w:rsidP="009A79B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9360"/>
        </w:tabs>
        <w:jc w:val="both"/>
        <w:rPr>
          <w:rFonts w:asciiTheme="majorHAnsi" w:hAnsiTheme="majorHAnsi"/>
          <w:sz w:val="20"/>
          <w:szCs w:val="20"/>
        </w:rPr>
      </w:pPr>
    </w:p>
    <w:p w14:paraId="4029914B" w14:textId="77777777" w:rsidR="00576B27" w:rsidRPr="009E773A" w:rsidRDefault="00C77482" w:rsidP="009A79B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9360"/>
        </w:tabs>
        <w:jc w:val="both"/>
        <w:rPr>
          <w:rFonts w:asciiTheme="majorHAnsi" w:hAnsiTheme="majorHAnsi"/>
          <w:sz w:val="20"/>
          <w:szCs w:val="20"/>
        </w:rPr>
      </w:pPr>
      <w:r w:rsidRPr="009E773A">
        <w:rPr>
          <w:rFonts w:asciiTheme="majorHAnsi" w:hAnsiTheme="majorHAnsi"/>
          <w:sz w:val="20"/>
          <w:szCs w:val="20"/>
        </w:rPr>
        <w:t xml:space="preserve">El 23 de marzo de 2009 la Fiscalía Décima Séptima informó a la Dirección de Protección de Derechos Fundamentales que en la causa penal se encuentran involucrados presuntamente funcionarios adscritos </w:t>
      </w:r>
      <w:r w:rsidR="00FE49E2" w:rsidRPr="009E773A">
        <w:rPr>
          <w:rFonts w:asciiTheme="majorHAnsi" w:hAnsiTheme="majorHAnsi"/>
          <w:sz w:val="20"/>
          <w:szCs w:val="20"/>
        </w:rPr>
        <w:t>a la Policía del</w:t>
      </w:r>
      <w:r w:rsidRPr="009E773A">
        <w:rPr>
          <w:rFonts w:asciiTheme="majorHAnsi" w:hAnsiTheme="majorHAnsi"/>
          <w:sz w:val="20"/>
          <w:szCs w:val="20"/>
        </w:rPr>
        <w:t xml:space="preserve"> Estado Falcón</w:t>
      </w:r>
      <w:r w:rsidRPr="009E773A">
        <w:rPr>
          <w:rStyle w:val="FootnoteReference"/>
          <w:rFonts w:asciiTheme="majorHAnsi" w:hAnsiTheme="majorHAnsi"/>
          <w:sz w:val="20"/>
          <w:szCs w:val="20"/>
        </w:rPr>
        <w:footnoteReference w:id="86"/>
      </w:r>
      <w:r w:rsidR="007F77A1" w:rsidRPr="009E773A">
        <w:rPr>
          <w:rFonts w:asciiTheme="majorHAnsi" w:hAnsiTheme="majorHAnsi"/>
          <w:sz w:val="20"/>
          <w:szCs w:val="20"/>
        </w:rPr>
        <w:t xml:space="preserve">. </w:t>
      </w:r>
      <w:r w:rsidR="00576B27" w:rsidRPr="009E773A">
        <w:rPr>
          <w:rFonts w:asciiTheme="majorHAnsi" w:hAnsiTheme="majorHAnsi"/>
          <w:sz w:val="20"/>
          <w:szCs w:val="20"/>
        </w:rPr>
        <w:t>El 14 de septiembre de 2011 la Fiscalía Décima</w:t>
      </w:r>
      <w:r w:rsidR="003B4F8E" w:rsidRPr="009E773A">
        <w:rPr>
          <w:rFonts w:asciiTheme="majorHAnsi" w:hAnsiTheme="majorHAnsi"/>
          <w:sz w:val="20"/>
          <w:szCs w:val="20"/>
        </w:rPr>
        <w:t xml:space="preserve"> Séptima</w:t>
      </w:r>
      <w:r w:rsidR="00576B27" w:rsidRPr="009E773A">
        <w:rPr>
          <w:rFonts w:asciiTheme="majorHAnsi" w:hAnsiTheme="majorHAnsi"/>
          <w:sz w:val="20"/>
          <w:szCs w:val="20"/>
        </w:rPr>
        <w:t xml:space="preserve"> profi</w:t>
      </w:r>
      <w:r w:rsidR="007F77A1" w:rsidRPr="009E773A">
        <w:rPr>
          <w:rFonts w:asciiTheme="majorHAnsi" w:hAnsiTheme="majorHAnsi"/>
          <w:sz w:val="20"/>
          <w:szCs w:val="20"/>
        </w:rPr>
        <w:t xml:space="preserve">rió </w:t>
      </w:r>
      <w:r w:rsidR="00576B27" w:rsidRPr="009E773A">
        <w:rPr>
          <w:rFonts w:asciiTheme="majorHAnsi" w:hAnsiTheme="majorHAnsi"/>
          <w:sz w:val="20"/>
          <w:szCs w:val="20"/>
        </w:rPr>
        <w:t xml:space="preserve">una comunicación con carácter urgente a la Dirección de Protección de Derechos Fundamentales donde informa que no se ha dado apertura a ninguna averiguación disciplinaria, pues no se ha podido individualizar o demostrar la participación de algún </w:t>
      </w:r>
      <w:r w:rsidR="003B4F8E" w:rsidRPr="009E773A">
        <w:rPr>
          <w:rFonts w:asciiTheme="majorHAnsi" w:hAnsiTheme="majorHAnsi"/>
          <w:sz w:val="20"/>
          <w:szCs w:val="20"/>
        </w:rPr>
        <w:t>funcionario</w:t>
      </w:r>
      <w:r w:rsidR="00576B27" w:rsidRPr="009E773A">
        <w:rPr>
          <w:rStyle w:val="FootnoteReference"/>
          <w:rFonts w:asciiTheme="majorHAnsi" w:hAnsiTheme="majorHAnsi"/>
          <w:sz w:val="20"/>
          <w:szCs w:val="20"/>
        </w:rPr>
        <w:footnoteReference w:id="87"/>
      </w:r>
      <w:r w:rsidR="00576B27" w:rsidRPr="009E773A">
        <w:rPr>
          <w:rFonts w:asciiTheme="majorHAnsi" w:hAnsiTheme="majorHAnsi"/>
          <w:sz w:val="20"/>
          <w:szCs w:val="20"/>
        </w:rPr>
        <w:t xml:space="preserve">.  </w:t>
      </w:r>
    </w:p>
    <w:p w14:paraId="15B7B853" w14:textId="77777777" w:rsidR="006519A4" w:rsidRPr="009E773A" w:rsidRDefault="006519A4" w:rsidP="009A79B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9360"/>
        </w:tabs>
        <w:ind w:left="630"/>
        <w:jc w:val="both"/>
        <w:rPr>
          <w:rFonts w:asciiTheme="majorHAnsi" w:hAnsiTheme="majorHAnsi"/>
          <w:sz w:val="20"/>
          <w:szCs w:val="20"/>
        </w:rPr>
      </w:pPr>
    </w:p>
    <w:p w14:paraId="442705F8" w14:textId="77777777" w:rsidR="00576B27" w:rsidRPr="009E773A" w:rsidRDefault="00576B27" w:rsidP="009A79B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9360"/>
        </w:tabs>
        <w:jc w:val="both"/>
        <w:rPr>
          <w:rFonts w:asciiTheme="majorHAnsi" w:hAnsiTheme="majorHAnsi"/>
          <w:sz w:val="20"/>
          <w:szCs w:val="20"/>
        </w:rPr>
      </w:pPr>
      <w:r w:rsidRPr="009E773A">
        <w:rPr>
          <w:rFonts w:asciiTheme="majorHAnsi" w:hAnsiTheme="majorHAnsi"/>
          <w:sz w:val="20"/>
          <w:szCs w:val="20"/>
        </w:rPr>
        <w:t>El 21 de abril de 2015 la Fiscalía Cuadragésima Novena con competencia plena a nivel nacional solicitó a la Fiscalía Décima Séptima una minuta informativa con las últimas actuaciones re</w:t>
      </w:r>
      <w:r w:rsidR="00B97551" w:rsidRPr="009E773A">
        <w:rPr>
          <w:rFonts w:asciiTheme="majorHAnsi" w:hAnsiTheme="majorHAnsi"/>
          <w:sz w:val="20"/>
          <w:szCs w:val="20"/>
        </w:rPr>
        <w:t>alizadas en el marco de la investigación</w:t>
      </w:r>
      <w:r w:rsidRPr="009E773A">
        <w:rPr>
          <w:rStyle w:val="FootnoteReference"/>
          <w:rFonts w:asciiTheme="majorHAnsi" w:hAnsiTheme="majorHAnsi"/>
          <w:sz w:val="20"/>
          <w:szCs w:val="20"/>
        </w:rPr>
        <w:footnoteReference w:id="88"/>
      </w:r>
      <w:r w:rsidRPr="009E773A">
        <w:rPr>
          <w:rFonts w:asciiTheme="majorHAnsi" w:hAnsiTheme="majorHAnsi"/>
          <w:sz w:val="20"/>
          <w:szCs w:val="20"/>
        </w:rPr>
        <w:t>.</w:t>
      </w:r>
      <w:r w:rsidR="001774DF" w:rsidRPr="009E773A">
        <w:rPr>
          <w:rFonts w:asciiTheme="majorHAnsi" w:hAnsiTheme="majorHAnsi"/>
          <w:sz w:val="20"/>
          <w:szCs w:val="20"/>
        </w:rPr>
        <w:t xml:space="preserve"> En f</w:t>
      </w:r>
      <w:r w:rsidRPr="009E773A">
        <w:rPr>
          <w:rFonts w:asciiTheme="majorHAnsi" w:hAnsiTheme="majorHAnsi"/>
          <w:sz w:val="20"/>
          <w:szCs w:val="20"/>
        </w:rPr>
        <w:t>ebrero de 2016 la Fiscalía Déci</w:t>
      </w:r>
      <w:r w:rsidR="001774DF" w:rsidRPr="009E773A">
        <w:rPr>
          <w:rFonts w:asciiTheme="majorHAnsi" w:hAnsiTheme="majorHAnsi"/>
          <w:sz w:val="20"/>
          <w:szCs w:val="20"/>
        </w:rPr>
        <w:t xml:space="preserve">ma Séptima </w:t>
      </w:r>
      <w:r w:rsidRPr="009E773A">
        <w:rPr>
          <w:rFonts w:asciiTheme="majorHAnsi" w:hAnsiTheme="majorHAnsi"/>
          <w:sz w:val="20"/>
          <w:szCs w:val="20"/>
        </w:rPr>
        <w:t>envió una comunicación</w:t>
      </w:r>
      <w:r w:rsidR="001774DF" w:rsidRPr="009E773A">
        <w:rPr>
          <w:rStyle w:val="FootnoteReference"/>
          <w:rFonts w:asciiTheme="majorHAnsi" w:hAnsiTheme="majorHAnsi"/>
          <w:sz w:val="20"/>
          <w:szCs w:val="20"/>
        </w:rPr>
        <w:footnoteReference w:id="89"/>
      </w:r>
      <w:r w:rsidRPr="009E773A">
        <w:rPr>
          <w:rFonts w:asciiTheme="majorHAnsi" w:hAnsiTheme="majorHAnsi"/>
          <w:sz w:val="20"/>
          <w:szCs w:val="20"/>
        </w:rPr>
        <w:t xml:space="preserve"> </w:t>
      </w:r>
      <w:r w:rsidR="001774DF" w:rsidRPr="009E773A">
        <w:rPr>
          <w:rFonts w:asciiTheme="majorHAnsi" w:hAnsiTheme="majorHAnsi"/>
          <w:sz w:val="20"/>
          <w:szCs w:val="20"/>
        </w:rPr>
        <w:t xml:space="preserve">y solicitó reunión </w:t>
      </w:r>
      <w:r w:rsidRPr="009E773A">
        <w:rPr>
          <w:rFonts w:asciiTheme="majorHAnsi" w:hAnsiTheme="majorHAnsi"/>
          <w:sz w:val="20"/>
          <w:szCs w:val="20"/>
        </w:rPr>
        <w:t>a la Coordinadora de la Unidad de Criminalística Contra la Vulneración de Derechos Fundamentales del Ministerio Público del Estado Lara</w:t>
      </w:r>
      <w:r w:rsidR="006E4186" w:rsidRPr="009E773A">
        <w:rPr>
          <w:rFonts w:asciiTheme="majorHAnsi" w:hAnsiTheme="majorHAnsi"/>
          <w:sz w:val="20"/>
          <w:szCs w:val="20"/>
        </w:rPr>
        <w:t xml:space="preserve"> (en adelante “la Unidad de Criminalística”)</w:t>
      </w:r>
      <w:r w:rsidRPr="009E773A">
        <w:rPr>
          <w:rFonts w:asciiTheme="majorHAnsi" w:hAnsiTheme="majorHAnsi"/>
          <w:sz w:val="20"/>
          <w:szCs w:val="20"/>
        </w:rPr>
        <w:t xml:space="preserve">, </w:t>
      </w:r>
      <w:r w:rsidR="006519A4" w:rsidRPr="009E773A">
        <w:rPr>
          <w:rFonts w:asciiTheme="majorHAnsi" w:hAnsiTheme="majorHAnsi"/>
          <w:sz w:val="20"/>
          <w:szCs w:val="20"/>
        </w:rPr>
        <w:t>solicitando</w:t>
      </w:r>
      <w:r w:rsidRPr="009E773A">
        <w:rPr>
          <w:rFonts w:asciiTheme="majorHAnsi" w:hAnsiTheme="majorHAnsi"/>
          <w:sz w:val="20"/>
          <w:szCs w:val="20"/>
        </w:rPr>
        <w:t xml:space="preserve"> </w:t>
      </w:r>
      <w:r w:rsidR="006519A4" w:rsidRPr="009E773A">
        <w:rPr>
          <w:rFonts w:asciiTheme="majorHAnsi" w:hAnsiTheme="majorHAnsi"/>
          <w:sz w:val="20"/>
          <w:szCs w:val="20"/>
        </w:rPr>
        <w:t xml:space="preserve">su </w:t>
      </w:r>
      <w:r w:rsidRPr="009E773A">
        <w:rPr>
          <w:rFonts w:asciiTheme="majorHAnsi" w:hAnsiTheme="majorHAnsi"/>
          <w:sz w:val="20"/>
          <w:szCs w:val="20"/>
        </w:rPr>
        <w:t xml:space="preserve">apoyo para practicar varias pruebas en la causa </w:t>
      </w:r>
      <w:r w:rsidR="000672F7" w:rsidRPr="009E773A">
        <w:rPr>
          <w:rFonts w:asciiTheme="majorHAnsi" w:hAnsiTheme="majorHAnsi"/>
          <w:sz w:val="20"/>
          <w:szCs w:val="20"/>
        </w:rPr>
        <w:t>en cuestión</w:t>
      </w:r>
      <w:r w:rsidRPr="009E773A">
        <w:rPr>
          <w:rFonts w:asciiTheme="majorHAnsi" w:hAnsiTheme="majorHAnsi"/>
          <w:sz w:val="20"/>
          <w:szCs w:val="20"/>
        </w:rPr>
        <w:t>.</w:t>
      </w:r>
    </w:p>
    <w:p w14:paraId="281CCF51" w14:textId="77777777" w:rsidR="002461A8" w:rsidRPr="009E773A" w:rsidRDefault="002461A8" w:rsidP="009A79B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9360"/>
        </w:tabs>
        <w:jc w:val="both"/>
        <w:rPr>
          <w:rFonts w:asciiTheme="majorHAnsi" w:hAnsiTheme="majorHAnsi"/>
          <w:sz w:val="20"/>
          <w:szCs w:val="20"/>
        </w:rPr>
      </w:pPr>
    </w:p>
    <w:p w14:paraId="744A1031" w14:textId="796A4FB0" w:rsidR="00576B27" w:rsidRPr="009E773A" w:rsidRDefault="009C605D" w:rsidP="009A79B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9360"/>
        </w:tabs>
        <w:jc w:val="both"/>
        <w:rPr>
          <w:rFonts w:asciiTheme="majorHAnsi" w:hAnsiTheme="majorHAnsi"/>
          <w:sz w:val="20"/>
          <w:szCs w:val="20"/>
        </w:rPr>
      </w:pPr>
      <w:r w:rsidRPr="009E773A">
        <w:rPr>
          <w:rFonts w:asciiTheme="majorHAnsi" w:hAnsiTheme="majorHAnsi"/>
          <w:sz w:val="20"/>
          <w:szCs w:val="20"/>
        </w:rPr>
        <w:t>La Comisión observa que en los primeros meses del año 2016 la Fiscalía Décima Séptima env</w:t>
      </w:r>
      <w:r w:rsidR="00641B5E" w:rsidRPr="009E773A">
        <w:rPr>
          <w:rFonts w:asciiTheme="majorHAnsi" w:hAnsiTheme="majorHAnsi"/>
          <w:sz w:val="20"/>
          <w:szCs w:val="20"/>
        </w:rPr>
        <w:t>ió</w:t>
      </w:r>
      <w:r w:rsidRPr="009E773A">
        <w:rPr>
          <w:rFonts w:asciiTheme="majorHAnsi" w:hAnsiTheme="majorHAnsi"/>
          <w:sz w:val="20"/>
          <w:szCs w:val="20"/>
        </w:rPr>
        <w:t xml:space="preserve"> varias comunicaciones a entidades</w:t>
      </w:r>
      <w:r w:rsidR="00576723" w:rsidRPr="009E773A">
        <w:rPr>
          <w:rFonts w:asciiTheme="majorHAnsi" w:hAnsiTheme="majorHAnsi"/>
          <w:sz w:val="20"/>
          <w:szCs w:val="20"/>
        </w:rPr>
        <w:t xml:space="preserve">. </w:t>
      </w:r>
      <w:r w:rsidR="00E66781" w:rsidRPr="009E773A">
        <w:rPr>
          <w:rFonts w:asciiTheme="majorHAnsi" w:hAnsiTheme="majorHAnsi"/>
          <w:sz w:val="20"/>
          <w:szCs w:val="20"/>
        </w:rPr>
        <w:t xml:space="preserve">Así, </w:t>
      </w:r>
      <w:r w:rsidR="00C85803">
        <w:rPr>
          <w:rFonts w:asciiTheme="majorHAnsi" w:hAnsiTheme="majorHAnsi"/>
          <w:sz w:val="20"/>
          <w:szCs w:val="20"/>
        </w:rPr>
        <w:t xml:space="preserve">reiteró </w:t>
      </w:r>
      <w:r w:rsidR="00E66781" w:rsidRPr="009E773A">
        <w:rPr>
          <w:rFonts w:asciiTheme="majorHAnsi" w:hAnsiTheme="majorHAnsi"/>
          <w:sz w:val="20"/>
          <w:szCs w:val="20"/>
        </w:rPr>
        <w:t xml:space="preserve">a la Unidad Criminalística </w:t>
      </w:r>
      <w:r w:rsidR="00C85803">
        <w:rPr>
          <w:rFonts w:asciiTheme="majorHAnsi" w:hAnsiTheme="majorHAnsi"/>
          <w:sz w:val="20"/>
          <w:szCs w:val="20"/>
        </w:rPr>
        <w:t xml:space="preserve">su solicitud de </w:t>
      </w:r>
      <w:r w:rsidR="00E66781" w:rsidRPr="009E773A">
        <w:rPr>
          <w:rFonts w:asciiTheme="majorHAnsi" w:hAnsiTheme="majorHAnsi"/>
          <w:sz w:val="20"/>
          <w:szCs w:val="20"/>
        </w:rPr>
        <w:t>conformación de una comisión para realizar varias diligencias</w:t>
      </w:r>
      <w:r w:rsidR="00E66781" w:rsidRPr="009E773A">
        <w:rPr>
          <w:rStyle w:val="FootnoteReference"/>
          <w:rFonts w:asciiTheme="majorHAnsi" w:hAnsiTheme="majorHAnsi"/>
          <w:sz w:val="20"/>
          <w:szCs w:val="20"/>
        </w:rPr>
        <w:footnoteReference w:id="90"/>
      </w:r>
      <w:r w:rsidR="00E66781" w:rsidRPr="009E773A">
        <w:rPr>
          <w:rFonts w:asciiTheme="majorHAnsi" w:hAnsiTheme="majorHAnsi"/>
          <w:sz w:val="20"/>
          <w:szCs w:val="20"/>
        </w:rPr>
        <w:t xml:space="preserve">; pidió al Director de la Policía del Estado de Falcón </w:t>
      </w:r>
      <w:r w:rsidR="009113E4" w:rsidRPr="009E773A">
        <w:rPr>
          <w:rFonts w:asciiTheme="majorHAnsi" w:hAnsiTheme="majorHAnsi"/>
          <w:sz w:val="20"/>
          <w:szCs w:val="20"/>
        </w:rPr>
        <w:t>el registro de</w:t>
      </w:r>
      <w:r w:rsidR="00E66781" w:rsidRPr="009E773A">
        <w:rPr>
          <w:rFonts w:asciiTheme="majorHAnsi" w:hAnsiTheme="majorHAnsi"/>
          <w:sz w:val="20"/>
          <w:szCs w:val="20"/>
        </w:rPr>
        <w:t xml:space="preserve"> armas asignadas </w:t>
      </w:r>
      <w:r w:rsidR="009113E4" w:rsidRPr="009E773A">
        <w:rPr>
          <w:rFonts w:asciiTheme="majorHAnsi" w:hAnsiTheme="majorHAnsi"/>
          <w:sz w:val="20"/>
          <w:szCs w:val="20"/>
        </w:rPr>
        <w:t>a</w:t>
      </w:r>
      <w:r w:rsidR="00E66781" w:rsidRPr="009E773A">
        <w:rPr>
          <w:rFonts w:asciiTheme="majorHAnsi" w:hAnsiTheme="majorHAnsi"/>
          <w:sz w:val="20"/>
          <w:szCs w:val="20"/>
        </w:rPr>
        <w:t xml:space="preserve"> Miguel Caldera, Felipe Rojas y Sargento Segundo Curia</w:t>
      </w:r>
      <w:r w:rsidR="009113E4" w:rsidRPr="009E773A">
        <w:rPr>
          <w:rFonts w:asciiTheme="majorHAnsi" w:hAnsiTheme="majorHAnsi"/>
          <w:sz w:val="20"/>
          <w:szCs w:val="20"/>
        </w:rPr>
        <w:t xml:space="preserve"> el 2003</w:t>
      </w:r>
      <w:r w:rsidR="00E66781" w:rsidRPr="009E773A">
        <w:rPr>
          <w:rFonts w:asciiTheme="majorHAnsi" w:hAnsiTheme="majorHAnsi"/>
          <w:sz w:val="20"/>
          <w:szCs w:val="20"/>
        </w:rPr>
        <w:t>, el envío de copias certificadas de la designación del Arma o Parques de Armas de los días de los hechos</w:t>
      </w:r>
      <w:r w:rsidR="00E66781" w:rsidRPr="009E773A">
        <w:rPr>
          <w:rStyle w:val="FootnoteReference"/>
          <w:rFonts w:asciiTheme="majorHAnsi" w:hAnsiTheme="majorHAnsi"/>
          <w:sz w:val="20"/>
          <w:szCs w:val="20"/>
        </w:rPr>
        <w:footnoteReference w:id="91"/>
      </w:r>
      <w:r w:rsidR="00E66781" w:rsidRPr="009E773A">
        <w:rPr>
          <w:rFonts w:asciiTheme="majorHAnsi" w:hAnsiTheme="majorHAnsi"/>
          <w:sz w:val="20"/>
          <w:szCs w:val="20"/>
        </w:rPr>
        <w:t xml:space="preserve">; y </w:t>
      </w:r>
      <w:r w:rsidR="00576B27" w:rsidRPr="009E773A">
        <w:rPr>
          <w:rFonts w:asciiTheme="majorHAnsi" w:hAnsiTheme="majorHAnsi"/>
          <w:sz w:val="20"/>
          <w:szCs w:val="20"/>
        </w:rPr>
        <w:t xml:space="preserve"> el listado de las armas</w:t>
      </w:r>
      <w:r w:rsidR="00E66781" w:rsidRPr="009E773A">
        <w:rPr>
          <w:rFonts w:asciiTheme="majorHAnsi" w:hAnsiTheme="majorHAnsi"/>
          <w:sz w:val="20"/>
          <w:szCs w:val="20"/>
        </w:rPr>
        <w:t xml:space="preserve"> de 9</w:t>
      </w:r>
      <w:r w:rsidR="00576B27" w:rsidRPr="009E773A">
        <w:rPr>
          <w:rFonts w:asciiTheme="majorHAnsi" w:hAnsiTheme="majorHAnsi"/>
          <w:sz w:val="20"/>
          <w:szCs w:val="20"/>
        </w:rPr>
        <w:t xml:space="preserve"> mm y .40 con las que contaba ese cuerpo policial y a quienes estaban asignadas</w:t>
      </w:r>
      <w:r w:rsidR="00576B27" w:rsidRPr="009E773A">
        <w:rPr>
          <w:rStyle w:val="FootnoteReference"/>
          <w:rFonts w:asciiTheme="majorHAnsi" w:hAnsiTheme="majorHAnsi"/>
          <w:sz w:val="20"/>
          <w:szCs w:val="20"/>
        </w:rPr>
        <w:footnoteReference w:id="92"/>
      </w:r>
      <w:r w:rsidR="00576B27" w:rsidRPr="009E773A">
        <w:rPr>
          <w:rFonts w:asciiTheme="majorHAnsi" w:hAnsiTheme="majorHAnsi"/>
          <w:sz w:val="20"/>
          <w:szCs w:val="20"/>
        </w:rPr>
        <w:t xml:space="preserve">. </w:t>
      </w:r>
      <w:r w:rsidR="00196BDC" w:rsidRPr="009E773A">
        <w:rPr>
          <w:rFonts w:asciiTheme="majorHAnsi" w:hAnsiTheme="majorHAnsi"/>
          <w:sz w:val="20"/>
          <w:szCs w:val="20"/>
        </w:rPr>
        <w:t>T</w:t>
      </w:r>
      <w:r w:rsidR="00E66781" w:rsidRPr="009E773A">
        <w:rPr>
          <w:rFonts w:asciiTheme="majorHAnsi" w:hAnsiTheme="majorHAnsi"/>
          <w:sz w:val="20"/>
          <w:szCs w:val="20"/>
        </w:rPr>
        <w:t>ambién se comunicó con el J</w:t>
      </w:r>
      <w:r w:rsidR="00576B27" w:rsidRPr="009E773A">
        <w:rPr>
          <w:rFonts w:asciiTheme="majorHAnsi" w:hAnsiTheme="majorHAnsi"/>
          <w:sz w:val="20"/>
          <w:szCs w:val="20"/>
        </w:rPr>
        <w:t xml:space="preserve">efe </w:t>
      </w:r>
      <w:r w:rsidR="00E66781" w:rsidRPr="009E773A">
        <w:rPr>
          <w:rFonts w:asciiTheme="majorHAnsi" w:hAnsiTheme="majorHAnsi"/>
          <w:sz w:val="20"/>
          <w:szCs w:val="20"/>
        </w:rPr>
        <w:t>de la B</w:t>
      </w:r>
      <w:r w:rsidR="00576B27" w:rsidRPr="009E773A">
        <w:rPr>
          <w:rFonts w:asciiTheme="majorHAnsi" w:hAnsiTheme="majorHAnsi"/>
          <w:sz w:val="20"/>
          <w:szCs w:val="20"/>
        </w:rPr>
        <w:t xml:space="preserve">rigada de </w:t>
      </w:r>
      <w:r w:rsidR="00E66781" w:rsidRPr="009E773A">
        <w:rPr>
          <w:rFonts w:asciiTheme="majorHAnsi" w:hAnsiTheme="majorHAnsi"/>
          <w:sz w:val="20"/>
          <w:szCs w:val="20"/>
        </w:rPr>
        <w:t>H</w:t>
      </w:r>
      <w:r w:rsidR="00576B27" w:rsidRPr="009E773A">
        <w:rPr>
          <w:rFonts w:asciiTheme="majorHAnsi" w:hAnsiTheme="majorHAnsi"/>
          <w:sz w:val="20"/>
          <w:szCs w:val="20"/>
        </w:rPr>
        <w:t xml:space="preserve">omicidio del </w:t>
      </w:r>
      <w:r w:rsidR="00E66781" w:rsidRPr="009E773A">
        <w:rPr>
          <w:rFonts w:asciiTheme="majorHAnsi" w:hAnsiTheme="majorHAnsi"/>
          <w:sz w:val="20"/>
          <w:szCs w:val="20"/>
        </w:rPr>
        <w:t>CICPC</w:t>
      </w:r>
      <w:r w:rsidR="00576B27" w:rsidRPr="009E773A">
        <w:rPr>
          <w:rFonts w:asciiTheme="majorHAnsi" w:hAnsiTheme="majorHAnsi"/>
          <w:sz w:val="20"/>
          <w:szCs w:val="20"/>
        </w:rPr>
        <w:t xml:space="preserve"> del Estado Falcón solicitando remitir todas las actuaciones originales practicadas y las copias certificadas del acta de desincorporación, destrucción o remisión de las mismas</w:t>
      </w:r>
      <w:r w:rsidR="00482C05" w:rsidRPr="009E773A">
        <w:rPr>
          <w:rStyle w:val="FootnoteReference"/>
          <w:rFonts w:asciiTheme="majorHAnsi" w:hAnsiTheme="majorHAnsi"/>
          <w:sz w:val="20"/>
          <w:szCs w:val="20"/>
        </w:rPr>
        <w:footnoteReference w:id="93"/>
      </w:r>
      <w:r w:rsidR="00576B27" w:rsidRPr="009E773A">
        <w:rPr>
          <w:rFonts w:asciiTheme="majorHAnsi" w:hAnsiTheme="majorHAnsi"/>
          <w:sz w:val="20"/>
          <w:szCs w:val="20"/>
        </w:rPr>
        <w:t>.</w:t>
      </w:r>
    </w:p>
    <w:p w14:paraId="585C29BA" w14:textId="77777777" w:rsidR="002461A8" w:rsidRPr="009E773A" w:rsidRDefault="002461A8" w:rsidP="009A79B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9360"/>
        </w:tabs>
        <w:ind w:left="630"/>
        <w:jc w:val="both"/>
        <w:rPr>
          <w:rFonts w:asciiTheme="majorHAnsi" w:hAnsiTheme="majorHAnsi"/>
          <w:sz w:val="20"/>
          <w:szCs w:val="20"/>
        </w:rPr>
      </w:pPr>
    </w:p>
    <w:p w14:paraId="62B99D35" w14:textId="77777777" w:rsidR="00576B27" w:rsidRPr="009E773A" w:rsidRDefault="00576723" w:rsidP="009A79B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9360"/>
        </w:tabs>
        <w:jc w:val="both"/>
        <w:rPr>
          <w:rFonts w:asciiTheme="majorHAnsi" w:hAnsiTheme="majorHAnsi"/>
          <w:sz w:val="20"/>
          <w:szCs w:val="20"/>
        </w:rPr>
      </w:pPr>
      <w:r w:rsidRPr="009E773A">
        <w:rPr>
          <w:rFonts w:asciiTheme="majorHAnsi" w:hAnsiTheme="majorHAnsi"/>
          <w:sz w:val="20"/>
          <w:szCs w:val="20"/>
        </w:rPr>
        <w:t xml:space="preserve">El 14 de marzo de 2016 </w:t>
      </w:r>
      <w:r w:rsidR="00E4298A" w:rsidRPr="009E773A">
        <w:rPr>
          <w:rFonts w:asciiTheme="majorHAnsi" w:hAnsiTheme="majorHAnsi"/>
          <w:sz w:val="20"/>
          <w:szCs w:val="20"/>
        </w:rPr>
        <w:t>la</w:t>
      </w:r>
      <w:r w:rsidR="00576B27" w:rsidRPr="009E773A">
        <w:rPr>
          <w:rFonts w:asciiTheme="majorHAnsi" w:hAnsiTheme="majorHAnsi"/>
          <w:sz w:val="20"/>
          <w:szCs w:val="20"/>
        </w:rPr>
        <w:t xml:space="preserve"> Unidad Criminalística de</w:t>
      </w:r>
      <w:r w:rsidR="006E4186" w:rsidRPr="009E773A">
        <w:rPr>
          <w:rFonts w:asciiTheme="majorHAnsi" w:hAnsiTheme="majorHAnsi"/>
          <w:sz w:val="20"/>
          <w:szCs w:val="20"/>
        </w:rPr>
        <w:t xml:space="preserve">scartó la práctica de </w:t>
      </w:r>
      <w:r w:rsidR="003E2420" w:rsidRPr="009E773A">
        <w:rPr>
          <w:rFonts w:asciiTheme="majorHAnsi" w:hAnsiTheme="majorHAnsi"/>
          <w:sz w:val="20"/>
          <w:szCs w:val="20"/>
        </w:rPr>
        <w:t>algunas</w:t>
      </w:r>
      <w:r w:rsidR="006E4186" w:rsidRPr="009E773A">
        <w:rPr>
          <w:rFonts w:asciiTheme="majorHAnsi" w:hAnsiTheme="majorHAnsi"/>
          <w:sz w:val="20"/>
          <w:szCs w:val="20"/>
        </w:rPr>
        <w:t xml:space="preserve"> diligencias, dado que varios de los testigos presenciales </w:t>
      </w:r>
      <w:r w:rsidR="009113E4" w:rsidRPr="009E773A">
        <w:rPr>
          <w:rFonts w:asciiTheme="majorHAnsi" w:hAnsiTheme="majorHAnsi"/>
          <w:sz w:val="20"/>
          <w:szCs w:val="20"/>
        </w:rPr>
        <w:t xml:space="preserve">murieron o no fueron ubicados, y </w:t>
      </w:r>
      <w:r w:rsidR="000672F7" w:rsidRPr="009E773A">
        <w:rPr>
          <w:rFonts w:asciiTheme="majorHAnsi" w:hAnsiTheme="majorHAnsi"/>
          <w:sz w:val="20"/>
          <w:szCs w:val="20"/>
        </w:rPr>
        <w:t>por la imposibilidad de realizar</w:t>
      </w:r>
      <w:r w:rsidR="00576B27" w:rsidRPr="009E773A">
        <w:rPr>
          <w:rFonts w:asciiTheme="majorHAnsi" w:hAnsiTheme="majorHAnsi"/>
          <w:sz w:val="20"/>
          <w:szCs w:val="20"/>
        </w:rPr>
        <w:t xml:space="preserve"> </w:t>
      </w:r>
      <w:r w:rsidR="000672F7" w:rsidRPr="009E773A">
        <w:rPr>
          <w:rFonts w:asciiTheme="majorHAnsi" w:hAnsiTheme="majorHAnsi"/>
          <w:sz w:val="20"/>
          <w:szCs w:val="20"/>
        </w:rPr>
        <w:t xml:space="preserve">el </w:t>
      </w:r>
      <w:r w:rsidR="00576B27" w:rsidRPr="009E773A">
        <w:rPr>
          <w:rFonts w:asciiTheme="majorHAnsi" w:hAnsiTheme="majorHAnsi"/>
          <w:sz w:val="20"/>
          <w:szCs w:val="20"/>
        </w:rPr>
        <w:t>levantamiento planimétrico</w:t>
      </w:r>
      <w:r w:rsidR="000672F7" w:rsidRPr="009E773A">
        <w:rPr>
          <w:rFonts w:asciiTheme="majorHAnsi" w:hAnsiTheme="majorHAnsi"/>
          <w:sz w:val="20"/>
          <w:szCs w:val="20"/>
        </w:rPr>
        <w:t xml:space="preserve"> por la urbanización del lugar</w:t>
      </w:r>
      <w:r w:rsidR="00576B27" w:rsidRPr="009E773A">
        <w:rPr>
          <w:rFonts w:asciiTheme="majorHAnsi" w:hAnsiTheme="majorHAnsi"/>
          <w:sz w:val="20"/>
          <w:szCs w:val="20"/>
        </w:rPr>
        <w:t xml:space="preserve">. Asimismo, encontró que las evidencias balísticas </w:t>
      </w:r>
      <w:r w:rsidR="009113E4" w:rsidRPr="009E773A">
        <w:rPr>
          <w:rFonts w:asciiTheme="majorHAnsi" w:hAnsiTheme="majorHAnsi"/>
          <w:sz w:val="20"/>
          <w:szCs w:val="20"/>
        </w:rPr>
        <w:t>eran</w:t>
      </w:r>
      <w:r w:rsidR="00576B27" w:rsidRPr="009E773A">
        <w:rPr>
          <w:rFonts w:asciiTheme="majorHAnsi" w:hAnsiTheme="majorHAnsi"/>
          <w:sz w:val="20"/>
          <w:szCs w:val="20"/>
        </w:rPr>
        <w:t xml:space="preserve"> imprecisas porque no refleja</w:t>
      </w:r>
      <w:r w:rsidR="009113E4" w:rsidRPr="009E773A">
        <w:rPr>
          <w:rFonts w:asciiTheme="majorHAnsi" w:hAnsiTheme="majorHAnsi"/>
          <w:sz w:val="20"/>
          <w:szCs w:val="20"/>
        </w:rPr>
        <w:t>ba</w:t>
      </w:r>
      <w:r w:rsidR="00576B27" w:rsidRPr="009E773A">
        <w:rPr>
          <w:rFonts w:asciiTheme="majorHAnsi" w:hAnsiTheme="majorHAnsi"/>
          <w:sz w:val="20"/>
          <w:szCs w:val="20"/>
        </w:rPr>
        <w:t>n si fueron peritadas</w:t>
      </w:r>
      <w:r w:rsidR="00576B27" w:rsidRPr="009E773A">
        <w:rPr>
          <w:rStyle w:val="FootnoteReference"/>
          <w:rFonts w:asciiTheme="majorHAnsi" w:hAnsiTheme="majorHAnsi"/>
          <w:sz w:val="20"/>
          <w:szCs w:val="20"/>
        </w:rPr>
        <w:footnoteReference w:id="94"/>
      </w:r>
      <w:r w:rsidR="003E2420" w:rsidRPr="009E773A">
        <w:rPr>
          <w:rFonts w:asciiTheme="majorHAnsi" w:hAnsiTheme="majorHAnsi"/>
          <w:sz w:val="20"/>
          <w:szCs w:val="20"/>
        </w:rPr>
        <w:t xml:space="preserve"> </w:t>
      </w:r>
      <w:r w:rsidR="000672F7" w:rsidRPr="009E773A">
        <w:rPr>
          <w:rFonts w:asciiTheme="majorHAnsi" w:hAnsiTheme="majorHAnsi"/>
          <w:sz w:val="20"/>
          <w:szCs w:val="20"/>
        </w:rPr>
        <w:t xml:space="preserve">y, conoció luego, </w:t>
      </w:r>
      <w:r w:rsidR="003E2420" w:rsidRPr="009E773A">
        <w:rPr>
          <w:rFonts w:asciiTheme="majorHAnsi" w:hAnsiTheme="majorHAnsi"/>
          <w:sz w:val="20"/>
          <w:szCs w:val="20"/>
        </w:rPr>
        <w:t xml:space="preserve">que </w:t>
      </w:r>
      <w:r w:rsidR="006519A4" w:rsidRPr="009E773A">
        <w:rPr>
          <w:rFonts w:asciiTheme="majorHAnsi" w:hAnsiTheme="majorHAnsi"/>
          <w:sz w:val="20"/>
          <w:szCs w:val="20"/>
        </w:rPr>
        <w:t>de hecho las balas y fragmentos de bala</w:t>
      </w:r>
      <w:r w:rsidR="003E2420" w:rsidRPr="009E773A">
        <w:rPr>
          <w:rFonts w:asciiTheme="majorHAnsi" w:hAnsiTheme="majorHAnsi"/>
          <w:sz w:val="20"/>
          <w:szCs w:val="20"/>
        </w:rPr>
        <w:t xml:space="preserve"> estaba</w:t>
      </w:r>
      <w:r w:rsidR="006519A4" w:rsidRPr="009E773A">
        <w:rPr>
          <w:rFonts w:asciiTheme="majorHAnsi" w:hAnsiTheme="majorHAnsi"/>
          <w:sz w:val="20"/>
          <w:szCs w:val="20"/>
        </w:rPr>
        <w:t>n perdidos</w:t>
      </w:r>
      <w:r w:rsidR="003E2420" w:rsidRPr="009E773A">
        <w:rPr>
          <w:rFonts w:asciiTheme="majorHAnsi" w:hAnsiTheme="majorHAnsi"/>
          <w:sz w:val="20"/>
          <w:szCs w:val="20"/>
        </w:rPr>
        <w:t xml:space="preserve"> y no se conocía su lugar de custodia</w:t>
      </w:r>
      <w:r w:rsidR="002461A8" w:rsidRPr="009E773A">
        <w:rPr>
          <w:rStyle w:val="FootnoteReference"/>
          <w:rFonts w:asciiTheme="majorHAnsi" w:hAnsiTheme="majorHAnsi"/>
          <w:sz w:val="20"/>
          <w:szCs w:val="20"/>
        </w:rPr>
        <w:footnoteReference w:id="95"/>
      </w:r>
      <w:r w:rsidR="00576B27" w:rsidRPr="009E773A">
        <w:rPr>
          <w:rFonts w:asciiTheme="majorHAnsi" w:hAnsiTheme="majorHAnsi"/>
          <w:sz w:val="20"/>
          <w:szCs w:val="20"/>
        </w:rPr>
        <w:t xml:space="preserve">. </w:t>
      </w:r>
      <w:r w:rsidR="006E4186" w:rsidRPr="009E773A">
        <w:rPr>
          <w:rFonts w:asciiTheme="majorHAnsi" w:hAnsiTheme="majorHAnsi"/>
          <w:sz w:val="20"/>
          <w:szCs w:val="20"/>
        </w:rPr>
        <w:t>Ese mismo día, el</w:t>
      </w:r>
      <w:r w:rsidR="009C605D" w:rsidRPr="009E773A">
        <w:rPr>
          <w:rFonts w:asciiTheme="majorHAnsi" w:hAnsiTheme="majorHAnsi"/>
          <w:sz w:val="20"/>
          <w:szCs w:val="20"/>
        </w:rPr>
        <w:t xml:space="preserve"> </w:t>
      </w:r>
      <w:r w:rsidR="009113E4" w:rsidRPr="009E773A">
        <w:rPr>
          <w:rFonts w:asciiTheme="majorHAnsi" w:hAnsiTheme="majorHAnsi"/>
          <w:sz w:val="20"/>
          <w:szCs w:val="20"/>
        </w:rPr>
        <w:t>F</w:t>
      </w:r>
      <w:r w:rsidR="009C605D" w:rsidRPr="009E773A">
        <w:rPr>
          <w:rFonts w:asciiTheme="majorHAnsi" w:hAnsiTheme="majorHAnsi"/>
          <w:sz w:val="20"/>
          <w:szCs w:val="20"/>
        </w:rPr>
        <w:t>iscal de l</w:t>
      </w:r>
      <w:r w:rsidR="00576B27" w:rsidRPr="009E773A">
        <w:rPr>
          <w:rFonts w:asciiTheme="majorHAnsi" w:hAnsiTheme="majorHAnsi"/>
          <w:sz w:val="20"/>
          <w:szCs w:val="20"/>
        </w:rPr>
        <w:t xml:space="preserve">a causa y </w:t>
      </w:r>
      <w:r w:rsidR="00E4298A" w:rsidRPr="009E773A">
        <w:rPr>
          <w:rFonts w:asciiTheme="majorHAnsi" w:hAnsiTheme="majorHAnsi"/>
          <w:sz w:val="20"/>
          <w:szCs w:val="20"/>
        </w:rPr>
        <w:t xml:space="preserve">la </w:t>
      </w:r>
      <w:r w:rsidR="00576B27" w:rsidRPr="009E773A">
        <w:rPr>
          <w:rFonts w:asciiTheme="majorHAnsi" w:hAnsiTheme="majorHAnsi"/>
          <w:sz w:val="20"/>
          <w:szCs w:val="20"/>
        </w:rPr>
        <w:t xml:space="preserve">Unidad de Criminalística </w:t>
      </w:r>
      <w:r w:rsidR="00E4298A" w:rsidRPr="009E773A">
        <w:rPr>
          <w:rFonts w:asciiTheme="majorHAnsi" w:hAnsiTheme="majorHAnsi"/>
          <w:sz w:val="20"/>
          <w:szCs w:val="20"/>
        </w:rPr>
        <w:t xml:space="preserve">acordaron </w:t>
      </w:r>
      <w:r w:rsidR="00576B27" w:rsidRPr="009E773A">
        <w:rPr>
          <w:rFonts w:asciiTheme="majorHAnsi" w:hAnsiTheme="majorHAnsi"/>
          <w:sz w:val="20"/>
          <w:szCs w:val="20"/>
        </w:rPr>
        <w:t xml:space="preserve">la práctica de </w:t>
      </w:r>
      <w:r w:rsidR="00E4298A" w:rsidRPr="009E773A">
        <w:rPr>
          <w:rFonts w:asciiTheme="majorHAnsi" w:hAnsiTheme="majorHAnsi"/>
          <w:sz w:val="20"/>
          <w:szCs w:val="20"/>
        </w:rPr>
        <w:t xml:space="preserve">las siguientes </w:t>
      </w:r>
      <w:r w:rsidR="00576B27" w:rsidRPr="009E773A">
        <w:rPr>
          <w:rFonts w:asciiTheme="majorHAnsi" w:hAnsiTheme="majorHAnsi"/>
          <w:sz w:val="20"/>
          <w:szCs w:val="20"/>
        </w:rPr>
        <w:t>diligencias</w:t>
      </w:r>
      <w:r w:rsidR="00E4298A" w:rsidRPr="009E773A">
        <w:rPr>
          <w:rFonts w:asciiTheme="majorHAnsi" w:hAnsiTheme="majorHAnsi"/>
          <w:sz w:val="20"/>
          <w:szCs w:val="20"/>
        </w:rPr>
        <w:t xml:space="preserve">: </w:t>
      </w:r>
      <w:r w:rsidR="00576B27" w:rsidRPr="009E773A">
        <w:rPr>
          <w:rFonts w:asciiTheme="majorHAnsi" w:hAnsiTheme="majorHAnsi"/>
          <w:sz w:val="20"/>
          <w:szCs w:val="20"/>
        </w:rPr>
        <w:t>solicitar información referente al registro sobre un arma de fuego marca Gabilondo calibre 32; designación de armas de los funcionarios Felipe Rojas, Curia y Caldera, a fin de ser comparadas con los proyectiles colectados</w:t>
      </w:r>
      <w:r w:rsidR="00576B27" w:rsidRPr="009E773A">
        <w:rPr>
          <w:rStyle w:val="FootnoteReference"/>
          <w:rFonts w:asciiTheme="majorHAnsi" w:hAnsiTheme="majorHAnsi"/>
          <w:sz w:val="20"/>
          <w:szCs w:val="20"/>
        </w:rPr>
        <w:footnoteReference w:id="96"/>
      </w:r>
      <w:r w:rsidR="002461A8" w:rsidRPr="009E773A">
        <w:rPr>
          <w:rFonts w:asciiTheme="majorHAnsi" w:hAnsiTheme="majorHAnsi"/>
          <w:sz w:val="20"/>
          <w:szCs w:val="20"/>
        </w:rPr>
        <w:t>.</w:t>
      </w:r>
    </w:p>
    <w:p w14:paraId="3C75D411" w14:textId="6C7810D6" w:rsidR="00E4496E" w:rsidRPr="009E773A" w:rsidRDefault="00576B27" w:rsidP="009A79B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9360"/>
        </w:tabs>
        <w:jc w:val="both"/>
        <w:rPr>
          <w:rFonts w:asciiTheme="majorHAnsi" w:hAnsiTheme="majorHAnsi"/>
          <w:sz w:val="20"/>
          <w:szCs w:val="20"/>
        </w:rPr>
      </w:pPr>
      <w:r w:rsidRPr="009E773A">
        <w:rPr>
          <w:rFonts w:asciiTheme="majorHAnsi" w:hAnsiTheme="majorHAnsi"/>
          <w:sz w:val="20"/>
          <w:szCs w:val="20"/>
        </w:rPr>
        <w:lastRenderedPageBreak/>
        <w:t>El 28 de marzo de 2016 la Fiscalía Décima Séptima dirigió un oficio al Director General de Armas y Explosivos preguntando si existe registro en dicho organismo del arma de fuego marca Gabilondo y Cia Vitoria, calibre 32mm, Serial 958084</w:t>
      </w:r>
      <w:r w:rsidRPr="009E773A">
        <w:rPr>
          <w:rStyle w:val="FootnoteReference"/>
          <w:rFonts w:asciiTheme="majorHAnsi" w:hAnsiTheme="majorHAnsi"/>
          <w:sz w:val="20"/>
          <w:szCs w:val="20"/>
        </w:rPr>
        <w:footnoteReference w:id="97"/>
      </w:r>
      <w:r w:rsidRPr="009E773A">
        <w:rPr>
          <w:rFonts w:asciiTheme="majorHAnsi" w:hAnsiTheme="majorHAnsi"/>
          <w:sz w:val="20"/>
          <w:szCs w:val="20"/>
        </w:rPr>
        <w:t xml:space="preserve">. </w:t>
      </w:r>
      <w:r w:rsidR="00E4496E" w:rsidRPr="009E773A">
        <w:rPr>
          <w:rFonts w:asciiTheme="majorHAnsi" w:hAnsiTheme="majorHAnsi"/>
          <w:sz w:val="20"/>
          <w:szCs w:val="20"/>
        </w:rPr>
        <w:t>El 30 de marzo de 2016 la Policía del Estado Falcón env</w:t>
      </w:r>
      <w:r w:rsidR="00D65D4A" w:rsidRPr="009E773A">
        <w:rPr>
          <w:rFonts w:asciiTheme="majorHAnsi" w:hAnsiTheme="majorHAnsi"/>
          <w:sz w:val="20"/>
          <w:szCs w:val="20"/>
        </w:rPr>
        <w:t>ió</w:t>
      </w:r>
      <w:r w:rsidR="00E4496E" w:rsidRPr="009E773A">
        <w:rPr>
          <w:rFonts w:asciiTheme="majorHAnsi" w:hAnsiTheme="majorHAnsi"/>
          <w:sz w:val="20"/>
          <w:szCs w:val="20"/>
        </w:rPr>
        <w:t xml:space="preserve"> un oficio a la Fiscalía Décima Séptima informando que para la fecha de los hechos el ciudadano Felipe Rojas Quero ostentaba el rango de sub-comisario y estaba adscrito a la Zona Policial N°2, con sede en Punto Fijo</w:t>
      </w:r>
      <w:r w:rsidR="00E4496E" w:rsidRPr="009E773A">
        <w:rPr>
          <w:rStyle w:val="FootnoteReference"/>
          <w:rFonts w:asciiTheme="majorHAnsi" w:hAnsiTheme="majorHAnsi"/>
          <w:sz w:val="20"/>
          <w:szCs w:val="20"/>
        </w:rPr>
        <w:footnoteReference w:id="98"/>
      </w:r>
      <w:r w:rsidR="00E30597" w:rsidRPr="009E773A">
        <w:rPr>
          <w:rFonts w:asciiTheme="majorHAnsi" w:hAnsiTheme="majorHAnsi"/>
          <w:sz w:val="20"/>
          <w:szCs w:val="20"/>
        </w:rPr>
        <w:t>.</w:t>
      </w:r>
    </w:p>
    <w:p w14:paraId="0F555869" w14:textId="77777777" w:rsidR="00E4496E" w:rsidRPr="009E773A" w:rsidRDefault="00E4496E" w:rsidP="009A79B6">
      <w:pPr>
        <w:pStyle w:val="ListParagraph"/>
        <w:ind w:left="634"/>
        <w:contextualSpacing/>
        <w:jc w:val="both"/>
        <w:rPr>
          <w:rFonts w:asciiTheme="majorHAnsi" w:hAnsiTheme="majorHAnsi"/>
          <w:sz w:val="20"/>
          <w:szCs w:val="20"/>
          <w:lang w:val="es-CO"/>
        </w:rPr>
      </w:pPr>
    </w:p>
    <w:p w14:paraId="582D6B84" w14:textId="07349154" w:rsidR="00E4496E" w:rsidRPr="009E773A" w:rsidRDefault="00E4496E" w:rsidP="009A79B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9360"/>
        </w:tabs>
        <w:jc w:val="both"/>
        <w:rPr>
          <w:rFonts w:asciiTheme="majorHAnsi" w:hAnsiTheme="majorHAnsi"/>
          <w:sz w:val="20"/>
          <w:szCs w:val="20"/>
        </w:rPr>
      </w:pPr>
      <w:r w:rsidRPr="009E773A">
        <w:rPr>
          <w:rFonts w:asciiTheme="majorHAnsi" w:hAnsiTheme="majorHAnsi"/>
          <w:sz w:val="20"/>
          <w:szCs w:val="20"/>
        </w:rPr>
        <w:t>El 1 de abril de 2016</w:t>
      </w:r>
      <w:r w:rsidR="00E30597" w:rsidRPr="009E773A">
        <w:rPr>
          <w:rFonts w:asciiTheme="majorHAnsi" w:hAnsiTheme="majorHAnsi"/>
          <w:sz w:val="20"/>
          <w:szCs w:val="20"/>
        </w:rPr>
        <w:t xml:space="preserve"> </w:t>
      </w:r>
      <w:r w:rsidR="00E06DEC" w:rsidRPr="009E773A">
        <w:rPr>
          <w:rFonts w:asciiTheme="majorHAnsi" w:hAnsiTheme="majorHAnsi"/>
          <w:sz w:val="20"/>
          <w:szCs w:val="20"/>
        </w:rPr>
        <w:t xml:space="preserve">la Fiscalía Décima Séptima dictó orden de aprehensión contra el </w:t>
      </w:r>
      <w:r w:rsidR="00726AFE" w:rsidRPr="009E773A">
        <w:rPr>
          <w:rFonts w:asciiTheme="majorHAnsi" w:hAnsiTheme="majorHAnsi"/>
          <w:sz w:val="20"/>
          <w:szCs w:val="20"/>
        </w:rPr>
        <w:t>policía</w:t>
      </w:r>
      <w:r w:rsidR="00A6159D" w:rsidRPr="009E773A">
        <w:rPr>
          <w:rFonts w:asciiTheme="majorHAnsi" w:hAnsiTheme="majorHAnsi"/>
          <w:sz w:val="20"/>
          <w:szCs w:val="20"/>
        </w:rPr>
        <w:t xml:space="preserve"> Felipe</w:t>
      </w:r>
      <w:r w:rsidR="00726AFE" w:rsidRPr="009E773A">
        <w:rPr>
          <w:rFonts w:asciiTheme="majorHAnsi" w:hAnsiTheme="majorHAnsi"/>
          <w:sz w:val="20"/>
          <w:szCs w:val="20"/>
        </w:rPr>
        <w:t xml:space="preserve"> </w:t>
      </w:r>
      <w:r w:rsidR="00E06DEC" w:rsidRPr="009E773A">
        <w:rPr>
          <w:rFonts w:asciiTheme="majorHAnsi" w:hAnsiTheme="majorHAnsi"/>
          <w:sz w:val="20"/>
          <w:szCs w:val="20"/>
        </w:rPr>
        <w:t xml:space="preserve">Rojas, y </w:t>
      </w:r>
      <w:r w:rsidR="00E30597" w:rsidRPr="009E773A">
        <w:rPr>
          <w:rFonts w:asciiTheme="majorHAnsi" w:hAnsiTheme="majorHAnsi"/>
          <w:sz w:val="20"/>
          <w:szCs w:val="20"/>
        </w:rPr>
        <w:t>el</w:t>
      </w:r>
      <w:r w:rsidRPr="009E773A">
        <w:rPr>
          <w:rFonts w:asciiTheme="majorHAnsi" w:hAnsiTheme="majorHAnsi"/>
          <w:sz w:val="20"/>
          <w:szCs w:val="20"/>
        </w:rPr>
        <w:t xml:space="preserve"> </w:t>
      </w:r>
      <w:r w:rsidR="00E30597" w:rsidRPr="009E773A">
        <w:rPr>
          <w:rFonts w:asciiTheme="majorHAnsi" w:hAnsiTheme="majorHAnsi"/>
          <w:sz w:val="20"/>
          <w:szCs w:val="20"/>
        </w:rPr>
        <w:t>Tribunal Penal de Primera Instancia en funciones de Control profirió una circular dirigida a todas las autoridades civiles, policiales, judiciales y militares, para hacer efectiva la orden de aprehensión</w:t>
      </w:r>
      <w:r w:rsidR="00E30597" w:rsidRPr="009E773A">
        <w:rPr>
          <w:rStyle w:val="FootnoteReference"/>
          <w:rFonts w:asciiTheme="majorHAnsi" w:hAnsiTheme="majorHAnsi"/>
          <w:sz w:val="20"/>
          <w:szCs w:val="20"/>
        </w:rPr>
        <w:footnoteReference w:id="99"/>
      </w:r>
      <w:r w:rsidR="00E06DEC" w:rsidRPr="009E773A">
        <w:rPr>
          <w:rFonts w:asciiTheme="majorHAnsi" w:hAnsiTheme="majorHAnsi"/>
          <w:sz w:val="20"/>
          <w:szCs w:val="20"/>
        </w:rPr>
        <w:t xml:space="preserve"> </w:t>
      </w:r>
      <w:r w:rsidRPr="009E773A">
        <w:rPr>
          <w:rFonts w:asciiTheme="majorHAnsi" w:hAnsiTheme="majorHAnsi"/>
          <w:sz w:val="20"/>
          <w:szCs w:val="20"/>
        </w:rPr>
        <w:t>por los delitos de Homicidio Calificado cometido en perjuicio de Jimmy Guerrero y Ramón Molina y homicidio calificado frustrado en perjuicio de José Hernández</w:t>
      </w:r>
      <w:r w:rsidRPr="009E773A">
        <w:rPr>
          <w:rStyle w:val="FootnoteReference"/>
          <w:rFonts w:asciiTheme="majorHAnsi" w:hAnsiTheme="majorHAnsi"/>
          <w:sz w:val="20"/>
          <w:szCs w:val="20"/>
        </w:rPr>
        <w:footnoteReference w:id="100"/>
      </w:r>
      <w:r w:rsidR="00E06DEC" w:rsidRPr="009E773A">
        <w:rPr>
          <w:rFonts w:asciiTheme="majorHAnsi" w:hAnsiTheme="majorHAnsi"/>
          <w:sz w:val="20"/>
          <w:szCs w:val="20"/>
        </w:rPr>
        <w:t xml:space="preserve">. </w:t>
      </w:r>
      <w:r w:rsidRPr="009E773A">
        <w:rPr>
          <w:rFonts w:asciiTheme="majorHAnsi" w:hAnsiTheme="majorHAnsi"/>
          <w:sz w:val="20"/>
          <w:szCs w:val="20"/>
        </w:rPr>
        <w:t>El 5 de abril de 2016 el supervisor jefe José Carrera, adscrito a la Policía Estadal se dirigió al domicilio de Felipe Rojas  para ejecutar la orden de aprehensión en su contra. Sin embargo, al llegar al inmueble se le informó que el ciudadano se encontraba de viaje</w:t>
      </w:r>
      <w:r w:rsidRPr="009E773A">
        <w:rPr>
          <w:rStyle w:val="FootnoteReference"/>
          <w:rFonts w:asciiTheme="majorHAnsi" w:hAnsiTheme="majorHAnsi"/>
          <w:sz w:val="20"/>
          <w:szCs w:val="20"/>
        </w:rPr>
        <w:footnoteReference w:id="101"/>
      </w:r>
      <w:r w:rsidR="007B651C" w:rsidRPr="009E773A">
        <w:rPr>
          <w:rFonts w:asciiTheme="majorHAnsi" w:hAnsiTheme="majorHAnsi"/>
          <w:sz w:val="20"/>
          <w:szCs w:val="20"/>
        </w:rPr>
        <w:t xml:space="preserve">. En el expediente no figura información sobre su </w:t>
      </w:r>
      <w:r w:rsidR="00E35D39" w:rsidRPr="009E773A">
        <w:rPr>
          <w:rFonts w:asciiTheme="majorHAnsi" w:hAnsiTheme="majorHAnsi"/>
          <w:sz w:val="20"/>
          <w:szCs w:val="20"/>
        </w:rPr>
        <w:t>captura</w:t>
      </w:r>
      <w:r w:rsidR="007B651C" w:rsidRPr="009E773A">
        <w:rPr>
          <w:rFonts w:asciiTheme="majorHAnsi" w:hAnsiTheme="majorHAnsi"/>
          <w:sz w:val="20"/>
          <w:szCs w:val="20"/>
        </w:rPr>
        <w:t xml:space="preserve"> posterior.  </w:t>
      </w:r>
    </w:p>
    <w:p w14:paraId="06B7EC95" w14:textId="77777777" w:rsidR="001E5B78" w:rsidRPr="009E773A" w:rsidRDefault="001E5B78" w:rsidP="009A79B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9360"/>
        </w:tabs>
        <w:jc w:val="both"/>
        <w:rPr>
          <w:rFonts w:asciiTheme="majorHAnsi" w:hAnsiTheme="majorHAnsi"/>
          <w:sz w:val="20"/>
          <w:szCs w:val="20"/>
        </w:rPr>
      </w:pPr>
    </w:p>
    <w:p w14:paraId="4B460706" w14:textId="233A7600" w:rsidR="00C85803" w:rsidRDefault="00E4496E" w:rsidP="00C858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9360"/>
        </w:tabs>
        <w:jc w:val="both"/>
        <w:rPr>
          <w:rFonts w:asciiTheme="majorHAnsi" w:hAnsiTheme="majorHAnsi"/>
          <w:sz w:val="20"/>
          <w:szCs w:val="20"/>
          <w:lang w:val="es-ES"/>
        </w:rPr>
      </w:pPr>
      <w:r w:rsidRPr="009E773A">
        <w:rPr>
          <w:rFonts w:asciiTheme="majorHAnsi" w:hAnsiTheme="majorHAnsi"/>
          <w:sz w:val="20"/>
          <w:szCs w:val="20"/>
        </w:rPr>
        <w:t xml:space="preserve">El 9 junio de 2016 </w:t>
      </w:r>
      <w:r w:rsidR="00BE3449" w:rsidRPr="009E773A">
        <w:rPr>
          <w:rFonts w:asciiTheme="majorHAnsi" w:hAnsiTheme="majorHAnsi"/>
          <w:sz w:val="20"/>
          <w:szCs w:val="20"/>
        </w:rPr>
        <w:t xml:space="preserve">el Estado </w:t>
      </w:r>
      <w:r w:rsidRPr="009E773A">
        <w:rPr>
          <w:rFonts w:asciiTheme="majorHAnsi" w:hAnsiTheme="majorHAnsi"/>
          <w:sz w:val="20"/>
          <w:szCs w:val="20"/>
        </w:rPr>
        <w:t>envió una comunicación a la CIDH informando que por la muerte de Jimmy Guerrero y Ramón Molina “se pudo recabar información sobre la identificación completa y el cargo actual de uno de los funcionarios involucrados, contra quien el Ministerio Público solicitó funda</w:t>
      </w:r>
      <w:r w:rsidR="00EE1C3F" w:rsidRPr="009E773A">
        <w:rPr>
          <w:rFonts w:asciiTheme="majorHAnsi" w:hAnsiTheme="majorHAnsi"/>
          <w:sz w:val="20"/>
          <w:szCs w:val="20"/>
        </w:rPr>
        <w:t>da</w:t>
      </w:r>
      <w:r w:rsidRPr="009E773A">
        <w:rPr>
          <w:rFonts w:asciiTheme="majorHAnsi" w:hAnsiTheme="majorHAnsi"/>
          <w:sz w:val="20"/>
          <w:szCs w:val="20"/>
        </w:rPr>
        <w:t>mente la Orden de Aprehensión respectiva, el día 1 de abril de 2016”</w:t>
      </w:r>
      <w:r w:rsidRPr="009E773A">
        <w:rPr>
          <w:rStyle w:val="FootnoteReference"/>
          <w:rFonts w:asciiTheme="majorHAnsi" w:hAnsiTheme="majorHAnsi"/>
          <w:sz w:val="20"/>
          <w:szCs w:val="20"/>
        </w:rPr>
        <w:footnoteReference w:id="102"/>
      </w:r>
      <w:r w:rsidR="007B651C" w:rsidRPr="009E773A">
        <w:rPr>
          <w:rFonts w:asciiTheme="majorHAnsi" w:hAnsiTheme="majorHAnsi"/>
          <w:sz w:val="20"/>
          <w:szCs w:val="20"/>
        </w:rPr>
        <w:t>.</w:t>
      </w:r>
    </w:p>
    <w:p w14:paraId="14CDA6FC" w14:textId="77777777" w:rsidR="00C85803" w:rsidRPr="00C85803" w:rsidRDefault="00C85803" w:rsidP="00C8580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9360"/>
        </w:tabs>
        <w:jc w:val="both"/>
        <w:rPr>
          <w:rFonts w:asciiTheme="majorHAnsi" w:hAnsiTheme="majorHAnsi"/>
          <w:sz w:val="20"/>
          <w:szCs w:val="20"/>
          <w:lang w:val="es-ES"/>
        </w:rPr>
      </w:pPr>
    </w:p>
    <w:p w14:paraId="0F91C441" w14:textId="77777777" w:rsidR="004D21FE" w:rsidRPr="009E773A" w:rsidRDefault="004D21FE" w:rsidP="009A79B6">
      <w:pPr>
        <w:pStyle w:val="Heading1"/>
        <w:ind w:firstLine="0"/>
      </w:pPr>
      <w:bookmarkStart w:id="18" w:name="_Toc2159216"/>
      <w:r w:rsidRPr="009E773A">
        <w:t>ANALISIS DE DERECHO</w:t>
      </w:r>
      <w:bookmarkEnd w:id="18"/>
    </w:p>
    <w:p w14:paraId="66229FB1" w14:textId="77777777" w:rsidR="005D3C86" w:rsidRPr="009E773A" w:rsidRDefault="005D3C86" w:rsidP="009A79B6">
      <w:pPr>
        <w:pStyle w:val="ListParagraph"/>
        <w:suppressAutoHyphens/>
        <w:ind w:left="1080"/>
        <w:rPr>
          <w:rFonts w:asciiTheme="majorHAnsi" w:hAnsiTheme="majorHAnsi"/>
          <w:b/>
          <w:sz w:val="20"/>
          <w:szCs w:val="20"/>
        </w:rPr>
      </w:pPr>
    </w:p>
    <w:p w14:paraId="59553E56" w14:textId="77481316" w:rsidR="005D3C86" w:rsidRDefault="005D3C86" w:rsidP="00CA08FD">
      <w:pPr>
        <w:pStyle w:val="Heading2"/>
        <w:numPr>
          <w:ilvl w:val="0"/>
          <w:numId w:val="69"/>
        </w:numPr>
        <w:tabs>
          <w:tab w:val="left" w:pos="720"/>
        </w:tabs>
        <w:ind w:left="0" w:firstLine="0"/>
      </w:pPr>
      <w:bookmarkStart w:id="19" w:name="_Toc520804258"/>
      <w:bookmarkStart w:id="20" w:name="_Toc2157189"/>
      <w:bookmarkStart w:id="21" w:name="_Toc2157243"/>
      <w:bookmarkStart w:id="22" w:name="_Toc2159217"/>
      <w:r w:rsidRPr="00392EC4">
        <w:t>Derecho</w:t>
      </w:r>
      <w:r w:rsidR="003142C2" w:rsidRPr="00392EC4">
        <w:t>s</w:t>
      </w:r>
      <w:r w:rsidRPr="00392EC4">
        <w:t xml:space="preserve"> a la vida</w:t>
      </w:r>
      <w:r w:rsidRPr="006B16F4">
        <w:rPr>
          <w:rStyle w:val="FootnoteReference"/>
        </w:rPr>
        <w:footnoteReference w:id="103"/>
      </w:r>
      <w:r w:rsidR="003142C2" w:rsidRPr="00392EC4">
        <w:t xml:space="preserve"> (artículo 4.1) y</w:t>
      </w:r>
      <w:r w:rsidRPr="00392EC4">
        <w:t xml:space="preserve"> a la integridad</w:t>
      </w:r>
      <w:r w:rsidRPr="00392EC4">
        <w:rPr>
          <w:rStyle w:val="FootnoteReference"/>
          <w:vertAlign w:val="baseline"/>
        </w:rPr>
        <w:footnoteReference w:id="104"/>
      </w:r>
      <w:r w:rsidRPr="00392EC4">
        <w:t xml:space="preserve"> (artículo </w:t>
      </w:r>
      <w:r w:rsidR="00EE1C3F" w:rsidRPr="00392EC4">
        <w:t>5.1</w:t>
      </w:r>
      <w:r w:rsidRPr="00392EC4">
        <w:t>) en relación con el artículo 1.1</w:t>
      </w:r>
      <w:r w:rsidR="00E779C8" w:rsidRPr="006B16F4">
        <w:rPr>
          <w:rStyle w:val="FootnoteReference"/>
        </w:rPr>
        <w:footnoteReference w:id="105"/>
      </w:r>
      <w:r w:rsidRPr="00392EC4">
        <w:t xml:space="preserve"> de la Convención Americana</w:t>
      </w:r>
      <w:bookmarkEnd w:id="19"/>
      <w:r w:rsidR="00EE1C3F" w:rsidRPr="00392EC4">
        <w:t xml:space="preserve"> </w:t>
      </w:r>
      <w:r w:rsidR="006E7B50" w:rsidRPr="00392EC4">
        <w:t xml:space="preserve">y </w:t>
      </w:r>
      <w:r w:rsidR="00E779C8" w:rsidRPr="00392EC4">
        <w:t>los</w:t>
      </w:r>
      <w:r w:rsidR="006E7B50" w:rsidRPr="00392EC4">
        <w:t xml:space="preserve"> </w:t>
      </w:r>
      <w:r w:rsidR="00E779C8" w:rsidRPr="00392EC4">
        <w:t>artículos 1</w:t>
      </w:r>
      <w:r w:rsidR="00E779C8" w:rsidRPr="006B16F4">
        <w:rPr>
          <w:rStyle w:val="FootnoteReference"/>
        </w:rPr>
        <w:footnoteReference w:id="106"/>
      </w:r>
      <w:r w:rsidR="00E779C8" w:rsidRPr="00392EC4">
        <w:t>, 6</w:t>
      </w:r>
      <w:r w:rsidR="00E779C8" w:rsidRPr="006B16F4">
        <w:rPr>
          <w:rStyle w:val="FootnoteReference"/>
        </w:rPr>
        <w:footnoteReference w:id="107"/>
      </w:r>
      <w:r w:rsidR="00E779C8" w:rsidRPr="00392EC4">
        <w:t xml:space="preserve"> y 8</w:t>
      </w:r>
      <w:r w:rsidR="00E779C8" w:rsidRPr="006B16F4">
        <w:rPr>
          <w:rStyle w:val="FootnoteReference"/>
        </w:rPr>
        <w:footnoteReference w:id="108"/>
      </w:r>
      <w:r w:rsidR="00E779C8" w:rsidRPr="00392EC4">
        <w:t xml:space="preserve"> de la CIPST</w:t>
      </w:r>
      <w:r w:rsidR="007D443F" w:rsidRPr="00392EC4">
        <w:t>.</w:t>
      </w:r>
      <w:bookmarkEnd w:id="20"/>
      <w:bookmarkEnd w:id="21"/>
      <w:bookmarkEnd w:id="22"/>
    </w:p>
    <w:p w14:paraId="6FCB0C02" w14:textId="77777777" w:rsidR="00FC5E2A" w:rsidRPr="00FC5E2A" w:rsidRDefault="00FC5E2A" w:rsidP="009A79B6"/>
    <w:p w14:paraId="1E52DE74" w14:textId="77777777" w:rsidR="005D3C86" w:rsidRPr="009E773A" w:rsidRDefault="005D3C86" w:rsidP="009A79B6">
      <w:pPr>
        <w:pStyle w:val="Heading3"/>
        <w:rPr>
          <w:lang w:val="es-ES"/>
        </w:rPr>
      </w:pPr>
      <w:bookmarkStart w:id="23" w:name="_Toc520804260"/>
      <w:bookmarkStart w:id="24" w:name="_Toc2157190"/>
      <w:bookmarkStart w:id="25" w:name="_Toc2157244"/>
      <w:bookmarkStart w:id="26" w:name="_Toc2159218"/>
      <w:r w:rsidRPr="009E773A">
        <w:rPr>
          <w:lang w:val="es-ES"/>
        </w:rPr>
        <w:t>Estándares gene</w:t>
      </w:r>
      <w:r w:rsidR="00DB38BC" w:rsidRPr="009E773A">
        <w:rPr>
          <w:lang w:val="es-ES"/>
        </w:rPr>
        <w:t xml:space="preserve">rales sobre el derecho la vida, derecho a la integridad y la prohibición de la tortura </w:t>
      </w:r>
      <w:r w:rsidRPr="009E773A">
        <w:rPr>
          <w:lang w:val="es-ES"/>
        </w:rPr>
        <w:t>en casos relacionados con alegadas ejecuciones extrajudiciales</w:t>
      </w:r>
      <w:bookmarkEnd w:id="23"/>
      <w:bookmarkEnd w:id="24"/>
      <w:bookmarkEnd w:id="25"/>
      <w:bookmarkEnd w:id="26"/>
    </w:p>
    <w:p w14:paraId="6C2CC4E8" w14:textId="77777777" w:rsidR="005D3C86" w:rsidRPr="009E773A" w:rsidRDefault="005D3C86" w:rsidP="009A79B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Theme="majorHAnsi" w:hAnsiTheme="majorHAnsi"/>
          <w:sz w:val="20"/>
          <w:szCs w:val="20"/>
          <w:lang w:val="es-ES"/>
        </w:rPr>
      </w:pPr>
    </w:p>
    <w:p w14:paraId="0C8ADE0A" w14:textId="77777777" w:rsidR="000C699E" w:rsidRPr="009E773A" w:rsidRDefault="0077687D" w:rsidP="009A79B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9360"/>
        </w:tabs>
        <w:jc w:val="both"/>
        <w:rPr>
          <w:rFonts w:asciiTheme="majorHAnsi" w:hAnsiTheme="majorHAnsi"/>
          <w:sz w:val="20"/>
          <w:szCs w:val="20"/>
          <w:lang w:val="es-ES"/>
        </w:rPr>
      </w:pPr>
      <w:r w:rsidRPr="009E773A">
        <w:rPr>
          <w:rFonts w:asciiTheme="majorHAnsi" w:hAnsiTheme="majorHAnsi"/>
          <w:sz w:val="20"/>
          <w:szCs w:val="20"/>
          <w:lang w:val="es-ES"/>
        </w:rPr>
        <w:t>L</w:t>
      </w:r>
      <w:r w:rsidR="005D3C86" w:rsidRPr="009E773A">
        <w:rPr>
          <w:rFonts w:asciiTheme="majorHAnsi" w:hAnsiTheme="majorHAnsi"/>
          <w:sz w:val="20"/>
          <w:szCs w:val="20"/>
          <w:lang w:val="es-ES"/>
        </w:rPr>
        <w:t xml:space="preserve">a Comisión ha establecido que “las ejecuciones extrajudiciales o sumarias se caracterizan por ser </w:t>
      </w:r>
      <w:r w:rsidR="005D3C86" w:rsidRPr="009E773A">
        <w:rPr>
          <w:rFonts w:asciiTheme="majorHAnsi" w:hAnsiTheme="majorHAnsi"/>
          <w:sz w:val="20"/>
          <w:szCs w:val="20"/>
          <w:lang w:val="es-ES_tradnl"/>
        </w:rPr>
        <w:t>privaciones</w:t>
      </w:r>
      <w:r w:rsidR="005D3C86" w:rsidRPr="009E773A">
        <w:rPr>
          <w:rFonts w:asciiTheme="majorHAnsi" w:hAnsiTheme="majorHAnsi"/>
          <w:sz w:val="20"/>
          <w:szCs w:val="20"/>
          <w:lang w:val="es-ES"/>
        </w:rPr>
        <w:t xml:space="preserve"> deliberadas e ilegítimas de la vida p</w:t>
      </w:r>
      <w:r w:rsidR="00EE1C3F" w:rsidRPr="009E773A">
        <w:rPr>
          <w:rFonts w:asciiTheme="majorHAnsi" w:hAnsiTheme="majorHAnsi"/>
          <w:sz w:val="20"/>
          <w:szCs w:val="20"/>
          <w:lang w:val="es-ES"/>
        </w:rPr>
        <w:t xml:space="preserve">or parte de agentes del Estado, </w:t>
      </w:r>
      <w:r w:rsidR="005D3C86" w:rsidRPr="009E773A">
        <w:rPr>
          <w:rFonts w:asciiTheme="majorHAnsi" w:hAnsiTheme="majorHAnsi"/>
          <w:sz w:val="20"/>
          <w:szCs w:val="20"/>
          <w:lang w:val="es-ES"/>
        </w:rPr>
        <w:t>actuando generalmente bajo órdenes o al menos con el consentimiento o aquiescencia de las autoridades. Por lo tanto, las ejecuciones extrajudiciales son acciones ilícitas cometidas por quienes precisamente están investidos del poder originalmente concebido para proteger y garantizar la seguridad y la  vida de las personas”</w:t>
      </w:r>
      <w:r w:rsidR="005D3C86" w:rsidRPr="009E773A">
        <w:rPr>
          <w:rStyle w:val="FootnoteReference"/>
          <w:rFonts w:asciiTheme="majorHAnsi" w:hAnsiTheme="majorHAnsi"/>
          <w:sz w:val="20"/>
          <w:szCs w:val="20"/>
          <w:lang w:val="es-ES"/>
        </w:rPr>
        <w:footnoteReference w:id="109"/>
      </w:r>
      <w:r w:rsidR="005D3C86" w:rsidRPr="009E773A">
        <w:rPr>
          <w:rFonts w:asciiTheme="majorHAnsi" w:hAnsiTheme="majorHAnsi"/>
          <w:sz w:val="20"/>
          <w:szCs w:val="20"/>
          <w:lang w:val="es-ES"/>
        </w:rPr>
        <w:t xml:space="preserve">. </w:t>
      </w:r>
    </w:p>
    <w:p w14:paraId="09D6EE93" w14:textId="77777777" w:rsidR="00162FD8" w:rsidRPr="009E773A" w:rsidRDefault="0077687D" w:rsidP="009A79B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9360"/>
        </w:tabs>
        <w:jc w:val="both"/>
        <w:rPr>
          <w:rFonts w:asciiTheme="majorHAnsi" w:hAnsiTheme="majorHAnsi"/>
          <w:sz w:val="20"/>
          <w:szCs w:val="20"/>
          <w:lang w:val="es-ES"/>
        </w:rPr>
      </w:pPr>
      <w:r w:rsidRPr="009E773A">
        <w:rPr>
          <w:rFonts w:asciiTheme="majorHAnsi" w:hAnsiTheme="majorHAnsi"/>
          <w:sz w:val="20"/>
          <w:szCs w:val="20"/>
        </w:rPr>
        <w:lastRenderedPageBreak/>
        <w:t>Ahora bien</w:t>
      </w:r>
      <w:r w:rsidR="00A67632" w:rsidRPr="009E773A">
        <w:rPr>
          <w:rFonts w:asciiTheme="majorHAnsi" w:hAnsiTheme="majorHAnsi"/>
          <w:sz w:val="20"/>
          <w:szCs w:val="20"/>
        </w:rPr>
        <w:t xml:space="preserve">, </w:t>
      </w:r>
      <w:r w:rsidRPr="009E773A">
        <w:rPr>
          <w:rFonts w:asciiTheme="majorHAnsi" w:hAnsiTheme="majorHAnsi"/>
          <w:sz w:val="20"/>
          <w:szCs w:val="20"/>
        </w:rPr>
        <w:t xml:space="preserve">en casos en </w:t>
      </w:r>
      <w:r w:rsidR="00A67632" w:rsidRPr="009E773A">
        <w:rPr>
          <w:rFonts w:asciiTheme="majorHAnsi" w:hAnsiTheme="majorHAnsi"/>
          <w:sz w:val="20"/>
          <w:szCs w:val="20"/>
        </w:rPr>
        <w:t xml:space="preserve">los cuales se encuentra en controversia la participación estatal en graves violaciones de derechos humanos, la Comisión ha indicado </w:t>
      </w:r>
      <w:r w:rsidR="00A67632" w:rsidRPr="009E773A">
        <w:rPr>
          <w:rFonts w:asciiTheme="majorHAnsi" w:hAnsiTheme="majorHAnsi"/>
          <w:sz w:val="20"/>
          <w:szCs w:val="20"/>
          <w:lang w:val="es-ES"/>
        </w:rPr>
        <w:t xml:space="preserve">que, ante </w:t>
      </w:r>
      <w:r w:rsidRPr="009E773A">
        <w:rPr>
          <w:rFonts w:asciiTheme="majorHAnsi" w:hAnsiTheme="majorHAnsi"/>
          <w:sz w:val="20"/>
          <w:szCs w:val="20"/>
          <w:lang w:val="es-ES"/>
        </w:rPr>
        <w:t>la existencia de indicios</w:t>
      </w:r>
      <w:r w:rsidR="00A67632" w:rsidRPr="009E773A">
        <w:rPr>
          <w:rFonts w:asciiTheme="majorHAnsi" w:hAnsiTheme="majorHAnsi"/>
          <w:sz w:val="20"/>
          <w:szCs w:val="20"/>
          <w:lang w:val="es-ES"/>
        </w:rPr>
        <w:t xml:space="preserve"> que implicarían una atribución directa de responsabilidad internacional al Estado, correspond</w:t>
      </w:r>
      <w:r w:rsidR="002C0113" w:rsidRPr="009E773A">
        <w:rPr>
          <w:rFonts w:asciiTheme="majorHAnsi" w:hAnsiTheme="majorHAnsi"/>
          <w:sz w:val="20"/>
          <w:szCs w:val="20"/>
          <w:lang w:val="es-ES"/>
        </w:rPr>
        <w:t>e</w:t>
      </w:r>
      <w:r w:rsidR="00A67632" w:rsidRPr="009E773A">
        <w:rPr>
          <w:rFonts w:asciiTheme="majorHAnsi" w:hAnsiTheme="majorHAnsi"/>
          <w:sz w:val="20"/>
          <w:szCs w:val="20"/>
          <w:lang w:val="es-ES"/>
        </w:rPr>
        <w:t xml:space="preserve"> a las autoridades a cargo de la investigación desplegar todos los esfuerzos necesarios para esclarecer las posibles responsabilidades o vínculos de autoridades estatales en una violación del derecho a la vida</w:t>
      </w:r>
      <w:r w:rsidR="00A67632" w:rsidRPr="009E773A">
        <w:rPr>
          <w:rStyle w:val="FootnoteReference"/>
          <w:rFonts w:asciiTheme="majorHAnsi" w:hAnsiTheme="majorHAnsi"/>
          <w:sz w:val="20"/>
          <w:szCs w:val="20"/>
          <w:lang w:val="es-ES"/>
        </w:rPr>
        <w:footnoteReference w:id="110"/>
      </w:r>
      <w:r w:rsidRPr="009E773A">
        <w:rPr>
          <w:rFonts w:asciiTheme="majorHAnsi" w:hAnsiTheme="majorHAnsi"/>
          <w:sz w:val="20"/>
          <w:szCs w:val="20"/>
          <w:lang w:val="es-ES"/>
        </w:rPr>
        <w:t>. De esta manera, recae</w:t>
      </w:r>
      <w:r w:rsidR="00A67632" w:rsidRPr="009E773A">
        <w:rPr>
          <w:rFonts w:asciiTheme="majorHAnsi" w:hAnsiTheme="majorHAnsi"/>
          <w:sz w:val="20"/>
          <w:szCs w:val="20"/>
          <w:lang w:val="es-ES"/>
        </w:rPr>
        <w:t xml:space="preserve"> sobre el Estado la obligación de efectuar una investigación minuciosa, seria y diligente para determinar la veracidad o desvirtuar los indicios de participación de agentes estatales. De lo contrario, la Comisión ha otorgado fuerza probatoria a indicios no investigados adecuadamente</w:t>
      </w:r>
      <w:r w:rsidR="009515BA" w:rsidRPr="009E773A">
        <w:rPr>
          <w:rStyle w:val="FootnoteReference"/>
          <w:rFonts w:asciiTheme="majorHAnsi" w:hAnsiTheme="majorHAnsi"/>
          <w:sz w:val="20"/>
          <w:szCs w:val="20"/>
          <w:lang w:val="es-ES"/>
        </w:rPr>
        <w:footnoteReference w:id="111"/>
      </w:r>
      <w:r w:rsidR="00A67632" w:rsidRPr="009E773A">
        <w:rPr>
          <w:rFonts w:asciiTheme="majorHAnsi" w:hAnsiTheme="majorHAnsi"/>
          <w:sz w:val="20"/>
          <w:szCs w:val="20"/>
          <w:lang w:val="es-ES"/>
        </w:rPr>
        <w:t>.</w:t>
      </w:r>
    </w:p>
    <w:p w14:paraId="158B323B" w14:textId="77777777" w:rsidR="00A67632" w:rsidRPr="009E773A" w:rsidRDefault="00A67632" w:rsidP="009A79B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9360"/>
        </w:tabs>
        <w:jc w:val="both"/>
        <w:rPr>
          <w:rFonts w:asciiTheme="majorHAnsi" w:hAnsiTheme="majorHAnsi"/>
          <w:sz w:val="20"/>
          <w:szCs w:val="20"/>
          <w:lang w:val="es-ES"/>
        </w:rPr>
      </w:pPr>
      <w:r w:rsidRPr="009E773A">
        <w:rPr>
          <w:rFonts w:asciiTheme="majorHAnsi" w:hAnsiTheme="majorHAnsi"/>
          <w:sz w:val="20"/>
          <w:szCs w:val="20"/>
          <w:lang w:val="es-ES"/>
        </w:rPr>
        <w:t xml:space="preserve">   </w:t>
      </w:r>
    </w:p>
    <w:p w14:paraId="1812B716" w14:textId="77777777" w:rsidR="00A67632" w:rsidRPr="009E773A" w:rsidRDefault="00C04ACA" w:rsidP="009A79B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9360"/>
        </w:tabs>
        <w:jc w:val="both"/>
        <w:rPr>
          <w:rFonts w:asciiTheme="majorHAnsi" w:hAnsiTheme="majorHAnsi"/>
          <w:sz w:val="20"/>
          <w:szCs w:val="20"/>
          <w:lang w:val="es-ES"/>
        </w:rPr>
      </w:pPr>
      <w:r w:rsidRPr="009E773A">
        <w:rPr>
          <w:rFonts w:asciiTheme="majorHAnsi" w:hAnsiTheme="majorHAnsi"/>
          <w:sz w:val="20"/>
          <w:szCs w:val="20"/>
          <w:lang w:val="es-ES"/>
        </w:rPr>
        <w:t>En la misma línea,</w:t>
      </w:r>
      <w:r w:rsidR="00CF0CAB" w:rsidRPr="009E773A">
        <w:rPr>
          <w:rFonts w:asciiTheme="majorHAnsi" w:hAnsiTheme="majorHAnsi"/>
          <w:sz w:val="20"/>
          <w:szCs w:val="20"/>
          <w:lang w:val="es-ES"/>
        </w:rPr>
        <w:t xml:space="preserve"> </w:t>
      </w:r>
      <w:r w:rsidR="00A67632" w:rsidRPr="009E773A">
        <w:rPr>
          <w:rFonts w:asciiTheme="majorHAnsi" w:hAnsiTheme="majorHAnsi"/>
          <w:sz w:val="20"/>
          <w:szCs w:val="20"/>
          <w:lang w:val="es-ES"/>
        </w:rPr>
        <w:t xml:space="preserve">la Corte ha reiterado que la falta de investigación de alegadas violaciones cometidas a una persona cuando existen indicios de participación de agentes estatales, “impide que el Estado presente una explicación satisfactoria y convincente de los </w:t>
      </w:r>
      <w:r w:rsidR="00A67632" w:rsidRPr="009E773A">
        <w:rPr>
          <w:rFonts w:asciiTheme="majorHAnsi" w:hAnsiTheme="majorHAnsi" w:cs="Arial"/>
          <w:sz w:val="20"/>
          <w:szCs w:val="20"/>
          <w:lang w:val="es-ES"/>
        </w:rPr>
        <w:t>[hechos]</w:t>
      </w:r>
      <w:r w:rsidR="00A67632" w:rsidRPr="009E773A">
        <w:rPr>
          <w:rFonts w:asciiTheme="majorHAnsi" w:hAnsiTheme="majorHAnsi"/>
          <w:sz w:val="20"/>
          <w:szCs w:val="20"/>
          <w:lang w:val="es-ES"/>
        </w:rPr>
        <w:t xml:space="preserve"> alegados y desvirtuar las alegaciones sobre su responsabilidad, mediante elementos probatorios adecuados”</w:t>
      </w:r>
      <w:r w:rsidR="00A67632" w:rsidRPr="009E773A">
        <w:rPr>
          <w:rStyle w:val="FootnoteReference"/>
          <w:rFonts w:asciiTheme="majorHAnsi" w:hAnsiTheme="majorHAnsi"/>
          <w:sz w:val="20"/>
          <w:szCs w:val="20"/>
          <w:lang w:val="es-ES"/>
        </w:rPr>
        <w:footnoteReference w:id="112"/>
      </w:r>
      <w:r w:rsidR="00A67632" w:rsidRPr="009E773A">
        <w:rPr>
          <w:rFonts w:asciiTheme="majorHAnsi" w:hAnsiTheme="majorHAnsi"/>
          <w:sz w:val="20"/>
          <w:szCs w:val="20"/>
          <w:lang w:val="es-ES"/>
        </w:rPr>
        <w:t xml:space="preserve">. De esta forma, la Corte </w:t>
      </w:r>
      <w:r w:rsidR="00CF0CAB" w:rsidRPr="009E773A">
        <w:rPr>
          <w:rFonts w:asciiTheme="majorHAnsi" w:hAnsiTheme="majorHAnsi"/>
          <w:sz w:val="20"/>
          <w:szCs w:val="20"/>
          <w:lang w:val="es-ES"/>
        </w:rPr>
        <w:t>ha entendido que los indicios de participación de agentes estatales, ante la</w:t>
      </w:r>
      <w:r w:rsidR="00A67632" w:rsidRPr="009E773A">
        <w:rPr>
          <w:rFonts w:asciiTheme="majorHAnsi" w:hAnsiTheme="majorHAnsi"/>
          <w:sz w:val="20"/>
          <w:szCs w:val="20"/>
          <w:lang w:val="es-ES"/>
        </w:rPr>
        <w:t xml:space="preserve"> falta de esclarecimiento </w:t>
      </w:r>
      <w:r w:rsidR="00CF0CAB" w:rsidRPr="009E773A">
        <w:rPr>
          <w:rFonts w:asciiTheme="majorHAnsi" w:hAnsiTheme="majorHAnsi"/>
          <w:sz w:val="20"/>
          <w:szCs w:val="20"/>
          <w:lang w:val="es-ES"/>
        </w:rPr>
        <w:t>e investigación</w:t>
      </w:r>
      <w:r w:rsidR="00CF0CAB" w:rsidRPr="009E773A">
        <w:rPr>
          <w:rStyle w:val="FootnoteReference"/>
          <w:rFonts w:asciiTheme="majorHAnsi" w:hAnsiTheme="majorHAnsi"/>
          <w:sz w:val="20"/>
          <w:szCs w:val="20"/>
          <w:lang w:val="es-ES"/>
        </w:rPr>
        <w:footnoteReference w:id="113"/>
      </w:r>
      <w:r w:rsidR="00CF0CAB" w:rsidRPr="009E773A">
        <w:rPr>
          <w:rFonts w:asciiTheme="majorHAnsi" w:hAnsiTheme="majorHAnsi"/>
          <w:sz w:val="20"/>
          <w:szCs w:val="20"/>
          <w:lang w:val="es-ES"/>
        </w:rPr>
        <w:t xml:space="preserve">., cobran valor probatorio pues que “concluir lo contrario </w:t>
      </w:r>
      <w:r w:rsidR="00185AFE" w:rsidRPr="009E773A">
        <w:rPr>
          <w:rFonts w:asciiTheme="majorHAnsi" w:hAnsiTheme="majorHAnsi"/>
          <w:sz w:val="20"/>
          <w:szCs w:val="20"/>
          <w:lang w:val="es-ES"/>
        </w:rPr>
        <w:t>implicaría</w:t>
      </w:r>
      <w:r w:rsidR="00CF0CAB" w:rsidRPr="009E773A">
        <w:rPr>
          <w:rFonts w:asciiTheme="majorHAnsi" w:hAnsiTheme="majorHAnsi"/>
          <w:sz w:val="20"/>
          <w:szCs w:val="20"/>
          <w:lang w:val="es-ES"/>
        </w:rPr>
        <w:t xml:space="preserve"> permitir al Estado ampararse en la negligencia e inefectividad de la investigación penal para sustraerse de su responsabilidad por la violación del artículo 4.1 de la Convención”</w:t>
      </w:r>
      <w:r w:rsidR="00CF0CAB" w:rsidRPr="009E773A">
        <w:rPr>
          <w:rStyle w:val="FootnoteReference"/>
          <w:rFonts w:asciiTheme="majorHAnsi" w:hAnsiTheme="majorHAnsi"/>
          <w:sz w:val="20"/>
          <w:szCs w:val="20"/>
          <w:lang w:val="es-ES"/>
        </w:rPr>
        <w:footnoteReference w:id="114"/>
      </w:r>
      <w:r w:rsidR="00CF0CAB" w:rsidRPr="009E773A">
        <w:rPr>
          <w:rFonts w:asciiTheme="majorHAnsi" w:hAnsiTheme="majorHAnsi"/>
          <w:sz w:val="20"/>
          <w:szCs w:val="20"/>
          <w:lang w:val="es-ES"/>
        </w:rPr>
        <w:t>.</w:t>
      </w:r>
    </w:p>
    <w:p w14:paraId="21067C91" w14:textId="77777777" w:rsidR="00A67632" w:rsidRPr="009E773A" w:rsidRDefault="00A67632" w:rsidP="009A79B6">
      <w:pPr>
        <w:tabs>
          <w:tab w:val="left" w:pos="1440"/>
        </w:tabs>
        <w:ind w:left="720"/>
        <w:jc w:val="both"/>
        <w:rPr>
          <w:rFonts w:asciiTheme="majorHAnsi" w:hAnsiTheme="majorHAnsi"/>
          <w:sz w:val="20"/>
          <w:szCs w:val="20"/>
          <w:lang w:val="es-ES"/>
        </w:rPr>
      </w:pPr>
    </w:p>
    <w:p w14:paraId="10E59BA6" w14:textId="3D0B793F" w:rsidR="00212F6A" w:rsidRPr="009E773A" w:rsidRDefault="00212F6A" w:rsidP="009A79B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9360"/>
        </w:tabs>
        <w:jc w:val="both"/>
        <w:rPr>
          <w:rFonts w:asciiTheme="majorHAnsi" w:hAnsiTheme="majorHAnsi"/>
          <w:sz w:val="20"/>
          <w:szCs w:val="20"/>
          <w:lang w:val="es-ES"/>
        </w:rPr>
      </w:pPr>
      <w:r w:rsidRPr="009E773A">
        <w:rPr>
          <w:rFonts w:asciiTheme="majorHAnsi" w:hAnsiTheme="majorHAnsi"/>
          <w:sz w:val="20"/>
        </w:rPr>
        <w:t xml:space="preserve">Asimismo, </w:t>
      </w:r>
      <w:r w:rsidR="00D8194C" w:rsidRPr="009E773A">
        <w:rPr>
          <w:rFonts w:asciiTheme="majorHAnsi" w:hAnsiTheme="majorHAnsi"/>
          <w:sz w:val="20"/>
        </w:rPr>
        <w:t xml:space="preserve">y respecto del deber de garantía, </w:t>
      </w:r>
      <w:r w:rsidRPr="009E773A">
        <w:rPr>
          <w:rFonts w:asciiTheme="majorHAnsi" w:hAnsiTheme="majorHAnsi"/>
          <w:sz w:val="20"/>
        </w:rPr>
        <w:t>la Comisión ha indicado que la falta de protección de una persona cuando se ha solicitado dicha protección, implica dejarla en situación de indefensión y facilitar violaciones de derechos humanos en su perjuicio, en abierto desconocimiento del deber de prevención</w:t>
      </w:r>
      <w:r w:rsidRPr="009E773A">
        <w:rPr>
          <w:rStyle w:val="FootnoteReference"/>
          <w:rFonts w:asciiTheme="majorHAnsi" w:hAnsiTheme="majorHAnsi"/>
          <w:sz w:val="20"/>
        </w:rPr>
        <w:footnoteReference w:id="115"/>
      </w:r>
      <w:r w:rsidRPr="009E773A">
        <w:rPr>
          <w:rFonts w:asciiTheme="majorHAnsi" w:hAnsiTheme="majorHAnsi"/>
          <w:sz w:val="20"/>
        </w:rPr>
        <w:t>.</w:t>
      </w:r>
      <w:r w:rsidRPr="009E773A">
        <w:rPr>
          <w:rFonts w:asciiTheme="majorHAnsi" w:hAnsiTheme="majorHAnsi"/>
          <w:sz w:val="20"/>
          <w:szCs w:val="20"/>
          <w:lang w:val="es-ES"/>
        </w:rPr>
        <w:t xml:space="preserve"> Específicamente, s</w:t>
      </w:r>
      <w:r w:rsidRPr="009E773A">
        <w:rPr>
          <w:rFonts w:asciiTheme="majorHAnsi" w:hAnsiTheme="majorHAnsi"/>
          <w:sz w:val="20"/>
          <w:szCs w:val="20"/>
          <w:lang w:val="es-ES_tradnl"/>
        </w:rPr>
        <w:t>obre este deber,</w:t>
      </w:r>
      <w:r w:rsidR="00185AFE" w:rsidRPr="009E773A">
        <w:rPr>
          <w:rFonts w:asciiTheme="majorHAnsi" w:hAnsiTheme="majorHAnsi"/>
          <w:sz w:val="20"/>
          <w:szCs w:val="20"/>
          <w:lang w:val="es-ES_tradnl"/>
        </w:rPr>
        <w:t xml:space="preserve"> la Corte ha indicado que “un Estado no puede ser responsable por cualquier violación de derechos humanos cometida entre particulares dentro de su jurisdicción. En efecto, el carácter </w:t>
      </w:r>
      <w:r w:rsidR="00185AFE" w:rsidRPr="009E773A">
        <w:rPr>
          <w:rFonts w:asciiTheme="majorHAnsi" w:hAnsiTheme="majorHAnsi"/>
          <w:i/>
          <w:sz w:val="20"/>
          <w:szCs w:val="20"/>
          <w:lang w:val="es-ES_tradnl"/>
        </w:rPr>
        <w:t xml:space="preserve">erga omnes </w:t>
      </w:r>
      <w:r w:rsidR="00185AFE" w:rsidRPr="009E773A">
        <w:rPr>
          <w:rFonts w:asciiTheme="majorHAnsi" w:hAnsiTheme="majorHAnsi" w:cs="Arial"/>
          <w:sz w:val="20"/>
          <w:szCs w:val="20"/>
          <w:lang w:val="es-PE"/>
        </w:rPr>
        <w:t>de</w:t>
      </w:r>
      <w:r w:rsidR="00185AFE" w:rsidRPr="009E773A">
        <w:rPr>
          <w:rFonts w:asciiTheme="majorHAnsi" w:hAnsiTheme="majorHAnsi"/>
          <w:sz w:val="20"/>
          <w:szCs w:val="20"/>
          <w:lang w:val="es-ES_tradnl"/>
        </w:rPr>
        <w:t xml:space="preserve"> las obligaciones convencionales de garantía a cargo de los Estados no implica una responsabilidad ilimitada de los Estados frente a cualquier acto o hecho de particulares, pues sus deberes de adoptar medidas de prevención y protección en sus relaciones entre sí</w:t>
      </w:r>
      <w:r w:rsidR="00185AFE" w:rsidRPr="009E773A">
        <w:rPr>
          <w:rFonts w:asciiTheme="majorHAnsi" w:hAnsiTheme="majorHAnsi"/>
          <w:b/>
          <w:sz w:val="20"/>
          <w:szCs w:val="20"/>
          <w:lang w:val="es-ES_tradnl"/>
        </w:rPr>
        <w:t xml:space="preserve"> </w:t>
      </w:r>
      <w:r w:rsidR="00185AFE" w:rsidRPr="009E773A">
        <w:rPr>
          <w:rFonts w:asciiTheme="majorHAnsi" w:hAnsiTheme="majorHAnsi"/>
          <w:sz w:val="20"/>
          <w:szCs w:val="20"/>
          <w:lang w:val="es-ES_tradnl"/>
        </w:rPr>
        <w:t>se encuentran condicionados</w:t>
      </w:r>
      <w:r w:rsidR="00337D41" w:rsidRPr="009E773A">
        <w:rPr>
          <w:rFonts w:asciiTheme="majorHAnsi" w:hAnsiTheme="majorHAnsi"/>
          <w:sz w:val="20"/>
          <w:szCs w:val="20"/>
          <w:lang w:val="es-ES_tradnl"/>
        </w:rPr>
        <w:t>”</w:t>
      </w:r>
      <w:r w:rsidR="009C712C" w:rsidRPr="009E773A">
        <w:rPr>
          <w:rStyle w:val="FootnoteReference"/>
          <w:rFonts w:asciiTheme="majorHAnsi" w:hAnsiTheme="majorHAnsi"/>
          <w:sz w:val="20"/>
          <w:szCs w:val="20"/>
          <w:lang w:val="es-ES"/>
        </w:rPr>
        <w:footnoteReference w:id="116"/>
      </w:r>
      <w:r w:rsidR="00185AFE" w:rsidRPr="009E773A">
        <w:rPr>
          <w:rFonts w:asciiTheme="majorHAnsi" w:hAnsiTheme="majorHAnsi"/>
          <w:sz w:val="20"/>
          <w:szCs w:val="20"/>
          <w:lang w:val="es-ES_tradnl"/>
        </w:rPr>
        <w:t xml:space="preserve"> a: </w:t>
      </w:r>
      <w:r w:rsidR="00185AFE" w:rsidRPr="009E773A">
        <w:rPr>
          <w:rFonts w:asciiTheme="majorHAnsi" w:hAnsiTheme="majorHAnsi"/>
          <w:sz w:val="20"/>
          <w:szCs w:val="20"/>
          <w:lang w:val="es-US"/>
        </w:rPr>
        <w:t>i) si el Estado tenía o debía tener conocimiento de una situación de riesgo; ii) si dicho riesgo era real e inmediato;  y iii) si el Estado adoptó las medidas que razonablemente se esperaban para evitar que dicho riesgo se verificara</w:t>
      </w:r>
      <w:r w:rsidR="00185AFE" w:rsidRPr="009E773A">
        <w:rPr>
          <w:rStyle w:val="FootnoteReference"/>
          <w:rFonts w:asciiTheme="majorHAnsi" w:hAnsiTheme="majorHAnsi" w:cs="Arial"/>
          <w:sz w:val="20"/>
          <w:szCs w:val="20"/>
          <w:lang w:val="es-CR"/>
        </w:rPr>
        <w:footnoteReference w:id="117"/>
      </w:r>
      <w:r w:rsidR="00185AFE" w:rsidRPr="009E773A">
        <w:rPr>
          <w:rFonts w:asciiTheme="majorHAnsi" w:hAnsiTheme="majorHAnsi"/>
          <w:sz w:val="20"/>
          <w:szCs w:val="20"/>
          <w:lang w:val="es-US"/>
        </w:rPr>
        <w:t>.</w:t>
      </w:r>
    </w:p>
    <w:p w14:paraId="5390E208" w14:textId="77777777" w:rsidR="00212F6A" w:rsidRPr="009E773A" w:rsidRDefault="00212F6A" w:rsidP="009A79B6">
      <w:pPr>
        <w:pStyle w:val="ListParagraph"/>
        <w:rPr>
          <w:rFonts w:asciiTheme="majorHAnsi" w:hAnsiTheme="majorHAnsi"/>
          <w:sz w:val="20"/>
          <w:szCs w:val="20"/>
          <w:lang w:val="es-ES"/>
        </w:rPr>
      </w:pPr>
    </w:p>
    <w:p w14:paraId="783C259E" w14:textId="1EEC1C64" w:rsidR="00F67A0F" w:rsidRPr="009E773A" w:rsidRDefault="00EB657F" w:rsidP="009A79B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9360"/>
        </w:tabs>
        <w:jc w:val="both"/>
        <w:rPr>
          <w:rFonts w:asciiTheme="majorHAnsi" w:hAnsiTheme="majorHAnsi" w:cs="Verdana"/>
          <w:sz w:val="20"/>
          <w:szCs w:val="20"/>
          <w:lang w:val="es-US"/>
        </w:rPr>
      </w:pPr>
      <w:r w:rsidRPr="009E773A">
        <w:rPr>
          <w:rFonts w:asciiTheme="majorHAnsi" w:hAnsiTheme="majorHAnsi"/>
          <w:sz w:val="20"/>
          <w:szCs w:val="20"/>
          <w:lang w:val="es-ES"/>
        </w:rPr>
        <w:t>La Comisión recuerda que</w:t>
      </w:r>
      <w:r w:rsidR="005D3C86" w:rsidRPr="009E773A">
        <w:rPr>
          <w:rFonts w:asciiTheme="majorHAnsi" w:hAnsiTheme="majorHAnsi"/>
          <w:sz w:val="20"/>
          <w:szCs w:val="20"/>
          <w:lang w:val="es-ES"/>
        </w:rPr>
        <w:t xml:space="preserve"> en casos de ejecuciones extrajudiciales, dependiendo de las características de la misma, es posible desprender otras vulneraciones de derechos humanos, como del derecho a la integridad</w:t>
      </w:r>
      <w:r w:rsidR="0018617F" w:rsidRPr="009E773A">
        <w:rPr>
          <w:rFonts w:asciiTheme="majorHAnsi" w:hAnsiTheme="majorHAnsi"/>
          <w:sz w:val="20"/>
          <w:szCs w:val="20"/>
          <w:lang w:val="es-ES"/>
        </w:rPr>
        <w:t xml:space="preserve"> personal</w:t>
      </w:r>
      <w:r w:rsidR="005D3C86" w:rsidRPr="009E773A">
        <w:rPr>
          <w:rFonts w:asciiTheme="majorHAnsi" w:hAnsiTheme="majorHAnsi"/>
          <w:sz w:val="20"/>
          <w:szCs w:val="20"/>
          <w:lang w:val="es-ES"/>
        </w:rPr>
        <w:t>. En estos términos, la Corte Interamericana ha determinado que “es razonable presumir que, en los momentos previos a la privación de la vida [los ejecutados] sufrieron un temor profundo ante el peligro real e inminente de que el hecho culminaría con su propia muerte, tal como efectivamente ocurrió”</w:t>
      </w:r>
      <w:r w:rsidR="005D3C86" w:rsidRPr="009E773A">
        <w:rPr>
          <w:rStyle w:val="FootnoteReference"/>
          <w:rFonts w:asciiTheme="majorHAnsi" w:hAnsiTheme="majorHAnsi"/>
          <w:sz w:val="20"/>
          <w:szCs w:val="20"/>
          <w:lang w:val="es-ES"/>
        </w:rPr>
        <w:footnoteReference w:id="118"/>
      </w:r>
      <w:r w:rsidR="005D3C86" w:rsidRPr="009E773A">
        <w:rPr>
          <w:rFonts w:asciiTheme="majorHAnsi" w:hAnsiTheme="majorHAnsi"/>
          <w:sz w:val="20"/>
          <w:szCs w:val="20"/>
          <w:lang w:val="es-ES"/>
        </w:rPr>
        <w:t xml:space="preserve"> lo que conlleva a la vulneración del derecho a la integridad personal consagrado en el artículo 5 de la Convención Americana. </w:t>
      </w:r>
      <w:r w:rsidR="00212F6A" w:rsidRPr="009E773A">
        <w:rPr>
          <w:rFonts w:asciiTheme="majorHAnsi" w:hAnsiTheme="majorHAnsi"/>
          <w:sz w:val="20"/>
          <w:szCs w:val="20"/>
          <w:lang w:val="es-ES"/>
        </w:rPr>
        <w:t xml:space="preserve">La Comisión </w:t>
      </w:r>
      <w:r w:rsidR="00B11E17" w:rsidRPr="009E773A">
        <w:rPr>
          <w:rFonts w:asciiTheme="majorHAnsi" w:hAnsiTheme="majorHAnsi"/>
          <w:sz w:val="20"/>
          <w:szCs w:val="20"/>
          <w:lang w:val="es-ES"/>
        </w:rPr>
        <w:t>reitera que, en determinadas circunstancias, el anuncio o amenaza real e inminente de privación arbitraria de la vida constituyen de por sí un trato inhumano</w:t>
      </w:r>
      <w:r w:rsidR="00B11E17" w:rsidRPr="009E773A">
        <w:rPr>
          <w:rStyle w:val="FootnoteReference"/>
          <w:rFonts w:asciiTheme="majorHAnsi" w:hAnsiTheme="majorHAnsi"/>
          <w:sz w:val="20"/>
          <w:szCs w:val="20"/>
          <w:lang w:val="es-ES"/>
        </w:rPr>
        <w:footnoteReference w:id="119"/>
      </w:r>
      <w:r w:rsidR="00B11E17" w:rsidRPr="009E773A">
        <w:rPr>
          <w:rFonts w:asciiTheme="majorHAnsi" w:hAnsiTheme="majorHAnsi"/>
          <w:sz w:val="20"/>
          <w:szCs w:val="20"/>
          <w:lang w:val="es-ES"/>
        </w:rPr>
        <w:t xml:space="preserve">. </w:t>
      </w:r>
    </w:p>
    <w:p w14:paraId="367C2100" w14:textId="77777777" w:rsidR="009515BA" w:rsidRPr="009E773A" w:rsidRDefault="009515BA" w:rsidP="009A79B6">
      <w:pPr>
        <w:pStyle w:val="ListParagraph"/>
        <w:rPr>
          <w:rFonts w:asciiTheme="majorHAnsi" w:hAnsiTheme="majorHAnsi" w:cs="Verdana"/>
          <w:sz w:val="20"/>
          <w:szCs w:val="20"/>
          <w:lang w:val="es-US"/>
        </w:rPr>
      </w:pPr>
    </w:p>
    <w:p w14:paraId="530AC78E" w14:textId="77777777" w:rsidR="005D3C86" w:rsidRPr="009E773A" w:rsidRDefault="00CB064D" w:rsidP="009A79B6">
      <w:pPr>
        <w:pStyle w:val="Heading3"/>
        <w:rPr>
          <w:lang w:val="es-ES"/>
        </w:rPr>
      </w:pPr>
      <w:bookmarkStart w:id="27" w:name="_Toc520804261"/>
      <w:bookmarkStart w:id="28" w:name="_Toc2157191"/>
      <w:bookmarkStart w:id="29" w:name="_Toc2157245"/>
      <w:bookmarkStart w:id="30" w:name="_Toc2159219"/>
      <w:r w:rsidRPr="009E773A">
        <w:rPr>
          <w:lang w:val="es-ES_tradnl"/>
        </w:rPr>
        <w:lastRenderedPageBreak/>
        <w:t>Determinación de la atribución de responsabilidad internacional al Estado</w:t>
      </w:r>
      <w:r w:rsidR="00EE1C3F" w:rsidRPr="009E773A">
        <w:rPr>
          <w:lang w:val="es-ES_tradnl"/>
        </w:rPr>
        <w:t xml:space="preserve"> por la </w:t>
      </w:r>
      <w:r w:rsidRPr="009E773A">
        <w:rPr>
          <w:lang w:val="es-ES_tradnl"/>
        </w:rPr>
        <w:t xml:space="preserve">muerte </w:t>
      </w:r>
      <w:r w:rsidR="005D3C86" w:rsidRPr="009E773A">
        <w:rPr>
          <w:lang w:val="es-ES"/>
        </w:rPr>
        <w:t>de Jimmy Guerrero y Ramón Molina</w:t>
      </w:r>
      <w:bookmarkEnd w:id="27"/>
      <w:bookmarkEnd w:id="28"/>
      <w:bookmarkEnd w:id="29"/>
      <w:bookmarkEnd w:id="30"/>
    </w:p>
    <w:p w14:paraId="5F966228" w14:textId="77777777" w:rsidR="004E585D" w:rsidRPr="009E773A" w:rsidRDefault="004E585D" w:rsidP="009A79B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Theme="majorHAnsi" w:hAnsiTheme="majorHAnsi"/>
          <w:sz w:val="20"/>
          <w:szCs w:val="20"/>
          <w:lang w:val="es-ES"/>
        </w:rPr>
      </w:pPr>
    </w:p>
    <w:p w14:paraId="274094FD" w14:textId="2E688260" w:rsidR="00162FD8" w:rsidRPr="009E773A" w:rsidRDefault="00162FD8" w:rsidP="009A79B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9360"/>
        </w:tabs>
        <w:jc w:val="both"/>
        <w:rPr>
          <w:rFonts w:asciiTheme="majorHAnsi" w:hAnsiTheme="majorHAnsi"/>
          <w:sz w:val="20"/>
          <w:szCs w:val="20"/>
          <w:lang w:val="es-ES"/>
        </w:rPr>
      </w:pPr>
      <w:r w:rsidRPr="009E773A">
        <w:rPr>
          <w:rFonts w:asciiTheme="majorHAnsi" w:hAnsiTheme="majorHAnsi"/>
          <w:sz w:val="20"/>
          <w:szCs w:val="20"/>
          <w:lang w:val="es-ES"/>
        </w:rPr>
        <w:t>A continuación</w:t>
      </w:r>
      <w:r w:rsidR="000A7D60" w:rsidRPr="009E773A">
        <w:rPr>
          <w:rFonts w:asciiTheme="majorHAnsi" w:hAnsiTheme="majorHAnsi"/>
          <w:sz w:val="20"/>
          <w:szCs w:val="20"/>
          <w:lang w:val="es-ES"/>
        </w:rPr>
        <w:t>,</w:t>
      </w:r>
      <w:r w:rsidRPr="009E773A">
        <w:rPr>
          <w:rFonts w:asciiTheme="majorHAnsi" w:hAnsiTheme="majorHAnsi"/>
          <w:sz w:val="20"/>
          <w:szCs w:val="20"/>
          <w:lang w:val="es-ES"/>
        </w:rPr>
        <w:t xml:space="preserve"> la Comisión determinará si </w:t>
      </w:r>
      <w:r w:rsidR="00EE632A" w:rsidRPr="009E773A">
        <w:rPr>
          <w:rFonts w:asciiTheme="majorHAnsi" w:hAnsiTheme="majorHAnsi"/>
          <w:sz w:val="20"/>
          <w:szCs w:val="20"/>
          <w:lang w:val="es-ES"/>
        </w:rPr>
        <w:t xml:space="preserve"> el Estado venezolano es responsable</w:t>
      </w:r>
      <w:r w:rsidR="00C434F3" w:rsidRPr="009E773A">
        <w:rPr>
          <w:rFonts w:asciiTheme="majorHAnsi" w:hAnsiTheme="majorHAnsi"/>
          <w:sz w:val="20"/>
          <w:szCs w:val="20"/>
          <w:lang w:val="es-ES"/>
        </w:rPr>
        <w:t xml:space="preserve"> internacionalmente </w:t>
      </w:r>
      <w:r w:rsidRPr="009E773A">
        <w:rPr>
          <w:rFonts w:asciiTheme="majorHAnsi" w:hAnsiTheme="majorHAnsi"/>
          <w:sz w:val="20"/>
          <w:szCs w:val="20"/>
          <w:lang w:val="es-ES"/>
        </w:rPr>
        <w:t>por las muertes de Jimmy Guerrero y Ramón Molina. E</w:t>
      </w:r>
      <w:r w:rsidR="00267006" w:rsidRPr="009E773A">
        <w:rPr>
          <w:rFonts w:asciiTheme="majorHAnsi" w:hAnsiTheme="majorHAnsi"/>
          <w:sz w:val="20"/>
          <w:szCs w:val="20"/>
          <w:lang w:val="es-ES"/>
        </w:rPr>
        <w:t xml:space="preserve">n el presente caso </w:t>
      </w:r>
      <w:r w:rsidR="006F1640" w:rsidRPr="009E773A">
        <w:rPr>
          <w:rFonts w:asciiTheme="majorHAnsi" w:hAnsiTheme="majorHAnsi"/>
          <w:sz w:val="20"/>
          <w:szCs w:val="20"/>
          <w:lang w:val="es-ES"/>
        </w:rPr>
        <w:t xml:space="preserve">existen </w:t>
      </w:r>
      <w:r w:rsidR="00A71244" w:rsidRPr="009E773A">
        <w:rPr>
          <w:rFonts w:asciiTheme="majorHAnsi" w:hAnsiTheme="majorHAnsi"/>
          <w:sz w:val="20"/>
          <w:szCs w:val="20"/>
          <w:lang w:val="es-ES"/>
        </w:rPr>
        <w:t xml:space="preserve">diversas </w:t>
      </w:r>
      <w:r w:rsidRPr="009E773A">
        <w:rPr>
          <w:rFonts w:asciiTheme="majorHAnsi" w:hAnsiTheme="majorHAnsi"/>
          <w:sz w:val="20"/>
          <w:szCs w:val="20"/>
          <w:lang w:val="es-ES"/>
        </w:rPr>
        <w:t>narrativas</w:t>
      </w:r>
      <w:r w:rsidR="007E225A" w:rsidRPr="009E773A">
        <w:rPr>
          <w:rFonts w:asciiTheme="majorHAnsi" w:hAnsiTheme="majorHAnsi"/>
          <w:sz w:val="20"/>
          <w:szCs w:val="20"/>
          <w:lang w:val="es-ES"/>
        </w:rPr>
        <w:t xml:space="preserve"> sobre las circunstancias de las muertes y la participación de agentes estatales en las mismas</w:t>
      </w:r>
      <w:r w:rsidR="000F5C79" w:rsidRPr="009E773A">
        <w:rPr>
          <w:rFonts w:asciiTheme="majorHAnsi" w:hAnsiTheme="majorHAnsi"/>
          <w:sz w:val="20"/>
          <w:szCs w:val="20"/>
          <w:lang w:val="es-ES"/>
        </w:rPr>
        <w:t xml:space="preserve">. En ese sentido, </w:t>
      </w:r>
      <w:r w:rsidRPr="009E773A">
        <w:rPr>
          <w:rFonts w:asciiTheme="majorHAnsi" w:hAnsiTheme="majorHAnsi"/>
          <w:sz w:val="20"/>
          <w:szCs w:val="20"/>
          <w:lang w:val="es-ES"/>
        </w:rPr>
        <w:t xml:space="preserve">la Comisión analizará los indicios que rodean los asesinatos en cuestión y que fluyen de la prueba incorporada en el expediente. </w:t>
      </w:r>
      <w:r w:rsidRPr="009E773A">
        <w:rPr>
          <w:rFonts w:asciiTheme="majorHAnsi" w:hAnsiTheme="majorHAnsi"/>
          <w:bCs/>
          <w:sz w:val="20"/>
          <w:szCs w:val="20"/>
        </w:rPr>
        <w:t>La Comisión recuerda que no le compete</w:t>
      </w:r>
      <w:r w:rsidR="002F51A8" w:rsidRPr="009E773A">
        <w:rPr>
          <w:rFonts w:asciiTheme="majorHAnsi" w:hAnsiTheme="majorHAnsi"/>
          <w:bCs/>
          <w:sz w:val="20"/>
          <w:szCs w:val="20"/>
        </w:rPr>
        <w:t xml:space="preserve"> </w:t>
      </w:r>
      <w:r w:rsidRPr="009E773A">
        <w:rPr>
          <w:rFonts w:asciiTheme="majorHAnsi" w:hAnsiTheme="majorHAnsi"/>
          <w:bCs/>
          <w:sz w:val="20"/>
          <w:szCs w:val="20"/>
        </w:rPr>
        <w:t>determinar responsabilidades penales individuales sino si existen suficientes elementos que, vistos en su conjunto, permitan concluir la participación del Estado en los hechos.</w:t>
      </w:r>
    </w:p>
    <w:p w14:paraId="73A07C6F" w14:textId="77777777" w:rsidR="00162FD8" w:rsidRPr="009E773A" w:rsidRDefault="00162FD8" w:rsidP="009A79B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lang w:val="es-ES"/>
        </w:rPr>
      </w:pPr>
    </w:p>
    <w:p w14:paraId="181CE292" w14:textId="58877458" w:rsidR="00F56B8E" w:rsidRPr="009E773A" w:rsidRDefault="00775326" w:rsidP="009A79B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9360"/>
        </w:tabs>
        <w:jc w:val="both"/>
        <w:rPr>
          <w:rFonts w:asciiTheme="majorHAnsi" w:hAnsiTheme="majorHAnsi"/>
          <w:sz w:val="20"/>
          <w:szCs w:val="20"/>
          <w:lang w:val="es-ES"/>
        </w:rPr>
      </w:pPr>
      <w:r w:rsidRPr="009E773A">
        <w:rPr>
          <w:rFonts w:asciiTheme="majorHAnsi" w:hAnsiTheme="majorHAnsi"/>
          <w:sz w:val="20"/>
          <w:szCs w:val="20"/>
          <w:lang w:val="es-ES"/>
        </w:rPr>
        <w:t xml:space="preserve">En primer lugar, </w:t>
      </w:r>
      <w:r w:rsidR="00CB064D" w:rsidRPr="009E773A">
        <w:rPr>
          <w:rFonts w:asciiTheme="majorHAnsi" w:hAnsiTheme="majorHAnsi"/>
          <w:sz w:val="20"/>
          <w:szCs w:val="20"/>
          <w:lang w:val="es-ES"/>
        </w:rPr>
        <w:t>la Comisión encuentra</w:t>
      </w:r>
      <w:r w:rsidRPr="009E773A">
        <w:rPr>
          <w:rFonts w:asciiTheme="majorHAnsi" w:hAnsiTheme="majorHAnsi"/>
          <w:sz w:val="20"/>
          <w:szCs w:val="20"/>
          <w:lang w:val="es-ES"/>
        </w:rPr>
        <w:t xml:space="preserve"> que existen antecedentes formalmente denunciados</w:t>
      </w:r>
      <w:r w:rsidR="007D4650" w:rsidRPr="009E773A">
        <w:rPr>
          <w:rFonts w:asciiTheme="majorHAnsi" w:hAnsiTheme="majorHAnsi"/>
          <w:sz w:val="20"/>
          <w:szCs w:val="20"/>
          <w:lang w:val="es-ES"/>
        </w:rPr>
        <w:t xml:space="preserve"> de </w:t>
      </w:r>
      <w:r w:rsidR="00CB064D" w:rsidRPr="009E773A">
        <w:rPr>
          <w:rFonts w:asciiTheme="majorHAnsi" w:hAnsiTheme="majorHAnsi"/>
          <w:sz w:val="20"/>
          <w:szCs w:val="20"/>
          <w:lang w:val="es-ES"/>
        </w:rPr>
        <w:t>persecución policial no investigada ejercida contra Jimmy Guerrero</w:t>
      </w:r>
      <w:r w:rsidR="007D4650" w:rsidRPr="009E773A">
        <w:rPr>
          <w:rFonts w:asciiTheme="majorHAnsi" w:hAnsiTheme="majorHAnsi"/>
          <w:sz w:val="20"/>
          <w:szCs w:val="20"/>
          <w:lang w:val="es-ES"/>
        </w:rPr>
        <w:t>. La Comisión observa que las primeras intervenciones</w:t>
      </w:r>
      <w:r w:rsidR="006B4311" w:rsidRPr="009E773A">
        <w:rPr>
          <w:rFonts w:asciiTheme="majorHAnsi" w:hAnsiTheme="majorHAnsi"/>
          <w:sz w:val="20"/>
          <w:szCs w:val="20"/>
          <w:lang w:val="es-ES"/>
        </w:rPr>
        <w:t xml:space="preserve"> denunciadas</w:t>
      </w:r>
      <w:r w:rsidR="00144C87" w:rsidRPr="009E773A">
        <w:rPr>
          <w:rFonts w:asciiTheme="majorHAnsi" w:hAnsiTheme="majorHAnsi"/>
          <w:sz w:val="20"/>
          <w:szCs w:val="20"/>
          <w:lang w:val="es-ES"/>
        </w:rPr>
        <w:t>, que incluyeron amenazas de muerte,</w:t>
      </w:r>
      <w:r w:rsidR="007D4650" w:rsidRPr="009E773A">
        <w:rPr>
          <w:rFonts w:asciiTheme="majorHAnsi" w:hAnsiTheme="majorHAnsi"/>
          <w:sz w:val="20"/>
          <w:szCs w:val="20"/>
          <w:lang w:val="es-ES"/>
        </w:rPr>
        <w:t xml:space="preserve"> fueron seguidas por detenciones sin orden judicial, acreditadas por Defensoría del Pueblo y</w:t>
      </w:r>
      <w:r w:rsidR="00CB064D" w:rsidRPr="009E773A">
        <w:rPr>
          <w:rFonts w:asciiTheme="majorHAnsi" w:hAnsiTheme="majorHAnsi"/>
          <w:sz w:val="20"/>
          <w:szCs w:val="20"/>
          <w:lang w:val="es-ES"/>
        </w:rPr>
        <w:t xml:space="preserve"> malos tratos </w:t>
      </w:r>
      <w:r w:rsidR="007D4650" w:rsidRPr="009E773A">
        <w:rPr>
          <w:rFonts w:asciiTheme="majorHAnsi" w:hAnsiTheme="majorHAnsi"/>
          <w:sz w:val="20"/>
          <w:szCs w:val="20"/>
          <w:lang w:val="es-ES"/>
        </w:rPr>
        <w:t>respecto de los cuáles incluso existe un informe médico legal. Así, l</w:t>
      </w:r>
      <w:r w:rsidR="00CB064D" w:rsidRPr="009E773A">
        <w:rPr>
          <w:rFonts w:asciiTheme="majorHAnsi" w:hAnsiTheme="majorHAnsi"/>
          <w:sz w:val="20"/>
          <w:szCs w:val="20"/>
          <w:lang w:val="es-ES"/>
        </w:rPr>
        <w:t>a CIDH observa un patrón incremental en los contactos sostenidos entre agentes estatales y Jimmy Guerrero en razón de su</w:t>
      </w:r>
      <w:r w:rsidR="006B4311" w:rsidRPr="009E773A">
        <w:rPr>
          <w:rFonts w:asciiTheme="majorHAnsi" w:hAnsiTheme="majorHAnsi"/>
          <w:sz w:val="20"/>
          <w:szCs w:val="20"/>
          <w:lang w:val="es-ES"/>
        </w:rPr>
        <w:t>s</w:t>
      </w:r>
      <w:r w:rsidR="00CB064D" w:rsidRPr="009E773A">
        <w:rPr>
          <w:rFonts w:asciiTheme="majorHAnsi" w:hAnsiTheme="majorHAnsi"/>
          <w:sz w:val="20"/>
          <w:szCs w:val="20"/>
          <w:lang w:val="es-ES"/>
        </w:rPr>
        <w:t xml:space="preserve"> supu</w:t>
      </w:r>
      <w:r w:rsidR="007D4650" w:rsidRPr="009E773A">
        <w:rPr>
          <w:rFonts w:asciiTheme="majorHAnsi" w:hAnsiTheme="majorHAnsi"/>
          <w:sz w:val="20"/>
          <w:szCs w:val="20"/>
          <w:lang w:val="es-ES"/>
        </w:rPr>
        <w:t>esto</w:t>
      </w:r>
      <w:r w:rsidR="006B4311" w:rsidRPr="009E773A">
        <w:rPr>
          <w:rFonts w:asciiTheme="majorHAnsi" w:hAnsiTheme="majorHAnsi"/>
          <w:sz w:val="20"/>
          <w:szCs w:val="20"/>
          <w:lang w:val="es-ES"/>
        </w:rPr>
        <w:t>s</w:t>
      </w:r>
      <w:r w:rsidR="007D4650" w:rsidRPr="009E773A">
        <w:rPr>
          <w:rFonts w:asciiTheme="majorHAnsi" w:hAnsiTheme="majorHAnsi"/>
          <w:sz w:val="20"/>
          <w:szCs w:val="20"/>
          <w:lang w:val="es-ES"/>
        </w:rPr>
        <w:t xml:space="preserve"> </w:t>
      </w:r>
      <w:r w:rsidR="002F51A8" w:rsidRPr="009E773A">
        <w:rPr>
          <w:rFonts w:asciiTheme="majorHAnsi" w:hAnsiTheme="majorHAnsi"/>
          <w:sz w:val="20"/>
          <w:szCs w:val="20"/>
          <w:lang w:val="es-ES"/>
        </w:rPr>
        <w:t>antecedentes</w:t>
      </w:r>
      <w:r w:rsidR="007D4650" w:rsidRPr="009E773A">
        <w:rPr>
          <w:rFonts w:asciiTheme="majorHAnsi" w:hAnsiTheme="majorHAnsi"/>
          <w:sz w:val="20"/>
          <w:szCs w:val="20"/>
          <w:lang w:val="es-ES"/>
        </w:rPr>
        <w:t xml:space="preserve"> delictivo</w:t>
      </w:r>
      <w:r w:rsidR="002F51A8" w:rsidRPr="009E773A">
        <w:rPr>
          <w:rFonts w:asciiTheme="majorHAnsi" w:hAnsiTheme="majorHAnsi"/>
          <w:sz w:val="20"/>
          <w:szCs w:val="20"/>
          <w:lang w:val="es-ES"/>
        </w:rPr>
        <w:t>s</w:t>
      </w:r>
      <w:r w:rsidR="007D4650" w:rsidRPr="009E773A">
        <w:rPr>
          <w:rFonts w:asciiTheme="majorHAnsi" w:hAnsiTheme="majorHAnsi"/>
          <w:sz w:val="20"/>
          <w:szCs w:val="20"/>
          <w:lang w:val="es-ES"/>
        </w:rPr>
        <w:t>, y que se encuentran</w:t>
      </w:r>
      <w:r w:rsidR="00CB064D" w:rsidRPr="009E773A">
        <w:rPr>
          <w:rFonts w:asciiTheme="majorHAnsi" w:hAnsiTheme="majorHAnsi"/>
          <w:sz w:val="20"/>
          <w:szCs w:val="20"/>
          <w:lang w:val="es-ES"/>
        </w:rPr>
        <w:t xml:space="preserve"> revestidos de un </w:t>
      </w:r>
      <w:r w:rsidR="007D4650" w:rsidRPr="009E773A">
        <w:rPr>
          <w:rFonts w:asciiTheme="majorHAnsi" w:hAnsiTheme="majorHAnsi"/>
          <w:sz w:val="20"/>
          <w:szCs w:val="20"/>
          <w:lang w:val="es-ES"/>
        </w:rPr>
        <w:t>alto grado de</w:t>
      </w:r>
      <w:r w:rsidR="00CB064D" w:rsidRPr="009E773A">
        <w:rPr>
          <w:rFonts w:asciiTheme="majorHAnsi" w:hAnsiTheme="majorHAnsi"/>
          <w:sz w:val="20"/>
          <w:szCs w:val="20"/>
          <w:lang w:val="es-ES"/>
        </w:rPr>
        <w:t xml:space="preserve"> hostilidad que también </w:t>
      </w:r>
      <w:r w:rsidR="007D4650" w:rsidRPr="009E773A">
        <w:rPr>
          <w:rFonts w:asciiTheme="majorHAnsi" w:hAnsiTheme="majorHAnsi"/>
          <w:sz w:val="20"/>
          <w:szCs w:val="20"/>
          <w:lang w:val="es-ES"/>
        </w:rPr>
        <w:t>fue incrementando con la habitualidad de las intervenciones</w:t>
      </w:r>
      <w:r w:rsidR="008E4A4C" w:rsidRPr="009E773A">
        <w:rPr>
          <w:rFonts w:asciiTheme="majorHAnsi" w:hAnsiTheme="majorHAnsi"/>
          <w:sz w:val="20"/>
          <w:szCs w:val="20"/>
          <w:lang w:val="es-ES"/>
        </w:rPr>
        <w:t xml:space="preserve">, </w:t>
      </w:r>
      <w:r w:rsidR="006B4311" w:rsidRPr="009E773A">
        <w:rPr>
          <w:rFonts w:asciiTheme="majorHAnsi" w:hAnsiTheme="majorHAnsi"/>
          <w:sz w:val="20"/>
          <w:szCs w:val="20"/>
          <w:lang w:val="es-ES"/>
        </w:rPr>
        <w:t xml:space="preserve">y respecto del cual el Estado no adoptó medida alguna para </w:t>
      </w:r>
      <w:r w:rsidR="00FB706F">
        <w:rPr>
          <w:rFonts w:asciiTheme="majorHAnsi" w:hAnsiTheme="majorHAnsi"/>
          <w:sz w:val="20"/>
          <w:szCs w:val="20"/>
          <w:lang w:val="es-ES"/>
        </w:rPr>
        <w:t>su erradicación</w:t>
      </w:r>
      <w:r w:rsidR="006B4311" w:rsidRPr="009E773A">
        <w:rPr>
          <w:rFonts w:asciiTheme="majorHAnsi" w:hAnsiTheme="majorHAnsi"/>
          <w:sz w:val="20"/>
          <w:szCs w:val="20"/>
          <w:lang w:val="es-ES"/>
        </w:rPr>
        <w:t xml:space="preserve"> </w:t>
      </w:r>
      <w:r w:rsidR="008E4A4C" w:rsidRPr="009E773A">
        <w:rPr>
          <w:rFonts w:asciiTheme="majorHAnsi" w:hAnsiTheme="majorHAnsi"/>
          <w:sz w:val="20"/>
          <w:szCs w:val="20"/>
          <w:lang w:val="es-ES"/>
        </w:rPr>
        <w:t xml:space="preserve">pese a las denuncias </w:t>
      </w:r>
      <w:r w:rsidR="002F51A8" w:rsidRPr="009E773A">
        <w:rPr>
          <w:rFonts w:asciiTheme="majorHAnsi" w:hAnsiTheme="majorHAnsi"/>
          <w:sz w:val="20"/>
          <w:szCs w:val="20"/>
          <w:lang w:val="es-ES"/>
        </w:rPr>
        <w:t>de Jimmy Guerrero</w:t>
      </w:r>
      <w:r w:rsidR="007D4650" w:rsidRPr="009E773A">
        <w:rPr>
          <w:rFonts w:asciiTheme="majorHAnsi" w:hAnsiTheme="majorHAnsi"/>
          <w:sz w:val="20"/>
          <w:szCs w:val="20"/>
          <w:lang w:val="es-ES"/>
        </w:rPr>
        <w:t xml:space="preserve">. </w:t>
      </w:r>
      <w:r w:rsidR="00D33AAF" w:rsidRPr="009E773A">
        <w:rPr>
          <w:rFonts w:asciiTheme="majorHAnsi" w:hAnsiTheme="majorHAnsi"/>
          <w:sz w:val="20"/>
          <w:szCs w:val="20"/>
          <w:lang w:val="es-ES"/>
        </w:rPr>
        <w:t xml:space="preserve">La Comisión destaca que las denuncias de estos hechos fueron presentadas tanto a la Fiscalía como a la Defensoría del Pueblo desde 2002 y hasta 2003, a escasos días de las muertes. </w:t>
      </w:r>
      <w:r w:rsidR="00CB1F61" w:rsidRPr="009E773A">
        <w:rPr>
          <w:rFonts w:asciiTheme="majorHAnsi" w:hAnsiTheme="majorHAnsi"/>
          <w:sz w:val="20"/>
          <w:szCs w:val="20"/>
          <w:lang w:val="es-ES"/>
        </w:rPr>
        <w:t>En ese sentido, la CIDH enfatiza en que la secuencia de persecución denunciada</w:t>
      </w:r>
      <w:r w:rsidR="00CE1D3F">
        <w:rPr>
          <w:rFonts w:asciiTheme="majorHAnsi" w:hAnsiTheme="majorHAnsi"/>
          <w:sz w:val="20"/>
          <w:szCs w:val="20"/>
          <w:lang w:val="es-ES"/>
        </w:rPr>
        <w:t xml:space="preserve"> es coincidente temporalmente y</w:t>
      </w:r>
      <w:r w:rsidR="00C66341" w:rsidRPr="009E773A">
        <w:rPr>
          <w:rFonts w:asciiTheme="majorHAnsi" w:hAnsiTheme="majorHAnsi"/>
          <w:sz w:val="20"/>
          <w:szCs w:val="20"/>
          <w:lang w:val="es-ES"/>
        </w:rPr>
        <w:t xml:space="preserve"> se encontraba vigent</w:t>
      </w:r>
      <w:r w:rsidR="00CE1D3F">
        <w:rPr>
          <w:rFonts w:asciiTheme="majorHAnsi" w:hAnsiTheme="majorHAnsi"/>
          <w:sz w:val="20"/>
          <w:szCs w:val="20"/>
          <w:lang w:val="es-ES"/>
        </w:rPr>
        <w:t>e para el 29 de marzo de 2003 en que murió Jimmy Guerrero, y conexamente, su t</w:t>
      </w:r>
      <w:r w:rsidR="00AA27DA">
        <w:rPr>
          <w:rFonts w:asciiTheme="majorHAnsi" w:hAnsiTheme="majorHAnsi"/>
          <w:sz w:val="20"/>
          <w:szCs w:val="20"/>
          <w:lang w:val="es-ES"/>
        </w:rPr>
        <w:t xml:space="preserve">ío Ramón Molina. </w:t>
      </w:r>
    </w:p>
    <w:p w14:paraId="77105C8E" w14:textId="77777777" w:rsidR="00F56B8E" w:rsidRPr="009E773A" w:rsidRDefault="00F56B8E" w:rsidP="009A79B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9360"/>
        </w:tabs>
        <w:ind w:left="630"/>
        <w:jc w:val="both"/>
        <w:rPr>
          <w:rFonts w:asciiTheme="majorHAnsi" w:hAnsiTheme="majorHAnsi"/>
          <w:sz w:val="20"/>
          <w:szCs w:val="20"/>
          <w:lang w:val="es-ES"/>
        </w:rPr>
      </w:pPr>
    </w:p>
    <w:p w14:paraId="6ED295F3" w14:textId="095D9D01" w:rsidR="006B4728" w:rsidRPr="009E773A" w:rsidRDefault="00F56B8E" w:rsidP="009A79B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9360"/>
        </w:tabs>
        <w:jc w:val="both"/>
        <w:rPr>
          <w:rFonts w:asciiTheme="majorHAnsi" w:hAnsiTheme="majorHAnsi"/>
          <w:sz w:val="20"/>
          <w:szCs w:val="20"/>
          <w:lang w:val="es-ES"/>
        </w:rPr>
      </w:pPr>
      <w:r w:rsidRPr="009E773A">
        <w:rPr>
          <w:rFonts w:asciiTheme="majorHAnsi" w:hAnsiTheme="majorHAnsi"/>
          <w:sz w:val="20"/>
          <w:szCs w:val="20"/>
          <w:lang w:val="es-ES"/>
        </w:rPr>
        <w:t xml:space="preserve">En segundo lugar y vinculado a lo anterior, los hechos ocurridos el 17 de febrero de 2003 </w:t>
      </w:r>
      <w:r w:rsidR="00CE1D3F">
        <w:rPr>
          <w:rFonts w:asciiTheme="majorHAnsi" w:hAnsiTheme="majorHAnsi"/>
          <w:sz w:val="20"/>
          <w:szCs w:val="20"/>
          <w:lang w:val="es-ES"/>
        </w:rPr>
        <w:t xml:space="preserve">resultan de especial relevancia </w:t>
      </w:r>
      <w:r w:rsidRPr="009E773A">
        <w:rPr>
          <w:rFonts w:asciiTheme="majorHAnsi" w:hAnsiTheme="majorHAnsi"/>
          <w:sz w:val="20"/>
          <w:szCs w:val="20"/>
          <w:lang w:val="es-ES"/>
        </w:rPr>
        <w:t xml:space="preserve">en el marco de los cuales se denunció que Jimmy Guerrero fue intervenido por motorizados, y luego apareció en una dependencia policial lo que, se reitera, fue constatado por la Defensoría del Pueblo. </w:t>
      </w:r>
      <w:r w:rsidR="00D91DB5" w:rsidRPr="009E773A">
        <w:rPr>
          <w:rFonts w:asciiTheme="majorHAnsi" w:hAnsiTheme="majorHAnsi"/>
          <w:sz w:val="20"/>
          <w:szCs w:val="20"/>
          <w:lang w:val="es-ES"/>
        </w:rPr>
        <w:t xml:space="preserve">La Comisión considera que este hecho, además de demostrar que existía una persecución previa a Jimmy Guerrero por parte de la policía, </w:t>
      </w:r>
      <w:r w:rsidR="008A7ACC" w:rsidRPr="009E773A">
        <w:rPr>
          <w:rFonts w:asciiTheme="majorHAnsi" w:hAnsiTheme="majorHAnsi"/>
          <w:sz w:val="20"/>
          <w:szCs w:val="20"/>
          <w:lang w:val="es-ES"/>
        </w:rPr>
        <w:t>constituye un fuerte indicio sobre la manera de actuar de la policía, mediante intervenciones de personas identificadas como motorizados, para luego quedar bajo custodia del Estado como efectivamente pas</w:t>
      </w:r>
      <w:r w:rsidR="00CE1D3F">
        <w:rPr>
          <w:rFonts w:asciiTheme="majorHAnsi" w:hAnsiTheme="majorHAnsi"/>
          <w:sz w:val="20"/>
          <w:szCs w:val="20"/>
          <w:lang w:val="es-ES"/>
        </w:rPr>
        <w:t>ó poco más de un mes antes de los hechos del caso.</w:t>
      </w:r>
    </w:p>
    <w:p w14:paraId="1FCF6D36" w14:textId="77777777" w:rsidR="006B4728" w:rsidRPr="009E773A" w:rsidRDefault="006B4728" w:rsidP="009A79B6">
      <w:pPr>
        <w:pStyle w:val="ListParagraph"/>
        <w:rPr>
          <w:rFonts w:asciiTheme="majorHAnsi" w:hAnsiTheme="majorHAnsi"/>
          <w:sz w:val="20"/>
          <w:szCs w:val="20"/>
          <w:lang w:val="es-ES"/>
        </w:rPr>
      </w:pPr>
    </w:p>
    <w:p w14:paraId="739D73AD" w14:textId="0B3ACC1F" w:rsidR="00D85D24" w:rsidRPr="009E773A" w:rsidRDefault="00D85D24" w:rsidP="009A79B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9360"/>
        </w:tabs>
        <w:jc w:val="both"/>
        <w:rPr>
          <w:rFonts w:asciiTheme="majorHAnsi" w:hAnsiTheme="majorHAnsi"/>
          <w:sz w:val="20"/>
          <w:szCs w:val="20"/>
          <w:lang w:val="es-ES"/>
        </w:rPr>
      </w:pPr>
      <w:r w:rsidRPr="009E773A">
        <w:rPr>
          <w:rFonts w:asciiTheme="majorHAnsi" w:hAnsiTheme="majorHAnsi"/>
          <w:sz w:val="20"/>
          <w:szCs w:val="20"/>
          <w:lang w:val="es-ES"/>
        </w:rPr>
        <w:t xml:space="preserve">En </w:t>
      </w:r>
      <w:r w:rsidR="00AB1F66" w:rsidRPr="009E773A">
        <w:rPr>
          <w:rFonts w:asciiTheme="majorHAnsi" w:hAnsiTheme="majorHAnsi"/>
          <w:sz w:val="20"/>
          <w:szCs w:val="20"/>
          <w:lang w:val="es-ES"/>
        </w:rPr>
        <w:t>tercer</w:t>
      </w:r>
      <w:r w:rsidRPr="009E773A">
        <w:rPr>
          <w:rFonts w:asciiTheme="majorHAnsi" w:hAnsiTheme="majorHAnsi"/>
          <w:sz w:val="20"/>
          <w:szCs w:val="20"/>
          <w:lang w:val="es-ES"/>
        </w:rPr>
        <w:t xml:space="preserve"> lugar, la Comisión encuentra que existen dos contextos </w:t>
      </w:r>
      <w:r w:rsidR="009D1F0E" w:rsidRPr="009E773A">
        <w:rPr>
          <w:rFonts w:asciiTheme="majorHAnsi" w:hAnsiTheme="majorHAnsi"/>
          <w:sz w:val="20"/>
          <w:szCs w:val="20"/>
          <w:lang w:val="es-ES"/>
        </w:rPr>
        <w:t xml:space="preserve">relevantes a ser considerados en el análisis de la </w:t>
      </w:r>
      <w:r w:rsidR="002F51A8" w:rsidRPr="009E773A">
        <w:rPr>
          <w:rFonts w:asciiTheme="majorHAnsi" w:hAnsiTheme="majorHAnsi"/>
          <w:sz w:val="20"/>
          <w:szCs w:val="20"/>
          <w:lang w:val="es-ES"/>
        </w:rPr>
        <w:t>muerte de Jimmy Guerrero</w:t>
      </w:r>
      <w:r w:rsidRPr="009E773A">
        <w:rPr>
          <w:rFonts w:asciiTheme="majorHAnsi" w:hAnsiTheme="majorHAnsi"/>
          <w:sz w:val="20"/>
          <w:szCs w:val="20"/>
          <w:lang w:val="es-ES"/>
        </w:rPr>
        <w:t>. Así, por un lado, tal como ya se reseñó, existía un contexto a nivel nacional de violencia policial estadal y denuncias de ejecuciones extrajudiciales contra personas con el perfil del Jimmy Guerrero en el Estado v</w:t>
      </w:r>
      <w:r w:rsidR="006F2353" w:rsidRPr="009E773A">
        <w:rPr>
          <w:rFonts w:asciiTheme="majorHAnsi" w:hAnsiTheme="majorHAnsi"/>
          <w:sz w:val="20"/>
          <w:szCs w:val="20"/>
          <w:lang w:val="es-ES"/>
        </w:rPr>
        <w:t>enezo</w:t>
      </w:r>
      <w:r w:rsidRPr="009E773A">
        <w:rPr>
          <w:rFonts w:asciiTheme="majorHAnsi" w:hAnsiTheme="majorHAnsi"/>
          <w:sz w:val="20"/>
          <w:szCs w:val="20"/>
          <w:lang w:val="es-ES"/>
        </w:rPr>
        <w:t>l</w:t>
      </w:r>
      <w:r w:rsidR="006F2353" w:rsidRPr="009E773A">
        <w:rPr>
          <w:rFonts w:asciiTheme="majorHAnsi" w:hAnsiTheme="majorHAnsi"/>
          <w:sz w:val="20"/>
          <w:szCs w:val="20"/>
          <w:lang w:val="es-ES"/>
        </w:rPr>
        <w:t>a</w:t>
      </w:r>
      <w:r w:rsidRPr="009E773A">
        <w:rPr>
          <w:rFonts w:asciiTheme="majorHAnsi" w:hAnsiTheme="majorHAnsi"/>
          <w:sz w:val="20"/>
          <w:szCs w:val="20"/>
          <w:lang w:val="es-ES"/>
        </w:rPr>
        <w:t>n</w:t>
      </w:r>
      <w:r w:rsidR="008E4A4C" w:rsidRPr="009E773A">
        <w:rPr>
          <w:rFonts w:asciiTheme="majorHAnsi" w:hAnsiTheme="majorHAnsi"/>
          <w:sz w:val="20"/>
          <w:szCs w:val="20"/>
          <w:lang w:val="es-ES"/>
        </w:rPr>
        <w:t>o</w:t>
      </w:r>
      <w:r w:rsidRPr="009E773A">
        <w:rPr>
          <w:rFonts w:asciiTheme="majorHAnsi" w:hAnsiTheme="majorHAnsi"/>
          <w:sz w:val="20"/>
          <w:szCs w:val="20"/>
          <w:lang w:val="es-ES"/>
        </w:rPr>
        <w:t>, caracterizadas por su falta de investigación y que relacionan la participación de agentes policiales</w:t>
      </w:r>
      <w:r w:rsidR="006F2353" w:rsidRPr="009E773A">
        <w:rPr>
          <w:rFonts w:asciiTheme="majorHAnsi" w:hAnsiTheme="majorHAnsi"/>
          <w:sz w:val="20"/>
          <w:szCs w:val="20"/>
          <w:lang w:val="es-ES"/>
        </w:rPr>
        <w:t xml:space="preserve"> en su comisión, o que son explicadas como un “ajuste de cuentas” apelando a antecedentes delictivos</w:t>
      </w:r>
      <w:r w:rsidR="008E4A4C" w:rsidRPr="009E773A">
        <w:rPr>
          <w:rFonts w:asciiTheme="majorHAnsi" w:hAnsiTheme="majorHAnsi"/>
          <w:sz w:val="20"/>
          <w:szCs w:val="20"/>
          <w:lang w:val="es-ES"/>
        </w:rPr>
        <w:t xml:space="preserve"> que ya ha sido verificado por la Comisión y la Corte</w:t>
      </w:r>
      <w:r w:rsidR="006F2353" w:rsidRPr="009E773A">
        <w:rPr>
          <w:rFonts w:asciiTheme="majorHAnsi" w:hAnsiTheme="majorHAnsi"/>
          <w:sz w:val="20"/>
          <w:szCs w:val="20"/>
          <w:lang w:val="es-ES"/>
        </w:rPr>
        <w:t xml:space="preserve">. Por otro lado, la Comisión también advierte que existe </w:t>
      </w:r>
      <w:r w:rsidR="00DE0A20" w:rsidRPr="009E773A">
        <w:rPr>
          <w:rFonts w:asciiTheme="majorHAnsi" w:hAnsiTheme="majorHAnsi"/>
          <w:sz w:val="20"/>
          <w:szCs w:val="20"/>
          <w:lang w:val="es-ES"/>
        </w:rPr>
        <w:t xml:space="preserve">el contexto más específico de la incidencia de esta problemática en el estado Falcón, </w:t>
      </w:r>
      <w:r w:rsidR="006F2353" w:rsidRPr="009E773A">
        <w:rPr>
          <w:rFonts w:asciiTheme="majorHAnsi" w:hAnsiTheme="majorHAnsi"/>
          <w:sz w:val="20"/>
          <w:szCs w:val="20"/>
          <w:lang w:val="es-ES"/>
        </w:rPr>
        <w:t xml:space="preserve">que </w:t>
      </w:r>
      <w:r w:rsidR="00DE0A20" w:rsidRPr="009E773A">
        <w:rPr>
          <w:rFonts w:asciiTheme="majorHAnsi" w:hAnsiTheme="majorHAnsi"/>
          <w:sz w:val="20"/>
          <w:szCs w:val="20"/>
          <w:lang w:val="es-ES"/>
        </w:rPr>
        <w:t xml:space="preserve">coincide </w:t>
      </w:r>
      <w:r w:rsidR="006F2353" w:rsidRPr="009E773A">
        <w:rPr>
          <w:rFonts w:asciiTheme="majorHAnsi" w:hAnsiTheme="majorHAnsi"/>
          <w:sz w:val="20"/>
          <w:szCs w:val="20"/>
          <w:lang w:val="es-ES"/>
        </w:rPr>
        <w:t xml:space="preserve">temporal y geográficamente los hechos del caso </w:t>
      </w:r>
      <w:r w:rsidR="008E4A4C" w:rsidRPr="009E773A">
        <w:rPr>
          <w:rFonts w:asciiTheme="majorHAnsi" w:hAnsiTheme="majorHAnsi"/>
          <w:sz w:val="20"/>
          <w:szCs w:val="20"/>
          <w:lang w:val="es-ES"/>
        </w:rPr>
        <w:t>con el accionar de la Policí</w:t>
      </w:r>
      <w:r w:rsidR="006F2353" w:rsidRPr="009E773A">
        <w:rPr>
          <w:rFonts w:asciiTheme="majorHAnsi" w:hAnsiTheme="majorHAnsi"/>
          <w:sz w:val="20"/>
          <w:szCs w:val="20"/>
          <w:lang w:val="es-ES"/>
        </w:rPr>
        <w:t xml:space="preserve">a Estadal </w:t>
      </w:r>
      <w:r w:rsidR="00211674" w:rsidRPr="009E773A">
        <w:rPr>
          <w:rFonts w:asciiTheme="majorHAnsi" w:hAnsiTheme="majorHAnsi"/>
          <w:sz w:val="20"/>
          <w:szCs w:val="20"/>
          <w:lang w:val="es-ES"/>
        </w:rPr>
        <w:t xml:space="preserve">de dicho estado </w:t>
      </w:r>
      <w:r w:rsidR="006F2353" w:rsidRPr="009E773A">
        <w:rPr>
          <w:rFonts w:asciiTheme="majorHAnsi" w:hAnsiTheme="majorHAnsi"/>
          <w:sz w:val="20"/>
          <w:szCs w:val="20"/>
          <w:lang w:val="es-ES"/>
        </w:rPr>
        <w:t>y que</w:t>
      </w:r>
      <w:r w:rsidR="008E4A4C" w:rsidRPr="009E773A">
        <w:rPr>
          <w:rFonts w:asciiTheme="majorHAnsi" w:hAnsiTheme="majorHAnsi"/>
          <w:sz w:val="20"/>
          <w:szCs w:val="20"/>
          <w:lang w:val="es-ES"/>
        </w:rPr>
        <w:t>,</w:t>
      </w:r>
      <w:r w:rsidR="006F2353" w:rsidRPr="009E773A">
        <w:rPr>
          <w:rFonts w:asciiTheme="majorHAnsi" w:hAnsiTheme="majorHAnsi"/>
          <w:sz w:val="20"/>
          <w:szCs w:val="20"/>
          <w:lang w:val="es-ES"/>
        </w:rPr>
        <w:t xml:space="preserve"> nuevamente</w:t>
      </w:r>
      <w:r w:rsidR="008E4A4C" w:rsidRPr="009E773A">
        <w:rPr>
          <w:rFonts w:asciiTheme="majorHAnsi" w:hAnsiTheme="majorHAnsi"/>
          <w:sz w:val="20"/>
          <w:szCs w:val="20"/>
          <w:lang w:val="es-ES"/>
        </w:rPr>
        <w:t>,</w:t>
      </w:r>
      <w:r w:rsidR="006F2353" w:rsidRPr="009E773A">
        <w:rPr>
          <w:rFonts w:asciiTheme="majorHAnsi" w:hAnsiTheme="majorHAnsi"/>
          <w:sz w:val="20"/>
          <w:szCs w:val="20"/>
          <w:lang w:val="es-ES"/>
        </w:rPr>
        <w:t xml:space="preserve"> coincide con el perfil de la víctima del caso, </w:t>
      </w:r>
      <w:r w:rsidR="0024675E" w:rsidRPr="009E773A">
        <w:rPr>
          <w:rFonts w:asciiTheme="majorHAnsi" w:hAnsiTheme="majorHAnsi"/>
          <w:sz w:val="20"/>
          <w:szCs w:val="20"/>
          <w:lang w:val="es-ES"/>
        </w:rPr>
        <w:t>algunos elementos que rodearon su muerte,</w:t>
      </w:r>
      <w:r w:rsidR="006F2353" w:rsidRPr="009E773A">
        <w:rPr>
          <w:rFonts w:asciiTheme="majorHAnsi" w:hAnsiTheme="majorHAnsi"/>
          <w:sz w:val="20"/>
          <w:szCs w:val="20"/>
          <w:lang w:val="es-ES"/>
        </w:rPr>
        <w:t xml:space="preserve"> y la ciudad en la que esta ocurrió. </w:t>
      </w:r>
    </w:p>
    <w:p w14:paraId="7A6BA37D" w14:textId="77777777" w:rsidR="006F2353" w:rsidRPr="009E773A" w:rsidRDefault="006F2353" w:rsidP="009A79B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lang w:val="es-ES"/>
        </w:rPr>
      </w:pPr>
    </w:p>
    <w:p w14:paraId="0E6BE521" w14:textId="7E986056" w:rsidR="007F0A68" w:rsidRPr="009E773A" w:rsidRDefault="006F2353" w:rsidP="009A79B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9360"/>
        </w:tabs>
        <w:jc w:val="both"/>
        <w:rPr>
          <w:rFonts w:asciiTheme="majorHAnsi" w:hAnsiTheme="majorHAnsi"/>
          <w:sz w:val="20"/>
          <w:szCs w:val="20"/>
          <w:lang w:val="es-ES"/>
        </w:rPr>
      </w:pPr>
      <w:r w:rsidRPr="009E773A">
        <w:rPr>
          <w:rFonts w:asciiTheme="majorHAnsi" w:hAnsiTheme="majorHAnsi"/>
          <w:sz w:val="20"/>
          <w:szCs w:val="20"/>
          <w:lang w:val="es-ES"/>
        </w:rPr>
        <w:t xml:space="preserve">En </w:t>
      </w:r>
      <w:r w:rsidR="00AB1F66" w:rsidRPr="009E773A">
        <w:rPr>
          <w:rFonts w:asciiTheme="majorHAnsi" w:hAnsiTheme="majorHAnsi"/>
          <w:sz w:val="20"/>
          <w:szCs w:val="20"/>
          <w:lang w:val="es-ES"/>
        </w:rPr>
        <w:t>cuarto</w:t>
      </w:r>
      <w:r w:rsidRPr="009E773A">
        <w:rPr>
          <w:rFonts w:asciiTheme="majorHAnsi" w:hAnsiTheme="majorHAnsi"/>
          <w:sz w:val="20"/>
          <w:szCs w:val="20"/>
          <w:lang w:val="es-ES"/>
        </w:rPr>
        <w:t xml:space="preserve"> lugar, </w:t>
      </w:r>
      <w:r w:rsidR="00621EEC" w:rsidRPr="009E773A">
        <w:rPr>
          <w:rFonts w:asciiTheme="majorHAnsi" w:hAnsiTheme="majorHAnsi"/>
          <w:sz w:val="20"/>
          <w:szCs w:val="20"/>
          <w:lang w:val="es-ES"/>
        </w:rPr>
        <w:t>la Comisi</w:t>
      </w:r>
      <w:r w:rsidR="00E35D39" w:rsidRPr="009E773A">
        <w:rPr>
          <w:rFonts w:asciiTheme="majorHAnsi" w:hAnsiTheme="majorHAnsi"/>
          <w:sz w:val="20"/>
          <w:szCs w:val="20"/>
          <w:lang w:val="es-ES"/>
        </w:rPr>
        <w:t xml:space="preserve">ón observa que existe un nivel sospechoso de falta de cooperación </w:t>
      </w:r>
      <w:r w:rsidR="00D85D24" w:rsidRPr="009E773A">
        <w:rPr>
          <w:rFonts w:asciiTheme="majorHAnsi" w:hAnsiTheme="majorHAnsi"/>
          <w:sz w:val="20"/>
          <w:szCs w:val="20"/>
          <w:lang w:val="es-ES"/>
        </w:rPr>
        <w:t>d</w:t>
      </w:r>
      <w:r w:rsidR="008E4A4C" w:rsidRPr="009E773A">
        <w:rPr>
          <w:rFonts w:asciiTheme="majorHAnsi" w:hAnsiTheme="majorHAnsi"/>
          <w:sz w:val="20"/>
          <w:szCs w:val="20"/>
          <w:lang w:val="es-ES"/>
        </w:rPr>
        <w:t>e la Policí</w:t>
      </w:r>
      <w:r w:rsidR="00D85D24" w:rsidRPr="009E773A">
        <w:rPr>
          <w:rFonts w:asciiTheme="majorHAnsi" w:hAnsiTheme="majorHAnsi"/>
          <w:sz w:val="20"/>
          <w:szCs w:val="20"/>
          <w:lang w:val="es-ES"/>
        </w:rPr>
        <w:t>a Estadal con los órganos encargados de la investigación</w:t>
      </w:r>
      <w:r w:rsidR="00E35D39" w:rsidRPr="009E773A">
        <w:rPr>
          <w:rFonts w:asciiTheme="majorHAnsi" w:hAnsiTheme="majorHAnsi"/>
          <w:sz w:val="20"/>
          <w:szCs w:val="20"/>
          <w:lang w:val="es-ES"/>
        </w:rPr>
        <w:t>. En estos términos, fluye del expediente que los libros de ocurrencias y el inventario de parque de armas, pruebas importantes que podían arrojar luces sobre la participación de agentes de estatales en la muerte de Jimmy Guerrero y Ramón Molina nunca fue</w:t>
      </w:r>
      <w:r w:rsidR="00D85D24" w:rsidRPr="009E773A">
        <w:rPr>
          <w:rFonts w:asciiTheme="majorHAnsi" w:hAnsiTheme="majorHAnsi"/>
          <w:sz w:val="20"/>
          <w:szCs w:val="20"/>
          <w:lang w:val="es-ES"/>
        </w:rPr>
        <w:t>ron</w:t>
      </w:r>
      <w:r w:rsidR="00E35D39" w:rsidRPr="009E773A">
        <w:rPr>
          <w:rFonts w:asciiTheme="majorHAnsi" w:hAnsiTheme="majorHAnsi"/>
          <w:sz w:val="20"/>
          <w:szCs w:val="20"/>
          <w:lang w:val="es-ES"/>
        </w:rPr>
        <w:t xml:space="preserve"> remit</w:t>
      </w:r>
      <w:r w:rsidR="00D85D24" w:rsidRPr="009E773A">
        <w:rPr>
          <w:rFonts w:asciiTheme="majorHAnsi" w:hAnsiTheme="majorHAnsi"/>
          <w:sz w:val="20"/>
          <w:szCs w:val="20"/>
          <w:lang w:val="es-ES"/>
        </w:rPr>
        <w:t>idos</w:t>
      </w:r>
      <w:r w:rsidR="00E35D39" w:rsidRPr="009E773A">
        <w:rPr>
          <w:rFonts w:asciiTheme="majorHAnsi" w:hAnsiTheme="majorHAnsi"/>
          <w:sz w:val="20"/>
          <w:szCs w:val="20"/>
          <w:lang w:val="es-ES"/>
        </w:rPr>
        <w:t xml:space="preserve"> por las fuerzas policiales ni a la </w:t>
      </w:r>
      <w:r w:rsidR="007F0A68" w:rsidRPr="009E773A">
        <w:rPr>
          <w:rFonts w:asciiTheme="majorHAnsi" w:hAnsiTheme="majorHAnsi"/>
          <w:sz w:val="20"/>
          <w:szCs w:val="20"/>
          <w:lang w:val="es-ES"/>
        </w:rPr>
        <w:t>CICPC ni a la Fiscalía, pese a que las solicitaron en repetidas oportunidades desde el año</w:t>
      </w:r>
      <w:r w:rsidR="00CE1D3F">
        <w:rPr>
          <w:rFonts w:asciiTheme="majorHAnsi" w:hAnsiTheme="majorHAnsi"/>
          <w:sz w:val="20"/>
          <w:szCs w:val="20"/>
          <w:lang w:val="es-ES"/>
        </w:rPr>
        <w:t xml:space="preserve"> 2003, informando recién el 2014</w:t>
      </w:r>
      <w:r w:rsidR="007F0A68" w:rsidRPr="009E773A">
        <w:rPr>
          <w:rFonts w:asciiTheme="majorHAnsi" w:hAnsiTheme="majorHAnsi"/>
          <w:sz w:val="20"/>
          <w:szCs w:val="20"/>
          <w:lang w:val="es-ES"/>
        </w:rPr>
        <w:t xml:space="preserve"> que dichos libros ya no existían</w:t>
      </w:r>
      <w:r w:rsidR="00D85D24" w:rsidRPr="009E773A">
        <w:rPr>
          <w:rFonts w:asciiTheme="majorHAnsi" w:hAnsiTheme="majorHAnsi"/>
          <w:sz w:val="20"/>
          <w:szCs w:val="20"/>
          <w:lang w:val="es-ES"/>
        </w:rPr>
        <w:t xml:space="preserve"> desde el 2010</w:t>
      </w:r>
      <w:r w:rsidR="007F0A68" w:rsidRPr="009E773A">
        <w:rPr>
          <w:rFonts w:asciiTheme="majorHAnsi" w:hAnsiTheme="majorHAnsi"/>
          <w:sz w:val="20"/>
          <w:szCs w:val="20"/>
          <w:lang w:val="es-ES"/>
        </w:rPr>
        <w:t>. Esta falta de cooperación policial en la investigaci</w:t>
      </w:r>
      <w:r w:rsidR="00D85D24" w:rsidRPr="009E773A">
        <w:rPr>
          <w:rFonts w:asciiTheme="majorHAnsi" w:hAnsiTheme="majorHAnsi"/>
          <w:sz w:val="20"/>
          <w:szCs w:val="20"/>
          <w:lang w:val="es-ES"/>
        </w:rPr>
        <w:t xml:space="preserve">ón, leída en conexión con los antecedentes y el contexto ya reseñado, </w:t>
      </w:r>
      <w:r w:rsidR="007F0A68" w:rsidRPr="009E773A">
        <w:rPr>
          <w:rFonts w:asciiTheme="majorHAnsi" w:hAnsiTheme="majorHAnsi"/>
          <w:sz w:val="20"/>
          <w:szCs w:val="20"/>
          <w:lang w:val="es-ES"/>
        </w:rPr>
        <w:t xml:space="preserve">no puede ser apreciada por la Comisión como un hecho fortuito, pues </w:t>
      </w:r>
      <w:r w:rsidRPr="009E773A">
        <w:rPr>
          <w:rFonts w:asciiTheme="majorHAnsi" w:hAnsiTheme="majorHAnsi"/>
          <w:sz w:val="20"/>
          <w:szCs w:val="20"/>
          <w:lang w:val="es-ES"/>
        </w:rPr>
        <w:t>en términos concretos, el no env</w:t>
      </w:r>
      <w:r w:rsidR="002F51A8" w:rsidRPr="009E773A">
        <w:rPr>
          <w:rFonts w:asciiTheme="majorHAnsi" w:hAnsiTheme="majorHAnsi"/>
          <w:sz w:val="20"/>
          <w:szCs w:val="20"/>
          <w:lang w:val="es-ES"/>
        </w:rPr>
        <w:t xml:space="preserve">ío de estos documentos </w:t>
      </w:r>
      <w:r w:rsidRPr="009E773A">
        <w:rPr>
          <w:rFonts w:asciiTheme="majorHAnsi" w:hAnsiTheme="majorHAnsi"/>
          <w:sz w:val="20"/>
          <w:szCs w:val="20"/>
          <w:lang w:val="es-ES"/>
        </w:rPr>
        <w:t>generó el</w:t>
      </w:r>
      <w:r w:rsidR="00D85D24" w:rsidRPr="009E773A">
        <w:rPr>
          <w:rFonts w:asciiTheme="majorHAnsi" w:hAnsiTheme="majorHAnsi"/>
          <w:sz w:val="20"/>
          <w:szCs w:val="20"/>
          <w:lang w:val="es-ES"/>
        </w:rPr>
        <w:t xml:space="preserve"> encubrimiento </w:t>
      </w:r>
      <w:r w:rsidRPr="009E773A">
        <w:rPr>
          <w:rFonts w:asciiTheme="majorHAnsi" w:hAnsiTheme="majorHAnsi"/>
          <w:sz w:val="20"/>
          <w:szCs w:val="20"/>
          <w:lang w:val="es-ES"/>
        </w:rPr>
        <w:t xml:space="preserve">de </w:t>
      </w:r>
      <w:r w:rsidR="002F51A8" w:rsidRPr="009E773A">
        <w:rPr>
          <w:rFonts w:asciiTheme="majorHAnsi" w:hAnsiTheme="majorHAnsi"/>
          <w:sz w:val="20"/>
          <w:szCs w:val="20"/>
          <w:lang w:val="es-ES"/>
        </w:rPr>
        <w:t>la</w:t>
      </w:r>
      <w:r w:rsidR="009A5186" w:rsidRPr="009E773A">
        <w:rPr>
          <w:rFonts w:asciiTheme="majorHAnsi" w:hAnsiTheme="majorHAnsi"/>
          <w:sz w:val="20"/>
          <w:szCs w:val="20"/>
          <w:lang w:val="es-ES"/>
        </w:rPr>
        <w:t xml:space="preserve"> posible</w:t>
      </w:r>
      <w:r w:rsidR="00D85D24" w:rsidRPr="009E773A">
        <w:rPr>
          <w:rFonts w:asciiTheme="majorHAnsi" w:hAnsiTheme="majorHAnsi"/>
          <w:sz w:val="20"/>
          <w:szCs w:val="20"/>
          <w:lang w:val="es-ES"/>
        </w:rPr>
        <w:t xml:space="preserve"> participación </w:t>
      </w:r>
      <w:r w:rsidR="009A5186" w:rsidRPr="009E773A">
        <w:rPr>
          <w:rFonts w:asciiTheme="majorHAnsi" w:hAnsiTheme="majorHAnsi"/>
          <w:sz w:val="20"/>
          <w:szCs w:val="20"/>
          <w:lang w:val="es-ES"/>
        </w:rPr>
        <w:t xml:space="preserve">estatal en las muertes. </w:t>
      </w:r>
    </w:p>
    <w:p w14:paraId="5C41DA0F" w14:textId="77777777" w:rsidR="007F0A68" w:rsidRPr="009E773A" w:rsidRDefault="007F0A68" w:rsidP="009A79B6">
      <w:pPr>
        <w:pStyle w:val="ListParagraph"/>
        <w:rPr>
          <w:rFonts w:asciiTheme="majorHAnsi" w:hAnsiTheme="majorHAnsi"/>
          <w:sz w:val="20"/>
          <w:szCs w:val="20"/>
          <w:lang w:val="es-ES"/>
        </w:rPr>
      </w:pPr>
    </w:p>
    <w:p w14:paraId="65575EB1" w14:textId="542924E1" w:rsidR="007F0A68" w:rsidRPr="009E773A" w:rsidRDefault="007F0A68" w:rsidP="009A79B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9360"/>
        </w:tabs>
        <w:jc w:val="both"/>
        <w:rPr>
          <w:rFonts w:asciiTheme="majorHAnsi" w:hAnsiTheme="majorHAnsi"/>
          <w:sz w:val="20"/>
          <w:szCs w:val="20"/>
          <w:lang w:val="es-ES"/>
        </w:rPr>
      </w:pPr>
      <w:r w:rsidRPr="009E773A">
        <w:rPr>
          <w:rFonts w:asciiTheme="majorHAnsi" w:hAnsiTheme="majorHAnsi"/>
          <w:sz w:val="20"/>
          <w:szCs w:val="20"/>
          <w:lang w:val="es-ES"/>
        </w:rPr>
        <w:t xml:space="preserve">En </w:t>
      </w:r>
      <w:r w:rsidR="00E62D84" w:rsidRPr="009E773A">
        <w:rPr>
          <w:rFonts w:asciiTheme="majorHAnsi" w:hAnsiTheme="majorHAnsi"/>
          <w:sz w:val="20"/>
          <w:szCs w:val="20"/>
          <w:lang w:val="es-ES"/>
        </w:rPr>
        <w:t>quinto</w:t>
      </w:r>
      <w:r w:rsidRPr="009E773A">
        <w:rPr>
          <w:rFonts w:asciiTheme="majorHAnsi" w:hAnsiTheme="majorHAnsi"/>
          <w:sz w:val="20"/>
          <w:szCs w:val="20"/>
          <w:lang w:val="es-ES"/>
        </w:rPr>
        <w:t xml:space="preserve"> lugar, la Comisión encuentra como otro el</w:t>
      </w:r>
      <w:r w:rsidR="00D85D24" w:rsidRPr="009E773A">
        <w:rPr>
          <w:rFonts w:asciiTheme="majorHAnsi" w:hAnsiTheme="majorHAnsi"/>
          <w:sz w:val="20"/>
          <w:szCs w:val="20"/>
          <w:lang w:val="es-ES"/>
        </w:rPr>
        <w:t>emento indiciario las declaraciones p</w:t>
      </w:r>
      <w:r w:rsidR="00726AFE" w:rsidRPr="009E773A">
        <w:rPr>
          <w:rFonts w:asciiTheme="majorHAnsi" w:hAnsiTheme="majorHAnsi"/>
          <w:sz w:val="20"/>
          <w:szCs w:val="20"/>
          <w:lang w:val="es-ES"/>
        </w:rPr>
        <w:t xml:space="preserve">úblicas </w:t>
      </w:r>
      <w:r w:rsidR="002F51A8" w:rsidRPr="009E773A">
        <w:rPr>
          <w:rFonts w:asciiTheme="majorHAnsi" w:hAnsiTheme="majorHAnsi"/>
          <w:sz w:val="20"/>
          <w:szCs w:val="20"/>
          <w:lang w:val="es-ES"/>
        </w:rPr>
        <w:t>de autoridades, entre ellas e</w:t>
      </w:r>
      <w:r w:rsidR="00726AFE" w:rsidRPr="009E773A">
        <w:rPr>
          <w:rFonts w:asciiTheme="majorHAnsi" w:hAnsiTheme="majorHAnsi"/>
          <w:sz w:val="20"/>
          <w:szCs w:val="20"/>
          <w:lang w:val="es-ES"/>
        </w:rPr>
        <w:t>l Comisario del e</w:t>
      </w:r>
      <w:r w:rsidR="006F2353" w:rsidRPr="009E773A">
        <w:rPr>
          <w:rFonts w:asciiTheme="majorHAnsi" w:hAnsiTheme="majorHAnsi"/>
          <w:sz w:val="20"/>
          <w:szCs w:val="20"/>
          <w:lang w:val="es-ES"/>
        </w:rPr>
        <w:t xml:space="preserve">stado de Falcón quien desacreditó en los medios de comunicación a Jimmy </w:t>
      </w:r>
      <w:r w:rsidR="00AF7D33" w:rsidRPr="009E773A">
        <w:rPr>
          <w:rFonts w:asciiTheme="majorHAnsi" w:hAnsiTheme="majorHAnsi"/>
          <w:sz w:val="20"/>
          <w:szCs w:val="20"/>
          <w:lang w:val="es-ES"/>
        </w:rPr>
        <w:t>Guerrero</w:t>
      </w:r>
      <w:r w:rsidR="006F2353" w:rsidRPr="009E773A">
        <w:rPr>
          <w:rFonts w:asciiTheme="majorHAnsi" w:hAnsiTheme="majorHAnsi"/>
          <w:sz w:val="20"/>
          <w:szCs w:val="20"/>
          <w:lang w:val="es-ES"/>
        </w:rPr>
        <w:t xml:space="preserve"> </w:t>
      </w:r>
      <w:r w:rsidR="00026A9D" w:rsidRPr="009E773A">
        <w:rPr>
          <w:rFonts w:asciiTheme="majorHAnsi" w:hAnsiTheme="majorHAnsi"/>
          <w:sz w:val="20"/>
          <w:szCs w:val="20"/>
          <w:lang w:val="es-ES"/>
        </w:rPr>
        <w:t xml:space="preserve">por dedicarse al robo, al hurto y que su muerte era el resultado un ajuste de cuentas entre grupos delictivos. Cabe indicar que la única orden de aprehensión emitida en el marco de la investigación fue emitida contra la persona </w:t>
      </w:r>
      <w:r w:rsidR="00026A9D" w:rsidRPr="009E773A">
        <w:rPr>
          <w:rFonts w:asciiTheme="majorHAnsi" w:hAnsiTheme="majorHAnsi"/>
          <w:sz w:val="20"/>
          <w:szCs w:val="20"/>
          <w:lang w:val="es-ES"/>
        </w:rPr>
        <w:lastRenderedPageBreak/>
        <w:t xml:space="preserve">que realizó estos comentarios. </w:t>
      </w:r>
      <w:r w:rsidR="009065E0" w:rsidRPr="009E773A">
        <w:rPr>
          <w:rFonts w:asciiTheme="majorHAnsi" w:hAnsiTheme="majorHAnsi"/>
          <w:sz w:val="20"/>
          <w:szCs w:val="20"/>
          <w:lang w:val="es-ES"/>
        </w:rPr>
        <w:t xml:space="preserve">La CIDH recuerda que justamente la presentación de las víctimas como delincuentes, es uno de los elementos del </w:t>
      </w:r>
      <w:r w:rsidR="009065E0" w:rsidRPr="009E773A">
        <w:rPr>
          <w:rFonts w:asciiTheme="majorHAnsi" w:hAnsiTheme="majorHAnsi"/>
          <w:i/>
          <w:sz w:val="20"/>
          <w:szCs w:val="20"/>
          <w:lang w:val="es-ES"/>
        </w:rPr>
        <w:t>modus operandi</w:t>
      </w:r>
      <w:r w:rsidR="009065E0" w:rsidRPr="009E773A">
        <w:rPr>
          <w:rFonts w:asciiTheme="majorHAnsi" w:hAnsiTheme="majorHAnsi"/>
          <w:sz w:val="20"/>
          <w:szCs w:val="20"/>
          <w:lang w:val="es-ES"/>
        </w:rPr>
        <w:t xml:space="preserve"> identificado en la sección de contexto.</w:t>
      </w:r>
    </w:p>
    <w:p w14:paraId="63D8A60F" w14:textId="77777777" w:rsidR="00913E33" w:rsidRPr="009E773A" w:rsidRDefault="00913E33" w:rsidP="009A79B6">
      <w:pPr>
        <w:pStyle w:val="ListParagraph"/>
        <w:rPr>
          <w:rFonts w:asciiTheme="majorHAnsi" w:hAnsiTheme="majorHAnsi"/>
          <w:sz w:val="20"/>
          <w:szCs w:val="20"/>
          <w:lang w:val="es-ES"/>
        </w:rPr>
      </w:pPr>
    </w:p>
    <w:p w14:paraId="09676DA9" w14:textId="2F82BDE7" w:rsidR="00913E33" w:rsidRPr="009E773A" w:rsidRDefault="00913E33" w:rsidP="009A79B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9360"/>
        </w:tabs>
        <w:jc w:val="both"/>
        <w:rPr>
          <w:rFonts w:asciiTheme="majorHAnsi" w:hAnsiTheme="majorHAnsi"/>
          <w:sz w:val="20"/>
          <w:szCs w:val="20"/>
          <w:lang w:val="es-ES"/>
        </w:rPr>
      </w:pPr>
      <w:r w:rsidRPr="009E773A">
        <w:rPr>
          <w:rFonts w:asciiTheme="majorHAnsi" w:hAnsiTheme="majorHAnsi"/>
          <w:sz w:val="20"/>
          <w:szCs w:val="20"/>
          <w:lang w:val="es-ES"/>
        </w:rPr>
        <w:t xml:space="preserve">En </w:t>
      </w:r>
      <w:r w:rsidR="00A26924" w:rsidRPr="009E773A">
        <w:rPr>
          <w:rFonts w:asciiTheme="majorHAnsi" w:hAnsiTheme="majorHAnsi"/>
          <w:sz w:val="20"/>
          <w:szCs w:val="20"/>
          <w:lang w:val="es-ES"/>
        </w:rPr>
        <w:t>sexto</w:t>
      </w:r>
      <w:r w:rsidRPr="009E773A">
        <w:rPr>
          <w:rFonts w:asciiTheme="majorHAnsi" w:hAnsiTheme="majorHAnsi"/>
          <w:sz w:val="20"/>
          <w:szCs w:val="20"/>
          <w:lang w:val="es-ES"/>
        </w:rPr>
        <w:t xml:space="preserve"> lugar, la CIDH también toma nota </w:t>
      </w:r>
      <w:r w:rsidR="000D40A7" w:rsidRPr="009E773A">
        <w:rPr>
          <w:rFonts w:asciiTheme="majorHAnsi" w:hAnsiTheme="majorHAnsi"/>
          <w:sz w:val="20"/>
          <w:szCs w:val="20"/>
          <w:lang w:val="es-ES"/>
        </w:rPr>
        <w:t xml:space="preserve">de </w:t>
      </w:r>
      <w:r w:rsidRPr="009E773A">
        <w:rPr>
          <w:rFonts w:asciiTheme="majorHAnsi" w:hAnsiTheme="majorHAnsi"/>
          <w:sz w:val="20"/>
          <w:szCs w:val="20"/>
          <w:lang w:val="es-ES"/>
        </w:rPr>
        <w:t xml:space="preserve">que </w:t>
      </w:r>
      <w:r w:rsidR="00CB0589" w:rsidRPr="009E773A">
        <w:rPr>
          <w:rFonts w:asciiTheme="majorHAnsi" w:hAnsiTheme="majorHAnsi"/>
          <w:sz w:val="20"/>
          <w:szCs w:val="20"/>
          <w:lang w:val="es-ES"/>
        </w:rPr>
        <w:t xml:space="preserve">Yarelis Mercedes </w:t>
      </w:r>
      <w:r w:rsidRPr="009E773A">
        <w:rPr>
          <w:rFonts w:asciiTheme="majorHAnsi" w:hAnsiTheme="majorHAnsi"/>
          <w:sz w:val="20"/>
          <w:szCs w:val="20"/>
          <w:lang w:val="es-ES"/>
        </w:rPr>
        <w:t>Guerrero, en sus declaraciones ante el Comando Regional No. 44, Comando Judibama, del 2 de abril de 2003,</w:t>
      </w:r>
      <w:r w:rsidR="00A73A2E" w:rsidRPr="009E773A">
        <w:rPr>
          <w:rFonts w:asciiTheme="majorHAnsi" w:hAnsiTheme="majorHAnsi"/>
          <w:sz w:val="20"/>
          <w:szCs w:val="20"/>
          <w:lang w:val="es-ES"/>
        </w:rPr>
        <w:t xml:space="preserve"> indicó que, </w:t>
      </w:r>
      <w:r w:rsidRPr="009E773A">
        <w:rPr>
          <w:rFonts w:asciiTheme="majorHAnsi" w:hAnsiTheme="majorHAnsi"/>
          <w:sz w:val="20"/>
          <w:szCs w:val="20"/>
          <w:lang w:val="es-ES"/>
        </w:rPr>
        <w:t xml:space="preserve">en conversación con </w:t>
      </w:r>
      <w:r w:rsidR="00D2012A" w:rsidRPr="009E773A">
        <w:rPr>
          <w:rFonts w:asciiTheme="majorHAnsi" w:hAnsiTheme="majorHAnsi"/>
          <w:sz w:val="20"/>
          <w:szCs w:val="20"/>
          <w:lang w:val="es-ES"/>
        </w:rPr>
        <w:t>el señor Hernández</w:t>
      </w:r>
      <w:r w:rsidRPr="009E773A">
        <w:rPr>
          <w:rFonts w:asciiTheme="majorHAnsi" w:hAnsiTheme="majorHAnsi"/>
          <w:sz w:val="20"/>
          <w:szCs w:val="20"/>
          <w:lang w:val="es-ES"/>
        </w:rPr>
        <w:t xml:space="preserve">, ella tomó conocimiento </w:t>
      </w:r>
      <w:r w:rsidR="002F51A8" w:rsidRPr="009E773A">
        <w:rPr>
          <w:rFonts w:asciiTheme="majorHAnsi" w:hAnsiTheme="majorHAnsi"/>
          <w:sz w:val="20"/>
          <w:szCs w:val="20"/>
          <w:lang w:val="es-ES"/>
        </w:rPr>
        <w:t xml:space="preserve">de </w:t>
      </w:r>
      <w:r w:rsidRPr="009E773A">
        <w:rPr>
          <w:rFonts w:asciiTheme="majorHAnsi" w:hAnsiTheme="majorHAnsi"/>
          <w:sz w:val="20"/>
          <w:szCs w:val="20"/>
          <w:lang w:val="es-ES"/>
        </w:rPr>
        <w:t>que en el lugar de los hechos se habrí</w:t>
      </w:r>
      <w:r w:rsidR="002F51A8" w:rsidRPr="009E773A">
        <w:rPr>
          <w:rFonts w:asciiTheme="majorHAnsi" w:hAnsiTheme="majorHAnsi"/>
          <w:sz w:val="20"/>
          <w:szCs w:val="20"/>
          <w:lang w:val="es-ES"/>
        </w:rPr>
        <w:t>a encontrado el policía</w:t>
      </w:r>
      <w:r w:rsidRPr="009E773A">
        <w:rPr>
          <w:rFonts w:asciiTheme="majorHAnsi" w:hAnsiTheme="majorHAnsi"/>
          <w:sz w:val="20"/>
          <w:szCs w:val="20"/>
          <w:lang w:val="es-ES"/>
        </w:rPr>
        <w:t xml:space="preserve"> Rojas, contra quien se emitió la orden de aprehensión. </w:t>
      </w:r>
      <w:r w:rsidR="00D2012A" w:rsidRPr="009E773A">
        <w:rPr>
          <w:rFonts w:asciiTheme="majorHAnsi" w:hAnsiTheme="majorHAnsi"/>
          <w:sz w:val="20"/>
          <w:szCs w:val="20"/>
          <w:lang w:val="es-ES"/>
        </w:rPr>
        <w:t xml:space="preserve">En esta misma línea, el señor Hernández, en su declaración Fiscal, describió a los atacantes como personas uniformadas y asoció su indumentaria con el uniforme policial. </w:t>
      </w:r>
      <w:r w:rsidRPr="009E773A">
        <w:rPr>
          <w:rFonts w:asciiTheme="majorHAnsi" w:hAnsiTheme="majorHAnsi"/>
          <w:sz w:val="20"/>
          <w:szCs w:val="20"/>
          <w:lang w:val="es-ES"/>
        </w:rPr>
        <w:t>Asimismo, la Comisión</w:t>
      </w:r>
      <w:r w:rsidR="00EB657F" w:rsidRPr="009E773A">
        <w:rPr>
          <w:rFonts w:asciiTheme="majorHAnsi" w:hAnsiTheme="majorHAnsi"/>
          <w:sz w:val="20"/>
          <w:szCs w:val="20"/>
          <w:lang w:val="es-ES"/>
        </w:rPr>
        <w:t xml:space="preserve"> también toma en consideración las declaraciones que indican </w:t>
      </w:r>
      <w:r w:rsidR="00CB0589" w:rsidRPr="009E773A">
        <w:rPr>
          <w:rFonts w:asciiTheme="majorHAnsi" w:hAnsiTheme="majorHAnsi"/>
          <w:sz w:val="20"/>
          <w:szCs w:val="20"/>
          <w:lang w:val="es-ES"/>
        </w:rPr>
        <w:t>que en el trayec</w:t>
      </w:r>
      <w:r w:rsidR="003E67A8" w:rsidRPr="009E773A">
        <w:rPr>
          <w:rFonts w:asciiTheme="majorHAnsi" w:hAnsiTheme="majorHAnsi"/>
          <w:sz w:val="20"/>
          <w:szCs w:val="20"/>
          <w:lang w:val="es-ES"/>
        </w:rPr>
        <w:t xml:space="preserve">to entre Coro y Punto Fijo, </w:t>
      </w:r>
      <w:r w:rsidR="006D2445" w:rsidRPr="009E773A">
        <w:rPr>
          <w:rFonts w:asciiTheme="majorHAnsi" w:hAnsiTheme="majorHAnsi"/>
          <w:sz w:val="20"/>
          <w:szCs w:val="20"/>
          <w:lang w:val="es-ES"/>
        </w:rPr>
        <w:t>el</w:t>
      </w:r>
      <w:r w:rsidR="00CB0589" w:rsidRPr="009E773A">
        <w:rPr>
          <w:rFonts w:asciiTheme="majorHAnsi" w:hAnsiTheme="majorHAnsi"/>
          <w:sz w:val="20"/>
          <w:szCs w:val="20"/>
          <w:lang w:val="es-ES"/>
        </w:rPr>
        <w:t xml:space="preserve"> veh</w:t>
      </w:r>
      <w:r w:rsidR="00001461" w:rsidRPr="009E773A">
        <w:rPr>
          <w:rFonts w:asciiTheme="majorHAnsi" w:hAnsiTheme="majorHAnsi"/>
          <w:sz w:val="20"/>
          <w:szCs w:val="20"/>
          <w:lang w:val="es-ES"/>
        </w:rPr>
        <w:t xml:space="preserve">ículo </w:t>
      </w:r>
      <w:r w:rsidR="00EB657F" w:rsidRPr="009E773A">
        <w:rPr>
          <w:rFonts w:asciiTheme="majorHAnsi" w:hAnsiTheme="majorHAnsi"/>
          <w:sz w:val="20"/>
          <w:szCs w:val="20"/>
          <w:lang w:val="es-ES"/>
        </w:rPr>
        <w:t xml:space="preserve">que trasladaba a Jimmy Guerrero y miembros de su familia al velorio </w:t>
      </w:r>
      <w:r w:rsidR="00001461" w:rsidRPr="009E773A">
        <w:rPr>
          <w:rFonts w:asciiTheme="majorHAnsi" w:hAnsiTheme="majorHAnsi"/>
          <w:sz w:val="20"/>
          <w:szCs w:val="20"/>
          <w:lang w:val="es-ES"/>
        </w:rPr>
        <w:t xml:space="preserve">fue interceptado por una </w:t>
      </w:r>
      <w:r w:rsidR="00EB657F" w:rsidRPr="009E773A">
        <w:rPr>
          <w:rFonts w:asciiTheme="majorHAnsi" w:hAnsiTheme="majorHAnsi"/>
          <w:sz w:val="20"/>
          <w:szCs w:val="20"/>
          <w:lang w:val="es-ES"/>
        </w:rPr>
        <w:t>comisión</w:t>
      </w:r>
      <w:r w:rsidR="00001461" w:rsidRPr="009E773A">
        <w:rPr>
          <w:rFonts w:asciiTheme="majorHAnsi" w:hAnsiTheme="majorHAnsi"/>
          <w:sz w:val="20"/>
          <w:szCs w:val="20"/>
          <w:lang w:val="es-ES"/>
        </w:rPr>
        <w:t xml:space="preserve"> p</w:t>
      </w:r>
      <w:r w:rsidR="00CB0589" w:rsidRPr="009E773A">
        <w:rPr>
          <w:rFonts w:asciiTheme="majorHAnsi" w:hAnsiTheme="majorHAnsi"/>
          <w:sz w:val="20"/>
          <w:szCs w:val="20"/>
          <w:lang w:val="es-ES"/>
        </w:rPr>
        <w:t>olic</w:t>
      </w:r>
      <w:r w:rsidR="006D2445" w:rsidRPr="009E773A">
        <w:rPr>
          <w:rFonts w:asciiTheme="majorHAnsi" w:hAnsiTheme="majorHAnsi"/>
          <w:sz w:val="20"/>
          <w:szCs w:val="20"/>
          <w:lang w:val="es-ES"/>
        </w:rPr>
        <w:t>ial,</w:t>
      </w:r>
      <w:r w:rsidR="00EB657F" w:rsidRPr="009E773A">
        <w:rPr>
          <w:rFonts w:asciiTheme="majorHAnsi" w:hAnsiTheme="majorHAnsi"/>
          <w:sz w:val="20"/>
          <w:szCs w:val="20"/>
          <w:lang w:val="es-ES"/>
        </w:rPr>
        <w:t xml:space="preserve"> qui</w:t>
      </w:r>
      <w:r w:rsidR="00EE41DD" w:rsidRPr="009E773A">
        <w:rPr>
          <w:rFonts w:asciiTheme="majorHAnsi" w:hAnsiTheme="majorHAnsi"/>
          <w:sz w:val="20"/>
          <w:szCs w:val="20"/>
          <w:lang w:val="es-ES"/>
        </w:rPr>
        <w:t>e</w:t>
      </w:r>
      <w:r w:rsidR="00EB657F" w:rsidRPr="009E773A">
        <w:rPr>
          <w:rFonts w:asciiTheme="majorHAnsi" w:hAnsiTheme="majorHAnsi"/>
          <w:sz w:val="20"/>
          <w:szCs w:val="20"/>
          <w:lang w:val="es-ES"/>
        </w:rPr>
        <w:t>nes</w:t>
      </w:r>
      <w:r w:rsidR="006D2445" w:rsidRPr="009E773A">
        <w:rPr>
          <w:rFonts w:asciiTheme="majorHAnsi" w:hAnsiTheme="majorHAnsi"/>
          <w:sz w:val="20"/>
          <w:szCs w:val="20"/>
          <w:lang w:val="es-ES"/>
        </w:rPr>
        <w:t xml:space="preserve"> les </w:t>
      </w:r>
      <w:r w:rsidR="00CB0589" w:rsidRPr="009E773A">
        <w:rPr>
          <w:rFonts w:asciiTheme="majorHAnsi" w:hAnsiTheme="majorHAnsi"/>
          <w:sz w:val="20"/>
          <w:szCs w:val="20"/>
          <w:lang w:val="es-ES"/>
        </w:rPr>
        <w:t>preguntaron a dónde se dirigía</w:t>
      </w:r>
      <w:r w:rsidR="006D2445" w:rsidRPr="009E773A">
        <w:rPr>
          <w:rFonts w:asciiTheme="majorHAnsi" w:hAnsiTheme="majorHAnsi"/>
          <w:sz w:val="20"/>
          <w:szCs w:val="20"/>
          <w:lang w:val="es-ES"/>
        </w:rPr>
        <w:t>n</w:t>
      </w:r>
      <w:r w:rsidR="00CB0589" w:rsidRPr="009E773A">
        <w:rPr>
          <w:rFonts w:asciiTheme="majorHAnsi" w:hAnsiTheme="majorHAnsi"/>
          <w:sz w:val="20"/>
          <w:szCs w:val="20"/>
          <w:lang w:val="es-ES"/>
        </w:rPr>
        <w:t xml:space="preserve">, </w:t>
      </w:r>
      <w:r w:rsidR="00001461" w:rsidRPr="009E773A">
        <w:rPr>
          <w:rFonts w:asciiTheme="majorHAnsi" w:hAnsiTheme="majorHAnsi"/>
          <w:sz w:val="20"/>
          <w:szCs w:val="20"/>
          <w:lang w:val="es-ES"/>
        </w:rPr>
        <w:t>dejándolo</w:t>
      </w:r>
      <w:r w:rsidR="006D2445" w:rsidRPr="009E773A">
        <w:rPr>
          <w:rFonts w:asciiTheme="majorHAnsi" w:hAnsiTheme="majorHAnsi"/>
          <w:sz w:val="20"/>
          <w:szCs w:val="20"/>
          <w:lang w:val="es-ES"/>
        </w:rPr>
        <w:t>s</w:t>
      </w:r>
      <w:r w:rsidR="00001461" w:rsidRPr="009E773A">
        <w:rPr>
          <w:rFonts w:asciiTheme="majorHAnsi" w:hAnsiTheme="majorHAnsi"/>
          <w:sz w:val="20"/>
          <w:szCs w:val="20"/>
          <w:lang w:val="es-ES"/>
        </w:rPr>
        <w:t xml:space="preserve"> ir después de un rato.</w:t>
      </w:r>
    </w:p>
    <w:p w14:paraId="5FE6A88F" w14:textId="77777777" w:rsidR="007449F3" w:rsidRPr="009E773A" w:rsidRDefault="007449F3" w:rsidP="009A79B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9360"/>
        </w:tabs>
        <w:jc w:val="both"/>
        <w:rPr>
          <w:rFonts w:asciiTheme="majorHAnsi" w:hAnsiTheme="majorHAnsi"/>
          <w:sz w:val="20"/>
          <w:szCs w:val="20"/>
          <w:lang w:val="es-ES"/>
        </w:rPr>
      </w:pPr>
    </w:p>
    <w:p w14:paraId="2EDD70AF" w14:textId="49C9CE66" w:rsidR="006D2445" w:rsidRPr="009E773A" w:rsidRDefault="007449F3" w:rsidP="009A79B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9360"/>
        </w:tabs>
        <w:jc w:val="both"/>
        <w:rPr>
          <w:rFonts w:asciiTheme="majorHAnsi" w:hAnsiTheme="majorHAnsi"/>
          <w:sz w:val="20"/>
          <w:szCs w:val="20"/>
          <w:lang w:val="es-ES"/>
        </w:rPr>
      </w:pPr>
      <w:r w:rsidRPr="009E773A">
        <w:rPr>
          <w:rFonts w:asciiTheme="majorHAnsi" w:hAnsiTheme="majorHAnsi"/>
          <w:sz w:val="20"/>
          <w:szCs w:val="20"/>
          <w:lang w:val="es-ES"/>
        </w:rPr>
        <w:t>En s</w:t>
      </w:r>
      <w:r w:rsidR="00B16D85" w:rsidRPr="009E773A">
        <w:rPr>
          <w:rFonts w:asciiTheme="majorHAnsi" w:hAnsiTheme="majorHAnsi"/>
          <w:sz w:val="20"/>
          <w:szCs w:val="20"/>
          <w:lang w:val="es-ES"/>
        </w:rPr>
        <w:t>éptimo</w:t>
      </w:r>
      <w:r w:rsidRPr="009E773A">
        <w:rPr>
          <w:rFonts w:asciiTheme="majorHAnsi" w:hAnsiTheme="majorHAnsi"/>
          <w:sz w:val="20"/>
          <w:szCs w:val="20"/>
          <w:lang w:val="es-ES"/>
        </w:rPr>
        <w:t xml:space="preserve"> lugar, </w:t>
      </w:r>
      <w:r w:rsidR="00EB657F" w:rsidRPr="009E773A">
        <w:rPr>
          <w:rFonts w:asciiTheme="majorHAnsi" w:hAnsiTheme="majorHAnsi"/>
          <w:sz w:val="20"/>
          <w:szCs w:val="20"/>
          <w:lang w:val="es-ES"/>
        </w:rPr>
        <w:t xml:space="preserve">sin entrar </w:t>
      </w:r>
      <w:r w:rsidR="006D2445" w:rsidRPr="009E773A">
        <w:rPr>
          <w:rFonts w:asciiTheme="majorHAnsi" w:hAnsiTheme="majorHAnsi"/>
          <w:sz w:val="20"/>
          <w:szCs w:val="20"/>
          <w:lang w:val="es-ES"/>
        </w:rPr>
        <w:t xml:space="preserve">al análisis </w:t>
      </w:r>
      <w:r w:rsidR="00E260C6" w:rsidRPr="009E773A">
        <w:rPr>
          <w:rFonts w:asciiTheme="majorHAnsi" w:hAnsiTheme="majorHAnsi"/>
          <w:sz w:val="20"/>
          <w:szCs w:val="20"/>
          <w:lang w:val="es-ES"/>
        </w:rPr>
        <w:t xml:space="preserve">detallado </w:t>
      </w:r>
      <w:r w:rsidR="006D2445" w:rsidRPr="009E773A">
        <w:rPr>
          <w:rFonts w:asciiTheme="majorHAnsi" w:hAnsiTheme="majorHAnsi"/>
          <w:sz w:val="20"/>
          <w:szCs w:val="20"/>
          <w:lang w:val="es-ES"/>
        </w:rPr>
        <w:t>de la debida diligencia que será</w:t>
      </w:r>
      <w:r w:rsidR="00E260C6" w:rsidRPr="009E773A">
        <w:rPr>
          <w:rFonts w:asciiTheme="majorHAnsi" w:hAnsiTheme="majorHAnsi"/>
          <w:sz w:val="20"/>
          <w:szCs w:val="20"/>
          <w:lang w:val="es-ES"/>
        </w:rPr>
        <w:t xml:space="preserve"> efectuado</w:t>
      </w:r>
      <w:r w:rsidR="006D2445" w:rsidRPr="009E773A">
        <w:rPr>
          <w:rFonts w:asciiTheme="majorHAnsi" w:hAnsiTheme="majorHAnsi"/>
          <w:sz w:val="20"/>
          <w:szCs w:val="20"/>
          <w:lang w:val="es-ES"/>
        </w:rPr>
        <w:t xml:space="preserve"> más adelante, la Comisión encuentra que la investigación judicial aún no ha logrado la determinación de responsables, y que existe</w:t>
      </w:r>
      <w:r w:rsidR="000741AD" w:rsidRPr="009E773A">
        <w:rPr>
          <w:rFonts w:asciiTheme="majorHAnsi" w:hAnsiTheme="majorHAnsi"/>
          <w:sz w:val="20"/>
          <w:szCs w:val="20"/>
          <w:lang w:val="es-ES"/>
        </w:rPr>
        <w:t>n</w:t>
      </w:r>
      <w:r w:rsidR="006D2445" w:rsidRPr="009E773A">
        <w:rPr>
          <w:rFonts w:asciiTheme="majorHAnsi" w:hAnsiTheme="majorHAnsi"/>
          <w:sz w:val="20"/>
          <w:szCs w:val="20"/>
          <w:lang w:val="es-ES"/>
        </w:rPr>
        <w:t xml:space="preserve"> piezas en el expediente que indican que mucha de la prueba ya se perdió. Así, la Comisión también puede observar, preliminarmente al análisis de debida diligencia, que la investigación no ha arrojado ningún resultado, ni existen hipótesis alternativas</w:t>
      </w:r>
      <w:r w:rsidR="00B94144" w:rsidRPr="009E773A">
        <w:rPr>
          <w:rFonts w:asciiTheme="majorHAnsi" w:hAnsiTheme="majorHAnsi"/>
          <w:sz w:val="20"/>
          <w:szCs w:val="20"/>
          <w:lang w:val="es-ES"/>
        </w:rPr>
        <w:t xml:space="preserve"> debidamente esclar</w:t>
      </w:r>
      <w:r w:rsidR="00A6392E" w:rsidRPr="009E773A">
        <w:rPr>
          <w:rFonts w:asciiTheme="majorHAnsi" w:hAnsiTheme="majorHAnsi"/>
          <w:sz w:val="20"/>
          <w:szCs w:val="20"/>
          <w:lang w:val="es-ES"/>
        </w:rPr>
        <w:t>e</w:t>
      </w:r>
      <w:r w:rsidR="00B94144" w:rsidRPr="009E773A">
        <w:rPr>
          <w:rFonts w:asciiTheme="majorHAnsi" w:hAnsiTheme="majorHAnsi"/>
          <w:sz w:val="20"/>
          <w:szCs w:val="20"/>
          <w:lang w:val="es-ES"/>
        </w:rPr>
        <w:t>cidas</w:t>
      </w:r>
      <w:r w:rsidR="006D2445" w:rsidRPr="009E773A">
        <w:rPr>
          <w:rFonts w:asciiTheme="majorHAnsi" w:hAnsiTheme="majorHAnsi"/>
          <w:sz w:val="20"/>
          <w:szCs w:val="20"/>
          <w:lang w:val="es-ES"/>
        </w:rPr>
        <w:t>, más allá de la expresada por la persona con orden de detención según la cual la muerte de Jimmy Guerrero era un ajuste de cuentas.</w:t>
      </w:r>
    </w:p>
    <w:p w14:paraId="0038B149" w14:textId="77777777" w:rsidR="006D2445" w:rsidRPr="009E773A" w:rsidRDefault="006D2445" w:rsidP="009A79B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9360"/>
        </w:tabs>
        <w:ind w:left="630"/>
        <w:jc w:val="both"/>
        <w:rPr>
          <w:rFonts w:asciiTheme="majorHAnsi" w:hAnsiTheme="majorHAnsi"/>
          <w:sz w:val="20"/>
          <w:szCs w:val="20"/>
          <w:lang w:val="es-ES"/>
        </w:rPr>
      </w:pPr>
    </w:p>
    <w:p w14:paraId="19F5EA7B" w14:textId="6FED164A" w:rsidR="00652DC8" w:rsidRPr="009E773A" w:rsidRDefault="00026A9D" w:rsidP="009A79B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9360"/>
        </w:tabs>
        <w:jc w:val="both"/>
        <w:rPr>
          <w:rFonts w:asciiTheme="majorHAnsi" w:hAnsiTheme="majorHAnsi"/>
          <w:sz w:val="20"/>
          <w:szCs w:val="20"/>
          <w:lang w:val="es-ES"/>
        </w:rPr>
      </w:pPr>
      <w:r w:rsidRPr="009E773A">
        <w:rPr>
          <w:rFonts w:asciiTheme="majorHAnsi" w:hAnsiTheme="majorHAnsi"/>
          <w:sz w:val="20"/>
          <w:szCs w:val="20"/>
          <w:lang w:val="es-ES"/>
        </w:rPr>
        <w:t>En conclusión, la Comisión encuentra que los antecedentes de acoso, hostigamiento y violencia,</w:t>
      </w:r>
      <w:r w:rsidR="00E604E8" w:rsidRPr="009E773A">
        <w:rPr>
          <w:rFonts w:asciiTheme="majorHAnsi" w:hAnsiTheme="majorHAnsi"/>
          <w:sz w:val="20"/>
          <w:szCs w:val="20"/>
          <w:lang w:val="es-ES"/>
        </w:rPr>
        <w:t xml:space="preserve"> </w:t>
      </w:r>
      <w:r w:rsidR="00CE1D3F">
        <w:rPr>
          <w:rFonts w:asciiTheme="majorHAnsi" w:hAnsiTheme="majorHAnsi"/>
          <w:sz w:val="20"/>
          <w:szCs w:val="20"/>
          <w:lang w:val="es-ES"/>
        </w:rPr>
        <w:t xml:space="preserve">su patrón incremental y </w:t>
      </w:r>
      <w:r w:rsidR="00E604E8" w:rsidRPr="009E773A">
        <w:rPr>
          <w:rFonts w:asciiTheme="majorHAnsi" w:hAnsiTheme="majorHAnsi"/>
          <w:sz w:val="20"/>
          <w:szCs w:val="20"/>
          <w:lang w:val="es-ES"/>
        </w:rPr>
        <w:t>su coincidencia y cercanía temporal con las muertes,</w:t>
      </w:r>
      <w:r w:rsidR="00EE5A66" w:rsidRPr="009E773A">
        <w:rPr>
          <w:rFonts w:asciiTheme="majorHAnsi" w:hAnsiTheme="majorHAnsi"/>
          <w:sz w:val="20"/>
          <w:szCs w:val="20"/>
          <w:lang w:val="es-ES"/>
        </w:rPr>
        <w:t xml:space="preserve"> la indiferencia del Estado frente a las denuncias de estos antecedentes,</w:t>
      </w:r>
      <w:r w:rsidRPr="009E773A">
        <w:rPr>
          <w:rFonts w:asciiTheme="majorHAnsi" w:hAnsiTheme="majorHAnsi"/>
          <w:sz w:val="20"/>
          <w:szCs w:val="20"/>
          <w:lang w:val="es-ES"/>
        </w:rPr>
        <w:t xml:space="preserve"> así como los contextos</w:t>
      </w:r>
      <w:r w:rsidR="008C4912" w:rsidRPr="009E773A">
        <w:rPr>
          <w:rFonts w:asciiTheme="majorHAnsi" w:hAnsiTheme="majorHAnsi"/>
          <w:sz w:val="20"/>
          <w:szCs w:val="20"/>
          <w:lang w:val="es-ES"/>
        </w:rPr>
        <w:t xml:space="preserve"> referidos</w:t>
      </w:r>
      <w:r w:rsidRPr="009E773A">
        <w:rPr>
          <w:rFonts w:asciiTheme="majorHAnsi" w:hAnsiTheme="majorHAnsi"/>
          <w:sz w:val="20"/>
          <w:szCs w:val="20"/>
          <w:lang w:val="es-ES"/>
        </w:rPr>
        <w:t>, la falta de cooperación policial en la investigaci</w:t>
      </w:r>
      <w:r w:rsidR="00CB0589" w:rsidRPr="009E773A">
        <w:rPr>
          <w:rFonts w:asciiTheme="majorHAnsi" w:hAnsiTheme="majorHAnsi"/>
          <w:sz w:val="20"/>
          <w:szCs w:val="20"/>
          <w:lang w:val="es-ES"/>
        </w:rPr>
        <w:t>ón</w:t>
      </w:r>
      <w:r w:rsidR="00AB325E" w:rsidRPr="009E773A">
        <w:rPr>
          <w:rFonts w:asciiTheme="majorHAnsi" w:hAnsiTheme="majorHAnsi"/>
          <w:sz w:val="20"/>
          <w:szCs w:val="20"/>
          <w:lang w:val="es-ES"/>
        </w:rPr>
        <w:t xml:space="preserve"> como indicio de encubrimiento</w:t>
      </w:r>
      <w:r w:rsidR="00CB0589" w:rsidRPr="009E773A">
        <w:rPr>
          <w:rFonts w:asciiTheme="majorHAnsi" w:hAnsiTheme="majorHAnsi"/>
          <w:sz w:val="20"/>
          <w:szCs w:val="20"/>
          <w:lang w:val="es-ES"/>
        </w:rPr>
        <w:t xml:space="preserve">, </w:t>
      </w:r>
      <w:r w:rsidRPr="009E773A">
        <w:rPr>
          <w:rFonts w:asciiTheme="majorHAnsi" w:hAnsiTheme="majorHAnsi"/>
          <w:sz w:val="20"/>
          <w:szCs w:val="20"/>
          <w:lang w:val="es-ES"/>
        </w:rPr>
        <w:t xml:space="preserve">los comentarios públicos </w:t>
      </w:r>
      <w:r w:rsidR="008C4912" w:rsidRPr="009E773A">
        <w:rPr>
          <w:rFonts w:asciiTheme="majorHAnsi" w:hAnsiTheme="majorHAnsi"/>
          <w:sz w:val="20"/>
          <w:szCs w:val="20"/>
          <w:lang w:val="es-ES"/>
        </w:rPr>
        <w:t xml:space="preserve">de descrédito contra </w:t>
      </w:r>
      <w:r w:rsidRPr="009E773A">
        <w:rPr>
          <w:rFonts w:asciiTheme="majorHAnsi" w:hAnsiTheme="majorHAnsi"/>
          <w:sz w:val="20"/>
          <w:szCs w:val="20"/>
          <w:lang w:val="es-ES"/>
        </w:rPr>
        <w:t xml:space="preserve">Jimmy Guerrero, </w:t>
      </w:r>
      <w:r w:rsidR="002F51A8" w:rsidRPr="009E773A">
        <w:rPr>
          <w:rFonts w:asciiTheme="majorHAnsi" w:hAnsiTheme="majorHAnsi"/>
          <w:sz w:val="20"/>
          <w:szCs w:val="20"/>
          <w:lang w:val="es-ES"/>
        </w:rPr>
        <w:t>l</w:t>
      </w:r>
      <w:r w:rsidR="00CB0589" w:rsidRPr="009E773A">
        <w:rPr>
          <w:rFonts w:asciiTheme="majorHAnsi" w:hAnsiTheme="majorHAnsi"/>
          <w:sz w:val="20"/>
          <w:szCs w:val="20"/>
          <w:lang w:val="es-ES"/>
        </w:rPr>
        <w:t>os hechos que relacionan a agentes del Estado con las muertes en cuestión</w:t>
      </w:r>
      <w:r w:rsidR="00167998" w:rsidRPr="009E773A">
        <w:rPr>
          <w:rFonts w:asciiTheme="majorHAnsi" w:hAnsiTheme="majorHAnsi"/>
          <w:sz w:val="20"/>
          <w:szCs w:val="20"/>
          <w:lang w:val="es-ES"/>
        </w:rPr>
        <w:t xml:space="preserve">, y la falta de determinación judicial de responsables, en </w:t>
      </w:r>
      <w:r w:rsidR="00AB325E" w:rsidRPr="009E773A">
        <w:rPr>
          <w:rFonts w:asciiTheme="majorHAnsi" w:hAnsiTheme="majorHAnsi"/>
          <w:sz w:val="20"/>
          <w:szCs w:val="20"/>
          <w:lang w:val="es-ES"/>
        </w:rPr>
        <w:t xml:space="preserve">su </w:t>
      </w:r>
      <w:r w:rsidR="00167998" w:rsidRPr="009E773A">
        <w:rPr>
          <w:rFonts w:asciiTheme="majorHAnsi" w:hAnsiTheme="majorHAnsi"/>
          <w:sz w:val="20"/>
          <w:szCs w:val="20"/>
          <w:lang w:val="es-ES"/>
        </w:rPr>
        <w:t xml:space="preserve">conjunto, </w:t>
      </w:r>
      <w:r w:rsidR="00AB325E" w:rsidRPr="009E773A">
        <w:rPr>
          <w:rFonts w:asciiTheme="majorHAnsi" w:hAnsiTheme="majorHAnsi"/>
          <w:sz w:val="20"/>
          <w:szCs w:val="20"/>
          <w:lang w:val="es-ES"/>
        </w:rPr>
        <w:t xml:space="preserve">son indicios suficientes y consistentes entre sí para establecer la participación estatal en la </w:t>
      </w:r>
      <w:r w:rsidR="00CB0589" w:rsidRPr="009E773A">
        <w:rPr>
          <w:rFonts w:asciiTheme="majorHAnsi" w:hAnsiTheme="majorHAnsi"/>
          <w:sz w:val="20"/>
          <w:szCs w:val="20"/>
          <w:lang w:val="es-ES"/>
        </w:rPr>
        <w:t>muerte de Jimmy Guerrero, y la muerte conexa de su tío Ram</w:t>
      </w:r>
      <w:r w:rsidR="008C4912" w:rsidRPr="009E773A">
        <w:rPr>
          <w:rFonts w:asciiTheme="majorHAnsi" w:hAnsiTheme="majorHAnsi"/>
          <w:sz w:val="20"/>
          <w:szCs w:val="20"/>
          <w:lang w:val="es-ES"/>
        </w:rPr>
        <w:t>ó</w:t>
      </w:r>
      <w:r w:rsidR="009A014B" w:rsidRPr="009E773A">
        <w:rPr>
          <w:rFonts w:asciiTheme="majorHAnsi" w:hAnsiTheme="majorHAnsi"/>
          <w:sz w:val="20"/>
          <w:szCs w:val="20"/>
          <w:lang w:val="es-ES"/>
        </w:rPr>
        <w:t xml:space="preserve">n Molina, </w:t>
      </w:r>
      <w:r w:rsidR="00AB325E" w:rsidRPr="009E773A">
        <w:rPr>
          <w:rFonts w:asciiTheme="majorHAnsi" w:hAnsiTheme="majorHAnsi"/>
          <w:sz w:val="20"/>
          <w:szCs w:val="20"/>
          <w:lang w:val="es-ES"/>
        </w:rPr>
        <w:t xml:space="preserve">por lo que las mismas </w:t>
      </w:r>
      <w:r w:rsidR="009A014B" w:rsidRPr="009E773A">
        <w:rPr>
          <w:rFonts w:asciiTheme="majorHAnsi" w:hAnsiTheme="majorHAnsi"/>
          <w:sz w:val="20"/>
          <w:szCs w:val="20"/>
          <w:lang w:val="es-ES"/>
        </w:rPr>
        <w:t xml:space="preserve">son atribuibles </w:t>
      </w:r>
      <w:r w:rsidR="00AD74A5" w:rsidRPr="009E773A">
        <w:rPr>
          <w:rFonts w:asciiTheme="majorHAnsi" w:hAnsiTheme="majorHAnsi"/>
          <w:sz w:val="20"/>
          <w:szCs w:val="20"/>
          <w:lang w:val="es-ES"/>
        </w:rPr>
        <w:t xml:space="preserve">directamente </w:t>
      </w:r>
      <w:r w:rsidR="009A014B" w:rsidRPr="009E773A">
        <w:rPr>
          <w:rFonts w:asciiTheme="majorHAnsi" w:hAnsiTheme="majorHAnsi"/>
          <w:sz w:val="20"/>
          <w:szCs w:val="20"/>
          <w:lang w:val="es-ES"/>
        </w:rPr>
        <w:t>al Estado venezolano</w:t>
      </w:r>
      <w:r w:rsidR="001A3B06" w:rsidRPr="009E773A">
        <w:rPr>
          <w:rFonts w:asciiTheme="majorHAnsi" w:hAnsiTheme="majorHAnsi"/>
          <w:sz w:val="20"/>
          <w:szCs w:val="20"/>
          <w:lang w:val="es-ES"/>
        </w:rPr>
        <w:t xml:space="preserve">. </w:t>
      </w:r>
    </w:p>
    <w:p w14:paraId="0A312391" w14:textId="77777777" w:rsidR="00652DC8" w:rsidRPr="009E773A" w:rsidRDefault="00652DC8" w:rsidP="009A79B6">
      <w:pPr>
        <w:pStyle w:val="ListParagraph"/>
        <w:rPr>
          <w:rFonts w:asciiTheme="majorHAnsi" w:hAnsiTheme="majorHAnsi"/>
          <w:sz w:val="20"/>
          <w:szCs w:val="20"/>
          <w:lang w:val="es-ES"/>
        </w:rPr>
      </w:pPr>
    </w:p>
    <w:p w14:paraId="1A2E19F9" w14:textId="0F48F5B6" w:rsidR="001B48A8" w:rsidRPr="009E773A" w:rsidRDefault="008C4912" w:rsidP="009A79B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9360"/>
        </w:tabs>
        <w:jc w:val="both"/>
        <w:rPr>
          <w:rFonts w:asciiTheme="majorHAnsi" w:hAnsiTheme="majorHAnsi"/>
          <w:sz w:val="20"/>
          <w:szCs w:val="20"/>
          <w:lang w:val="es-ES"/>
        </w:rPr>
      </w:pPr>
      <w:r w:rsidRPr="009E773A">
        <w:rPr>
          <w:rFonts w:asciiTheme="majorHAnsi" w:hAnsiTheme="majorHAnsi"/>
          <w:sz w:val="20"/>
          <w:szCs w:val="20"/>
          <w:lang w:val="es-ES"/>
        </w:rPr>
        <w:t xml:space="preserve">Ahora bien, </w:t>
      </w:r>
      <w:r w:rsidR="009C4F34" w:rsidRPr="009E773A">
        <w:rPr>
          <w:rFonts w:asciiTheme="majorHAnsi" w:hAnsiTheme="majorHAnsi"/>
          <w:sz w:val="20"/>
          <w:szCs w:val="20"/>
          <w:lang w:val="es-ES"/>
        </w:rPr>
        <w:t xml:space="preserve">por las circunstancias del presente caso, </w:t>
      </w:r>
      <w:r w:rsidR="00652DC8" w:rsidRPr="009E773A">
        <w:rPr>
          <w:rFonts w:asciiTheme="majorHAnsi" w:hAnsiTheme="majorHAnsi"/>
          <w:sz w:val="20"/>
          <w:szCs w:val="20"/>
          <w:lang w:val="es-ES"/>
        </w:rPr>
        <w:t>la Comisión</w:t>
      </w:r>
      <w:r w:rsidR="009C4F34" w:rsidRPr="009E773A">
        <w:rPr>
          <w:rFonts w:asciiTheme="majorHAnsi" w:hAnsiTheme="majorHAnsi"/>
          <w:sz w:val="20"/>
          <w:szCs w:val="20"/>
          <w:lang w:val="es-ES"/>
        </w:rPr>
        <w:t xml:space="preserve"> también estima pertinente</w:t>
      </w:r>
      <w:r w:rsidR="00652DC8" w:rsidRPr="009E773A">
        <w:rPr>
          <w:rFonts w:asciiTheme="majorHAnsi" w:hAnsiTheme="majorHAnsi"/>
          <w:sz w:val="20"/>
          <w:szCs w:val="20"/>
          <w:lang w:val="es-ES"/>
        </w:rPr>
        <w:t xml:space="preserve"> determinar si el Estado incumplió también su deber de prevención de vulneraciones </w:t>
      </w:r>
      <w:r w:rsidR="00167998" w:rsidRPr="009E773A">
        <w:rPr>
          <w:rFonts w:asciiTheme="majorHAnsi" w:hAnsiTheme="majorHAnsi"/>
          <w:sz w:val="20"/>
          <w:szCs w:val="20"/>
          <w:lang w:val="es-ES"/>
        </w:rPr>
        <w:t xml:space="preserve">del derecho a la vida </w:t>
      </w:r>
      <w:r w:rsidR="00652DC8" w:rsidRPr="009E773A">
        <w:rPr>
          <w:rFonts w:asciiTheme="majorHAnsi" w:hAnsiTheme="majorHAnsi"/>
          <w:sz w:val="20"/>
          <w:szCs w:val="20"/>
          <w:lang w:val="es-ES"/>
        </w:rPr>
        <w:t xml:space="preserve">en perjuicio de Jimmy Guerrero. </w:t>
      </w:r>
      <w:r w:rsidR="00652DC8" w:rsidRPr="009E773A">
        <w:rPr>
          <w:rFonts w:asciiTheme="majorHAnsi" w:hAnsiTheme="majorHAnsi"/>
          <w:sz w:val="20"/>
          <w:szCs w:val="20"/>
          <w:lang w:val="es-US"/>
        </w:rPr>
        <w:t>Así, la Comisión encuentra acreditado que Jimmy Gue</w:t>
      </w:r>
      <w:r w:rsidR="007A66FC" w:rsidRPr="009E773A">
        <w:rPr>
          <w:rFonts w:asciiTheme="majorHAnsi" w:hAnsiTheme="majorHAnsi"/>
          <w:sz w:val="20"/>
          <w:szCs w:val="20"/>
          <w:lang w:val="es-US"/>
        </w:rPr>
        <w:t xml:space="preserve">rrero era blanco de amenazas y abusos por parte de efectivos policiales, </w:t>
      </w:r>
      <w:r w:rsidR="00B430B0" w:rsidRPr="009E773A">
        <w:rPr>
          <w:rFonts w:asciiTheme="majorHAnsi" w:hAnsiTheme="majorHAnsi"/>
          <w:sz w:val="20"/>
          <w:szCs w:val="20"/>
          <w:lang w:val="es-US"/>
        </w:rPr>
        <w:t>hechos</w:t>
      </w:r>
      <w:r w:rsidR="007A66FC" w:rsidRPr="009E773A">
        <w:rPr>
          <w:rFonts w:asciiTheme="majorHAnsi" w:hAnsiTheme="majorHAnsi"/>
          <w:sz w:val="20"/>
          <w:szCs w:val="20"/>
          <w:lang w:val="es-US"/>
        </w:rPr>
        <w:t xml:space="preserve"> que fueron debidamente denunciados en varias oportunidades ante la Fiscalía y ante la Defensoría del Pueblo</w:t>
      </w:r>
      <w:r w:rsidR="00B430B0" w:rsidRPr="009E773A">
        <w:rPr>
          <w:rFonts w:asciiTheme="majorHAnsi" w:hAnsiTheme="majorHAnsi"/>
          <w:sz w:val="20"/>
          <w:szCs w:val="20"/>
          <w:lang w:val="es-US"/>
        </w:rPr>
        <w:t xml:space="preserve"> como consta en el expediente</w:t>
      </w:r>
      <w:r w:rsidR="007A66FC" w:rsidRPr="009E773A">
        <w:rPr>
          <w:rFonts w:asciiTheme="majorHAnsi" w:hAnsiTheme="majorHAnsi"/>
          <w:sz w:val="20"/>
          <w:szCs w:val="20"/>
          <w:lang w:val="es-US"/>
        </w:rPr>
        <w:t xml:space="preserve">, y por lo tanto el Estado tenía conocimiento de la situación de </w:t>
      </w:r>
      <w:r w:rsidR="00B430B0" w:rsidRPr="009E773A">
        <w:rPr>
          <w:rFonts w:asciiTheme="majorHAnsi" w:hAnsiTheme="majorHAnsi"/>
          <w:sz w:val="20"/>
          <w:szCs w:val="20"/>
          <w:lang w:val="es-US"/>
        </w:rPr>
        <w:t>riesg</w:t>
      </w:r>
      <w:r w:rsidR="00A64CE2" w:rsidRPr="009E773A">
        <w:rPr>
          <w:rFonts w:asciiTheme="majorHAnsi" w:hAnsiTheme="majorHAnsi"/>
          <w:sz w:val="20"/>
          <w:szCs w:val="20"/>
          <w:lang w:val="es-US"/>
        </w:rPr>
        <w:t>o. E</w:t>
      </w:r>
      <w:r w:rsidR="007A66FC" w:rsidRPr="009E773A">
        <w:rPr>
          <w:rFonts w:asciiTheme="majorHAnsi" w:hAnsiTheme="majorHAnsi"/>
          <w:sz w:val="20"/>
          <w:szCs w:val="20"/>
          <w:lang w:val="es-US"/>
        </w:rPr>
        <w:t>n relación con e</w:t>
      </w:r>
      <w:r w:rsidR="00B430B0" w:rsidRPr="009E773A">
        <w:rPr>
          <w:rFonts w:asciiTheme="majorHAnsi" w:hAnsiTheme="majorHAnsi"/>
          <w:sz w:val="20"/>
          <w:szCs w:val="20"/>
          <w:lang w:val="es-US"/>
        </w:rPr>
        <w:t xml:space="preserve">l tipo de riesgo, la CIDH ya acreditó que las amenazas y detenciones fueron incrementando en su frecuencia y nivel de hostilidad, por lo que la Comisión concluye que el riesgo contra Jimmy Guerrero era real e inmediato. </w:t>
      </w:r>
      <w:r w:rsidR="00A64CE2" w:rsidRPr="009E773A">
        <w:rPr>
          <w:rFonts w:asciiTheme="majorHAnsi" w:hAnsiTheme="majorHAnsi"/>
          <w:sz w:val="20"/>
          <w:szCs w:val="20"/>
          <w:lang w:val="es-US"/>
        </w:rPr>
        <w:t xml:space="preserve">Además, el riesgo era especialmente grave atendiendo al contexto en el cual tuvieron lugar los antecedentes denunciados. </w:t>
      </w:r>
      <w:r w:rsidR="00B430B0" w:rsidRPr="009E773A">
        <w:rPr>
          <w:rFonts w:asciiTheme="majorHAnsi" w:hAnsiTheme="majorHAnsi"/>
          <w:sz w:val="20"/>
          <w:szCs w:val="20"/>
          <w:lang w:val="es-US"/>
        </w:rPr>
        <w:t>Finalmente, en cuanto a las medidas adoptadas, la Comisión encuentra que la Defensoría del Pueblo solicitó medidas de protección a favor de Jimmy Guerrero, las que nunca se ejecutaron</w:t>
      </w:r>
      <w:r w:rsidR="00167998" w:rsidRPr="009E773A">
        <w:rPr>
          <w:rFonts w:asciiTheme="majorHAnsi" w:hAnsiTheme="majorHAnsi"/>
          <w:sz w:val="20"/>
          <w:szCs w:val="20"/>
          <w:lang w:val="es-US"/>
        </w:rPr>
        <w:t xml:space="preserve"> y, </w:t>
      </w:r>
      <w:r w:rsidR="001B48A8" w:rsidRPr="009E773A">
        <w:rPr>
          <w:rFonts w:asciiTheme="majorHAnsi" w:hAnsiTheme="majorHAnsi"/>
          <w:sz w:val="20"/>
          <w:szCs w:val="20"/>
          <w:lang w:val="es-US"/>
        </w:rPr>
        <w:t>del mismo modo, las denuncias ante</w:t>
      </w:r>
      <w:r w:rsidR="00001461" w:rsidRPr="009E773A">
        <w:rPr>
          <w:rFonts w:asciiTheme="majorHAnsi" w:hAnsiTheme="majorHAnsi"/>
          <w:sz w:val="20"/>
          <w:szCs w:val="20"/>
          <w:lang w:val="es-US"/>
        </w:rPr>
        <w:t xml:space="preserve"> Ministerio P</w:t>
      </w:r>
      <w:r w:rsidR="001B48A8" w:rsidRPr="009E773A">
        <w:rPr>
          <w:rFonts w:asciiTheme="majorHAnsi" w:hAnsiTheme="majorHAnsi"/>
          <w:sz w:val="20"/>
          <w:szCs w:val="20"/>
          <w:lang w:val="es-US"/>
        </w:rPr>
        <w:t>úblico, de acuerdo con el expediente, no provocaron ninguna investigación</w:t>
      </w:r>
      <w:r w:rsidR="00EC0397" w:rsidRPr="009E773A">
        <w:rPr>
          <w:rFonts w:asciiTheme="majorHAnsi" w:hAnsiTheme="majorHAnsi"/>
          <w:sz w:val="20"/>
          <w:szCs w:val="20"/>
          <w:lang w:val="es-US"/>
        </w:rPr>
        <w:t xml:space="preserve"> ni respuesta en materia de protección</w:t>
      </w:r>
      <w:r w:rsidR="001B48A8" w:rsidRPr="009E773A">
        <w:rPr>
          <w:rFonts w:asciiTheme="majorHAnsi" w:hAnsiTheme="majorHAnsi"/>
          <w:sz w:val="20"/>
          <w:szCs w:val="20"/>
          <w:lang w:val="es-US"/>
        </w:rPr>
        <w:t xml:space="preserve">. En virtud de lo anterior, la Comisión concluye que el Estado no cumplió con su deber de prevención </w:t>
      </w:r>
      <w:r w:rsidR="002E59D3" w:rsidRPr="009E773A">
        <w:rPr>
          <w:rFonts w:asciiTheme="majorHAnsi" w:hAnsiTheme="majorHAnsi"/>
          <w:sz w:val="20"/>
          <w:szCs w:val="20"/>
          <w:lang w:val="es-US"/>
        </w:rPr>
        <w:t>de la vulneración del</w:t>
      </w:r>
      <w:r w:rsidR="001B48A8" w:rsidRPr="009E773A">
        <w:rPr>
          <w:rFonts w:asciiTheme="majorHAnsi" w:hAnsiTheme="majorHAnsi"/>
          <w:sz w:val="20"/>
          <w:szCs w:val="20"/>
          <w:lang w:val="es-US"/>
        </w:rPr>
        <w:t xml:space="preserve"> derecho a la vida en perjuicio de Jimmy Guerrero</w:t>
      </w:r>
      <w:r w:rsidR="00377F5E" w:rsidRPr="009E773A">
        <w:rPr>
          <w:rFonts w:asciiTheme="majorHAnsi" w:hAnsiTheme="majorHAnsi"/>
          <w:sz w:val="20"/>
          <w:szCs w:val="20"/>
          <w:lang w:val="es-US"/>
        </w:rPr>
        <w:t xml:space="preserve"> por parte de sus propios agentes, confluyendo en este caso la violación de las obligaciones tanto de respeto como de garantía. </w:t>
      </w:r>
    </w:p>
    <w:p w14:paraId="75A71624" w14:textId="77777777" w:rsidR="001B48A8" w:rsidRPr="009E773A" w:rsidRDefault="001B48A8" w:rsidP="009A79B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9360"/>
        </w:tabs>
        <w:ind w:left="630"/>
        <w:jc w:val="both"/>
        <w:rPr>
          <w:rFonts w:asciiTheme="majorHAnsi" w:hAnsiTheme="majorHAnsi"/>
          <w:sz w:val="20"/>
          <w:szCs w:val="20"/>
          <w:lang w:val="es-ES"/>
        </w:rPr>
      </w:pPr>
    </w:p>
    <w:p w14:paraId="26094751" w14:textId="4E4C7FB7" w:rsidR="001B48A8" w:rsidRPr="009E773A" w:rsidRDefault="001B48A8" w:rsidP="009A79B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9360"/>
        </w:tabs>
        <w:jc w:val="both"/>
        <w:rPr>
          <w:rFonts w:asciiTheme="majorHAnsi" w:hAnsiTheme="majorHAnsi"/>
          <w:sz w:val="20"/>
          <w:szCs w:val="20"/>
          <w:lang w:val="es-ES"/>
        </w:rPr>
      </w:pPr>
      <w:r w:rsidRPr="009E773A">
        <w:rPr>
          <w:rFonts w:asciiTheme="majorHAnsi" w:hAnsiTheme="majorHAnsi"/>
          <w:sz w:val="20"/>
          <w:szCs w:val="20"/>
          <w:lang w:val="es-ES"/>
        </w:rPr>
        <w:t>Asimismo, la CIDH también señaló que la ejecución extrajudicial, puede venir aparejada a la vulneración concomitan</w:t>
      </w:r>
      <w:r w:rsidR="007C7351" w:rsidRPr="009E773A">
        <w:rPr>
          <w:rFonts w:asciiTheme="majorHAnsi" w:hAnsiTheme="majorHAnsi"/>
          <w:sz w:val="20"/>
          <w:szCs w:val="20"/>
          <w:lang w:val="es-ES"/>
        </w:rPr>
        <w:t xml:space="preserve">te de otros </w:t>
      </w:r>
      <w:r w:rsidRPr="009E773A">
        <w:rPr>
          <w:rFonts w:asciiTheme="majorHAnsi" w:hAnsiTheme="majorHAnsi"/>
          <w:sz w:val="20"/>
          <w:szCs w:val="20"/>
          <w:lang w:val="es-ES"/>
        </w:rPr>
        <w:t xml:space="preserve">derechos reconocidos en la Convención. En este sentido, la propia determinación de la ejecución extrajudicial, por la dinámica de los hechos, permite concluir que Jimmy Guerrero y Ramón Molina sufrieron </w:t>
      </w:r>
      <w:r w:rsidR="007C7351" w:rsidRPr="009E773A">
        <w:rPr>
          <w:rFonts w:asciiTheme="majorHAnsi" w:hAnsiTheme="majorHAnsi"/>
          <w:sz w:val="20"/>
          <w:szCs w:val="20"/>
          <w:lang w:val="es-ES"/>
        </w:rPr>
        <w:t>un profundo miedo</w:t>
      </w:r>
      <w:r w:rsidRPr="009E773A">
        <w:rPr>
          <w:rFonts w:asciiTheme="majorHAnsi" w:hAnsiTheme="majorHAnsi"/>
          <w:sz w:val="20"/>
          <w:szCs w:val="20"/>
          <w:lang w:val="es-ES"/>
        </w:rPr>
        <w:t xml:space="preserve"> produ</w:t>
      </w:r>
      <w:r w:rsidR="007C7351" w:rsidRPr="009E773A">
        <w:rPr>
          <w:rFonts w:asciiTheme="majorHAnsi" w:hAnsiTheme="majorHAnsi"/>
          <w:sz w:val="20"/>
          <w:szCs w:val="20"/>
          <w:lang w:val="es-ES"/>
        </w:rPr>
        <w:t>cto de</w:t>
      </w:r>
      <w:r w:rsidRPr="009E773A">
        <w:rPr>
          <w:rFonts w:asciiTheme="majorHAnsi" w:hAnsiTheme="majorHAnsi"/>
          <w:sz w:val="20"/>
          <w:szCs w:val="20"/>
          <w:lang w:val="es-ES"/>
        </w:rPr>
        <w:t xml:space="preserve"> la situación de violencia </w:t>
      </w:r>
      <w:r w:rsidR="007C7351" w:rsidRPr="009E773A">
        <w:rPr>
          <w:rFonts w:asciiTheme="majorHAnsi" w:hAnsiTheme="majorHAnsi"/>
          <w:sz w:val="20"/>
          <w:szCs w:val="20"/>
          <w:lang w:val="es-ES"/>
        </w:rPr>
        <w:t>durante el ataque que acabó con sus vidas</w:t>
      </w:r>
      <w:r w:rsidR="00A6392E" w:rsidRPr="009E773A">
        <w:rPr>
          <w:rFonts w:asciiTheme="majorHAnsi" w:hAnsiTheme="majorHAnsi"/>
          <w:sz w:val="20"/>
          <w:szCs w:val="20"/>
          <w:lang w:val="es-ES"/>
        </w:rPr>
        <w:t>, que constituye en sí mismo un sufrimiento contrario a su integridad</w:t>
      </w:r>
    </w:p>
    <w:p w14:paraId="4D01AB31" w14:textId="77777777" w:rsidR="001B48A8" w:rsidRPr="009E773A" w:rsidRDefault="001B48A8" w:rsidP="009A79B6">
      <w:pPr>
        <w:pStyle w:val="ListParagraph"/>
        <w:rPr>
          <w:rFonts w:asciiTheme="majorHAnsi" w:hAnsiTheme="majorHAnsi"/>
          <w:sz w:val="20"/>
          <w:szCs w:val="20"/>
          <w:lang w:val="es-ES"/>
        </w:rPr>
      </w:pPr>
    </w:p>
    <w:p w14:paraId="54115C8D" w14:textId="4995207D" w:rsidR="007449F3" w:rsidRPr="009E773A" w:rsidRDefault="007449F3" w:rsidP="009A79B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9360"/>
        </w:tabs>
        <w:jc w:val="both"/>
        <w:rPr>
          <w:rFonts w:asciiTheme="majorHAnsi" w:hAnsiTheme="majorHAnsi"/>
          <w:sz w:val="20"/>
          <w:szCs w:val="20"/>
          <w:lang w:val="es-ES"/>
        </w:rPr>
      </w:pPr>
      <w:r w:rsidRPr="009E773A">
        <w:rPr>
          <w:rFonts w:asciiTheme="majorHAnsi" w:hAnsiTheme="majorHAnsi"/>
          <w:sz w:val="20"/>
          <w:szCs w:val="20"/>
          <w:lang w:val="es-ES"/>
        </w:rPr>
        <w:t>Sumado a lo anterior</w:t>
      </w:r>
      <w:r w:rsidR="00B15C9D" w:rsidRPr="009E773A">
        <w:rPr>
          <w:rFonts w:asciiTheme="majorHAnsi" w:hAnsiTheme="majorHAnsi"/>
          <w:sz w:val="20"/>
          <w:szCs w:val="20"/>
          <w:lang w:val="es-ES"/>
        </w:rPr>
        <w:t>, la parte peticionaria alegó que las violaciones del derecho a la integridad de las víctimas constitu</w:t>
      </w:r>
      <w:r w:rsidR="002C54B5" w:rsidRPr="009E773A">
        <w:rPr>
          <w:rFonts w:asciiTheme="majorHAnsi" w:hAnsiTheme="majorHAnsi"/>
          <w:sz w:val="20"/>
          <w:szCs w:val="20"/>
          <w:lang w:val="es-ES"/>
        </w:rPr>
        <w:t>ían</w:t>
      </w:r>
      <w:r w:rsidRPr="009E773A">
        <w:rPr>
          <w:rFonts w:asciiTheme="majorHAnsi" w:hAnsiTheme="majorHAnsi"/>
          <w:sz w:val="20"/>
          <w:szCs w:val="20"/>
          <w:lang w:val="es-ES"/>
        </w:rPr>
        <w:t xml:space="preserve"> torturas y</w:t>
      </w:r>
      <w:r w:rsidR="002C54B5" w:rsidRPr="009E773A">
        <w:rPr>
          <w:rFonts w:asciiTheme="majorHAnsi" w:hAnsiTheme="majorHAnsi"/>
          <w:sz w:val="20"/>
          <w:szCs w:val="20"/>
          <w:lang w:val="es-ES"/>
        </w:rPr>
        <w:t xml:space="preserve"> </w:t>
      </w:r>
      <w:r w:rsidR="00B15C9D" w:rsidRPr="009E773A">
        <w:rPr>
          <w:rFonts w:asciiTheme="majorHAnsi" w:hAnsiTheme="majorHAnsi"/>
          <w:sz w:val="20"/>
          <w:szCs w:val="20"/>
          <w:lang w:val="es-ES"/>
        </w:rPr>
        <w:t>trato</w:t>
      </w:r>
      <w:r w:rsidR="002C54B5" w:rsidRPr="009E773A">
        <w:rPr>
          <w:rFonts w:asciiTheme="majorHAnsi" w:hAnsiTheme="majorHAnsi"/>
          <w:sz w:val="20"/>
          <w:szCs w:val="20"/>
          <w:lang w:val="es-ES"/>
        </w:rPr>
        <w:t xml:space="preserve">s </w:t>
      </w:r>
      <w:r w:rsidR="00B15C9D" w:rsidRPr="009E773A">
        <w:rPr>
          <w:rFonts w:asciiTheme="majorHAnsi" w:hAnsiTheme="majorHAnsi"/>
          <w:sz w:val="20"/>
          <w:szCs w:val="20"/>
          <w:lang w:val="es-ES"/>
        </w:rPr>
        <w:t>cruel</w:t>
      </w:r>
      <w:r w:rsidR="002C54B5" w:rsidRPr="009E773A">
        <w:rPr>
          <w:rFonts w:asciiTheme="majorHAnsi" w:hAnsiTheme="majorHAnsi"/>
          <w:sz w:val="20"/>
          <w:szCs w:val="20"/>
          <w:lang w:val="es-ES"/>
        </w:rPr>
        <w:t>es, inhuman</w:t>
      </w:r>
      <w:r w:rsidR="007C4F1A" w:rsidRPr="009E773A">
        <w:rPr>
          <w:rFonts w:asciiTheme="majorHAnsi" w:hAnsiTheme="majorHAnsi"/>
          <w:sz w:val="20"/>
          <w:szCs w:val="20"/>
          <w:lang w:val="es-ES"/>
        </w:rPr>
        <w:t>o</w:t>
      </w:r>
      <w:r w:rsidR="002C54B5" w:rsidRPr="009E773A">
        <w:rPr>
          <w:rFonts w:asciiTheme="majorHAnsi" w:hAnsiTheme="majorHAnsi"/>
          <w:sz w:val="20"/>
          <w:szCs w:val="20"/>
          <w:lang w:val="es-ES"/>
        </w:rPr>
        <w:t xml:space="preserve">s o </w:t>
      </w:r>
      <w:r w:rsidR="00B15C9D" w:rsidRPr="009E773A">
        <w:rPr>
          <w:rFonts w:asciiTheme="majorHAnsi" w:hAnsiTheme="majorHAnsi"/>
          <w:sz w:val="20"/>
          <w:szCs w:val="20"/>
          <w:lang w:val="es-ES"/>
        </w:rPr>
        <w:t>degradante</w:t>
      </w:r>
      <w:r w:rsidR="002C54B5" w:rsidRPr="009E773A">
        <w:rPr>
          <w:rFonts w:asciiTheme="majorHAnsi" w:hAnsiTheme="majorHAnsi"/>
          <w:sz w:val="20"/>
          <w:szCs w:val="20"/>
          <w:lang w:val="es-ES"/>
        </w:rPr>
        <w:t>s</w:t>
      </w:r>
      <w:r w:rsidR="00B15C9D" w:rsidRPr="009E773A">
        <w:rPr>
          <w:rFonts w:asciiTheme="majorHAnsi" w:hAnsiTheme="majorHAnsi"/>
          <w:sz w:val="20"/>
          <w:szCs w:val="20"/>
          <w:lang w:val="es-ES"/>
        </w:rPr>
        <w:t xml:space="preserve">. Al respecto, de acuerdo con la mecánica de los hechos, los primeros disparos se dirigen contra Jimmy Guerrero,  y según el testimonio </w:t>
      </w:r>
      <w:r w:rsidR="00D2012A" w:rsidRPr="009E773A">
        <w:rPr>
          <w:rFonts w:asciiTheme="majorHAnsi" w:hAnsiTheme="majorHAnsi"/>
          <w:sz w:val="20"/>
          <w:szCs w:val="20"/>
          <w:lang w:val="es-ES"/>
        </w:rPr>
        <w:t>del señor Diogo</w:t>
      </w:r>
      <w:r w:rsidR="00B15C9D" w:rsidRPr="009E773A">
        <w:rPr>
          <w:rFonts w:asciiTheme="majorHAnsi" w:hAnsiTheme="majorHAnsi"/>
          <w:sz w:val="20"/>
          <w:szCs w:val="20"/>
          <w:lang w:val="es-ES"/>
        </w:rPr>
        <w:t xml:space="preserve"> uno de estos disparos fue en su cabeza. </w:t>
      </w:r>
      <w:r w:rsidR="00D2012A" w:rsidRPr="009E773A">
        <w:rPr>
          <w:rFonts w:asciiTheme="majorHAnsi" w:hAnsiTheme="majorHAnsi"/>
          <w:sz w:val="20"/>
          <w:szCs w:val="20"/>
          <w:lang w:val="es-ES"/>
        </w:rPr>
        <w:t>Los disparos hicieron reacci</w:t>
      </w:r>
      <w:r w:rsidR="00543A00" w:rsidRPr="009E773A">
        <w:rPr>
          <w:rFonts w:asciiTheme="majorHAnsi" w:hAnsiTheme="majorHAnsi"/>
          <w:sz w:val="20"/>
          <w:szCs w:val="20"/>
          <w:lang w:val="es-ES"/>
        </w:rPr>
        <w:t>onar</w:t>
      </w:r>
      <w:r w:rsidR="00D2012A" w:rsidRPr="009E773A">
        <w:rPr>
          <w:rFonts w:asciiTheme="majorHAnsi" w:hAnsiTheme="majorHAnsi"/>
          <w:sz w:val="20"/>
          <w:szCs w:val="20"/>
          <w:lang w:val="es-ES"/>
        </w:rPr>
        <w:t xml:space="preserve"> a su tío </w:t>
      </w:r>
      <w:r w:rsidR="00B15C9D" w:rsidRPr="009E773A">
        <w:rPr>
          <w:rFonts w:asciiTheme="majorHAnsi" w:hAnsiTheme="majorHAnsi"/>
          <w:sz w:val="20"/>
          <w:szCs w:val="20"/>
          <w:lang w:val="es-ES"/>
        </w:rPr>
        <w:t>Ram</w:t>
      </w:r>
      <w:r w:rsidR="00D2012A" w:rsidRPr="009E773A">
        <w:rPr>
          <w:rFonts w:asciiTheme="majorHAnsi" w:hAnsiTheme="majorHAnsi"/>
          <w:sz w:val="20"/>
          <w:szCs w:val="20"/>
          <w:lang w:val="es-ES"/>
        </w:rPr>
        <w:t xml:space="preserve">ón </w:t>
      </w:r>
      <w:r w:rsidR="00B15C9D" w:rsidRPr="009E773A">
        <w:rPr>
          <w:rFonts w:asciiTheme="majorHAnsi" w:hAnsiTheme="majorHAnsi"/>
          <w:sz w:val="20"/>
          <w:szCs w:val="20"/>
          <w:lang w:val="es-ES"/>
        </w:rPr>
        <w:t>Molina</w:t>
      </w:r>
      <w:r w:rsidR="00D2012A" w:rsidRPr="009E773A">
        <w:rPr>
          <w:rFonts w:asciiTheme="majorHAnsi" w:hAnsiTheme="majorHAnsi"/>
          <w:sz w:val="20"/>
          <w:szCs w:val="20"/>
          <w:lang w:val="es-ES"/>
        </w:rPr>
        <w:t xml:space="preserve"> </w:t>
      </w:r>
      <w:r w:rsidR="00543A00" w:rsidRPr="009E773A">
        <w:rPr>
          <w:rFonts w:asciiTheme="majorHAnsi" w:hAnsiTheme="majorHAnsi"/>
          <w:sz w:val="20"/>
          <w:szCs w:val="20"/>
          <w:lang w:val="es-ES"/>
        </w:rPr>
        <w:t>quien enfrent</w:t>
      </w:r>
      <w:r w:rsidR="002E59D3" w:rsidRPr="009E773A">
        <w:rPr>
          <w:rFonts w:asciiTheme="majorHAnsi" w:hAnsiTheme="majorHAnsi"/>
          <w:sz w:val="20"/>
          <w:szCs w:val="20"/>
          <w:lang w:val="es-ES"/>
        </w:rPr>
        <w:t>ó</w:t>
      </w:r>
      <w:r w:rsidR="00543A00" w:rsidRPr="009E773A">
        <w:rPr>
          <w:rFonts w:asciiTheme="majorHAnsi" w:hAnsiTheme="majorHAnsi"/>
          <w:sz w:val="20"/>
          <w:szCs w:val="20"/>
          <w:lang w:val="es-ES"/>
        </w:rPr>
        <w:t xml:space="preserve"> a</w:t>
      </w:r>
      <w:r w:rsidR="00D2012A" w:rsidRPr="009E773A">
        <w:rPr>
          <w:rFonts w:asciiTheme="majorHAnsi" w:hAnsiTheme="majorHAnsi"/>
          <w:sz w:val="20"/>
          <w:szCs w:val="20"/>
          <w:lang w:val="es-ES"/>
        </w:rPr>
        <w:t xml:space="preserve"> los atacantes, por lo que</w:t>
      </w:r>
      <w:r w:rsidR="00B15C9D" w:rsidRPr="009E773A">
        <w:rPr>
          <w:rFonts w:asciiTheme="majorHAnsi" w:hAnsiTheme="majorHAnsi"/>
          <w:sz w:val="20"/>
          <w:szCs w:val="20"/>
          <w:lang w:val="es-ES"/>
        </w:rPr>
        <w:t xml:space="preserve"> fue abaleado y cayó al suelo. </w:t>
      </w:r>
      <w:r w:rsidR="00D2012A" w:rsidRPr="009E773A">
        <w:rPr>
          <w:rFonts w:asciiTheme="majorHAnsi" w:hAnsiTheme="majorHAnsi"/>
          <w:sz w:val="20"/>
          <w:szCs w:val="20"/>
          <w:lang w:val="es-ES"/>
        </w:rPr>
        <w:t xml:space="preserve">Si bien el señor Diogo se refirió a que el </w:t>
      </w:r>
      <w:r w:rsidR="00D50C4C" w:rsidRPr="009E773A">
        <w:rPr>
          <w:rFonts w:asciiTheme="majorHAnsi" w:hAnsiTheme="majorHAnsi"/>
          <w:sz w:val="20"/>
          <w:szCs w:val="20"/>
          <w:lang w:val="es-ES"/>
        </w:rPr>
        <w:t>cadáver</w:t>
      </w:r>
      <w:r w:rsidR="00D2012A" w:rsidRPr="009E773A">
        <w:rPr>
          <w:rFonts w:asciiTheme="majorHAnsi" w:hAnsiTheme="majorHAnsi"/>
          <w:sz w:val="20"/>
          <w:szCs w:val="20"/>
          <w:lang w:val="es-ES"/>
        </w:rPr>
        <w:t xml:space="preserve"> de Jimmy Guerrero fue lueg</w:t>
      </w:r>
      <w:r w:rsidR="002E59D3" w:rsidRPr="009E773A">
        <w:rPr>
          <w:rFonts w:asciiTheme="majorHAnsi" w:hAnsiTheme="majorHAnsi"/>
          <w:sz w:val="20"/>
          <w:szCs w:val="20"/>
          <w:lang w:val="es-ES"/>
        </w:rPr>
        <w:t>o atado al carro que lo arrastró</w:t>
      </w:r>
      <w:r w:rsidR="00D2012A" w:rsidRPr="009E773A">
        <w:rPr>
          <w:rFonts w:asciiTheme="majorHAnsi" w:hAnsiTheme="majorHAnsi"/>
          <w:sz w:val="20"/>
          <w:szCs w:val="20"/>
          <w:lang w:val="es-ES"/>
        </w:rPr>
        <w:t xml:space="preserve"> varios metros, el señor Hernández atestiguó que </w:t>
      </w:r>
      <w:r w:rsidR="00D50C4C" w:rsidRPr="009E773A">
        <w:rPr>
          <w:rFonts w:asciiTheme="majorHAnsi" w:hAnsiTheme="majorHAnsi"/>
          <w:sz w:val="20"/>
          <w:szCs w:val="20"/>
          <w:lang w:val="es-ES"/>
        </w:rPr>
        <w:t xml:space="preserve">tras los primeros disparos vio que Jimmy Guerrero era pateado y que él oponía resistencia y gritaba. La prueba en el expediente no es suficiente </w:t>
      </w:r>
      <w:r w:rsidR="00D50C4C" w:rsidRPr="009E773A">
        <w:rPr>
          <w:rFonts w:asciiTheme="majorHAnsi" w:hAnsiTheme="majorHAnsi"/>
          <w:sz w:val="20"/>
          <w:szCs w:val="20"/>
          <w:lang w:val="es-ES"/>
        </w:rPr>
        <w:lastRenderedPageBreak/>
        <w:t>para determinar si es que Jimmy Guerrero se encontraba con vida o no, después del primer disparo en su cabeza</w:t>
      </w:r>
      <w:r w:rsidR="00543A00" w:rsidRPr="009E773A">
        <w:rPr>
          <w:rFonts w:asciiTheme="majorHAnsi" w:hAnsiTheme="majorHAnsi"/>
          <w:sz w:val="20"/>
          <w:szCs w:val="20"/>
          <w:lang w:val="es-ES"/>
        </w:rPr>
        <w:t xml:space="preserve"> atestiguado por el señor Diogo</w:t>
      </w:r>
      <w:r w:rsidR="00D50C4C" w:rsidRPr="009E773A">
        <w:rPr>
          <w:rFonts w:asciiTheme="majorHAnsi" w:hAnsiTheme="majorHAnsi"/>
          <w:sz w:val="20"/>
          <w:szCs w:val="20"/>
          <w:lang w:val="es-ES"/>
        </w:rPr>
        <w:t>, y si es que las golpes y el arrastre por la vía, son susceptibles de ser analizados co</w:t>
      </w:r>
      <w:r w:rsidR="002C54B5" w:rsidRPr="009E773A">
        <w:rPr>
          <w:rFonts w:asciiTheme="majorHAnsi" w:hAnsiTheme="majorHAnsi"/>
          <w:sz w:val="20"/>
          <w:szCs w:val="20"/>
          <w:lang w:val="es-ES"/>
        </w:rPr>
        <w:t>mo actos de tortura, o tratos y penas cr</w:t>
      </w:r>
      <w:r w:rsidR="00543A00" w:rsidRPr="009E773A">
        <w:rPr>
          <w:rFonts w:asciiTheme="majorHAnsi" w:hAnsiTheme="majorHAnsi"/>
          <w:sz w:val="20"/>
          <w:szCs w:val="20"/>
          <w:lang w:val="es-ES"/>
        </w:rPr>
        <w:t xml:space="preserve">ueles, inhumanos y degradantes. </w:t>
      </w:r>
    </w:p>
    <w:p w14:paraId="391880B0" w14:textId="77777777" w:rsidR="007449F3" w:rsidRPr="009E773A" w:rsidRDefault="007449F3" w:rsidP="009A79B6">
      <w:pPr>
        <w:pStyle w:val="ListParagraph"/>
        <w:rPr>
          <w:rFonts w:asciiTheme="majorHAnsi" w:hAnsiTheme="majorHAnsi"/>
          <w:sz w:val="20"/>
          <w:szCs w:val="20"/>
          <w:lang w:val="es-ES"/>
        </w:rPr>
      </w:pPr>
    </w:p>
    <w:p w14:paraId="7C0DB640" w14:textId="790C4881" w:rsidR="00B15C9D" w:rsidRPr="009E773A" w:rsidRDefault="00543A00" w:rsidP="009A79B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9360"/>
        </w:tabs>
        <w:jc w:val="both"/>
        <w:rPr>
          <w:rFonts w:asciiTheme="majorHAnsi" w:hAnsiTheme="majorHAnsi"/>
          <w:sz w:val="20"/>
          <w:szCs w:val="20"/>
          <w:lang w:val="es-ES"/>
        </w:rPr>
      </w:pPr>
      <w:r w:rsidRPr="009E773A">
        <w:rPr>
          <w:rFonts w:asciiTheme="majorHAnsi" w:hAnsiTheme="majorHAnsi"/>
          <w:sz w:val="20"/>
          <w:szCs w:val="20"/>
          <w:lang w:val="es-ES"/>
        </w:rPr>
        <w:t xml:space="preserve">Sin perjuicio de lo anterior, la Comisión </w:t>
      </w:r>
      <w:r w:rsidR="007449F3" w:rsidRPr="009E773A">
        <w:rPr>
          <w:rFonts w:asciiTheme="majorHAnsi" w:hAnsiTheme="majorHAnsi"/>
          <w:sz w:val="20"/>
          <w:szCs w:val="20"/>
          <w:lang w:val="es-ES"/>
        </w:rPr>
        <w:t xml:space="preserve">encuentra que si bien no puede determinar si es que Jimmy Guerrero se encontraba con vida o no cuando fue golpeado y luego arrastrado por el auto en cuestión, </w:t>
      </w:r>
      <w:r w:rsidR="002E59D3" w:rsidRPr="009E773A">
        <w:rPr>
          <w:rFonts w:asciiTheme="majorHAnsi" w:hAnsiTheme="majorHAnsi"/>
          <w:sz w:val="20"/>
          <w:szCs w:val="20"/>
          <w:lang w:val="es-ES"/>
        </w:rPr>
        <w:t xml:space="preserve">esto no es óbice para analizar </w:t>
      </w:r>
      <w:r w:rsidR="007449F3" w:rsidRPr="009E773A">
        <w:rPr>
          <w:rFonts w:asciiTheme="majorHAnsi" w:hAnsiTheme="majorHAnsi"/>
          <w:sz w:val="20"/>
          <w:szCs w:val="20"/>
          <w:lang w:val="es-ES"/>
        </w:rPr>
        <w:t>el deber de oficio de investigar posibles actos de tortura, tal como lo establece el artículo 8 de la CIPST</w:t>
      </w:r>
      <w:r w:rsidR="00512011" w:rsidRPr="009E773A">
        <w:rPr>
          <w:rFonts w:asciiTheme="majorHAnsi" w:hAnsiTheme="majorHAnsi"/>
          <w:sz w:val="20"/>
          <w:szCs w:val="20"/>
          <w:lang w:val="es-ES"/>
        </w:rPr>
        <w:t>. En el presente caso, el estado en que se encontró el cuerpo de Jimmy Guerrero, de acuerdo con el informe de autopsia, revela un</w:t>
      </w:r>
      <w:r w:rsidR="00E536C9" w:rsidRPr="009E773A">
        <w:rPr>
          <w:rFonts w:asciiTheme="majorHAnsi" w:hAnsiTheme="majorHAnsi"/>
          <w:sz w:val="20"/>
          <w:szCs w:val="20"/>
          <w:lang w:val="es-ES"/>
        </w:rPr>
        <w:t xml:space="preserve"> posible</w:t>
      </w:r>
      <w:r w:rsidR="00512011" w:rsidRPr="009E773A">
        <w:rPr>
          <w:rFonts w:asciiTheme="majorHAnsi" w:hAnsiTheme="majorHAnsi"/>
          <w:sz w:val="20"/>
          <w:szCs w:val="20"/>
          <w:lang w:val="es-ES"/>
        </w:rPr>
        <w:t xml:space="preserve"> ensañamiento grave que debió activar una investigación de oficio que no </w:t>
      </w:r>
      <w:r w:rsidR="00B11E17" w:rsidRPr="009E773A">
        <w:rPr>
          <w:rFonts w:asciiTheme="majorHAnsi" w:hAnsiTheme="majorHAnsi"/>
          <w:sz w:val="20"/>
          <w:szCs w:val="20"/>
          <w:lang w:val="es-ES"/>
        </w:rPr>
        <w:t>ha sido reportada en el expediente.</w:t>
      </w:r>
      <w:r w:rsidR="00512011" w:rsidRPr="009E773A">
        <w:rPr>
          <w:rFonts w:asciiTheme="majorHAnsi" w:hAnsiTheme="majorHAnsi"/>
          <w:sz w:val="20"/>
          <w:szCs w:val="20"/>
          <w:lang w:val="es-ES"/>
        </w:rPr>
        <w:t xml:space="preserve"> </w:t>
      </w:r>
    </w:p>
    <w:p w14:paraId="3515BF0B" w14:textId="77777777" w:rsidR="002E59D3" w:rsidRPr="009E773A" w:rsidRDefault="002E59D3" w:rsidP="009A79B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9360"/>
        </w:tabs>
        <w:jc w:val="both"/>
        <w:rPr>
          <w:rFonts w:asciiTheme="majorHAnsi" w:hAnsiTheme="majorHAnsi"/>
          <w:sz w:val="20"/>
          <w:szCs w:val="20"/>
          <w:lang w:val="es-ES"/>
        </w:rPr>
      </w:pPr>
    </w:p>
    <w:p w14:paraId="539A7AD4" w14:textId="77777777" w:rsidR="00FC7D8E" w:rsidRPr="009E773A" w:rsidRDefault="00FC7D8E" w:rsidP="009A79B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9360"/>
        </w:tabs>
        <w:ind w:left="630"/>
        <w:jc w:val="both"/>
        <w:rPr>
          <w:rFonts w:asciiTheme="majorHAnsi" w:hAnsiTheme="majorHAnsi"/>
          <w:sz w:val="20"/>
          <w:szCs w:val="20"/>
          <w:lang w:val="es-ES"/>
        </w:rPr>
      </w:pPr>
    </w:p>
    <w:p w14:paraId="4F471DD6" w14:textId="3129BDED" w:rsidR="00FC7D8E" w:rsidRPr="009E773A" w:rsidRDefault="00FC7D8E" w:rsidP="009A79B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9360"/>
        </w:tabs>
        <w:jc w:val="both"/>
        <w:rPr>
          <w:rFonts w:asciiTheme="majorHAnsi" w:hAnsiTheme="majorHAnsi"/>
          <w:sz w:val="20"/>
          <w:szCs w:val="20"/>
          <w:lang w:val="es-ES"/>
        </w:rPr>
      </w:pPr>
      <w:r w:rsidRPr="009E773A">
        <w:rPr>
          <w:rFonts w:asciiTheme="majorHAnsi" w:hAnsiTheme="majorHAnsi"/>
          <w:sz w:val="20"/>
          <w:szCs w:val="20"/>
          <w:lang w:val="es-ES"/>
        </w:rPr>
        <w:t xml:space="preserve">En conclusión, la Comisión encuentra </w:t>
      </w:r>
      <w:r w:rsidR="00BE78F0" w:rsidRPr="009E773A">
        <w:rPr>
          <w:rFonts w:asciiTheme="majorHAnsi" w:hAnsiTheme="majorHAnsi"/>
          <w:sz w:val="20"/>
          <w:szCs w:val="20"/>
          <w:lang w:val="es-ES"/>
        </w:rPr>
        <w:t xml:space="preserve">el Estado venezolano violó </w:t>
      </w:r>
      <w:r w:rsidRPr="009E773A">
        <w:rPr>
          <w:rFonts w:asciiTheme="majorHAnsi" w:hAnsiTheme="majorHAnsi"/>
          <w:sz w:val="20"/>
          <w:szCs w:val="20"/>
          <w:lang w:val="es-ES"/>
        </w:rPr>
        <w:t xml:space="preserve">los derechos </w:t>
      </w:r>
      <w:r w:rsidR="00BE78F0" w:rsidRPr="009E773A">
        <w:rPr>
          <w:rFonts w:asciiTheme="majorHAnsi" w:hAnsiTheme="majorHAnsi"/>
          <w:sz w:val="20"/>
          <w:szCs w:val="20"/>
          <w:lang w:val="es-ES"/>
        </w:rPr>
        <w:t>establecidos en los artículo</w:t>
      </w:r>
      <w:r w:rsidR="002B1979" w:rsidRPr="009E773A">
        <w:rPr>
          <w:rFonts w:asciiTheme="majorHAnsi" w:hAnsiTheme="majorHAnsi"/>
          <w:sz w:val="20"/>
          <w:szCs w:val="20"/>
          <w:lang w:val="es-ES"/>
        </w:rPr>
        <w:t>s</w:t>
      </w:r>
      <w:r w:rsidR="00BE78F0" w:rsidRPr="009E773A">
        <w:rPr>
          <w:rFonts w:asciiTheme="majorHAnsi" w:hAnsiTheme="majorHAnsi"/>
          <w:sz w:val="20"/>
          <w:szCs w:val="20"/>
          <w:lang w:val="es-ES"/>
        </w:rPr>
        <w:t xml:space="preserve"> 4.1 y 5.1 de la Convención Americana, en relación con su obligación de respeto en el artículo 1.1 del mismo instrumento</w:t>
      </w:r>
      <w:r w:rsidR="002B1979" w:rsidRPr="009E773A">
        <w:rPr>
          <w:rFonts w:asciiTheme="majorHAnsi" w:hAnsiTheme="majorHAnsi"/>
          <w:sz w:val="20"/>
          <w:szCs w:val="20"/>
          <w:lang w:val="es-ES"/>
        </w:rPr>
        <w:t>, en perjuicio de Jimmy Guerrero y Ramón Molina.</w:t>
      </w:r>
      <w:r w:rsidR="00BE78F0" w:rsidRPr="009E773A">
        <w:rPr>
          <w:rFonts w:asciiTheme="majorHAnsi" w:hAnsiTheme="majorHAnsi"/>
          <w:sz w:val="20"/>
          <w:szCs w:val="20"/>
          <w:lang w:val="es-ES"/>
        </w:rPr>
        <w:t xml:space="preserve"> </w:t>
      </w:r>
      <w:r w:rsidRPr="009E773A">
        <w:rPr>
          <w:rFonts w:asciiTheme="majorHAnsi" w:hAnsiTheme="majorHAnsi"/>
          <w:sz w:val="20"/>
          <w:szCs w:val="20"/>
          <w:lang w:val="es-ES"/>
        </w:rPr>
        <w:t>Asimismo, en el caso particular de Jimmy Guerrero, la Comisi</w:t>
      </w:r>
      <w:r w:rsidR="002B35E7" w:rsidRPr="009E773A">
        <w:rPr>
          <w:rFonts w:asciiTheme="majorHAnsi" w:hAnsiTheme="majorHAnsi"/>
          <w:sz w:val="20"/>
          <w:szCs w:val="20"/>
          <w:lang w:val="es-ES"/>
        </w:rPr>
        <w:t>ón encuentra que</w:t>
      </w:r>
      <w:r w:rsidR="00B11096" w:rsidRPr="009E773A">
        <w:rPr>
          <w:rFonts w:asciiTheme="majorHAnsi" w:hAnsiTheme="majorHAnsi"/>
          <w:sz w:val="20"/>
          <w:szCs w:val="20"/>
          <w:lang w:val="es-ES"/>
        </w:rPr>
        <w:t xml:space="preserve"> el Estado además incumplió </w:t>
      </w:r>
      <w:r w:rsidR="002B35E7" w:rsidRPr="009E773A">
        <w:rPr>
          <w:rFonts w:asciiTheme="majorHAnsi" w:hAnsiTheme="majorHAnsi"/>
          <w:sz w:val="20"/>
          <w:szCs w:val="20"/>
          <w:lang w:val="es-ES"/>
        </w:rPr>
        <w:t xml:space="preserve">su deber de </w:t>
      </w:r>
      <w:r w:rsidR="00A967F9" w:rsidRPr="009E773A">
        <w:rPr>
          <w:rFonts w:asciiTheme="majorHAnsi" w:hAnsiTheme="majorHAnsi"/>
          <w:sz w:val="20"/>
          <w:szCs w:val="20"/>
          <w:lang w:val="es-ES"/>
        </w:rPr>
        <w:t xml:space="preserve">garantía en su componente de prevención respecto del derecho a la </w:t>
      </w:r>
      <w:r w:rsidR="00167998" w:rsidRPr="009E773A">
        <w:rPr>
          <w:rFonts w:asciiTheme="majorHAnsi" w:hAnsiTheme="majorHAnsi"/>
          <w:sz w:val="20"/>
          <w:szCs w:val="20"/>
          <w:lang w:val="es-ES"/>
        </w:rPr>
        <w:t>vida</w:t>
      </w:r>
      <w:r w:rsidR="00B11096" w:rsidRPr="009E773A">
        <w:rPr>
          <w:rFonts w:asciiTheme="majorHAnsi" w:hAnsiTheme="majorHAnsi"/>
          <w:sz w:val="20"/>
          <w:szCs w:val="20"/>
          <w:lang w:val="es-ES"/>
        </w:rPr>
        <w:t xml:space="preserve"> y </w:t>
      </w:r>
      <w:r w:rsidR="005C7377" w:rsidRPr="009E773A">
        <w:rPr>
          <w:rFonts w:asciiTheme="majorHAnsi" w:hAnsiTheme="majorHAnsi"/>
          <w:sz w:val="20"/>
          <w:szCs w:val="20"/>
          <w:lang w:val="es-ES"/>
        </w:rPr>
        <w:t xml:space="preserve">su obligación de investigar </w:t>
      </w:r>
      <w:r w:rsidR="00BE78F0" w:rsidRPr="009E773A">
        <w:rPr>
          <w:rFonts w:asciiTheme="majorHAnsi" w:hAnsiTheme="majorHAnsi"/>
          <w:sz w:val="20"/>
          <w:szCs w:val="20"/>
          <w:lang w:val="es-ES"/>
        </w:rPr>
        <w:t xml:space="preserve">de oficio </w:t>
      </w:r>
      <w:r w:rsidR="005C7377" w:rsidRPr="009E773A">
        <w:rPr>
          <w:rFonts w:asciiTheme="majorHAnsi" w:hAnsiTheme="majorHAnsi"/>
          <w:sz w:val="20"/>
          <w:szCs w:val="20"/>
          <w:lang w:val="es-ES"/>
        </w:rPr>
        <w:t xml:space="preserve">posibles actos de tortura </w:t>
      </w:r>
      <w:r w:rsidR="00BE78F0" w:rsidRPr="009E773A">
        <w:rPr>
          <w:rFonts w:asciiTheme="majorHAnsi" w:hAnsiTheme="majorHAnsi"/>
          <w:sz w:val="20"/>
          <w:szCs w:val="20"/>
          <w:lang w:val="es-ES"/>
        </w:rPr>
        <w:t xml:space="preserve">consagrada en </w:t>
      </w:r>
      <w:r w:rsidR="0044007D" w:rsidRPr="009E773A">
        <w:rPr>
          <w:rFonts w:asciiTheme="majorHAnsi" w:hAnsiTheme="majorHAnsi"/>
          <w:sz w:val="20"/>
          <w:szCs w:val="20"/>
          <w:lang w:val="es-ES"/>
        </w:rPr>
        <w:t xml:space="preserve">los artículos 1, 6 y </w:t>
      </w:r>
      <w:r w:rsidR="00BE78F0" w:rsidRPr="009E773A">
        <w:rPr>
          <w:rFonts w:asciiTheme="majorHAnsi" w:hAnsiTheme="majorHAnsi"/>
          <w:sz w:val="20"/>
          <w:szCs w:val="20"/>
          <w:lang w:val="es-ES"/>
        </w:rPr>
        <w:t>8</w:t>
      </w:r>
      <w:r w:rsidR="005C7377" w:rsidRPr="009E773A">
        <w:rPr>
          <w:rFonts w:asciiTheme="majorHAnsi" w:hAnsiTheme="majorHAnsi"/>
          <w:sz w:val="20"/>
          <w:szCs w:val="20"/>
          <w:lang w:val="es-ES"/>
        </w:rPr>
        <w:t xml:space="preserve"> </w:t>
      </w:r>
      <w:r w:rsidR="00BE78F0" w:rsidRPr="009E773A">
        <w:rPr>
          <w:rFonts w:asciiTheme="majorHAnsi" w:hAnsiTheme="majorHAnsi"/>
          <w:sz w:val="20"/>
          <w:szCs w:val="20"/>
          <w:lang w:val="es-ES"/>
        </w:rPr>
        <w:t xml:space="preserve">de </w:t>
      </w:r>
      <w:r w:rsidR="005C7377" w:rsidRPr="009E773A">
        <w:rPr>
          <w:rFonts w:asciiTheme="majorHAnsi" w:hAnsiTheme="majorHAnsi"/>
          <w:sz w:val="20"/>
          <w:szCs w:val="20"/>
          <w:lang w:val="es-ES"/>
        </w:rPr>
        <w:t xml:space="preserve">la CIPST. </w:t>
      </w:r>
    </w:p>
    <w:p w14:paraId="5A0C0809" w14:textId="77777777" w:rsidR="0024521E" w:rsidRPr="009E773A" w:rsidRDefault="0024521E" w:rsidP="009A79B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9360"/>
        </w:tabs>
        <w:jc w:val="both"/>
        <w:rPr>
          <w:rFonts w:asciiTheme="majorHAnsi" w:hAnsiTheme="majorHAnsi"/>
          <w:sz w:val="20"/>
          <w:szCs w:val="20"/>
          <w:lang w:val="es-ES"/>
        </w:rPr>
      </w:pPr>
    </w:p>
    <w:p w14:paraId="76506CC9" w14:textId="77777777" w:rsidR="00C8292F" w:rsidRDefault="005D3C86" w:rsidP="00CA08FD">
      <w:pPr>
        <w:pStyle w:val="Heading2"/>
        <w:ind w:left="0" w:firstLine="0"/>
        <w:rPr>
          <w:lang w:val="es-ES"/>
        </w:rPr>
      </w:pPr>
      <w:bookmarkStart w:id="31" w:name="_Toc520804263"/>
      <w:bookmarkStart w:id="32" w:name="_Toc2157192"/>
      <w:bookmarkStart w:id="33" w:name="_Toc2157246"/>
      <w:bookmarkStart w:id="34" w:name="_Toc2159220"/>
      <w:r w:rsidRPr="009E773A">
        <w:rPr>
          <w:lang w:val="es-ES"/>
        </w:rPr>
        <w:t>Derecho a las garantías judiciales y la protección judicial (artículos 8</w:t>
      </w:r>
      <w:r w:rsidRPr="009E773A">
        <w:rPr>
          <w:vertAlign w:val="superscript"/>
        </w:rPr>
        <w:footnoteReference w:id="120"/>
      </w:r>
      <w:r w:rsidRPr="009E773A">
        <w:rPr>
          <w:vertAlign w:val="superscript"/>
          <w:lang w:val="es-ES"/>
        </w:rPr>
        <w:t xml:space="preserve"> </w:t>
      </w:r>
      <w:r w:rsidRPr="009E773A">
        <w:rPr>
          <w:lang w:val="es-ES"/>
        </w:rPr>
        <w:t>y  artículo 25.1</w:t>
      </w:r>
      <w:r w:rsidRPr="009E773A">
        <w:rPr>
          <w:vertAlign w:val="superscript"/>
        </w:rPr>
        <w:footnoteReference w:id="121"/>
      </w:r>
      <w:r w:rsidRPr="009E773A">
        <w:rPr>
          <w:lang w:val="es-ES"/>
        </w:rPr>
        <w:t>) en relación con el artículo 1.1 de la Convención Americana</w:t>
      </w:r>
      <w:bookmarkEnd w:id="31"/>
      <w:bookmarkEnd w:id="32"/>
      <w:bookmarkEnd w:id="33"/>
      <w:bookmarkEnd w:id="34"/>
    </w:p>
    <w:p w14:paraId="17F3C465" w14:textId="77777777" w:rsidR="00392EC4" w:rsidRPr="00392EC4" w:rsidRDefault="00392EC4" w:rsidP="009A79B6">
      <w:pPr>
        <w:rPr>
          <w:lang w:val="es-ES"/>
        </w:rPr>
      </w:pPr>
    </w:p>
    <w:p w14:paraId="066A5741" w14:textId="175A914D" w:rsidR="005D3C86" w:rsidRPr="00FC5E2A" w:rsidRDefault="005D3C86" w:rsidP="00CA08FD">
      <w:pPr>
        <w:pStyle w:val="Heading3"/>
        <w:numPr>
          <w:ilvl w:val="0"/>
          <w:numId w:val="71"/>
        </w:numPr>
        <w:ind w:left="0" w:firstLine="0"/>
      </w:pPr>
      <w:bookmarkStart w:id="35" w:name="_Toc520804264"/>
      <w:bookmarkStart w:id="36" w:name="_Toc2157193"/>
      <w:bookmarkStart w:id="37" w:name="_Toc2157247"/>
      <w:bookmarkStart w:id="38" w:name="_Toc2159221"/>
      <w:r w:rsidRPr="00FC5E2A">
        <w:t xml:space="preserve">Estándares de debida diligencia en investigaciones de muertes que involucren agentes del </w:t>
      </w:r>
      <w:r w:rsidR="004E1641" w:rsidRPr="00FC5E2A">
        <w:t>E</w:t>
      </w:r>
      <w:r w:rsidRPr="00FC5E2A">
        <w:t>stado y plazo razonable</w:t>
      </w:r>
      <w:bookmarkEnd w:id="35"/>
      <w:bookmarkEnd w:id="36"/>
      <w:bookmarkEnd w:id="37"/>
      <w:bookmarkEnd w:id="38"/>
    </w:p>
    <w:p w14:paraId="38A21262" w14:textId="77777777" w:rsidR="005D3C86" w:rsidRPr="009E773A" w:rsidRDefault="005D3C86" w:rsidP="009A79B6">
      <w:pPr>
        <w:ind w:left="1800"/>
        <w:rPr>
          <w:rFonts w:asciiTheme="majorHAnsi" w:hAnsiTheme="majorHAnsi"/>
          <w:b/>
          <w:sz w:val="20"/>
          <w:szCs w:val="20"/>
          <w:lang w:val="es-ES"/>
        </w:rPr>
      </w:pPr>
    </w:p>
    <w:p w14:paraId="3CA8152A" w14:textId="77777777" w:rsidR="005D3C86" w:rsidRPr="009E773A" w:rsidRDefault="005D3C86" w:rsidP="009A79B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9360"/>
        </w:tabs>
        <w:jc w:val="both"/>
        <w:rPr>
          <w:rFonts w:asciiTheme="majorHAnsi" w:hAnsiTheme="majorHAnsi"/>
          <w:sz w:val="20"/>
          <w:szCs w:val="20"/>
          <w:lang w:val="es-ES"/>
        </w:rPr>
      </w:pPr>
      <w:r w:rsidRPr="009E773A">
        <w:rPr>
          <w:rFonts w:asciiTheme="majorHAnsi" w:hAnsiTheme="majorHAnsi"/>
          <w:sz w:val="20"/>
          <w:szCs w:val="20"/>
          <w:lang w:val="es-ES"/>
        </w:rPr>
        <w:t>Tanto la CIDH como la Corte han establecido que en casos relacionados con ejecuciones extrajudiciales</w:t>
      </w:r>
      <w:r w:rsidRPr="009E773A">
        <w:rPr>
          <w:rFonts w:asciiTheme="majorHAnsi" w:hAnsiTheme="majorHAnsi" w:cs="Verdana"/>
          <w:sz w:val="20"/>
          <w:szCs w:val="20"/>
          <w:lang w:val="es-ES"/>
        </w:rPr>
        <w:t xml:space="preserve">, el Estado tiene el deber de iniciar </w:t>
      </w:r>
      <w:r w:rsidRPr="009E773A">
        <w:rPr>
          <w:rFonts w:asciiTheme="majorHAnsi" w:hAnsiTheme="majorHAnsi" w:cs="Verdana"/>
          <w:i/>
          <w:sz w:val="20"/>
          <w:szCs w:val="20"/>
          <w:lang w:val="es-ES"/>
        </w:rPr>
        <w:t>ex officio</w:t>
      </w:r>
      <w:r w:rsidRPr="009E773A">
        <w:rPr>
          <w:rFonts w:asciiTheme="majorHAnsi" w:hAnsiTheme="majorHAnsi" w:cs="Verdana"/>
          <w:sz w:val="20"/>
          <w:szCs w:val="20"/>
          <w:lang w:val="es-ES"/>
        </w:rPr>
        <w:t xml:space="preserve"> y sin dilación, una investigación seria, imparcial y efectiva</w:t>
      </w:r>
      <w:r w:rsidRPr="009E773A">
        <w:rPr>
          <w:rStyle w:val="FootnoteReference"/>
          <w:rFonts w:asciiTheme="majorHAnsi" w:hAnsiTheme="majorHAnsi" w:cs="Verdana"/>
          <w:sz w:val="20"/>
          <w:szCs w:val="20"/>
          <w:lang w:val="es-ES"/>
        </w:rPr>
        <w:footnoteReference w:id="122"/>
      </w:r>
      <w:r w:rsidRPr="009E773A">
        <w:rPr>
          <w:rFonts w:asciiTheme="majorHAnsi" w:hAnsiTheme="majorHAnsi" w:cs="Verdana"/>
          <w:sz w:val="20"/>
          <w:szCs w:val="20"/>
          <w:lang w:val="es-ES"/>
        </w:rPr>
        <w:t xml:space="preserve">. En esta misma línea jurisprudencial, relacionada con muertes </w:t>
      </w:r>
      <w:r w:rsidR="004F4268" w:rsidRPr="009E773A">
        <w:rPr>
          <w:rFonts w:asciiTheme="majorHAnsi" w:hAnsiTheme="majorHAnsi" w:cs="Verdana"/>
          <w:sz w:val="20"/>
          <w:szCs w:val="20"/>
          <w:lang w:val="es-ES"/>
        </w:rPr>
        <w:t xml:space="preserve">sospechosas </w:t>
      </w:r>
      <w:r w:rsidRPr="009E773A">
        <w:rPr>
          <w:rFonts w:asciiTheme="majorHAnsi" w:hAnsiTheme="majorHAnsi" w:cs="Verdana"/>
          <w:sz w:val="20"/>
          <w:szCs w:val="20"/>
          <w:lang w:val="es-ES"/>
        </w:rPr>
        <w:t>que involucran agentes del Estado, “[la]</w:t>
      </w:r>
      <w:r w:rsidRPr="009E773A">
        <w:rPr>
          <w:rFonts w:asciiTheme="majorHAnsi" w:hAnsiTheme="majorHAnsi"/>
          <w:sz w:val="20"/>
          <w:szCs w:val="20"/>
          <w:lang w:val="es-ES"/>
        </w:rPr>
        <w:t xml:space="preserve"> investigación debe ser realizada a través de todos los medios legales disponibles para la determinación de la verdad y la investigación, enjuiciamiento y castigo de todos los responsables de los hechos, especialmente cuando están o puedan estar involucrados agentes estatales”</w:t>
      </w:r>
      <w:r w:rsidRPr="009E773A">
        <w:rPr>
          <w:rStyle w:val="FootnoteReference"/>
          <w:rFonts w:asciiTheme="majorHAnsi" w:hAnsiTheme="majorHAnsi"/>
          <w:sz w:val="20"/>
          <w:szCs w:val="20"/>
          <w:lang w:val="es-ES"/>
        </w:rPr>
        <w:footnoteReference w:id="123"/>
      </w:r>
      <w:r w:rsidRPr="009E773A">
        <w:rPr>
          <w:rFonts w:asciiTheme="majorHAnsi" w:hAnsiTheme="majorHAnsi"/>
          <w:sz w:val="20"/>
          <w:szCs w:val="20"/>
          <w:lang w:val="es-ES"/>
        </w:rPr>
        <w:t>. Así, el deber de investigar debe cumplirse con seriedad y no como una simple formalidad condenada de antemano a ser infructuosa y debe tener un sentido y ser asumida por los Estados como un deber jurídico propio y no como una simple gestión de intereses</w:t>
      </w:r>
      <w:r w:rsidRPr="009E773A">
        <w:rPr>
          <w:rStyle w:val="FootnoteReference"/>
          <w:rFonts w:asciiTheme="majorHAnsi" w:hAnsiTheme="majorHAnsi"/>
          <w:sz w:val="20"/>
          <w:szCs w:val="20"/>
          <w:lang w:val="es-ES"/>
        </w:rPr>
        <w:footnoteReference w:id="124"/>
      </w:r>
      <w:r w:rsidRPr="009E773A">
        <w:rPr>
          <w:rFonts w:asciiTheme="majorHAnsi" w:hAnsiTheme="majorHAnsi"/>
          <w:sz w:val="20"/>
          <w:szCs w:val="20"/>
          <w:lang w:val="es-ES"/>
        </w:rPr>
        <w:t>. Asimismo, la CIDH recuerda que la obligación de investigar y sancionar todo hecho que implique violación de los derechos protegidos por la Convención requiere que se castigue no sólo a los autores materiales de los hechos violatorios de derechos humanos, sino también a los autores intelectuales de tales violaciones</w:t>
      </w:r>
      <w:r w:rsidRPr="009E773A">
        <w:rPr>
          <w:rFonts w:asciiTheme="majorHAnsi" w:hAnsiTheme="majorHAnsi"/>
          <w:sz w:val="20"/>
          <w:szCs w:val="20"/>
          <w:vertAlign w:val="superscript"/>
        </w:rPr>
        <w:footnoteReference w:id="125"/>
      </w:r>
      <w:r w:rsidRPr="009E773A">
        <w:rPr>
          <w:rFonts w:asciiTheme="majorHAnsi" w:hAnsiTheme="majorHAnsi"/>
          <w:sz w:val="20"/>
          <w:szCs w:val="20"/>
          <w:lang w:val="es-ES"/>
        </w:rPr>
        <w:t>.</w:t>
      </w:r>
    </w:p>
    <w:p w14:paraId="1740C4C0" w14:textId="77777777" w:rsidR="005D3C86" w:rsidRPr="009E773A" w:rsidRDefault="005D3C86" w:rsidP="009A79B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Theme="majorHAnsi" w:hAnsiTheme="majorHAnsi"/>
          <w:sz w:val="20"/>
          <w:szCs w:val="20"/>
          <w:lang w:val="es-ES"/>
        </w:rPr>
      </w:pPr>
    </w:p>
    <w:p w14:paraId="2AC8C115" w14:textId="77777777" w:rsidR="005D3C86" w:rsidRPr="009E773A" w:rsidRDefault="005D3C86" w:rsidP="009A79B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9360"/>
        </w:tabs>
        <w:jc w:val="both"/>
        <w:rPr>
          <w:rFonts w:asciiTheme="majorHAnsi" w:hAnsiTheme="majorHAnsi"/>
          <w:sz w:val="20"/>
          <w:szCs w:val="20"/>
          <w:lang w:val="es-ES"/>
        </w:rPr>
      </w:pPr>
      <w:r w:rsidRPr="009E773A">
        <w:rPr>
          <w:rFonts w:asciiTheme="majorHAnsi" w:hAnsiTheme="majorHAnsi" w:cs="Arial"/>
          <w:sz w:val="20"/>
          <w:szCs w:val="20"/>
          <w:lang w:val="es-AR"/>
        </w:rPr>
        <w:t xml:space="preserve">La jurisprudencia también ha establecido que en casos donde existan versiones contradictorias que involucran la privación del derecho a la vida, más allá de que se practiquen determinadas diligencias probatorias, “la </w:t>
      </w:r>
      <w:r w:rsidRPr="009E773A">
        <w:rPr>
          <w:rFonts w:asciiTheme="majorHAnsi" w:hAnsiTheme="majorHAnsi" w:cs="Arial"/>
          <w:sz w:val="20"/>
          <w:szCs w:val="20"/>
          <w:lang w:val="es-AR"/>
        </w:rPr>
        <w:lastRenderedPageBreak/>
        <w:t xml:space="preserve">debida </w:t>
      </w:r>
      <w:r w:rsidRPr="009E773A">
        <w:rPr>
          <w:rFonts w:asciiTheme="majorHAnsi" w:hAnsiTheme="majorHAnsi"/>
          <w:sz w:val="20"/>
          <w:szCs w:val="20"/>
          <w:lang w:val="es-US"/>
        </w:rPr>
        <w:t>diligencia en la investigación debe evaluarse en relación con la necesidad de determinar la veracidad de las versiones consideradas en el marco del proceso sobre lo ocurrido, es decir, si permitió un esclarecimiento judicial de los hechos y una eventual calificación jurídica de los mismos acorde con lo sucedido”</w:t>
      </w:r>
      <w:r w:rsidRPr="009E773A">
        <w:rPr>
          <w:rStyle w:val="FootnoteReference"/>
          <w:rFonts w:asciiTheme="majorHAnsi" w:hAnsiTheme="majorHAnsi"/>
          <w:sz w:val="20"/>
          <w:szCs w:val="20"/>
        </w:rPr>
        <w:footnoteReference w:id="126"/>
      </w:r>
      <w:r w:rsidRPr="009E773A">
        <w:rPr>
          <w:rFonts w:asciiTheme="majorHAnsi" w:hAnsiTheme="majorHAnsi"/>
          <w:sz w:val="20"/>
          <w:szCs w:val="20"/>
          <w:lang w:val="es-US"/>
        </w:rPr>
        <w:t>.</w:t>
      </w:r>
      <w:r w:rsidRPr="009E773A">
        <w:rPr>
          <w:rFonts w:asciiTheme="majorHAnsi" w:hAnsiTheme="majorHAnsi"/>
          <w:lang w:val="es-US"/>
        </w:rPr>
        <w:t xml:space="preserve"> </w:t>
      </w:r>
    </w:p>
    <w:p w14:paraId="72A41978" w14:textId="77777777" w:rsidR="005D3C86" w:rsidRPr="009E773A" w:rsidRDefault="005D3C86" w:rsidP="009A79B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lang w:val="es-ES"/>
        </w:rPr>
      </w:pPr>
    </w:p>
    <w:p w14:paraId="1C71FE71" w14:textId="77777777" w:rsidR="005D3C86" w:rsidRPr="009E773A" w:rsidRDefault="005D3C86" w:rsidP="009A79B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9360"/>
        </w:tabs>
        <w:jc w:val="both"/>
        <w:rPr>
          <w:rFonts w:asciiTheme="majorHAnsi" w:hAnsiTheme="majorHAnsi"/>
          <w:sz w:val="20"/>
          <w:szCs w:val="20"/>
          <w:lang w:val="es-ES"/>
        </w:rPr>
      </w:pPr>
      <w:r w:rsidRPr="009E773A">
        <w:rPr>
          <w:rFonts w:asciiTheme="majorHAnsi" w:hAnsiTheme="majorHAnsi" w:cs="Verdana"/>
          <w:sz w:val="20"/>
          <w:szCs w:val="20"/>
          <w:lang w:val="es-ES"/>
        </w:rPr>
        <w:t xml:space="preserve">En esta misma línea, con la finalidad de garantizar la debida diligencia en la realización de una investigación exhaustiva e imparcial de una muerte en circunstancias sospechosas que involucra a agentes estatales, la Comisión destaca algunos estándares del Protocolo de Minnesota </w:t>
      </w:r>
      <w:r w:rsidRPr="009E773A">
        <w:rPr>
          <w:rFonts w:asciiTheme="majorHAnsi" w:hAnsiTheme="majorHAnsi" w:cs="Tahoma"/>
          <w:color w:val="000000"/>
          <w:sz w:val="20"/>
          <w:szCs w:val="20"/>
          <w:lang w:val="es-MX"/>
        </w:rPr>
        <w:t>instrumento que establece algunas diligencias mínimas como: la identificación de la víctima, la recolección y preservación de pruebas relacionadas con la muerte con el fin de ayudar en el potencial procesamiento de los responsables, la identificación de posibles testigos y la obtención de sus declaraciones en relación con la muerte, la determinación de la causa, manera, lugar y tiempo de la muerte, así como cualquier patrón o práctica que pueda haber provocado la muerte, la distinción entre muerte natural, suicidio y homicidio, la identificación y aprehensión de la o las personas involucradas en la muerte y la presentación de los presuntos perpetradores ante un tribunal competente establecido por ley</w:t>
      </w:r>
      <w:r w:rsidRPr="009E773A">
        <w:rPr>
          <w:rStyle w:val="FootnoteReference"/>
          <w:rFonts w:asciiTheme="majorHAnsi" w:hAnsiTheme="majorHAnsi"/>
          <w:sz w:val="20"/>
          <w:szCs w:val="20"/>
        </w:rPr>
        <w:footnoteReference w:id="127"/>
      </w:r>
      <w:r w:rsidRPr="009E773A">
        <w:rPr>
          <w:rFonts w:asciiTheme="majorHAnsi" w:hAnsiTheme="majorHAnsi"/>
          <w:sz w:val="20"/>
          <w:szCs w:val="20"/>
          <w:lang w:val="es-ES"/>
        </w:rPr>
        <w:t xml:space="preserve">. De acuerdo con dichos estándares </w:t>
      </w:r>
      <w:r w:rsidRPr="009E773A">
        <w:rPr>
          <w:rFonts w:asciiTheme="majorHAnsi" w:hAnsiTheme="majorHAnsi" w:cs="Verdana"/>
          <w:sz w:val="20"/>
          <w:szCs w:val="20"/>
          <w:lang w:val="es-ES"/>
        </w:rPr>
        <w:t>“cuando fuera necesario y con el consentimiento del individuo concernido, los investigadores deben adoptar medidas para proteger a los entrevistados y otros de malos tratos o intimidación como consecuencia de la información declarada”</w:t>
      </w:r>
      <w:r w:rsidRPr="009E773A">
        <w:rPr>
          <w:rStyle w:val="FootnoteReference"/>
          <w:rFonts w:asciiTheme="majorHAnsi" w:hAnsiTheme="majorHAnsi" w:cs="Verdana"/>
          <w:sz w:val="20"/>
          <w:szCs w:val="20"/>
          <w:lang w:val="es-ES"/>
        </w:rPr>
        <w:t xml:space="preserve"> </w:t>
      </w:r>
      <w:r w:rsidRPr="009E773A">
        <w:rPr>
          <w:rStyle w:val="FootnoteReference"/>
          <w:rFonts w:asciiTheme="majorHAnsi" w:hAnsiTheme="majorHAnsi" w:cs="Verdana"/>
          <w:sz w:val="20"/>
          <w:szCs w:val="20"/>
          <w:lang w:val="es-ES"/>
        </w:rPr>
        <w:footnoteReference w:id="128"/>
      </w:r>
      <w:r w:rsidRPr="009E773A">
        <w:rPr>
          <w:rFonts w:asciiTheme="majorHAnsi" w:hAnsiTheme="majorHAnsi" w:cs="Verdana"/>
          <w:sz w:val="20"/>
          <w:szCs w:val="20"/>
          <w:lang w:val="es-ES"/>
        </w:rPr>
        <w:t xml:space="preserve">. </w:t>
      </w:r>
    </w:p>
    <w:p w14:paraId="5C3AF39D" w14:textId="77777777" w:rsidR="005D3C86" w:rsidRPr="009E773A" w:rsidRDefault="005D3C86" w:rsidP="009A79B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Theme="majorHAnsi" w:hAnsiTheme="majorHAnsi"/>
          <w:sz w:val="20"/>
          <w:szCs w:val="20"/>
          <w:lang w:val="es-ES"/>
        </w:rPr>
      </w:pPr>
    </w:p>
    <w:p w14:paraId="5CA0C193" w14:textId="77777777" w:rsidR="005D3C86" w:rsidRPr="009E773A" w:rsidRDefault="005D3C86" w:rsidP="009A79B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9360"/>
        </w:tabs>
        <w:jc w:val="both"/>
        <w:rPr>
          <w:rFonts w:asciiTheme="majorHAnsi" w:hAnsiTheme="majorHAnsi"/>
          <w:sz w:val="20"/>
          <w:szCs w:val="20"/>
          <w:lang w:val="es-ES"/>
        </w:rPr>
      </w:pPr>
      <w:r w:rsidRPr="009E773A">
        <w:rPr>
          <w:rFonts w:asciiTheme="majorHAnsi" w:hAnsiTheme="majorHAnsi" w:cs="Verdana"/>
          <w:sz w:val="20"/>
          <w:szCs w:val="20"/>
          <w:lang w:val="es-ES"/>
        </w:rPr>
        <w:t>Asimismo, de acuerdo con los estándares del mencionado Protocolo, se establece como principio general de las autopsias, en casos de muertes sospechosas, que la labor del personal forense, entre otras, es ayudar a asegurar que las causas y circunstancias de la muerte sean reveladas de modo tal que se cumpla con presentar conclusiones sobre la causa de muerte y las circunstancias que contribuyeron a ella. En esta línea, el Protocolo reconoce que son pocos los casos en que la causa de la muerte puede ser determinada solamente a partir de la autopsia sin otra información adicional sobre la muerte, por lo que el reporte de autopsia, debe contener la lista de hallazgos de las lesiones y brindar una interpretación respecto de las mismas</w:t>
      </w:r>
      <w:r w:rsidRPr="009E773A">
        <w:rPr>
          <w:rStyle w:val="FootnoteReference"/>
          <w:rFonts w:asciiTheme="majorHAnsi" w:hAnsiTheme="majorHAnsi" w:cs="Verdana"/>
          <w:sz w:val="20"/>
          <w:szCs w:val="20"/>
          <w:lang w:val="es-ES"/>
        </w:rPr>
        <w:footnoteReference w:id="129"/>
      </w:r>
      <w:r w:rsidRPr="009E773A">
        <w:rPr>
          <w:rFonts w:asciiTheme="majorHAnsi" w:hAnsiTheme="majorHAnsi" w:cs="Verdana"/>
          <w:sz w:val="20"/>
          <w:szCs w:val="20"/>
          <w:lang w:val="es-ES"/>
        </w:rPr>
        <w:t>.</w:t>
      </w:r>
    </w:p>
    <w:p w14:paraId="1E2F01B1" w14:textId="77777777" w:rsidR="005D3C86" w:rsidRPr="009E773A" w:rsidRDefault="005D3C86" w:rsidP="009A79B6">
      <w:pPr>
        <w:rPr>
          <w:rFonts w:asciiTheme="majorHAnsi" w:hAnsiTheme="majorHAnsi" w:cs="Verdana"/>
          <w:sz w:val="20"/>
          <w:szCs w:val="20"/>
          <w:lang w:val="es-ES"/>
        </w:rPr>
      </w:pPr>
    </w:p>
    <w:p w14:paraId="0C609C40" w14:textId="77777777" w:rsidR="005D3C86" w:rsidRPr="009E773A" w:rsidRDefault="005D3C86" w:rsidP="009A79B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9360"/>
        </w:tabs>
        <w:jc w:val="both"/>
        <w:rPr>
          <w:rFonts w:asciiTheme="majorHAnsi" w:hAnsiTheme="majorHAnsi"/>
          <w:sz w:val="20"/>
          <w:szCs w:val="20"/>
          <w:lang w:val="es-ES"/>
        </w:rPr>
      </w:pPr>
      <w:r w:rsidRPr="009E773A">
        <w:rPr>
          <w:rFonts w:asciiTheme="majorHAnsi" w:hAnsiTheme="majorHAnsi" w:cs="Verdana"/>
          <w:sz w:val="20"/>
          <w:szCs w:val="20"/>
          <w:lang w:val="es-ES"/>
        </w:rPr>
        <w:t>Finalmente, con respecto al principio de plazo razonable contemplado en el artículo 8.1 de la Convención Americana, la Corte Interamericana ha establecido que es preciso tomar en cuenta tres elementos para determinar la razonabilidad del plazo en el que se desarrolla un proceso: a) la complejidad del asunto, b) la actividad procesal del interesado, y c) la conducta de las autoridades judiciales</w:t>
      </w:r>
      <w:r w:rsidRPr="009E773A">
        <w:rPr>
          <w:rStyle w:val="FootnoteReference"/>
          <w:rFonts w:asciiTheme="majorHAnsi" w:hAnsiTheme="majorHAnsi" w:cs="Verdana"/>
          <w:sz w:val="20"/>
          <w:szCs w:val="20"/>
        </w:rPr>
        <w:footnoteReference w:id="130"/>
      </w:r>
      <w:r w:rsidRPr="009E773A">
        <w:rPr>
          <w:rFonts w:asciiTheme="majorHAnsi" w:hAnsiTheme="majorHAnsi" w:cs="Verdana"/>
          <w:sz w:val="20"/>
          <w:szCs w:val="20"/>
          <w:lang w:val="es-ES"/>
        </w:rPr>
        <w:t>. Asimismo, la Comisión y la Corte han considerado que también es necesario que se tome en consideración el interés afectado</w:t>
      </w:r>
      <w:r w:rsidRPr="009E773A">
        <w:rPr>
          <w:rStyle w:val="FootnoteReference"/>
          <w:rFonts w:asciiTheme="majorHAnsi" w:hAnsiTheme="majorHAnsi" w:cs="Verdana"/>
          <w:sz w:val="20"/>
          <w:szCs w:val="20"/>
          <w:lang w:val="es-ES"/>
        </w:rPr>
        <w:footnoteReference w:id="131"/>
      </w:r>
      <w:r w:rsidRPr="009E773A">
        <w:rPr>
          <w:rFonts w:asciiTheme="majorHAnsi" w:hAnsiTheme="majorHAnsi" w:cs="Verdana"/>
          <w:sz w:val="20"/>
          <w:szCs w:val="20"/>
          <w:lang w:val="es-ES"/>
        </w:rPr>
        <w:t xml:space="preserve">. </w:t>
      </w:r>
    </w:p>
    <w:p w14:paraId="7156F885" w14:textId="77777777" w:rsidR="005D3C86" w:rsidRPr="009E773A" w:rsidRDefault="005D3C86" w:rsidP="009A79B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lang w:val="es-ES"/>
        </w:rPr>
      </w:pPr>
    </w:p>
    <w:p w14:paraId="30890C24" w14:textId="2F45DA45" w:rsidR="005D3C86" w:rsidRPr="00FC5E2A" w:rsidRDefault="005D3C86" w:rsidP="009A79B6">
      <w:pPr>
        <w:pStyle w:val="Heading3"/>
      </w:pPr>
      <w:bookmarkStart w:id="39" w:name="_Toc520804265"/>
      <w:bookmarkStart w:id="40" w:name="_Toc2157194"/>
      <w:bookmarkStart w:id="41" w:name="_Toc2157248"/>
      <w:bookmarkStart w:id="42" w:name="_Toc2159222"/>
      <w:r w:rsidRPr="00FC5E2A">
        <w:t>La debida diligencia</w:t>
      </w:r>
      <w:r w:rsidR="000614EA" w:rsidRPr="00FC5E2A">
        <w:t xml:space="preserve"> y el plazo razonable</w:t>
      </w:r>
      <w:r w:rsidRPr="00FC5E2A">
        <w:t xml:space="preserve"> en la investigación de la</w:t>
      </w:r>
      <w:r w:rsidR="0044058D" w:rsidRPr="00FC5E2A">
        <w:t>s</w:t>
      </w:r>
      <w:r w:rsidRPr="00FC5E2A">
        <w:t xml:space="preserve"> muerte</w:t>
      </w:r>
      <w:r w:rsidR="0044058D" w:rsidRPr="00FC5E2A">
        <w:t>s</w:t>
      </w:r>
      <w:r w:rsidRPr="00FC5E2A">
        <w:t xml:space="preserve"> de </w:t>
      </w:r>
      <w:bookmarkEnd w:id="39"/>
      <w:r w:rsidR="004105AB" w:rsidRPr="00FC5E2A">
        <w:t>Jimmy Guerrero y Ramón Molina</w:t>
      </w:r>
      <w:bookmarkEnd w:id="40"/>
      <w:bookmarkEnd w:id="41"/>
      <w:bookmarkEnd w:id="42"/>
      <w:r w:rsidR="004105AB" w:rsidRPr="00FC5E2A">
        <w:t xml:space="preserve"> </w:t>
      </w:r>
    </w:p>
    <w:p w14:paraId="14A38471" w14:textId="77777777" w:rsidR="004F4268" w:rsidRPr="009E773A" w:rsidRDefault="004F4268" w:rsidP="009A79B6">
      <w:pPr>
        <w:rPr>
          <w:rFonts w:asciiTheme="majorHAnsi" w:hAnsiTheme="majorHAnsi"/>
          <w:lang w:val="es-ES"/>
        </w:rPr>
      </w:pPr>
    </w:p>
    <w:p w14:paraId="601CA1D7" w14:textId="29680A29" w:rsidR="004F4268" w:rsidRPr="009E773A" w:rsidRDefault="004105AB" w:rsidP="009A79B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9360"/>
        </w:tabs>
        <w:jc w:val="both"/>
        <w:rPr>
          <w:rFonts w:asciiTheme="majorHAnsi" w:hAnsiTheme="majorHAnsi"/>
          <w:lang w:val="es-ES"/>
        </w:rPr>
      </w:pPr>
      <w:r w:rsidRPr="009E773A">
        <w:rPr>
          <w:rFonts w:asciiTheme="majorHAnsi" w:hAnsiTheme="majorHAnsi"/>
          <w:sz w:val="20"/>
          <w:szCs w:val="20"/>
          <w:lang w:val="es-ES"/>
        </w:rPr>
        <w:t>A continuación la CIDH analizará la debida diligencia en la</w:t>
      </w:r>
      <w:r w:rsidR="00173483" w:rsidRPr="009E773A">
        <w:rPr>
          <w:rFonts w:asciiTheme="majorHAnsi" w:hAnsiTheme="majorHAnsi"/>
          <w:sz w:val="20"/>
          <w:szCs w:val="20"/>
          <w:lang w:val="es-ES"/>
        </w:rPr>
        <w:t xml:space="preserve"> investigación de las</w:t>
      </w:r>
      <w:r w:rsidRPr="009E773A">
        <w:rPr>
          <w:rFonts w:asciiTheme="majorHAnsi" w:hAnsiTheme="majorHAnsi"/>
          <w:sz w:val="20"/>
          <w:szCs w:val="20"/>
          <w:lang w:val="es-ES"/>
        </w:rPr>
        <w:t xml:space="preserve"> muerte</w:t>
      </w:r>
      <w:r w:rsidR="00173483" w:rsidRPr="009E773A">
        <w:rPr>
          <w:rFonts w:asciiTheme="majorHAnsi" w:hAnsiTheme="majorHAnsi"/>
          <w:sz w:val="20"/>
          <w:szCs w:val="20"/>
          <w:lang w:val="es-ES"/>
        </w:rPr>
        <w:t>s</w:t>
      </w:r>
      <w:r w:rsidRPr="009E773A">
        <w:rPr>
          <w:rFonts w:asciiTheme="majorHAnsi" w:hAnsiTheme="majorHAnsi"/>
          <w:sz w:val="20"/>
          <w:szCs w:val="20"/>
          <w:lang w:val="es-ES"/>
        </w:rPr>
        <w:t xml:space="preserve"> de Jimmy Guerrero y</w:t>
      </w:r>
      <w:r w:rsidR="00173483" w:rsidRPr="009E773A">
        <w:rPr>
          <w:rFonts w:asciiTheme="majorHAnsi" w:hAnsiTheme="majorHAnsi"/>
          <w:sz w:val="20"/>
          <w:szCs w:val="20"/>
          <w:lang w:val="es-ES"/>
        </w:rPr>
        <w:t xml:space="preserve"> Ramón Molina, en relación </w:t>
      </w:r>
      <w:r w:rsidR="00FF71DB" w:rsidRPr="009E773A">
        <w:rPr>
          <w:rFonts w:asciiTheme="majorHAnsi" w:hAnsiTheme="majorHAnsi"/>
          <w:sz w:val="20"/>
          <w:szCs w:val="20"/>
          <w:lang w:val="es-ES"/>
        </w:rPr>
        <w:t xml:space="preserve">esclarecimiento de los hechos, </w:t>
      </w:r>
      <w:r w:rsidR="00173483" w:rsidRPr="009E773A">
        <w:rPr>
          <w:rFonts w:asciiTheme="majorHAnsi" w:hAnsiTheme="majorHAnsi"/>
          <w:sz w:val="20"/>
          <w:szCs w:val="20"/>
          <w:lang w:val="es-ES"/>
        </w:rPr>
        <w:t>el impulso de oficio, la custodia y preservaci</w:t>
      </w:r>
      <w:r w:rsidR="00FF71DB" w:rsidRPr="009E773A">
        <w:rPr>
          <w:rFonts w:asciiTheme="majorHAnsi" w:hAnsiTheme="majorHAnsi"/>
          <w:sz w:val="20"/>
          <w:szCs w:val="20"/>
          <w:lang w:val="es-ES"/>
        </w:rPr>
        <w:t xml:space="preserve">ón de la prueba, las diligencias practicadas, y el plazo razonable. </w:t>
      </w:r>
    </w:p>
    <w:p w14:paraId="45799730" w14:textId="77777777" w:rsidR="00FF71DB" w:rsidRPr="009E773A" w:rsidRDefault="00FF71DB" w:rsidP="009A79B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Theme="majorHAnsi" w:hAnsiTheme="majorHAnsi"/>
          <w:lang w:val="es-ES"/>
        </w:rPr>
      </w:pPr>
    </w:p>
    <w:p w14:paraId="64A9DD5C" w14:textId="5FE3532A" w:rsidR="007B2E9E" w:rsidRPr="009E773A" w:rsidRDefault="00576EE9" w:rsidP="009A79B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9360"/>
        </w:tabs>
        <w:jc w:val="both"/>
        <w:rPr>
          <w:rFonts w:asciiTheme="majorHAnsi" w:hAnsiTheme="majorHAnsi"/>
          <w:sz w:val="20"/>
          <w:szCs w:val="20"/>
          <w:lang w:val="es-ES"/>
        </w:rPr>
      </w:pPr>
      <w:r w:rsidRPr="009E773A">
        <w:rPr>
          <w:rFonts w:asciiTheme="majorHAnsi" w:hAnsiTheme="majorHAnsi"/>
          <w:sz w:val="20"/>
          <w:szCs w:val="20"/>
          <w:lang w:val="es-ES"/>
        </w:rPr>
        <w:t xml:space="preserve">En primer lugar, </w:t>
      </w:r>
      <w:r w:rsidR="000E0E1C" w:rsidRPr="009E773A">
        <w:rPr>
          <w:rFonts w:asciiTheme="majorHAnsi" w:hAnsiTheme="majorHAnsi"/>
          <w:sz w:val="20"/>
          <w:szCs w:val="20"/>
          <w:lang w:val="es-ES"/>
        </w:rPr>
        <w:t>la Comisión observa que los entes encargados de la investigación se enfrentaron en el caso a dos narrativas contradictorias. Por un lado, la familia sostenía que la</w:t>
      </w:r>
      <w:r w:rsidR="00826C49" w:rsidRPr="009E773A">
        <w:rPr>
          <w:rFonts w:asciiTheme="majorHAnsi" w:hAnsiTheme="majorHAnsi"/>
          <w:sz w:val="20"/>
          <w:szCs w:val="20"/>
          <w:lang w:val="es-ES"/>
        </w:rPr>
        <w:t>s</w:t>
      </w:r>
      <w:r w:rsidR="000E0E1C" w:rsidRPr="009E773A">
        <w:rPr>
          <w:rFonts w:asciiTheme="majorHAnsi" w:hAnsiTheme="majorHAnsi"/>
          <w:sz w:val="20"/>
          <w:szCs w:val="20"/>
          <w:lang w:val="es-ES"/>
        </w:rPr>
        <w:t xml:space="preserve"> muerte</w:t>
      </w:r>
      <w:r w:rsidR="00826C49" w:rsidRPr="009E773A">
        <w:rPr>
          <w:rFonts w:asciiTheme="majorHAnsi" w:hAnsiTheme="majorHAnsi"/>
          <w:sz w:val="20"/>
          <w:szCs w:val="20"/>
          <w:lang w:val="es-ES"/>
        </w:rPr>
        <w:t>s</w:t>
      </w:r>
      <w:r w:rsidR="000E0E1C" w:rsidRPr="009E773A">
        <w:rPr>
          <w:rFonts w:asciiTheme="majorHAnsi" w:hAnsiTheme="majorHAnsi"/>
          <w:sz w:val="20"/>
          <w:szCs w:val="20"/>
          <w:lang w:val="es-ES"/>
        </w:rPr>
        <w:t xml:space="preserve"> de Jimmy Guerrero y Ramón Molina fue</w:t>
      </w:r>
      <w:r w:rsidR="00E1170B" w:rsidRPr="009E773A">
        <w:rPr>
          <w:rFonts w:asciiTheme="majorHAnsi" w:hAnsiTheme="majorHAnsi"/>
          <w:sz w:val="20"/>
          <w:szCs w:val="20"/>
          <w:lang w:val="es-ES"/>
        </w:rPr>
        <w:t>ron</w:t>
      </w:r>
      <w:r w:rsidR="000E0E1C" w:rsidRPr="009E773A">
        <w:rPr>
          <w:rFonts w:asciiTheme="majorHAnsi" w:hAnsiTheme="majorHAnsi"/>
          <w:sz w:val="20"/>
          <w:szCs w:val="20"/>
          <w:lang w:val="es-ES"/>
        </w:rPr>
        <w:t xml:space="preserve"> acto</w:t>
      </w:r>
      <w:r w:rsidR="00E1170B" w:rsidRPr="009E773A">
        <w:rPr>
          <w:rFonts w:asciiTheme="majorHAnsi" w:hAnsiTheme="majorHAnsi"/>
          <w:sz w:val="20"/>
          <w:szCs w:val="20"/>
          <w:lang w:val="es-ES"/>
        </w:rPr>
        <w:t>s</w:t>
      </w:r>
      <w:r w:rsidR="000E0E1C" w:rsidRPr="009E773A">
        <w:rPr>
          <w:rFonts w:asciiTheme="majorHAnsi" w:hAnsiTheme="majorHAnsi"/>
          <w:sz w:val="20"/>
          <w:szCs w:val="20"/>
          <w:lang w:val="es-ES"/>
        </w:rPr>
        <w:t xml:space="preserve"> de violencia policial; y, por otro lado, del expediente se desprende que el Estado sostuvo que las muertes eran el resultado de un ajuste entre grupos criminales. Tras la revisión de los diferentes elementos probatorios practicados, la Comisión no observa que exista ninguna línea de lógica de investigación orientada al esclarecimiento </w:t>
      </w:r>
      <w:r w:rsidR="000E0E1C" w:rsidRPr="009E773A">
        <w:rPr>
          <w:rFonts w:asciiTheme="majorHAnsi" w:hAnsiTheme="majorHAnsi"/>
          <w:sz w:val="20"/>
          <w:szCs w:val="20"/>
          <w:lang w:val="es-ES"/>
        </w:rPr>
        <w:lastRenderedPageBreak/>
        <w:t>de los hechos y la búsqueda de la verdad</w:t>
      </w:r>
      <w:r w:rsidR="002E5C5F" w:rsidRPr="009E773A">
        <w:rPr>
          <w:rFonts w:asciiTheme="majorHAnsi" w:hAnsiTheme="majorHAnsi"/>
          <w:sz w:val="20"/>
          <w:szCs w:val="20"/>
          <w:lang w:val="es-ES"/>
        </w:rPr>
        <w:t>, a la luz de las distintas versiones.</w:t>
      </w:r>
      <w:r w:rsidR="000E0E1C" w:rsidRPr="009E773A">
        <w:rPr>
          <w:rFonts w:asciiTheme="majorHAnsi" w:hAnsiTheme="majorHAnsi"/>
          <w:sz w:val="20"/>
          <w:szCs w:val="20"/>
          <w:lang w:val="es-ES"/>
        </w:rPr>
        <w:t xml:space="preserve"> La Comisión percibe que las pericias realizadas de tipo balístico, de los proyectiles encontrados, de la trayectoria del disparo y los informes de autopsia, </w:t>
      </w:r>
      <w:r w:rsidR="00BE78F0" w:rsidRPr="009E773A">
        <w:rPr>
          <w:rFonts w:asciiTheme="majorHAnsi" w:hAnsiTheme="majorHAnsi"/>
          <w:sz w:val="20"/>
          <w:szCs w:val="20"/>
          <w:lang w:val="es-ES"/>
        </w:rPr>
        <w:t xml:space="preserve">contienen </w:t>
      </w:r>
      <w:r w:rsidR="00C12106" w:rsidRPr="009E773A">
        <w:rPr>
          <w:rFonts w:asciiTheme="majorHAnsi" w:hAnsiTheme="majorHAnsi"/>
          <w:sz w:val="20"/>
          <w:szCs w:val="20"/>
          <w:lang w:val="es-ES"/>
        </w:rPr>
        <w:t xml:space="preserve">información </w:t>
      </w:r>
      <w:r w:rsidR="00BE78F0" w:rsidRPr="009E773A">
        <w:rPr>
          <w:rFonts w:asciiTheme="majorHAnsi" w:hAnsiTheme="majorHAnsi"/>
          <w:sz w:val="20"/>
          <w:szCs w:val="20"/>
          <w:lang w:val="es-ES"/>
        </w:rPr>
        <w:t>aislada</w:t>
      </w:r>
      <w:r w:rsidR="000E0E1C" w:rsidRPr="009E773A">
        <w:rPr>
          <w:rFonts w:asciiTheme="majorHAnsi" w:hAnsiTheme="majorHAnsi"/>
          <w:sz w:val="20"/>
          <w:szCs w:val="20"/>
          <w:lang w:val="es-ES"/>
        </w:rPr>
        <w:t xml:space="preserve"> </w:t>
      </w:r>
      <w:r w:rsidR="002E59D3" w:rsidRPr="009E773A">
        <w:rPr>
          <w:rFonts w:asciiTheme="majorHAnsi" w:hAnsiTheme="majorHAnsi"/>
          <w:sz w:val="20"/>
          <w:szCs w:val="20"/>
          <w:lang w:val="es-ES"/>
        </w:rPr>
        <w:t>sin ningún análisis</w:t>
      </w:r>
      <w:r w:rsidR="00C12106" w:rsidRPr="009E773A">
        <w:rPr>
          <w:rFonts w:asciiTheme="majorHAnsi" w:hAnsiTheme="majorHAnsi"/>
          <w:sz w:val="20"/>
          <w:szCs w:val="20"/>
          <w:lang w:val="es-ES"/>
        </w:rPr>
        <w:t xml:space="preserve"> coordinado </w:t>
      </w:r>
      <w:r w:rsidR="00AB2FB5" w:rsidRPr="009E773A">
        <w:rPr>
          <w:rFonts w:asciiTheme="majorHAnsi" w:hAnsiTheme="majorHAnsi"/>
          <w:sz w:val="20"/>
          <w:szCs w:val="20"/>
          <w:lang w:val="es-ES"/>
        </w:rPr>
        <w:t xml:space="preserve">e integrado </w:t>
      </w:r>
      <w:r w:rsidR="00C12106" w:rsidRPr="009E773A">
        <w:rPr>
          <w:rFonts w:asciiTheme="majorHAnsi" w:hAnsiTheme="majorHAnsi"/>
          <w:sz w:val="20"/>
          <w:szCs w:val="20"/>
          <w:lang w:val="es-ES"/>
        </w:rPr>
        <w:t>de las mismas hacia el esclarecimiento de posibles hipótesis</w:t>
      </w:r>
      <w:r w:rsidR="00BE78F0" w:rsidRPr="009E773A">
        <w:rPr>
          <w:rFonts w:asciiTheme="majorHAnsi" w:hAnsiTheme="majorHAnsi"/>
          <w:sz w:val="20"/>
          <w:szCs w:val="20"/>
          <w:lang w:val="es-ES"/>
        </w:rPr>
        <w:t>. No se percibe que las pericias estén destinadas a d</w:t>
      </w:r>
      <w:r w:rsidR="000E0E1C" w:rsidRPr="009E773A">
        <w:rPr>
          <w:rFonts w:asciiTheme="majorHAnsi" w:hAnsiTheme="majorHAnsi"/>
          <w:sz w:val="20"/>
          <w:szCs w:val="20"/>
          <w:lang w:val="es-ES"/>
        </w:rPr>
        <w:t>ar una explicación respecto de la muerte de las v</w:t>
      </w:r>
      <w:r w:rsidR="007B2E9E" w:rsidRPr="009E773A">
        <w:rPr>
          <w:rFonts w:asciiTheme="majorHAnsi" w:hAnsiTheme="majorHAnsi"/>
          <w:sz w:val="20"/>
          <w:szCs w:val="20"/>
          <w:lang w:val="es-ES"/>
        </w:rPr>
        <w:t>íctimas, tomando en consideración los evidentes elementos contextuales ya conocidos para la época de los hechos, los antecedentes de acoso reportados por Jimmy Guerrero, así como los testimonios rendido</w:t>
      </w:r>
      <w:r w:rsidR="00C02D26" w:rsidRPr="009E773A">
        <w:rPr>
          <w:rFonts w:asciiTheme="majorHAnsi" w:hAnsiTheme="majorHAnsi"/>
          <w:sz w:val="20"/>
          <w:szCs w:val="20"/>
          <w:lang w:val="es-ES"/>
        </w:rPr>
        <w:t>s por</w:t>
      </w:r>
      <w:r w:rsidR="007B2E9E" w:rsidRPr="009E773A">
        <w:rPr>
          <w:rFonts w:asciiTheme="majorHAnsi" w:hAnsiTheme="majorHAnsi"/>
          <w:sz w:val="20"/>
          <w:szCs w:val="20"/>
          <w:lang w:val="es-ES"/>
        </w:rPr>
        <w:t xml:space="preserve"> los testigos oculares, en especial de la p</w:t>
      </w:r>
      <w:r w:rsidR="00C02D26" w:rsidRPr="009E773A">
        <w:rPr>
          <w:rFonts w:asciiTheme="majorHAnsi" w:hAnsiTheme="majorHAnsi"/>
          <w:sz w:val="20"/>
          <w:szCs w:val="20"/>
          <w:lang w:val="es-ES"/>
        </w:rPr>
        <w:t>ersona sobreviviente al ataque</w:t>
      </w:r>
      <w:r w:rsidR="00BE78F0" w:rsidRPr="009E773A">
        <w:rPr>
          <w:rFonts w:asciiTheme="majorHAnsi" w:hAnsiTheme="majorHAnsi"/>
          <w:sz w:val="20"/>
          <w:szCs w:val="20"/>
          <w:lang w:val="es-ES"/>
        </w:rPr>
        <w:t>.</w:t>
      </w:r>
    </w:p>
    <w:p w14:paraId="639DF2DA" w14:textId="77777777" w:rsidR="00BE78F0" w:rsidRPr="009E773A" w:rsidRDefault="00BE78F0" w:rsidP="009A79B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9360"/>
        </w:tabs>
        <w:ind w:left="630"/>
        <w:jc w:val="both"/>
        <w:rPr>
          <w:rFonts w:asciiTheme="majorHAnsi" w:hAnsiTheme="majorHAnsi"/>
          <w:sz w:val="20"/>
          <w:szCs w:val="20"/>
          <w:lang w:val="es-ES"/>
        </w:rPr>
      </w:pPr>
    </w:p>
    <w:p w14:paraId="3D7A8CA2" w14:textId="257B0FD6" w:rsidR="004F4268" w:rsidRPr="009E773A" w:rsidRDefault="00EA235D" w:rsidP="009A79B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9360"/>
        </w:tabs>
        <w:jc w:val="both"/>
        <w:rPr>
          <w:rFonts w:asciiTheme="majorHAnsi" w:hAnsiTheme="majorHAnsi"/>
          <w:lang w:val="es-ES"/>
        </w:rPr>
      </w:pPr>
      <w:r w:rsidRPr="009E773A">
        <w:rPr>
          <w:rFonts w:asciiTheme="majorHAnsi" w:hAnsiTheme="majorHAnsi"/>
          <w:sz w:val="20"/>
          <w:szCs w:val="20"/>
          <w:lang w:val="es-ES"/>
        </w:rPr>
        <w:t xml:space="preserve">En segundo lugar, </w:t>
      </w:r>
      <w:r w:rsidR="00576EE9" w:rsidRPr="009E773A">
        <w:rPr>
          <w:rFonts w:asciiTheme="majorHAnsi" w:hAnsiTheme="majorHAnsi"/>
          <w:sz w:val="20"/>
          <w:szCs w:val="20"/>
          <w:lang w:val="es-ES"/>
        </w:rPr>
        <w:t xml:space="preserve">la Comisión observa </w:t>
      </w:r>
      <w:r w:rsidR="002E59D3" w:rsidRPr="009E773A">
        <w:rPr>
          <w:rFonts w:asciiTheme="majorHAnsi" w:hAnsiTheme="majorHAnsi"/>
          <w:sz w:val="20"/>
          <w:szCs w:val="20"/>
          <w:lang w:val="es-ES"/>
        </w:rPr>
        <w:t xml:space="preserve">que entre el </w:t>
      </w:r>
      <w:r w:rsidR="00A91634" w:rsidRPr="009E773A">
        <w:rPr>
          <w:rFonts w:asciiTheme="majorHAnsi" w:hAnsiTheme="majorHAnsi"/>
          <w:sz w:val="20"/>
          <w:szCs w:val="20"/>
          <w:lang w:val="es-ES"/>
        </w:rPr>
        <w:t xml:space="preserve">2003 y 2005 el CICPC y las Fiscalías encargadas de la investigación solicitaron al Comando de las Fuerzas Armadas Policiales las listas de nombres, jerarquías, ubicaciones de agentes policiales el día de los asesinatos, así como los días anteriores. Asimismo, los órganos directores de la investigación solicitaron también el libro de novedad y el libro de parque de armas del mismo período temporal. Se observa en el expediente que tras estas reiteradas solicitudes, la Comandancia Policial recién contestó </w:t>
      </w:r>
      <w:r w:rsidR="00651E7A" w:rsidRPr="009E773A">
        <w:rPr>
          <w:rFonts w:asciiTheme="majorHAnsi" w:hAnsiTheme="majorHAnsi"/>
          <w:sz w:val="20"/>
          <w:szCs w:val="20"/>
          <w:lang w:val="es-ES"/>
        </w:rPr>
        <w:t xml:space="preserve">doce años después de la primera solicitud, en </w:t>
      </w:r>
      <w:r w:rsidR="00A91634" w:rsidRPr="009E773A">
        <w:rPr>
          <w:rFonts w:asciiTheme="majorHAnsi" w:hAnsiTheme="majorHAnsi"/>
          <w:sz w:val="20"/>
          <w:szCs w:val="20"/>
          <w:lang w:val="es-ES"/>
        </w:rPr>
        <w:t xml:space="preserve">el año 2015, indicado que dichas pruebas se había perdido el año 2010 debido a precipitaciones. </w:t>
      </w:r>
      <w:r w:rsidR="00651E7A" w:rsidRPr="009E773A">
        <w:rPr>
          <w:rFonts w:asciiTheme="majorHAnsi" w:hAnsiTheme="majorHAnsi"/>
          <w:sz w:val="20"/>
          <w:szCs w:val="20"/>
          <w:lang w:val="es-ES"/>
        </w:rPr>
        <w:t xml:space="preserve">No surge del expediente explicación alguna sobre esta demora </w:t>
      </w:r>
      <w:r w:rsidR="009333C7" w:rsidRPr="009E773A">
        <w:rPr>
          <w:rFonts w:asciiTheme="majorHAnsi" w:hAnsiTheme="majorHAnsi"/>
          <w:sz w:val="20"/>
          <w:szCs w:val="20"/>
          <w:lang w:val="es-ES"/>
        </w:rPr>
        <w:t>in</w:t>
      </w:r>
      <w:r w:rsidR="004643B0" w:rsidRPr="009E773A">
        <w:rPr>
          <w:rFonts w:asciiTheme="majorHAnsi" w:hAnsiTheme="majorHAnsi"/>
          <w:sz w:val="20"/>
          <w:szCs w:val="20"/>
          <w:lang w:val="es-ES"/>
        </w:rPr>
        <w:t>usitada</w:t>
      </w:r>
      <w:r w:rsidR="009333C7" w:rsidRPr="009E773A">
        <w:rPr>
          <w:rFonts w:asciiTheme="majorHAnsi" w:hAnsiTheme="majorHAnsi"/>
          <w:sz w:val="20"/>
          <w:szCs w:val="20"/>
          <w:lang w:val="es-ES"/>
        </w:rPr>
        <w:t xml:space="preserve"> en </w:t>
      </w:r>
      <w:r w:rsidR="004643B0" w:rsidRPr="009E773A">
        <w:rPr>
          <w:rFonts w:asciiTheme="majorHAnsi" w:hAnsiTheme="majorHAnsi"/>
          <w:sz w:val="20"/>
          <w:szCs w:val="20"/>
          <w:lang w:val="es-ES"/>
        </w:rPr>
        <w:t xml:space="preserve">responder a una solicitud de </w:t>
      </w:r>
      <w:r w:rsidR="009333C7" w:rsidRPr="009E773A">
        <w:rPr>
          <w:rFonts w:asciiTheme="majorHAnsi" w:hAnsiTheme="majorHAnsi"/>
          <w:sz w:val="20"/>
          <w:szCs w:val="20"/>
          <w:lang w:val="es-ES"/>
        </w:rPr>
        <w:t>información</w:t>
      </w:r>
      <w:r w:rsidR="004643B0" w:rsidRPr="009E773A">
        <w:rPr>
          <w:rFonts w:asciiTheme="majorHAnsi" w:hAnsiTheme="majorHAnsi"/>
          <w:sz w:val="20"/>
          <w:szCs w:val="20"/>
          <w:lang w:val="es-ES"/>
        </w:rPr>
        <w:t xml:space="preserve"> sencilla</w:t>
      </w:r>
      <w:r w:rsidR="009333C7" w:rsidRPr="009E773A">
        <w:rPr>
          <w:rFonts w:asciiTheme="majorHAnsi" w:hAnsiTheme="majorHAnsi"/>
          <w:sz w:val="20"/>
          <w:szCs w:val="20"/>
          <w:lang w:val="es-ES"/>
        </w:rPr>
        <w:t xml:space="preserve">. </w:t>
      </w:r>
      <w:r w:rsidR="004643B0" w:rsidRPr="009E773A">
        <w:rPr>
          <w:rFonts w:asciiTheme="majorHAnsi" w:hAnsiTheme="majorHAnsi"/>
          <w:sz w:val="20"/>
          <w:szCs w:val="20"/>
          <w:lang w:val="es-ES"/>
        </w:rPr>
        <w:t xml:space="preserve">Como se indicó en la sección anterior, esta omisión, por su naturaleza y falta de explicación, puede entenderse como una forma de encubrimiento y obstaculización de las investigaciones. </w:t>
      </w:r>
      <w:r w:rsidR="009D5606" w:rsidRPr="009E773A">
        <w:rPr>
          <w:rFonts w:asciiTheme="majorHAnsi" w:hAnsiTheme="majorHAnsi"/>
          <w:sz w:val="20"/>
          <w:szCs w:val="20"/>
          <w:lang w:val="es-ES"/>
        </w:rPr>
        <w:t>L</w:t>
      </w:r>
      <w:r w:rsidR="00A91634" w:rsidRPr="009E773A">
        <w:rPr>
          <w:rFonts w:asciiTheme="majorHAnsi" w:hAnsiTheme="majorHAnsi"/>
          <w:sz w:val="20"/>
          <w:szCs w:val="20"/>
          <w:lang w:val="es-ES"/>
        </w:rPr>
        <w:t xml:space="preserve">a Comisión también observa que </w:t>
      </w:r>
      <w:r w:rsidR="00685E3A" w:rsidRPr="009E773A">
        <w:rPr>
          <w:rFonts w:asciiTheme="majorHAnsi" w:hAnsiTheme="majorHAnsi"/>
          <w:sz w:val="20"/>
          <w:szCs w:val="20"/>
          <w:lang w:val="es-ES"/>
        </w:rPr>
        <w:t>e</w:t>
      </w:r>
      <w:r w:rsidR="0026495E" w:rsidRPr="009E773A">
        <w:rPr>
          <w:rFonts w:asciiTheme="majorHAnsi" w:hAnsiTheme="majorHAnsi"/>
          <w:sz w:val="20"/>
          <w:szCs w:val="20"/>
          <w:lang w:val="es-ES"/>
        </w:rPr>
        <w:t>n</w:t>
      </w:r>
      <w:r w:rsidR="00685E3A" w:rsidRPr="009E773A">
        <w:rPr>
          <w:rFonts w:asciiTheme="majorHAnsi" w:hAnsiTheme="majorHAnsi"/>
          <w:sz w:val="20"/>
          <w:szCs w:val="20"/>
          <w:lang w:val="es-ES"/>
        </w:rPr>
        <w:t xml:space="preserve"> 2016 la Unidad Criminalística corroboró que </w:t>
      </w:r>
      <w:r w:rsidR="00A91634" w:rsidRPr="009E773A">
        <w:rPr>
          <w:rFonts w:asciiTheme="majorHAnsi" w:hAnsiTheme="majorHAnsi"/>
          <w:sz w:val="20"/>
          <w:szCs w:val="20"/>
          <w:lang w:val="es-ES"/>
        </w:rPr>
        <w:t>las balas y f</w:t>
      </w:r>
      <w:r w:rsidR="00685E3A" w:rsidRPr="009E773A">
        <w:rPr>
          <w:rFonts w:asciiTheme="majorHAnsi" w:hAnsiTheme="majorHAnsi"/>
          <w:sz w:val="20"/>
          <w:szCs w:val="20"/>
          <w:lang w:val="es-ES"/>
        </w:rPr>
        <w:t xml:space="preserve">ragmentos de bala bajo custodia estaban perdidos. Es decir, las principales piezas de evidencia que podrían </w:t>
      </w:r>
      <w:r w:rsidR="00852893" w:rsidRPr="009E773A">
        <w:rPr>
          <w:rFonts w:asciiTheme="majorHAnsi" w:hAnsiTheme="majorHAnsi"/>
          <w:sz w:val="20"/>
          <w:szCs w:val="20"/>
          <w:lang w:val="es-ES"/>
        </w:rPr>
        <w:t xml:space="preserve">haber aportado elementos conducentes a establecer </w:t>
      </w:r>
      <w:r w:rsidR="00685E3A" w:rsidRPr="009E773A">
        <w:rPr>
          <w:rFonts w:asciiTheme="majorHAnsi" w:hAnsiTheme="majorHAnsi"/>
          <w:sz w:val="20"/>
          <w:szCs w:val="20"/>
          <w:lang w:val="es-ES"/>
        </w:rPr>
        <w:t>la identidad de los perpetradores</w:t>
      </w:r>
      <w:r w:rsidR="00090B65" w:rsidRPr="009E773A">
        <w:rPr>
          <w:rFonts w:asciiTheme="majorHAnsi" w:hAnsiTheme="majorHAnsi"/>
          <w:sz w:val="20"/>
          <w:szCs w:val="20"/>
          <w:lang w:val="es-ES"/>
        </w:rPr>
        <w:t xml:space="preserve"> y su vinculación con las fuerzas armadas policiales</w:t>
      </w:r>
      <w:r w:rsidR="00685E3A" w:rsidRPr="009E773A">
        <w:rPr>
          <w:rFonts w:asciiTheme="majorHAnsi" w:hAnsiTheme="majorHAnsi"/>
          <w:sz w:val="20"/>
          <w:szCs w:val="20"/>
          <w:lang w:val="es-ES"/>
        </w:rPr>
        <w:t xml:space="preserve"> no fueron correctamente custodiad</w:t>
      </w:r>
      <w:r w:rsidR="00090B65" w:rsidRPr="009E773A">
        <w:rPr>
          <w:rFonts w:asciiTheme="majorHAnsi" w:hAnsiTheme="majorHAnsi"/>
          <w:sz w:val="20"/>
          <w:szCs w:val="20"/>
          <w:lang w:val="es-ES"/>
        </w:rPr>
        <w:t>a</w:t>
      </w:r>
      <w:r w:rsidR="001422A3" w:rsidRPr="009E773A">
        <w:rPr>
          <w:rFonts w:asciiTheme="majorHAnsi" w:hAnsiTheme="majorHAnsi"/>
          <w:sz w:val="20"/>
          <w:szCs w:val="20"/>
          <w:lang w:val="es-ES"/>
        </w:rPr>
        <w:t>s, estudiad</w:t>
      </w:r>
      <w:r w:rsidR="00F054B0" w:rsidRPr="009E773A">
        <w:rPr>
          <w:rFonts w:asciiTheme="majorHAnsi" w:hAnsiTheme="majorHAnsi"/>
          <w:sz w:val="20"/>
          <w:szCs w:val="20"/>
          <w:lang w:val="es-ES"/>
        </w:rPr>
        <w:t>a</w:t>
      </w:r>
      <w:r w:rsidR="00A55D02">
        <w:rPr>
          <w:rFonts w:asciiTheme="majorHAnsi" w:hAnsiTheme="majorHAnsi"/>
          <w:sz w:val="20"/>
          <w:szCs w:val="20"/>
          <w:lang w:val="es-ES"/>
        </w:rPr>
        <w:t>s o entregada</w:t>
      </w:r>
      <w:r w:rsidR="001422A3" w:rsidRPr="009E773A">
        <w:rPr>
          <w:rFonts w:asciiTheme="majorHAnsi" w:hAnsiTheme="majorHAnsi"/>
          <w:sz w:val="20"/>
          <w:szCs w:val="20"/>
          <w:lang w:val="es-ES"/>
        </w:rPr>
        <w:t xml:space="preserve">s. </w:t>
      </w:r>
    </w:p>
    <w:p w14:paraId="2171EADC" w14:textId="77777777" w:rsidR="00EA235D" w:rsidRPr="009E773A" w:rsidRDefault="00EA235D" w:rsidP="009A79B6">
      <w:pPr>
        <w:pStyle w:val="ListParagraph"/>
        <w:rPr>
          <w:rFonts w:asciiTheme="majorHAnsi" w:hAnsiTheme="majorHAnsi"/>
          <w:lang w:val="es-ES"/>
        </w:rPr>
      </w:pPr>
    </w:p>
    <w:p w14:paraId="2A4BC2C1" w14:textId="5C3BA421" w:rsidR="00456BD3" w:rsidRPr="009E773A" w:rsidRDefault="00685E3A" w:rsidP="009A79B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9360"/>
        </w:tabs>
        <w:jc w:val="both"/>
        <w:rPr>
          <w:rFonts w:asciiTheme="majorHAnsi" w:hAnsiTheme="majorHAnsi"/>
          <w:lang w:val="es-ES"/>
        </w:rPr>
      </w:pPr>
      <w:r w:rsidRPr="009E773A">
        <w:rPr>
          <w:rFonts w:asciiTheme="majorHAnsi" w:hAnsiTheme="majorHAnsi"/>
          <w:sz w:val="20"/>
          <w:szCs w:val="20"/>
          <w:lang w:val="es-ES"/>
        </w:rPr>
        <w:t xml:space="preserve">En tercer lugar, y en línea con lo anterior, la Comisión también encuentra que las pruebas testimoniales abrieron una línea lógica no explorada por parte de los órganos encargados de la investigación. Así, varios testigos indicaron la presencia de personal que vestía ropa policial, el señor </w:t>
      </w:r>
      <w:r w:rsidR="00090B65" w:rsidRPr="009E773A">
        <w:rPr>
          <w:rFonts w:asciiTheme="majorHAnsi" w:hAnsiTheme="majorHAnsi"/>
          <w:sz w:val="20"/>
          <w:szCs w:val="20"/>
          <w:lang w:val="es-ES"/>
        </w:rPr>
        <w:t xml:space="preserve">Hernández se refirió en varias oportunidades a “policías” e incluso en algún momento vinculó al policía Rojas a la escena del crimen. Sin embargo, no se encuentra en el expediente el modo en que esta evidencia </w:t>
      </w:r>
      <w:r w:rsidR="00244B73" w:rsidRPr="009E773A">
        <w:rPr>
          <w:rFonts w:asciiTheme="majorHAnsi" w:hAnsiTheme="majorHAnsi"/>
          <w:sz w:val="20"/>
          <w:szCs w:val="20"/>
          <w:lang w:val="es-ES"/>
        </w:rPr>
        <w:t xml:space="preserve">activó </w:t>
      </w:r>
      <w:r w:rsidR="00090B65" w:rsidRPr="009E773A">
        <w:rPr>
          <w:rFonts w:asciiTheme="majorHAnsi" w:hAnsiTheme="majorHAnsi"/>
          <w:sz w:val="20"/>
          <w:szCs w:val="20"/>
          <w:lang w:val="es-ES"/>
        </w:rPr>
        <w:t xml:space="preserve">algún tipo de exploración </w:t>
      </w:r>
      <w:r w:rsidR="00E07379" w:rsidRPr="009E773A">
        <w:rPr>
          <w:rFonts w:asciiTheme="majorHAnsi" w:hAnsiTheme="majorHAnsi"/>
          <w:sz w:val="20"/>
          <w:szCs w:val="20"/>
          <w:lang w:val="es-ES"/>
        </w:rPr>
        <w:t xml:space="preserve">inmediata </w:t>
      </w:r>
      <w:r w:rsidR="00090B65" w:rsidRPr="009E773A">
        <w:rPr>
          <w:rFonts w:asciiTheme="majorHAnsi" w:hAnsiTheme="majorHAnsi"/>
          <w:sz w:val="20"/>
          <w:szCs w:val="20"/>
          <w:lang w:val="es-ES"/>
        </w:rPr>
        <w:t>de la mencionada hipótesis de autoría criminal</w:t>
      </w:r>
      <w:r w:rsidR="00E07379" w:rsidRPr="009E773A">
        <w:rPr>
          <w:rFonts w:asciiTheme="majorHAnsi" w:hAnsiTheme="majorHAnsi"/>
          <w:sz w:val="20"/>
          <w:szCs w:val="20"/>
          <w:lang w:val="es-ES"/>
        </w:rPr>
        <w:t>, sino que la orden de aprehensión se emitió recién el 2016, es decir trece años después de la ocurrencia de los hechos, cuando mucha de la prueba ya se encuentra perdida o es imposible de ser colectada</w:t>
      </w:r>
      <w:r w:rsidR="00090B65" w:rsidRPr="009E773A">
        <w:rPr>
          <w:rFonts w:asciiTheme="majorHAnsi" w:hAnsiTheme="majorHAnsi"/>
          <w:sz w:val="20"/>
          <w:szCs w:val="20"/>
          <w:lang w:val="es-ES"/>
        </w:rPr>
        <w:t>.</w:t>
      </w:r>
      <w:r w:rsidR="002E59D3" w:rsidRPr="009E773A">
        <w:rPr>
          <w:rFonts w:asciiTheme="majorHAnsi" w:hAnsiTheme="majorHAnsi"/>
          <w:lang w:val="es-ES"/>
        </w:rPr>
        <w:t xml:space="preserve"> </w:t>
      </w:r>
      <w:r w:rsidR="002E59D3" w:rsidRPr="009E773A">
        <w:rPr>
          <w:rFonts w:asciiTheme="majorHAnsi" w:hAnsiTheme="majorHAnsi"/>
          <w:sz w:val="20"/>
          <w:szCs w:val="20"/>
          <w:lang w:val="es-ES"/>
        </w:rPr>
        <w:t>En</w:t>
      </w:r>
      <w:r w:rsidR="001422A3" w:rsidRPr="009E773A">
        <w:rPr>
          <w:rFonts w:asciiTheme="majorHAnsi" w:hAnsiTheme="majorHAnsi"/>
          <w:sz w:val="20"/>
          <w:szCs w:val="20"/>
          <w:lang w:val="es-ES"/>
        </w:rPr>
        <w:t xml:space="preserve"> conexión con lo anterior, la Comisión toma nota que los órganos encargados de la investigación tampoco tomaron las declaraciones de los miembros </w:t>
      </w:r>
      <w:r w:rsidR="008D335D" w:rsidRPr="009E773A">
        <w:rPr>
          <w:rFonts w:asciiTheme="majorHAnsi" w:hAnsiTheme="majorHAnsi"/>
          <w:sz w:val="20"/>
          <w:szCs w:val="20"/>
          <w:lang w:val="es-ES"/>
        </w:rPr>
        <w:t>de las fuerzas policiales que fueron implicados en el ataque</w:t>
      </w:r>
      <w:r w:rsidR="00456BD3" w:rsidRPr="009E773A">
        <w:rPr>
          <w:rFonts w:asciiTheme="majorHAnsi" w:hAnsiTheme="majorHAnsi"/>
          <w:sz w:val="20"/>
          <w:szCs w:val="20"/>
          <w:lang w:val="es-ES"/>
        </w:rPr>
        <w:t>.</w:t>
      </w:r>
    </w:p>
    <w:p w14:paraId="377B2EDF" w14:textId="77777777" w:rsidR="00456BD3" w:rsidRPr="009E773A" w:rsidRDefault="00456BD3" w:rsidP="009A79B6">
      <w:pPr>
        <w:pStyle w:val="ListParagraph"/>
        <w:rPr>
          <w:rFonts w:asciiTheme="majorHAnsi" w:hAnsiTheme="majorHAnsi"/>
          <w:sz w:val="20"/>
          <w:szCs w:val="20"/>
          <w:lang w:val="es-ES"/>
        </w:rPr>
      </w:pPr>
    </w:p>
    <w:p w14:paraId="0BC1E2CD" w14:textId="0E9F4529" w:rsidR="00864CF3" w:rsidRPr="009E773A" w:rsidRDefault="00456BD3" w:rsidP="009A79B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9360"/>
        </w:tabs>
        <w:jc w:val="both"/>
        <w:rPr>
          <w:rFonts w:asciiTheme="majorHAnsi" w:hAnsiTheme="majorHAnsi"/>
          <w:sz w:val="20"/>
          <w:szCs w:val="20"/>
          <w:lang w:val="es-ES"/>
        </w:rPr>
      </w:pPr>
      <w:r w:rsidRPr="009E773A">
        <w:rPr>
          <w:rFonts w:asciiTheme="majorHAnsi" w:hAnsiTheme="majorHAnsi"/>
          <w:sz w:val="20"/>
          <w:szCs w:val="20"/>
          <w:lang w:val="es-ES"/>
        </w:rPr>
        <w:t xml:space="preserve">En </w:t>
      </w:r>
      <w:r w:rsidR="002E59D3" w:rsidRPr="009E773A">
        <w:rPr>
          <w:rFonts w:asciiTheme="majorHAnsi" w:hAnsiTheme="majorHAnsi"/>
          <w:sz w:val="20"/>
          <w:szCs w:val="20"/>
          <w:lang w:val="es-ES"/>
        </w:rPr>
        <w:t>cuarto</w:t>
      </w:r>
      <w:r w:rsidRPr="009E773A">
        <w:rPr>
          <w:rFonts w:asciiTheme="majorHAnsi" w:hAnsiTheme="majorHAnsi"/>
          <w:sz w:val="20"/>
          <w:szCs w:val="20"/>
          <w:lang w:val="es-ES"/>
        </w:rPr>
        <w:t xml:space="preserve"> lugar, la Comisión </w:t>
      </w:r>
      <w:r w:rsidR="00AC1AAB" w:rsidRPr="009E773A">
        <w:rPr>
          <w:rFonts w:asciiTheme="majorHAnsi" w:hAnsiTheme="majorHAnsi"/>
          <w:sz w:val="20"/>
          <w:szCs w:val="20"/>
          <w:lang w:val="es-ES"/>
        </w:rPr>
        <w:t>observa</w:t>
      </w:r>
      <w:r w:rsidRPr="009E773A">
        <w:rPr>
          <w:rFonts w:asciiTheme="majorHAnsi" w:hAnsiTheme="majorHAnsi"/>
          <w:sz w:val="20"/>
          <w:szCs w:val="20"/>
          <w:lang w:val="es-ES"/>
        </w:rPr>
        <w:t xml:space="preserve"> </w:t>
      </w:r>
      <w:r w:rsidR="00AC1AAB" w:rsidRPr="009E773A">
        <w:rPr>
          <w:rFonts w:asciiTheme="majorHAnsi" w:hAnsiTheme="majorHAnsi"/>
          <w:sz w:val="20"/>
          <w:szCs w:val="20"/>
          <w:lang w:val="es-ES"/>
        </w:rPr>
        <w:t xml:space="preserve">que tras </w:t>
      </w:r>
      <w:r w:rsidRPr="009E773A">
        <w:rPr>
          <w:rFonts w:asciiTheme="majorHAnsi" w:hAnsiTheme="majorHAnsi"/>
          <w:sz w:val="20"/>
          <w:szCs w:val="20"/>
          <w:lang w:val="es-ES"/>
        </w:rPr>
        <w:t xml:space="preserve">las muertes, los órganos de investigación practicaron la toma de testimonios, </w:t>
      </w:r>
      <w:r w:rsidR="00AC1AAB" w:rsidRPr="009E773A">
        <w:rPr>
          <w:rFonts w:asciiTheme="majorHAnsi" w:hAnsiTheme="majorHAnsi"/>
          <w:sz w:val="20"/>
          <w:szCs w:val="20"/>
          <w:lang w:val="es-ES"/>
        </w:rPr>
        <w:t xml:space="preserve">se realizaron las </w:t>
      </w:r>
      <w:r w:rsidRPr="009E773A">
        <w:rPr>
          <w:rFonts w:asciiTheme="majorHAnsi" w:hAnsiTheme="majorHAnsi"/>
          <w:sz w:val="20"/>
          <w:szCs w:val="20"/>
          <w:lang w:val="es-ES"/>
        </w:rPr>
        <w:t>autopsia</w:t>
      </w:r>
      <w:r w:rsidR="00AC1AAB" w:rsidRPr="009E773A">
        <w:rPr>
          <w:rFonts w:asciiTheme="majorHAnsi" w:hAnsiTheme="majorHAnsi"/>
          <w:sz w:val="20"/>
          <w:szCs w:val="20"/>
          <w:lang w:val="es-ES"/>
        </w:rPr>
        <w:t>s</w:t>
      </w:r>
      <w:r w:rsidRPr="009E773A">
        <w:rPr>
          <w:rFonts w:asciiTheme="majorHAnsi" w:hAnsiTheme="majorHAnsi"/>
          <w:sz w:val="20"/>
          <w:szCs w:val="20"/>
          <w:lang w:val="es-ES"/>
        </w:rPr>
        <w:t xml:space="preserve">, </w:t>
      </w:r>
      <w:r w:rsidR="00AC1AAB" w:rsidRPr="009E773A">
        <w:rPr>
          <w:rFonts w:asciiTheme="majorHAnsi" w:hAnsiTheme="majorHAnsi"/>
          <w:sz w:val="20"/>
          <w:szCs w:val="20"/>
          <w:lang w:val="es-ES"/>
        </w:rPr>
        <w:t xml:space="preserve">se </w:t>
      </w:r>
      <w:r w:rsidRPr="009E773A">
        <w:rPr>
          <w:rFonts w:asciiTheme="majorHAnsi" w:hAnsiTheme="majorHAnsi"/>
          <w:sz w:val="20"/>
          <w:szCs w:val="20"/>
          <w:lang w:val="es-ES"/>
        </w:rPr>
        <w:t>orden</w:t>
      </w:r>
      <w:r w:rsidR="00AC1AAB" w:rsidRPr="009E773A">
        <w:rPr>
          <w:rFonts w:asciiTheme="majorHAnsi" w:hAnsiTheme="majorHAnsi"/>
          <w:sz w:val="20"/>
          <w:szCs w:val="20"/>
          <w:lang w:val="es-ES"/>
        </w:rPr>
        <w:t>aron</w:t>
      </w:r>
      <w:r w:rsidRPr="009E773A">
        <w:rPr>
          <w:rFonts w:asciiTheme="majorHAnsi" w:hAnsiTheme="majorHAnsi"/>
          <w:sz w:val="20"/>
          <w:szCs w:val="20"/>
          <w:lang w:val="es-ES"/>
        </w:rPr>
        <w:t xml:space="preserve"> los peritajes de balística y trayectoria intraórganica</w:t>
      </w:r>
      <w:r w:rsidR="002E59D3" w:rsidRPr="009E773A">
        <w:rPr>
          <w:rFonts w:asciiTheme="majorHAnsi" w:hAnsiTheme="majorHAnsi"/>
          <w:sz w:val="20"/>
          <w:szCs w:val="20"/>
          <w:lang w:val="es-ES"/>
        </w:rPr>
        <w:t>, entre otras, de modo consistente</w:t>
      </w:r>
      <w:r w:rsidRPr="009E773A">
        <w:rPr>
          <w:rFonts w:asciiTheme="majorHAnsi" w:hAnsiTheme="majorHAnsi"/>
          <w:sz w:val="20"/>
          <w:szCs w:val="20"/>
          <w:lang w:val="es-ES"/>
        </w:rPr>
        <w:t xml:space="preserve"> </w:t>
      </w:r>
      <w:r w:rsidR="002E59D3" w:rsidRPr="009E773A">
        <w:rPr>
          <w:rFonts w:asciiTheme="majorHAnsi" w:hAnsiTheme="majorHAnsi"/>
          <w:sz w:val="20"/>
          <w:szCs w:val="20"/>
          <w:lang w:val="es-ES"/>
        </w:rPr>
        <w:t xml:space="preserve">durante el </w:t>
      </w:r>
      <w:r w:rsidR="00AC1AAB" w:rsidRPr="009E773A">
        <w:rPr>
          <w:rFonts w:asciiTheme="majorHAnsi" w:hAnsiTheme="majorHAnsi"/>
          <w:sz w:val="20"/>
          <w:szCs w:val="20"/>
          <w:lang w:val="es-ES"/>
        </w:rPr>
        <w:t>2003. A</w:t>
      </w:r>
      <w:r w:rsidRPr="009E773A">
        <w:rPr>
          <w:rFonts w:asciiTheme="majorHAnsi" w:hAnsiTheme="majorHAnsi"/>
          <w:sz w:val="20"/>
          <w:szCs w:val="20"/>
          <w:lang w:val="es-ES"/>
        </w:rPr>
        <w:t xml:space="preserve"> partir del 2004 en adelante, </w:t>
      </w:r>
      <w:r w:rsidR="001D7DE7" w:rsidRPr="009E773A">
        <w:rPr>
          <w:rFonts w:asciiTheme="majorHAnsi" w:hAnsiTheme="majorHAnsi"/>
          <w:sz w:val="20"/>
          <w:szCs w:val="20"/>
          <w:lang w:val="es-ES"/>
        </w:rPr>
        <w:t xml:space="preserve">la mayor cantidad de piezas procesales que fueron adjuntadas al expediente se tratan de comunicaciones de los órganos de investigación a otras entidades para que remitan pericias practicadas o para que envíen pruebas documentales, </w:t>
      </w:r>
      <w:r w:rsidR="00D02002" w:rsidRPr="009E773A">
        <w:rPr>
          <w:rFonts w:asciiTheme="majorHAnsi" w:hAnsiTheme="majorHAnsi"/>
          <w:sz w:val="20"/>
          <w:szCs w:val="20"/>
          <w:lang w:val="es-ES"/>
        </w:rPr>
        <w:t xml:space="preserve">lo que rara vez logró </w:t>
      </w:r>
      <w:r w:rsidR="001D7DE7" w:rsidRPr="009E773A">
        <w:rPr>
          <w:rFonts w:asciiTheme="majorHAnsi" w:hAnsiTheme="majorHAnsi"/>
          <w:sz w:val="20"/>
          <w:szCs w:val="20"/>
          <w:lang w:val="es-ES"/>
        </w:rPr>
        <w:t>alg</w:t>
      </w:r>
      <w:r w:rsidR="00D02002" w:rsidRPr="009E773A">
        <w:rPr>
          <w:rFonts w:asciiTheme="majorHAnsi" w:hAnsiTheme="majorHAnsi"/>
          <w:sz w:val="20"/>
          <w:szCs w:val="20"/>
          <w:lang w:val="es-ES"/>
        </w:rPr>
        <w:t>ún resultado y h</w:t>
      </w:r>
      <w:r w:rsidR="001D7DE7" w:rsidRPr="009E773A">
        <w:rPr>
          <w:rFonts w:asciiTheme="majorHAnsi" w:hAnsiTheme="majorHAnsi"/>
          <w:sz w:val="20"/>
          <w:szCs w:val="20"/>
          <w:lang w:val="es-ES"/>
        </w:rPr>
        <w:t xml:space="preserve">acia el 2007 estos </w:t>
      </w:r>
      <w:r w:rsidR="008C510C" w:rsidRPr="009E773A">
        <w:rPr>
          <w:rFonts w:asciiTheme="majorHAnsi" w:hAnsiTheme="majorHAnsi"/>
          <w:sz w:val="20"/>
          <w:szCs w:val="20"/>
          <w:lang w:val="es-ES"/>
        </w:rPr>
        <w:t xml:space="preserve">actos </w:t>
      </w:r>
      <w:r w:rsidR="001D7DE7" w:rsidRPr="009E773A">
        <w:rPr>
          <w:rFonts w:asciiTheme="majorHAnsi" w:hAnsiTheme="majorHAnsi"/>
          <w:sz w:val="20"/>
          <w:szCs w:val="20"/>
          <w:lang w:val="es-ES"/>
        </w:rPr>
        <w:t xml:space="preserve">reiterativos </w:t>
      </w:r>
      <w:r w:rsidR="00AC1AAB" w:rsidRPr="009E773A">
        <w:rPr>
          <w:rFonts w:asciiTheme="majorHAnsi" w:hAnsiTheme="majorHAnsi"/>
          <w:sz w:val="20"/>
          <w:szCs w:val="20"/>
          <w:lang w:val="es-ES"/>
        </w:rPr>
        <w:t xml:space="preserve">incluso </w:t>
      </w:r>
      <w:r w:rsidR="001D7DE7" w:rsidRPr="009E773A">
        <w:rPr>
          <w:rFonts w:asciiTheme="majorHAnsi" w:hAnsiTheme="majorHAnsi"/>
          <w:sz w:val="20"/>
          <w:szCs w:val="20"/>
          <w:lang w:val="es-ES"/>
        </w:rPr>
        <w:t xml:space="preserve">se dejaron de practicar. La CIDH observa que </w:t>
      </w:r>
      <w:r w:rsidR="001C31B7" w:rsidRPr="009E773A">
        <w:rPr>
          <w:rFonts w:asciiTheme="majorHAnsi" w:hAnsiTheme="majorHAnsi"/>
          <w:sz w:val="20"/>
          <w:szCs w:val="20"/>
          <w:lang w:val="es-ES"/>
        </w:rPr>
        <w:t>fue</w:t>
      </w:r>
      <w:r w:rsidR="001D7DE7" w:rsidRPr="009E773A">
        <w:rPr>
          <w:rFonts w:asciiTheme="majorHAnsi" w:hAnsiTheme="majorHAnsi"/>
          <w:sz w:val="20"/>
          <w:szCs w:val="20"/>
          <w:lang w:val="es-ES"/>
        </w:rPr>
        <w:t xml:space="preserve"> recién e</w:t>
      </w:r>
      <w:r w:rsidR="001C31B7" w:rsidRPr="009E773A">
        <w:rPr>
          <w:rFonts w:asciiTheme="majorHAnsi" w:hAnsiTheme="majorHAnsi"/>
          <w:sz w:val="20"/>
          <w:szCs w:val="20"/>
          <w:lang w:val="es-ES"/>
        </w:rPr>
        <w:t>n</w:t>
      </w:r>
      <w:r w:rsidR="001D7DE7" w:rsidRPr="009E773A">
        <w:rPr>
          <w:rFonts w:asciiTheme="majorHAnsi" w:hAnsiTheme="majorHAnsi"/>
          <w:sz w:val="20"/>
          <w:szCs w:val="20"/>
          <w:lang w:val="es-ES"/>
        </w:rPr>
        <w:t xml:space="preserve"> 2016 que la investigación retom</w:t>
      </w:r>
      <w:r w:rsidR="0016632F" w:rsidRPr="009E773A">
        <w:rPr>
          <w:rFonts w:asciiTheme="majorHAnsi" w:hAnsiTheme="majorHAnsi"/>
          <w:sz w:val="20"/>
          <w:szCs w:val="20"/>
          <w:lang w:val="es-ES"/>
        </w:rPr>
        <w:t>ó</w:t>
      </w:r>
      <w:r w:rsidR="001D7DE7" w:rsidRPr="009E773A">
        <w:rPr>
          <w:rFonts w:asciiTheme="majorHAnsi" w:hAnsiTheme="majorHAnsi"/>
          <w:sz w:val="20"/>
          <w:szCs w:val="20"/>
          <w:lang w:val="es-ES"/>
        </w:rPr>
        <w:t xml:space="preserve"> un impulso procesal significativo cuando se emite la orden de aprehensión</w:t>
      </w:r>
      <w:r w:rsidR="00D02002" w:rsidRPr="009E773A">
        <w:rPr>
          <w:rFonts w:asciiTheme="majorHAnsi" w:hAnsiTheme="majorHAnsi"/>
          <w:sz w:val="20"/>
          <w:szCs w:val="20"/>
          <w:lang w:val="es-ES"/>
        </w:rPr>
        <w:t xml:space="preserve"> contra el policía Rojas</w:t>
      </w:r>
      <w:r w:rsidR="001D7DE7" w:rsidRPr="009E773A">
        <w:rPr>
          <w:rFonts w:asciiTheme="majorHAnsi" w:hAnsiTheme="majorHAnsi"/>
          <w:sz w:val="20"/>
          <w:szCs w:val="20"/>
          <w:lang w:val="es-ES"/>
        </w:rPr>
        <w:t xml:space="preserve">, aunque la Fiscalía que lo retoma cae en cuenta </w:t>
      </w:r>
      <w:r w:rsidR="002E59D3" w:rsidRPr="009E773A">
        <w:rPr>
          <w:rFonts w:asciiTheme="majorHAnsi" w:hAnsiTheme="majorHAnsi"/>
          <w:sz w:val="20"/>
          <w:szCs w:val="20"/>
          <w:lang w:val="es-ES"/>
        </w:rPr>
        <w:t xml:space="preserve">de </w:t>
      </w:r>
      <w:r w:rsidR="001D7DE7" w:rsidRPr="009E773A">
        <w:rPr>
          <w:rFonts w:asciiTheme="majorHAnsi" w:hAnsiTheme="majorHAnsi"/>
          <w:sz w:val="20"/>
          <w:szCs w:val="20"/>
          <w:lang w:val="es-ES"/>
        </w:rPr>
        <w:t>que mucha de la prueba documental ya está perdida</w:t>
      </w:r>
      <w:r w:rsidR="008C6434" w:rsidRPr="009E773A">
        <w:rPr>
          <w:rFonts w:asciiTheme="majorHAnsi" w:hAnsiTheme="majorHAnsi"/>
          <w:sz w:val="20"/>
          <w:szCs w:val="20"/>
          <w:lang w:val="es-ES"/>
        </w:rPr>
        <w:t xml:space="preserve"> o es imposible de recabar</w:t>
      </w:r>
      <w:r w:rsidR="001D7DE7" w:rsidRPr="009E773A">
        <w:rPr>
          <w:rFonts w:asciiTheme="majorHAnsi" w:hAnsiTheme="majorHAnsi"/>
          <w:sz w:val="20"/>
          <w:szCs w:val="20"/>
          <w:lang w:val="es-ES"/>
        </w:rPr>
        <w:t>. Así</w:t>
      </w:r>
      <w:r w:rsidR="00D02002" w:rsidRPr="009E773A">
        <w:rPr>
          <w:rFonts w:asciiTheme="majorHAnsi" w:hAnsiTheme="majorHAnsi"/>
          <w:sz w:val="20"/>
          <w:szCs w:val="20"/>
          <w:lang w:val="es-ES"/>
        </w:rPr>
        <w:t>, la Comisión observa que existi</w:t>
      </w:r>
      <w:r w:rsidR="00AC1AAB" w:rsidRPr="009E773A">
        <w:rPr>
          <w:rFonts w:asciiTheme="majorHAnsi" w:hAnsiTheme="majorHAnsi"/>
          <w:sz w:val="20"/>
          <w:szCs w:val="20"/>
          <w:lang w:val="es-ES"/>
        </w:rPr>
        <w:t xml:space="preserve">ó un decaimiento del impulso procesal </w:t>
      </w:r>
      <w:r w:rsidR="00AC1AAB" w:rsidRPr="009E773A">
        <w:rPr>
          <w:rFonts w:asciiTheme="majorHAnsi" w:hAnsiTheme="majorHAnsi"/>
          <w:i/>
          <w:sz w:val="20"/>
          <w:szCs w:val="20"/>
          <w:lang w:val="es-ES"/>
        </w:rPr>
        <w:t>ex officio</w:t>
      </w:r>
      <w:r w:rsidR="00AC1AAB" w:rsidRPr="009E773A">
        <w:rPr>
          <w:rFonts w:asciiTheme="majorHAnsi" w:hAnsiTheme="majorHAnsi"/>
          <w:sz w:val="20"/>
          <w:szCs w:val="20"/>
          <w:lang w:val="es-ES"/>
        </w:rPr>
        <w:t xml:space="preserve">, que generó la pérdida de prueba e impidió </w:t>
      </w:r>
      <w:r w:rsidR="0099103B" w:rsidRPr="009E773A">
        <w:rPr>
          <w:rFonts w:asciiTheme="majorHAnsi" w:hAnsiTheme="majorHAnsi"/>
          <w:sz w:val="20"/>
          <w:szCs w:val="20"/>
          <w:lang w:val="es-ES"/>
        </w:rPr>
        <w:t>el esclareci</w:t>
      </w:r>
      <w:r w:rsidR="00FB706F">
        <w:rPr>
          <w:rFonts w:asciiTheme="majorHAnsi" w:hAnsiTheme="majorHAnsi"/>
          <w:sz w:val="20"/>
          <w:szCs w:val="20"/>
          <w:lang w:val="es-ES"/>
        </w:rPr>
        <w:t xml:space="preserve">miento de los hechos, lo que resulta incompatible </w:t>
      </w:r>
      <w:r w:rsidR="0099103B" w:rsidRPr="009E773A">
        <w:rPr>
          <w:rFonts w:asciiTheme="majorHAnsi" w:hAnsiTheme="majorHAnsi"/>
          <w:sz w:val="20"/>
          <w:szCs w:val="20"/>
          <w:lang w:val="es-ES"/>
        </w:rPr>
        <w:t xml:space="preserve">con los estándares de debida diligencia de muertes sospechosas que involucran agentes del </w:t>
      </w:r>
      <w:r w:rsidR="00756258" w:rsidRPr="009E773A">
        <w:rPr>
          <w:rFonts w:asciiTheme="majorHAnsi" w:hAnsiTheme="majorHAnsi"/>
          <w:sz w:val="20"/>
          <w:szCs w:val="20"/>
          <w:lang w:val="es-ES"/>
        </w:rPr>
        <w:t>E</w:t>
      </w:r>
      <w:r w:rsidR="0099103B" w:rsidRPr="009E773A">
        <w:rPr>
          <w:rFonts w:asciiTheme="majorHAnsi" w:hAnsiTheme="majorHAnsi"/>
          <w:sz w:val="20"/>
          <w:szCs w:val="20"/>
          <w:lang w:val="es-ES"/>
        </w:rPr>
        <w:t>stado.</w:t>
      </w:r>
    </w:p>
    <w:p w14:paraId="28269862" w14:textId="77777777" w:rsidR="00864CF3" w:rsidRPr="009E773A" w:rsidRDefault="00864CF3" w:rsidP="009A79B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9360"/>
        </w:tabs>
        <w:ind w:left="630"/>
        <w:jc w:val="both"/>
        <w:rPr>
          <w:rFonts w:asciiTheme="majorHAnsi" w:hAnsiTheme="majorHAnsi"/>
          <w:sz w:val="20"/>
          <w:szCs w:val="20"/>
          <w:lang w:val="es-ES"/>
        </w:rPr>
      </w:pPr>
    </w:p>
    <w:p w14:paraId="6BB0AD22" w14:textId="0C1D281B" w:rsidR="0099103B" w:rsidRPr="009E773A" w:rsidRDefault="00864CF3" w:rsidP="009A79B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9360"/>
        </w:tabs>
        <w:jc w:val="both"/>
        <w:rPr>
          <w:rFonts w:asciiTheme="majorHAnsi" w:hAnsiTheme="majorHAnsi"/>
          <w:sz w:val="20"/>
          <w:szCs w:val="20"/>
          <w:lang w:val="es-ES"/>
        </w:rPr>
      </w:pPr>
      <w:r w:rsidRPr="009E773A">
        <w:rPr>
          <w:rFonts w:asciiTheme="majorHAnsi" w:hAnsiTheme="majorHAnsi"/>
          <w:sz w:val="20"/>
          <w:szCs w:val="20"/>
          <w:lang w:val="es-ES"/>
        </w:rPr>
        <w:t xml:space="preserve">En </w:t>
      </w:r>
      <w:r w:rsidR="002E59D3" w:rsidRPr="009E773A">
        <w:rPr>
          <w:rFonts w:asciiTheme="majorHAnsi" w:hAnsiTheme="majorHAnsi"/>
          <w:sz w:val="20"/>
          <w:szCs w:val="20"/>
          <w:lang w:val="es-ES"/>
        </w:rPr>
        <w:t>quinto</w:t>
      </w:r>
      <w:r w:rsidRPr="009E773A">
        <w:rPr>
          <w:rFonts w:asciiTheme="majorHAnsi" w:hAnsiTheme="majorHAnsi"/>
          <w:sz w:val="20"/>
          <w:szCs w:val="20"/>
          <w:lang w:val="es-ES"/>
        </w:rPr>
        <w:t xml:space="preserve"> lugar, la Comisión no puede dejar de vincular el doble contexto de falta de investigación de las ejecuciones judiciales atribuidas a las policías estadales en el Estado venezolano y en particular en el estado de Falcón. </w:t>
      </w:r>
      <w:r w:rsidR="00D95884" w:rsidRPr="009E773A">
        <w:rPr>
          <w:rFonts w:asciiTheme="majorHAnsi" w:hAnsiTheme="majorHAnsi"/>
          <w:sz w:val="20"/>
          <w:szCs w:val="20"/>
          <w:lang w:val="es-ES"/>
        </w:rPr>
        <w:t xml:space="preserve">Los alarmantes índices de impunidad de este tipo de casos han sido acreditados por múltiples instancias nacionales e internacionales, incluyendo a la propia Fiscalía General. </w:t>
      </w:r>
    </w:p>
    <w:p w14:paraId="73EEE0C4" w14:textId="77777777" w:rsidR="0099103B" w:rsidRPr="009E773A" w:rsidRDefault="0099103B" w:rsidP="009A79B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9360"/>
        </w:tabs>
        <w:jc w:val="both"/>
        <w:rPr>
          <w:rFonts w:asciiTheme="majorHAnsi" w:hAnsiTheme="majorHAnsi"/>
          <w:sz w:val="20"/>
          <w:szCs w:val="20"/>
          <w:lang w:val="es-ES"/>
        </w:rPr>
      </w:pPr>
    </w:p>
    <w:p w14:paraId="2E31C34E" w14:textId="62BE8961" w:rsidR="005A7397" w:rsidRPr="009E773A" w:rsidRDefault="0099103B" w:rsidP="009A79B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9360"/>
        </w:tabs>
        <w:jc w:val="both"/>
        <w:rPr>
          <w:rFonts w:asciiTheme="majorHAnsi" w:hAnsiTheme="majorHAnsi"/>
          <w:lang w:val="es-ES"/>
        </w:rPr>
      </w:pPr>
      <w:r w:rsidRPr="009E773A">
        <w:rPr>
          <w:rFonts w:asciiTheme="majorHAnsi" w:hAnsiTheme="majorHAnsi"/>
          <w:sz w:val="20"/>
          <w:szCs w:val="20"/>
          <w:lang w:val="es-ES"/>
        </w:rPr>
        <w:t>Sumado a lo anterior</w:t>
      </w:r>
      <w:r w:rsidR="00864CF3" w:rsidRPr="009E773A">
        <w:rPr>
          <w:rFonts w:asciiTheme="majorHAnsi" w:hAnsiTheme="majorHAnsi"/>
          <w:sz w:val="20"/>
          <w:szCs w:val="20"/>
          <w:lang w:val="es-ES"/>
        </w:rPr>
        <w:t>, la Comisión procede a realizar el análisis sobre la razonabilidad del plazo. La investigación inició el 2003 y a la fecha no ha concluido, lo que arroja un total de</w:t>
      </w:r>
      <w:r w:rsidR="00971339" w:rsidRPr="009E773A">
        <w:rPr>
          <w:rFonts w:asciiTheme="majorHAnsi" w:hAnsiTheme="majorHAnsi"/>
          <w:sz w:val="20"/>
          <w:szCs w:val="20"/>
          <w:lang w:val="es-ES"/>
        </w:rPr>
        <w:t xml:space="preserve"> más de</w:t>
      </w:r>
      <w:r w:rsidR="00864CF3" w:rsidRPr="009E773A">
        <w:rPr>
          <w:rFonts w:asciiTheme="majorHAnsi" w:hAnsiTheme="majorHAnsi"/>
          <w:sz w:val="20"/>
          <w:szCs w:val="20"/>
          <w:lang w:val="es-ES"/>
        </w:rPr>
        <w:t xml:space="preserve"> 15 años de investigación sin </w:t>
      </w:r>
      <w:r w:rsidR="004A6886" w:rsidRPr="009E773A">
        <w:rPr>
          <w:rFonts w:asciiTheme="majorHAnsi" w:hAnsiTheme="majorHAnsi"/>
          <w:sz w:val="20"/>
          <w:szCs w:val="20"/>
          <w:lang w:val="es-ES"/>
        </w:rPr>
        <w:t xml:space="preserve">el esclarecimiento de lo sucedido ni </w:t>
      </w:r>
      <w:r w:rsidR="00864CF3" w:rsidRPr="009E773A">
        <w:rPr>
          <w:rFonts w:asciiTheme="majorHAnsi" w:hAnsiTheme="majorHAnsi"/>
          <w:sz w:val="20"/>
          <w:szCs w:val="20"/>
          <w:lang w:val="es-ES"/>
        </w:rPr>
        <w:t xml:space="preserve">la identificación de responsables. La Comisión observa que se trata </w:t>
      </w:r>
      <w:r w:rsidR="0020410C" w:rsidRPr="009E773A">
        <w:rPr>
          <w:rFonts w:asciiTheme="majorHAnsi" w:hAnsiTheme="majorHAnsi"/>
          <w:sz w:val="20"/>
          <w:szCs w:val="20"/>
          <w:lang w:val="es-ES"/>
        </w:rPr>
        <w:t xml:space="preserve">de </w:t>
      </w:r>
      <w:r w:rsidR="005A7397" w:rsidRPr="009E773A">
        <w:rPr>
          <w:rFonts w:asciiTheme="majorHAnsi" w:hAnsiTheme="majorHAnsi"/>
          <w:sz w:val="20"/>
          <w:szCs w:val="20"/>
          <w:lang w:val="es-ES"/>
        </w:rPr>
        <w:t>dos</w:t>
      </w:r>
      <w:r w:rsidR="00864CF3" w:rsidRPr="009E773A">
        <w:rPr>
          <w:rFonts w:asciiTheme="majorHAnsi" w:hAnsiTheme="majorHAnsi"/>
          <w:sz w:val="20"/>
          <w:szCs w:val="20"/>
          <w:lang w:val="es-ES"/>
        </w:rPr>
        <w:t xml:space="preserve"> muerte</w:t>
      </w:r>
      <w:r w:rsidR="005A7397" w:rsidRPr="009E773A">
        <w:rPr>
          <w:rFonts w:asciiTheme="majorHAnsi" w:hAnsiTheme="majorHAnsi"/>
          <w:sz w:val="20"/>
          <w:szCs w:val="20"/>
          <w:lang w:val="es-ES"/>
        </w:rPr>
        <w:t>s conectadas</w:t>
      </w:r>
      <w:r w:rsidR="00864CF3" w:rsidRPr="009E773A">
        <w:rPr>
          <w:rFonts w:asciiTheme="majorHAnsi" w:hAnsiTheme="majorHAnsi"/>
          <w:sz w:val="20"/>
          <w:szCs w:val="20"/>
          <w:lang w:val="es-ES"/>
        </w:rPr>
        <w:t>, que exist</w:t>
      </w:r>
      <w:r w:rsidR="005A7397" w:rsidRPr="009E773A">
        <w:rPr>
          <w:rFonts w:asciiTheme="majorHAnsi" w:hAnsiTheme="majorHAnsi"/>
          <w:sz w:val="20"/>
          <w:szCs w:val="20"/>
          <w:lang w:val="es-ES"/>
        </w:rPr>
        <w:t>en</w:t>
      </w:r>
      <w:r w:rsidR="00864CF3" w:rsidRPr="009E773A">
        <w:rPr>
          <w:rFonts w:asciiTheme="majorHAnsi" w:hAnsiTheme="majorHAnsi"/>
          <w:sz w:val="20"/>
          <w:szCs w:val="20"/>
          <w:lang w:val="es-ES"/>
        </w:rPr>
        <w:t xml:space="preserve"> líneas lógicas que permit</w:t>
      </w:r>
      <w:r w:rsidR="005A7397" w:rsidRPr="009E773A">
        <w:rPr>
          <w:rFonts w:asciiTheme="majorHAnsi" w:hAnsiTheme="majorHAnsi"/>
          <w:sz w:val="20"/>
          <w:szCs w:val="20"/>
          <w:lang w:val="es-ES"/>
        </w:rPr>
        <w:t>en</w:t>
      </w:r>
      <w:r w:rsidR="00864CF3" w:rsidRPr="009E773A">
        <w:rPr>
          <w:rFonts w:asciiTheme="majorHAnsi" w:hAnsiTheme="majorHAnsi"/>
          <w:sz w:val="20"/>
          <w:szCs w:val="20"/>
          <w:lang w:val="es-ES"/>
        </w:rPr>
        <w:t xml:space="preserve"> acotar la búsqueda de responsables</w:t>
      </w:r>
      <w:r w:rsidR="005A7397" w:rsidRPr="009E773A">
        <w:rPr>
          <w:rFonts w:asciiTheme="majorHAnsi" w:hAnsiTheme="majorHAnsi"/>
          <w:sz w:val="20"/>
          <w:szCs w:val="20"/>
          <w:lang w:val="es-ES"/>
        </w:rPr>
        <w:t xml:space="preserve"> y el agotamiento de hipótesis criminales</w:t>
      </w:r>
      <w:r w:rsidR="00864CF3" w:rsidRPr="009E773A">
        <w:rPr>
          <w:rFonts w:asciiTheme="majorHAnsi" w:hAnsiTheme="majorHAnsi"/>
          <w:sz w:val="20"/>
          <w:szCs w:val="20"/>
          <w:lang w:val="es-ES"/>
        </w:rPr>
        <w:t xml:space="preserve">, además de múltiples testigos oculares, que lograron anotar hasta la placa del auto </w:t>
      </w:r>
      <w:r w:rsidR="005A7397" w:rsidRPr="009E773A">
        <w:rPr>
          <w:rFonts w:asciiTheme="majorHAnsi" w:hAnsiTheme="majorHAnsi"/>
          <w:sz w:val="20"/>
          <w:szCs w:val="20"/>
          <w:lang w:val="es-ES"/>
        </w:rPr>
        <w:t>que transportó a los perpetradores</w:t>
      </w:r>
      <w:r w:rsidR="00864CF3" w:rsidRPr="009E773A">
        <w:rPr>
          <w:rFonts w:asciiTheme="majorHAnsi" w:hAnsiTheme="majorHAnsi"/>
          <w:sz w:val="20"/>
          <w:szCs w:val="20"/>
          <w:lang w:val="es-ES"/>
        </w:rPr>
        <w:t xml:space="preserve">. En ese sentido, no se observa que se trate </w:t>
      </w:r>
      <w:r w:rsidR="005A7397" w:rsidRPr="009E773A">
        <w:rPr>
          <w:rFonts w:asciiTheme="majorHAnsi" w:hAnsiTheme="majorHAnsi"/>
          <w:sz w:val="20"/>
          <w:szCs w:val="20"/>
          <w:lang w:val="es-ES"/>
        </w:rPr>
        <w:t xml:space="preserve">de una situación criminal sin indicios o </w:t>
      </w:r>
      <w:r w:rsidR="005A7397" w:rsidRPr="009E773A">
        <w:rPr>
          <w:rFonts w:asciiTheme="majorHAnsi" w:hAnsiTheme="majorHAnsi"/>
          <w:sz w:val="20"/>
          <w:szCs w:val="20"/>
          <w:lang w:val="es-ES"/>
        </w:rPr>
        <w:lastRenderedPageBreak/>
        <w:t>evidencias</w:t>
      </w:r>
      <w:r w:rsidR="00864CF3" w:rsidRPr="009E773A">
        <w:rPr>
          <w:rFonts w:asciiTheme="majorHAnsi" w:hAnsiTheme="majorHAnsi"/>
          <w:sz w:val="20"/>
          <w:szCs w:val="20"/>
          <w:lang w:val="es-ES"/>
        </w:rPr>
        <w:t>,</w:t>
      </w:r>
      <w:r w:rsidR="005A7397" w:rsidRPr="009E773A">
        <w:rPr>
          <w:rFonts w:asciiTheme="majorHAnsi" w:hAnsiTheme="majorHAnsi"/>
          <w:sz w:val="20"/>
          <w:szCs w:val="20"/>
          <w:lang w:val="es-ES"/>
        </w:rPr>
        <w:t xml:space="preserve"> y </w:t>
      </w:r>
      <w:r w:rsidR="002B339A" w:rsidRPr="009E773A">
        <w:rPr>
          <w:rFonts w:asciiTheme="majorHAnsi" w:hAnsiTheme="majorHAnsi"/>
          <w:sz w:val="20"/>
          <w:szCs w:val="20"/>
          <w:lang w:val="es-ES"/>
        </w:rPr>
        <w:t xml:space="preserve">si </w:t>
      </w:r>
      <w:r w:rsidR="005A7397" w:rsidRPr="009E773A">
        <w:rPr>
          <w:rFonts w:asciiTheme="majorHAnsi" w:hAnsiTheme="majorHAnsi"/>
          <w:sz w:val="20"/>
          <w:szCs w:val="20"/>
          <w:lang w:val="es-ES"/>
        </w:rPr>
        <w:t xml:space="preserve">así lo fuera, en todo caso, </w:t>
      </w:r>
      <w:r w:rsidR="00864CF3" w:rsidRPr="009E773A">
        <w:rPr>
          <w:rFonts w:asciiTheme="majorHAnsi" w:hAnsiTheme="majorHAnsi"/>
          <w:sz w:val="20"/>
          <w:szCs w:val="20"/>
          <w:lang w:val="es-ES"/>
        </w:rPr>
        <w:t>el Estado no argumentó las razones de una eventual complejidad, ni vinculó concretamente dichas demoras a la misma</w:t>
      </w:r>
      <w:r w:rsidR="005A7397" w:rsidRPr="009E773A">
        <w:rPr>
          <w:rFonts w:asciiTheme="majorHAnsi" w:hAnsiTheme="majorHAnsi"/>
          <w:sz w:val="20"/>
          <w:szCs w:val="20"/>
          <w:lang w:val="es-ES"/>
        </w:rPr>
        <w:t>.</w:t>
      </w:r>
    </w:p>
    <w:p w14:paraId="461E43CE" w14:textId="77777777" w:rsidR="005A7397" w:rsidRPr="009E773A" w:rsidRDefault="005A7397" w:rsidP="009A79B6">
      <w:pPr>
        <w:pStyle w:val="ListParagraph"/>
        <w:rPr>
          <w:rFonts w:asciiTheme="majorHAnsi" w:hAnsiTheme="majorHAnsi"/>
          <w:sz w:val="20"/>
          <w:szCs w:val="20"/>
          <w:lang w:val="es-ES"/>
        </w:rPr>
      </w:pPr>
    </w:p>
    <w:p w14:paraId="121BFFB8" w14:textId="42A930EB" w:rsidR="0055403B" w:rsidRPr="009E773A" w:rsidRDefault="005A7397" w:rsidP="009A79B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9360"/>
        </w:tabs>
        <w:jc w:val="both"/>
        <w:rPr>
          <w:rFonts w:asciiTheme="majorHAnsi" w:hAnsiTheme="majorHAnsi"/>
          <w:lang w:val="es-ES"/>
        </w:rPr>
      </w:pPr>
      <w:r w:rsidRPr="009E773A">
        <w:rPr>
          <w:rFonts w:asciiTheme="majorHAnsi" w:hAnsiTheme="majorHAnsi"/>
          <w:sz w:val="20"/>
          <w:szCs w:val="20"/>
          <w:lang w:val="es-ES"/>
        </w:rPr>
        <w:t xml:space="preserve">En cuanto a las actuaciones de la parte interesada, la Comisión no observa obstaculización de la justicia por parte de los familiares de las víctimas. </w:t>
      </w:r>
      <w:r w:rsidRPr="009E773A">
        <w:rPr>
          <w:rFonts w:asciiTheme="majorHAnsi" w:hAnsiTheme="majorHAnsi" w:cs="Verdana"/>
          <w:sz w:val="20"/>
          <w:szCs w:val="20"/>
          <w:lang w:val="es-ES"/>
        </w:rPr>
        <w:t>Respecto de la conducta de las autoridades estatales, la Comisión se atiene al análisis sobre el incumplimiento del deber de debida diligencia ya realizado. Además, la CIDH observa que existieron periodos de inactividad no justificados por el Estado, como el silencio procesal ocurrido entre 2004 y 2016, fecha en la que se ha constatado que se retomó el impulso procesal de la causa</w:t>
      </w:r>
      <w:r w:rsidR="00FB3099" w:rsidRPr="009E773A">
        <w:rPr>
          <w:rFonts w:asciiTheme="majorHAnsi" w:hAnsiTheme="majorHAnsi" w:cs="Verdana"/>
          <w:sz w:val="20"/>
          <w:szCs w:val="20"/>
          <w:lang w:val="es-ES"/>
        </w:rPr>
        <w:t xml:space="preserve"> que por años estuvo inactiva o su única actividad estuvo vinculada a solicitudes y oficios entre autoridades. </w:t>
      </w:r>
    </w:p>
    <w:p w14:paraId="572DED11" w14:textId="77777777" w:rsidR="0055403B" w:rsidRPr="009E773A" w:rsidRDefault="0055403B" w:rsidP="009A79B6">
      <w:pPr>
        <w:pStyle w:val="ListParagraph"/>
        <w:rPr>
          <w:rFonts w:asciiTheme="majorHAnsi" w:hAnsiTheme="majorHAnsi"/>
          <w:sz w:val="20"/>
          <w:szCs w:val="20"/>
          <w:lang w:val="es-ES"/>
        </w:rPr>
      </w:pPr>
    </w:p>
    <w:p w14:paraId="17EC79FF" w14:textId="6FC689AD" w:rsidR="0055403B" w:rsidRPr="009E773A" w:rsidRDefault="0055403B" w:rsidP="009A79B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9360"/>
        </w:tabs>
        <w:jc w:val="both"/>
        <w:rPr>
          <w:rFonts w:asciiTheme="majorHAnsi" w:hAnsiTheme="majorHAnsi"/>
          <w:lang w:val="es-ES"/>
        </w:rPr>
      </w:pPr>
      <w:r w:rsidRPr="009E773A">
        <w:rPr>
          <w:rFonts w:asciiTheme="majorHAnsi" w:hAnsiTheme="majorHAnsi"/>
          <w:sz w:val="20"/>
          <w:szCs w:val="20"/>
          <w:lang w:val="es-ES"/>
        </w:rPr>
        <w:t>En virtud de las anteriores consideraciones, la Comisión concluye que el Estado venezolano violó los derechos a las garantías judiciales y a la protección judicial establecidos en los artículos 8.1 y 25.1 de la Convención Americana en relación con las obligaciones consagradas en el artículo 1.1 del mismo instrumento, en perjuicio de</w:t>
      </w:r>
      <w:r w:rsidR="009C0AFD" w:rsidRPr="009E773A">
        <w:rPr>
          <w:rFonts w:asciiTheme="majorHAnsi" w:hAnsiTheme="majorHAnsi"/>
          <w:sz w:val="20"/>
          <w:szCs w:val="20"/>
          <w:lang w:val="es-ES"/>
        </w:rPr>
        <w:t xml:space="preserve"> los familiares de</w:t>
      </w:r>
      <w:r w:rsidRPr="009E773A">
        <w:rPr>
          <w:rFonts w:asciiTheme="majorHAnsi" w:hAnsiTheme="majorHAnsi"/>
          <w:sz w:val="20"/>
          <w:szCs w:val="20"/>
          <w:lang w:val="es-ES"/>
        </w:rPr>
        <w:t xml:space="preserve"> Jimmy Guerrero y Ramón Molina</w:t>
      </w:r>
      <w:r w:rsidR="009C0AFD" w:rsidRPr="009E773A">
        <w:rPr>
          <w:rFonts w:asciiTheme="majorHAnsi" w:hAnsiTheme="majorHAnsi"/>
          <w:sz w:val="20"/>
          <w:szCs w:val="20"/>
          <w:lang w:val="es-ES"/>
        </w:rPr>
        <w:t xml:space="preserve"> identificados en el presente informe.</w:t>
      </w:r>
    </w:p>
    <w:p w14:paraId="6610F6CA" w14:textId="77777777" w:rsidR="005A7397" w:rsidRPr="009E773A" w:rsidRDefault="005A7397" w:rsidP="009A79B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9360"/>
        </w:tabs>
        <w:jc w:val="both"/>
        <w:rPr>
          <w:rFonts w:asciiTheme="majorHAnsi" w:hAnsiTheme="majorHAnsi"/>
          <w:lang w:val="es-ES"/>
        </w:rPr>
      </w:pPr>
    </w:p>
    <w:p w14:paraId="33D88457" w14:textId="77777777" w:rsidR="00C8292F" w:rsidRPr="00FC5E2A" w:rsidRDefault="00C8292F" w:rsidP="009A79B6">
      <w:pPr>
        <w:pStyle w:val="Heading3"/>
      </w:pPr>
      <w:bookmarkStart w:id="43" w:name="_Toc492029472"/>
      <w:bookmarkStart w:id="44" w:name="_Toc2157195"/>
      <w:bookmarkStart w:id="45" w:name="_Toc2157249"/>
      <w:bookmarkStart w:id="46" w:name="_Toc2159223"/>
      <w:r w:rsidRPr="00FC5E2A">
        <w:t xml:space="preserve">Derecho a la integridad personal respecto de los familiares de </w:t>
      </w:r>
      <w:bookmarkEnd w:id="43"/>
      <w:r w:rsidR="00897687" w:rsidRPr="00FC5E2A">
        <w:t>Jimmy Guerrero y Ramón Molina</w:t>
      </w:r>
      <w:bookmarkEnd w:id="44"/>
      <w:bookmarkEnd w:id="45"/>
      <w:bookmarkEnd w:id="46"/>
    </w:p>
    <w:p w14:paraId="1459D919" w14:textId="77777777" w:rsidR="00C8292F" w:rsidRPr="009E773A" w:rsidRDefault="00C8292F" w:rsidP="009A79B6">
      <w:pPr>
        <w:tabs>
          <w:tab w:val="left" w:pos="1440"/>
        </w:tabs>
        <w:ind w:left="720"/>
        <w:jc w:val="both"/>
        <w:rPr>
          <w:rFonts w:asciiTheme="majorHAnsi" w:hAnsiTheme="majorHAnsi"/>
          <w:bCs/>
          <w:sz w:val="20"/>
          <w:szCs w:val="20"/>
          <w:lang w:val="es-VE"/>
        </w:rPr>
      </w:pPr>
    </w:p>
    <w:p w14:paraId="55EA3F3D" w14:textId="6C66005E" w:rsidR="00C8292F" w:rsidRPr="009E773A" w:rsidRDefault="00C8292F" w:rsidP="009A79B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9360"/>
        </w:tabs>
        <w:jc w:val="both"/>
        <w:rPr>
          <w:rFonts w:asciiTheme="majorHAnsi" w:hAnsiTheme="majorHAnsi"/>
          <w:bCs/>
          <w:sz w:val="20"/>
          <w:szCs w:val="20"/>
          <w:lang w:val="es-VE"/>
        </w:rPr>
      </w:pPr>
      <w:r w:rsidRPr="009E773A">
        <w:rPr>
          <w:rFonts w:asciiTheme="majorHAnsi" w:hAnsiTheme="majorHAnsi"/>
          <w:bCs/>
          <w:sz w:val="20"/>
          <w:szCs w:val="20"/>
          <w:lang w:val="es-VE"/>
        </w:rPr>
        <w:t>Con respecto de los familiares de víctimas de ciertas violaciones de derechos humanos, la Comisión y la Corte Interamericana han indicado que éstos pueden ser considerados, a su vez, como víctimas</w:t>
      </w:r>
      <w:r w:rsidRPr="009E773A">
        <w:rPr>
          <w:rFonts w:asciiTheme="majorHAnsi" w:hAnsiTheme="majorHAnsi"/>
          <w:bCs/>
          <w:sz w:val="20"/>
          <w:szCs w:val="20"/>
          <w:vertAlign w:val="superscript"/>
          <w:lang w:val="es-VE"/>
        </w:rPr>
        <w:footnoteReference w:id="132"/>
      </w:r>
      <w:r w:rsidRPr="009E773A">
        <w:rPr>
          <w:rFonts w:asciiTheme="majorHAnsi" w:hAnsiTheme="majorHAnsi"/>
          <w:bCs/>
          <w:sz w:val="20"/>
          <w:szCs w:val="20"/>
          <w:lang w:val="es-VE"/>
        </w:rPr>
        <w:t>. Al respecto, la Corte ha dispuesto que pueden verse afectados en su integridad psíquica y moral como consecuencia de las situaciones particulares que padecieron las víctimas, así como de las posteriores actuaciones u omisiones de las autoridades internas frente a estos hechos</w:t>
      </w:r>
      <w:r w:rsidRPr="009E773A">
        <w:rPr>
          <w:rFonts w:asciiTheme="majorHAnsi" w:hAnsiTheme="majorHAnsi"/>
          <w:bCs/>
          <w:sz w:val="20"/>
          <w:szCs w:val="20"/>
          <w:vertAlign w:val="superscript"/>
          <w:lang w:val="es-VE"/>
        </w:rPr>
        <w:footnoteReference w:id="133"/>
      </w:r>
      <w:r w:rsidRPr="009E773A">
        <w:rPr>
          <w:rFonts w:asciiTheme="majorHAnsi" w:hAnsiTheme="majorHAnsi"/>
          <w:bCs/>
          <w:sz w:val="20"/>
          <w:szCs w:val="20"/>
          <w:lang w:val="es-VE"/>
        </w:rPr>
        <w:t>.</w:t>
      </w:r>
      <w:r w:rsidR="0055403B" w:rsidRPr="009E773A">
        <w:rPr>
          <w:rFonts w:asciiTheme="majorHAnsi" w:hAnsiTheme="majorHAnsi"/>
          <w:bCs/>
          <w:sz w:val="20"/>
          <w:szCs w:val="20"/>
          <w:lang w:val="es-VE"/>
        </w:rPr>
        <w:t xml:space="preserve"> En el presente caso, </w:t>
      </w:r>
      <w:r w:rsidRPr="009E773A">
        <w:rPr>
          <w:rFonts w:asciiTheme="majorHAnsi" w:hAnsiTheme="majorHAnsi"/>
          <w:bCs/>
          <w:sz w:val="20"/>
          <w:szCs w:val="20"/>
          <w:lang w:val="es-VE"/>
        </w:rPr>
        <w:t xml:space="preserve">la Comisión dio por establecido que </w:t>
      </w:r>
      <w:r w:rsidR="0055403B" w:rsidRPr="009E773A">
        <w:rPr>
          <w:rFonts w:asciiTheme="majorHAnsi" w:hAnsiTheme="majorHAnsi"/>
          <w:bCs/>
          <w:sz w:val="20"/>
          <w:szCs w:val="20"/>
          <w:lang w:val="es-VE"/>
        </w:rPr>
        <w:t>Jimmy Guerrero y Ramón Molina</w:t>
      </w:r>
      <w:r w:rsidRPr="009E773A">
        <w:rPr>
          <w:rFonts w:asciiTheme="majorHAnsi" w:hAnsiTheme="majorHAnsi"/>
          <w:sz w:val="20"/>
          <w:szCs w:val="20"/>
          <w:lang w:val="es-ES_tradnl"/>
        </w:rPr>
        <w:t xml:space="preserve"> </w:t>
      </w:r>
      <w:r w:rsidRPr="009E773A">
        <w:rPr>
          <w:rFonts w:asciiTheme="majorHAnsi" w:hAnsiTheme="majorHAnsi"/>
          <w:bCs/>
          <w:sz w:val="20"/>
          <w:szCs w:val="20"/>
          <w:lang w:val="es-VE"/>
        </w:rPr>
        <w:t>perdiero</w:t>
      </w:r>
      <w:r w:rsidR="0055403B" w:rsidRPr="009E773A">
        <w:rPr>
          <w:rFonts w:asciiTheme="majorHAnsi" w:hAnsiTheme="majorHAnsi"/>
          <w:bCs/>
          <w:sz w:val="20"/>
          <w:szCs w:val="20"/>
          <w:lang w:val="es-VE"/>
        </w:rPr>
        <w:t xml:space="preserve">n la vida en ejecuciones extrajudiciales </w:t>
      </w:r>
      <w:r w:rsidR="00C91895" w:rsidRPr="009E773A">
        <w:rPr>
          <w:rFonts w:asciiTheme="majorHAnsi" w:hAnsiTheme="majorHAnsi"/>
          <w:bCs/>
          <w:sz w:val="20"/>
          <w:szCs w:val="20"/>
          <w:lang w:val="es-VE"/>
        </w:rPr>
        <w:t xml:space="preserve">de manos de agentes de seguridad del Estado y tras una persecución </w:t>
      </w:r>
      <w:r w:rsidR="0055403B" w:rsidRPr="009E773A">
        <w:rPr>
          <w:rFonts w:asciiTheme="majorHAnsi" w:hAnsiTheme="majorHAnsi"/>
          <w:bCs/>
          <w:sz w:val="20"/>
          <w:szCs w:val="20"/>
          <w:lang w:val="es-VE"/>
        </w:rPr>
        <w:t>vinculad</w:t>
      </w:r>
      <w:r w:rsidR="00C91895" w:rsidRPr="009E773A">
        <w:rPr>
          <w:rFonts w:asciiTheme="majorHAnsi" w:hAnsiTheme="majorHAnsi"/>
          <w:bCs/>
          <w:sz w:val="20"/>
          <w:szCs w:val="20"/>
          <w:lang w:val="es-VE"/>
        </w:rPr>
        <w:t>a</w:t>
      </w:r>
      <w:r w:rsidR="0055403B" w:rsidRPr="009E773A">
        <w:rPr>
          <w:rFonts w:asciiTheme="majorHAnsi" w:hAnsiTheme="majorHAnsi"/>
          <w:bCs/>
          <w:sz w:val="20"/>
          <w:szCs w:val="20"/>
          <w:lang w:val="es-VE"/>
        </w:rPr>
        <w:t xml:space="preserve"> a la</w:t>
      </w:r>
      <w:r w:rsidR="00EA4498" w:rsidRPr="009E773A">
        <w:rPr>
          <w:rFonts w:asciiTheme="majorHAnsi" w:hAnsiTheme="majorHAnsi"/>
          <w:bCs/>
          <w:sz w:val="20"/>
          <w:szCs w:val="20"/>
          <w:lang w:val="es-VE"/>
        </w:rPr>
        <w:t xml:space="preserve"> supuesta </w:t>
      </w:r>
      <w:r w:rsidR="0055403B" w:rsidRPr="009E773A">
        <w:rPr>
          <w:rFonts w:asciiTheme="majorHAnsi" w:hAnsiTheme="majorHAnsi"/>
          <w:bCs/>
          <w:sz w:val="20"/>
          <w:szCs w:val="20"/>
          <w:lang w:val="es-VE"/>
        </w:rPr>
        <w:t>criminalidad del señor Guerrero</w:t>
      </w:r>
      <w:r w:rsidR="00AD23A2" w:rsidRPr="009E773A">
        <w:rPr>
          <w:rFonts w:asciiTheme="majorHAnsi" w:hAnsiTheme="majorHAnsi"/>
          <w:bCs/>
          <w:sz w:val="20"/>
          <w:szCs w:val="20"/>
          <w:lang w:val="es-VE"/>
        </w:rPr>
        <w:t>. Asimismo, se estableció que los hechos f</w:t>
      </w:r>
      <w:r w:rsidR="00EA4498" w:rsidRPr="009E773A">
        <w:rPr>
          <w:rFonts w:asciiTheme="majorHAnsi" w:hAnsiTheme="majorHAnsi"/>
          <w:bCs/>
          <w:sz w:val="20"/>
          <w:szCs w:val="20"/>
          <w:lang w:val="es-VE"/>
        </w:rPr>
        <w:t>orman parte de un c</w:t>
      </w:r>
      <w:r w:rsidR="0055403B" w:rsidRPr="009E773A">
        <w:rPr>
          <w:rFonts w:asciiTheme="majorHAnsi" w:hAnsiTheme="majorHAnsi"/>
          <w:bCs/>
          <w:sz w:val="20"/>
          <w:szCs w:val="20"/>
          <w:lang w:val="es-VE"/>
        </w:rPr>
        <w:t xml:space="preserve">ontexto </w:t>
      </w:r>
      <w:r w:rsidR="00EA4498" w:rsidRPr="009E773A">
        <w:rPr>
          <w:rFonts w:asciiTheme="majorHAnsi" w:hAnsiTheme="majorHAnsi"/>
          <w:bCs/>
          <w:sz w:val="20"/>
          <w:szCs w:val="20"/>
          <w:lang w:val="es-VE"/>
        </w:rPr>
        <w:t xml:space="preserve">mayor </w:t>
      </w:r>
      <w:r w:rsidR="0055403B" w:rsidRPr="009E773A">
        <w:rPr>
          <w:rFonts w:asciiTheme="majorHAnsi" w:hAnsiTheme="majorHAnsi"/>
          <w:bCs/>
          <w:sz w:val="20"/>
          <w:szCs w:val="20"/>
          <w:lang w:val="es-VE"/>
        </w:rPr>
        <w:t>de violencia policial estadal y su falta de investigaci</w:t>
      </w:r>
      <w:r w:rsidR="00EA4498" w:rsidRPr="009E773A">
        <w:rPr>
          <w:rFonts w:asciiTheme="majorHAnsi" w:hAnsiTheme="majorHAnsi"/>
          <w:bCs/>
          <w:sz w:val="20"/>
          <w:szCs w:val="20"/>
          <w:lang w:val="es-VE"/>
        </w:rPr>
        <w:t>ón.</w:t>
      </w:r>
    </w:p>
    <w:p w14:paraId="1688F8FB" w14:textId="77777777" w:rsidR="00C8292F" w:rsidRPr="009E773A" w:rsidRDefault="00C8292F" w:rsidP="009A79B6">
      <w:pPr>
        <w:tabs>
          <w:tab w:val="left" w:pos="1440"/>
        </w:tabs>
        <w:ind w:left="720"/>
        <w:jc w:val="both"/>
        <w:rPr>
          <w:rFonts w:asciiTheme="majorHAnsi" w:hAnsiTheme="majorHAnsi"/>
          <w:bCs/>
          <w:sz w:val="20"/>
          <w:szCs w:val="20"/>
          <w:lang w:val="es-VE"/>
        </w:rPr>
      </w:pPr>
    </w:p>
    <w:p w14:paraId="1FC4654A" w14:textId="2BAF4E85" w:rsidR="00C8292F" w:rsidRPr="009E773A" w:rsidRDefault="0055403B" w:rsidP="009A79B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9360"/>
        </w:tabs>
        <w:jc w:val="both"/>
        <w:rPr>
          <w:rFonts w:asciiTheme="majorHAnsi" w:hAnsiTheme="majorHAnsi"/>
          <w:sz w:val="20"/>
          <w:szCs w:val="20"/>
          <w:lang w:val="es-ES"/>
        </w:rPr>
      </w:pPr>
      <w:r w:rsidRPr="009E773A">
        <w:rPr>
          <w:rFonts w:asciiTheme="majorHAnsi" w:hAnsiTheme="majorHAnsi"/>
          <w:sz w:val="20"/>
          <w:szCs w:val="20"/>
          <w:lang w:val="es-ES"/>
        </w:rPr>
        <w:t xml:space="preserve"> Además de estas circunstancias que constituyen en sí mismas una fuente de sufrimiento e impotencia, la Comisión </w:t>
      </w:r>
      <w:r w:rsidR="008C6434" w:rsidRPr="009E773A">
        <w:rPr>
          <w:rFonts w:asciiTheme="majorHAnsi" w:hAnsiTheme="majorHAnsi"/>
          <w:sz w:val="20"/>
          <w:szCs w:val="20"/>
          <w:lang w:val="es-ES"/>
        </w:rPr>
        <w:t>observa que en el</w:t>
      </w:r>
      <w:r w:rsidRPr="009E773A">
        <w:rPr>
          <w:rFonts w:asciiTheme="majorHAnsi" w:hAnsiTheme="majorHAnsi"/>
          <w:sz w:val="20"/>
          <w:szCs w:val="20"/>
          <w:lang w:val="es-ES"/>
        </w:rPr>
        <w:t xml:space="preserve"> presente caso no existió una investigación </w:t>
      </w:r>
      <w:r w:rsidRPr="009E773A">
        <w:rPr>
          <w:rFonts w:asciiTheme="majorHAnsi" w:hAnsiTheme="majorHAnsi"/>
          <w:bCs/>
          <w:sz w:val="20"/>
          <w:szCs w:val="20"/>
          <w:lang w:val="es-VE"/>
        </w:rPr>
        <w:t>realizada</w:t>
      </w:r>
      <w:r w:rsidRPr="009E773A">
        <w:rPr>
          <w:rFonts w:asciiTheme="majorHAnsi" w:hAnsiTheme="majorHAnsi"/>
          <w:sz w:val="20"/>
          <w:szCs w:val="20"/>
          <w:lang w:val="es-ES"/>
        </w:rPr>
        <w:t xml:space="preserve"> con debida diligencia</w:t>
      </w:r>
      <w:r w:rsidR="00EA4498" w:rsidRPr="009E773A">
        <w:rPr>
          <w:rFonts w:asciiTheme="majorHAnsi" w:hAnsiTheme="majorHAnsi"/>
          <w:sz w:val="20"/>
          <w:szCs w:val="20"/>
          <w:lang w:val="es-ES"/>
        </w:rPr>
        <w:t xml:space="preserve">. </w:t>
      </w:r>
      <w:r w:rsidRPr="009E773A">
        <w:rPr>
          <w:rFonts w:asciiTheme="majorHAnsi" w:hAnsiTheme="majorHAnsi"/>
          <w:sz w:val="20"/>
          <w:szCs w:val="20"/>
          <w:lang w:val="es-ES"/>
        </w:rPr>
        <w:t>En ese tipo de circunstancias, la Corte ha indicado que</w:t>
      </w:r>
      <w:r w:rsidR="00EA4498" w:rsidRPr="009E773A">
        <w:rPr>
          <w:rFonts w:asciiTheme="majorHAnsi" w:hAnsiTheme="majorHAnsi"/>
          <w:sz w:val="20"/>
          <w:szCs w:val="20"/>
          <w:lang w:val="es-ES"/>
        </w:rPr>
        <w:t xml:space="preserve"> la falta de investigación “</w:t>
      </w:r>
      <w:r w:rsidRPr="009E773A">
        <w:rPr>
          <w:rFonts w:asciiTheme="majorHAnsi" w:hAnsiTheme="majorHAnsi"/>
          <w:sz w:val="20"/>
          <w:szCs w:val="20"/>
          <w:lang w:val="es-ES"/>
        </w:rPr>
        <w:t>constituye una fuente de sufrimiento y angustia adicional para las víctimas y sus familiares, quienes tienen el derecho de conocer la verdad de lo ocurrido. Dicho derecho a la verdad exige la determinación procesal de la más completa verdad histórica posible, lo cual incluye la determinación judicial de los patrones de actuación conjunta y de todas las personas que de diversas formas participaron en dichas violaciones y sus correspondientes responsabilidades</w:t>
      </w:r>
      <w:r w:rsidR="00EA4498" w:rsidRPr="009E773A">
        <w:rPr>
          <w:rFonts w:asciiTheme="majorHAnsi" w:hAnsiTheme="majorHAnsi"/>
          <w:sz w:val="20"/>
          <w:szCs w:val="20"/>
          <w:lang w:val="es-ES"/>
        </w:rPr>
        <w:t>”</w:t>
      </w:r>
      <w:r w:rsidRPr="009E773A">
        <w:rPr>
          <w:rFonts w:asciiTheme="majorHAnsi" w:hAnsiTheme="majorHAnsi"/>
          <w:sz w:val="20"/>
          <w:szCs w:val="20"/>
          <w:vertAlign w:val="superscript"/>
          <w:lang w:val="es-ES"/>
        </w:rPr>
        <w:footnoteReference w:id="134"/>
      </w:r>
      <w:r w:rsidR="00EA4498" w:rsidRPr="009E773A">
        <w:rPr>
          <w:rFonts w:asciiTheme="majorHAnsi" w:hAnsiTheme="majorHAnsi"/>
          <w:sz w:val="20"/>
          <w:szCs w:val="20"/>
          <w:lang w:val="es-ES"/>
        </w:rPr>
        <w:t xml:space="preserve">. </w:t>
      </w:r>
      <w:r w:rsidR="00C8292F" w:rsidRPr="009E773A">
        <w:rPr>
          <w:rFonts w:asciiTheme="majorHAnsi" w:hAnsiTheme="majorHAnsi"/>
          <w:sz w:val="20"/>
          <w:szCs w:val="20"/>
          <w:lang w:val="es-ES_tradnl"/>
        </w:rPr>
        <w:t xml:space="preserve">De esta forma, la Comisión tiene en cuenta que el dolor y sufrimiento de los familiares de las </w:t>
      </w:r>
      <w:r w:rsidR="00C8292F" w:rsidRPr="009E773A">
        <w:rPr>
          <w:rFonts w:asciiTheme="majorHAnsi" w:hAnsiTheme="majorHAnsi"/>
          <w:sz w:val="20"/>
          <w:szCs w:val="20"/>
          <w:lang w:val="es-ES"/>
        </w:rPr>
        <w:t>víctimas</w:t>
      </w:r>
      <w:r w:rsidR="00C8292F" w:rsidRPr="009E773A">
        <w:rPr>
          <w:rFonts w:asciiTheme="majorHAnsi" w:hAnsiTheme="majorHAnsi"/>
          <w:sz w:val="20"/>
          <w:szCs w:val="20"/>
          <w:lang w:val="es-ES_tradnl"/>
        </w:rPr>
        <w:t xml:space="preserve"> que fueron ejecutadas extrajudicialmente, también se ha visto incrementado por la falta de respuesta frente a las acciones de justicia que han emprendido</w:t>
      </w:r>
      <w:r w:rsidR="004748A2" w:rsidRPr="009E773A">
        <w:rPr>
          <w:rFonts w:asciiTheme="majorHAnsi" w:hAnsiTheme="majorHAnsi"/>
          <w:sz w:val="20"/>
          <w:szCs w:val="20"/>
          <w:lang w:val="es-ES_tradnl"/>
        </w:rPr>
        <w:t>.</w:t>
      </w:r>
      <w:r w:rsidR="00C8292F" w:rsidRPr="009E773A">
        <w:rPr>
          <w:rFonts w:asciiTheme="majorHAnsi" w:hAnsiTheme="majorHAnsi"/>
          <w:sz w:val="20"/>
          <w:szCs w:val="20"/>
          <w:lang w:val="es-ES_tradnl"/>
        </w:rPr>
        <w:t xml:space="preserve"> </w:t>
      </w:r>
    </w:p>
    <w:p w14:paraId="4C6E92E3" w14:textId="77777777" w:rsidR="00EA4498" w:rsidRPr="009E773A" w:rsidRDefault="00EA4498" w:rsidP="009A79B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9360"/>
        </w:tabs>
        <w:ind w:left="630"/>
        <w:jc w:val="both"/>
        <w:rPr>
          <w:rFonts w:asciiTheme="majorHAnsi" w:hAnsiTheme="majorHAnsi"/>
          <w:b/>
          <w:sz w:val="20"/>
          <w:szCs w:val="20"/>
          <w:lang w:val="es-ES_tradnl"/>
        </w:rPr>
      </w:pPr>
    </w:p>
    <w:p w14:paraId="4905E17C" w14:textId="77777777" w:rsidR="00C8292F" w:rsidRPr="009E773A" w:rsidRDefault="00C8292F" w:rsidP="009A79B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9360"/>
        </w:tabs>
        <w:jc w:val="both"/>
        <w:rPr>
          <w:rFonts w:asciiTheme="majorHAnsi" w:hAnsiTheme="majorHAnsi"/>
          <w:b/>
          <w:sz w:val="20"/>
          <w:szCs w:val="20"/>
          <w:lang w:val="es-ES_tradnl"/>
        </w:rPr>
      </w:pPr>
      <w:r w:rsidRPr="009E773A">
        <w:rPr>
          <w:rFonts w:asciiTheme="majorHAnsi" w:hAnsiTheme="majorHAnsi"/>
          <w:sz w:val="20"/>
          <w:szCs w:val="20"/>
          <w:lang w:val="es-ES"/>
        </w:rPr>
        <w:t>De acuerdo a lo anterior, la Comisión considera que la pérdida de su</w:t>
      </w:r>
      <w:r w:rsidR="00EA4498" w:rsidRPr="009E773A">
        <w:rPr>
          <w:rFonts w:asciiTheme="majorHAnsi" w:hAnsiTheme="majorHAnsi"/>
          <w:sz w:val="20"/>
          <w:szCs w:val="20"/>
          <w:lang w:val="es-ES"/>
        </w:rPr>
        <w:t>s</w:t>
      </w:r>
      <w:r w:rsidRPr="009E773A">
        <w:rPr>
          <w:rFonts w:asciiTheme="majorHAnsi" w:hAnsiTheme="majorHAnsi"/>
          <w:sz w:val="20"/>
          <w:szCs w:val="20"/>
          <w:lang w:val="es-ES"/>
        </w:rPr>
        <w:t xml:space="preserve"> ser</w:t>
      </w:r>
      <w:r w:rsidR="00EA4498" w:rsidRPr="009E773A">
        <w:rPr>
          <w:rFonts w:asciiTheme="majorHAnsi" w:hAnsiTheme="majorHAnsi"/>
          <w:sz w:val="20"/>
          <w:szCs w:val="20"/>
          <w:lang w:val="es-ES"/>
        </w:rPr>
        <w:t>es</w:t>
      </w:r>
      <w:r w:rsidRPr="009E773A">
        <w:rPr>
          <w:rFonts w:asciiTheme="majorHAnsi" w:hAnsiTheme="majorHAnsi"/>
          <w:sz w:val="20"/>
          <w:szCs w:val="20"/>
          <w:lang w:val="es-ES"/>
        </w:rPr>
        <w:t xml:space="preserve"> querido</w:t>
      </w:r>
      <w:r w:rsidR="00EA4498" w:rsidRPr="009E773A">
        <w:rPr>
          <w:rFonts w:asciiTheme="majorHAnsi" w:hAnsiTheme="majorHAnsi"/>
          <w:sz w:val="20"/>
          <w:szCs w:val="20"/>
          <w:lang w:val="es-ES"/>
        </w:rPr>
        <w:t>s</w:t>
      </w:r>
      <w:r w:rsidRPr="009E773A">
        <w:rPr>
          <w:rFonts w:asciiTheme="majorHAnsi" w:hAnsiTheme="majorHAnsi"/>
          <w:sz w:val="20"/>
          <w:szCs w:val="20"/>
          <w:lang w:val="es-ES"/>
        </w:rPr>
        <w:t xml:space="preserve"> en </w:t>
      </w:r>
      <w:r w:rsidRPr="009E773A">
        <w:rPr>
          <w:rFonts w:asciiTheme="majorHAnsi" w:hAnsiTheme="majorHAnsi"/>
          <w:sz w:val="20"/>
          <w:szCs w:val="20"/>
          <w:lang w:val="es-ES_tradnl"/>
        </w:rPr>
        <w:t>circunstancias</w:t>
      </w:r>
      <w:r w:rsidRPr="009E773A">
        <w:rPr>
          <w:rFonts w:asciiTheme="majorHAnsi" w:hAnsiTheme="majorHAnsi"/>
          <w:sz w:val="20"/>
          <w:szCs w:val="20"/>
          <w:lang w:val="es-ES"/>
        </w:rPr>
        <w:t xml:space="preserve"> como las descritas en el presente informe, así como la ausencia de verdad y justicia, ocasionaron sufrimiento y angustia en perjuicio de los familiares de </w:t>
      </w:r>
      <w:r w:rsidR="00EA4498" w:rsidRPr="009E773A">
        <w:rPr>
          <w:rFonts w:asciiTheme="majorHAnsi" w:hAnsiTheme="majorHAnsi"/>
          <w:sz w:val="20"/>
          <w:szCs w:val="20"/>
          <w:lang w:val="es-ES"/>
        </w:rPr>
        <w:t>Jimmy Guerrero y Ramón Molina</w:t>
      </w:r>
      <w:r w:rsidRPr="009E773A">
        <w:rPr>
          <w:rFonts w:asciiTheme="majorHAnsi" w:hAnsiTheme="majorHAnsi"/>
          <w:sz w:val="20"/>
          <w:szCs w:val="20"/>
          <w:lang w:val="es-ES_tradnl"/>
        </w:rPr>
        <w:t xml:space="preserve">, </w:t>
      </w:r>
      <w:r w:rsidRPr="009E773A">
        <w:rPr>
          <w:rFonts w:asciiTheme="majorHAnsi" w:hAnsiTheme="majorHAnsi"/>
          <w:sz w:val="20"/>
          <w:szCs w:val="20"/>
          <w:lang w:val="es-ES"/>
        </w:rPr>
        <w:t xml:space="preserve">en violación de su derecho a la integridad psíquica y moral establecido en el artículo 5.1 de la Convención Americana en relación con las obligaciones contenidas en el artículo 1.1 del mismo instrumento. </w:t>
      </w:r>
    </w:p>
    <w:p w14:paraId="01A835C8" w14:textId="77777777" w:rsidR="00C8292F" w:rsidRPr="009E773A" w:rsidRDefault="00C8292F" w:rsidP="009A79B6">
      <w:pPr>
        <w:rPr>
          <w:rFonts w:asciiTheme="majorHAnsi" w:hAnsiTheme="majorHAnsi"/>
          <w:sz w:val="20"/>
          <w:szCs w:val="20"/>
          <w:lang w:val="es-ES_tradnl"/>
        </w:rPr>
      </w:pPr>
    </w:p>
    <w:p w14:paraId="2D23E411" w14:textId="0BFF1FB1" w:rsidR="00C8292F" w:rsidRPr="009E773A" w:rsidRDefault="009A79B6" w:rsidP="009A79B6">
      <w:pPr>
        <w:pStyle w:val="Heading1"/>
        <w:ind w:firstLine="0"/>
      </w:pPr>
      <w:bookmarkStart w:id="47" w:name="_Toc338770517"/>
      <w:bookmarkStart w:id="48" w:name="_Toc399744184"/>
      <w:bookmarkStart w:id="49" w:name="_Toc401577021"/>
      <w:bookmarkStart w:id="50" w:name="_Toc409614503"/>
      <w:bookmarkStart w:id="51" w:name="_Toc482341478"/>
      <w:bookmarkStart w:id="52" w:name="_Toc492029473"/>
      <w:bookmarkStart w:id="53" w:name="_Toc2157196"/>
      <w:bookmarkStart w:id="54" w:name="_Toc2157250"/>
      <w:bookmarkStart w:id="55" w:name="_Toc2159224"/>
      <w:r w:rsidRPr="009E773A">
        <w:t>CONCLUSIONES</w:t>
      </w:r>
      <w:bookmarkEnd w:id="47"/>
      <w:bookmarkEnd w:id="48"/>
      <w:bookmarkEnd w:id="49"/>
      <w:bookmarkEnd w:id="50"/>
      <w:bookmarkEnd w:id="51"/>
      <w:r w:rsidRPr="009E773A">
        <w:t xml:space="preserve"> Y RECOMENDACIONES</w:t>
      </w:r>
      <w:bookmarkEnd w:id="52"/>
      <w:bookmarkEnd w:id="53"/>
      <w:bookmarkEnd w:id="54"/>
      <w:bookmarkEnd w:id="55"/>
    </w:p>
    <w:p w14:paraId="54F132AC" w14:textId="77777777" w:rsidR="00C8292F" w:rsidRPr="009E773A" w:rsidRDefault="00C8292F" w:rsidP="009A79B6">
      <w:pPr>
        <w:jc w:val="both"/>
        <w:rPr>
          <w:rFonts w:asciiTheme="majorHAnsi" w:hAnsiTheme="majorHAnsi"/>
          <w:sz w:val="20"/>
          <w:szCs w:val="20"/>
          <w:lang w:val="es-ES"/>
        </w:rPr>
      </w:pPr>
    </w:p>
    <w:p w14:paraId="4431D54D" w14:textId="39AA6AC3" w:rsidR="00C67C37" w:rsidRPr="009E773A" w:rsidRDefault="00C67C37" w:rsidP="009A79B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color w:val="000000" w:themeColor="text1"/>
          <w:sz w:val="20"/>
          <w:szCs w:val="20"/>
        </w:rPr>
      </w:pPr>
      <w:r w:rsidRPr="009E773A">
        <w:rPr>
          <w:rFonts w:asciiTheme="majorHAnsi" w:hAnsiTheme="majorHAnsi"/>
          <w:color w:val="000000" w:themeColor="text1"/>
          <w:sz w:val="20"/>
          <w:szCs w:val="20"/>
        </w:rPr>
        <w:t>Con base en las determinaciones de hecho y de derecho, la Comisión Interamericana concluye que el Es</w:t>
      </w:r>
      <w:r w:rsidR="00E07379" w:rsidRPr="009E773A">
        <w:rPr>
          <w:rFonts w:asciiTheme="majorHAnsi" w:hAnsiTheme="majorHAnsi"/>
          <w:color w:val="000000" w:themeColor="text1"/>
          <w:sz w:val="20"/>
          <w:szCs w:val="20"/>
        </w:rPr>
        <w:t>ta</w:t>
      </w:r>
      <w:r w:rsidRPr="009E773A">
        <w:rPr>
          <w:rFonts w:asciiTheme="majorHAnsi" w:hAnsiTheme="majorHAnsi"/>
          <w:color w:val="000000" w:themeColor="text1"/>
          <w:sz w:val="20"/>
          <w:szCs w:val="20"/>
        </w:rPr>
        <w:t xml:space="preserve">do es responsable por la violación de los </w:t>
      </w:r>
      <w:r w:rsidRPr="009E773A">
        <w:rPr>
          <w:rFonts w:asciiTheme="majorHAnsi" w:hAnsiTheme="majorHAnsi"/>
          <w:sz w:val="20"/>
          <w:szCs w:val="20"/>
        </w:rPr>
        <w:t>artículos 4</w:t>
      </w:r>
      <w:r w:rsidRPr="009E773A">
        <w:rPr>
          <w:rFonts w:asciiTheme="majorHAnsi" w:hAnsiTheme="majorHAnsi"/>
          <w:color w:val="000000" w:themeColor="text1"/>
          <w:sz w:val="20"/>
          <w:szCs w:val="20"/>
        </w:rPr>
        <w:t>.1 (derecho a la vida)</w:t>
      </w:r>
      <w:r w:rsidRPr="009E773A">
        <w:rPr>
          <w:rFonts w:asciiTheme="majorHAnsi" w:hAnsiTheme="majorHAnsi"/>
          <w:sz w:val="20"/>
          <w:szCs w:val="20"/>
        </w:rPr>
        <w:t>, 5.1 (derecho a la integridad</w:t>
      </w:r>
      <w:r w:rsidR="00CF301B" w:rsidRPr="009E773A">
        <w:rPr>
          <w:rFonts w:asciiTheme="majorHAnsi" w:hAnsiTheme="majorHAnsi"/>
          <w:sz w:val="20"/>
          <w:szCs w:val="20"/>
        </w:rPr>
        <w:t xml:space="preserve"> personal</w:t>
      </w:r>
      <w:r w:rsidRPr="009E773A">
        <w:rPr>
          <w:rFonts w:asciiTheme="majorHAnsi" w:hAnsiTheme="majorHAnsi"/>
          <w:sz w:val="20"/>
          <w:szCs w:val="20"/>
        </w:rPr>
        <w:t xml:space="preserve">), 8.1 y </w:t>
      </w:r>
      <w:r w:rsidRPr="009E773A">
        <w:rPr>
          <w:rFonts w:asciiTheme="majorHAnsi" w:hAnsiTheme="majorHAnsi"/>
          <w:sz w:val="20"/>
          <w:szCs w:val="20"/>
        </w:rPr>
        <w:lastRenderedPageBreak/>
        <w:t xml:space="preserve">25.1 (garantías judiciales y protección judicial) de la Convención Americana sobre Derechos Humanos en relación con el artículo 1.1 del mismo tratado, y los artículos </w:t>
      </w:r>
      <w:r w:rsidR="00921104" w:rsidRPr="009E773A">
        <w:rPr>
          <w:rFonts w:asciiTheme="majorHAnsi" w:hAnsiTheme="majorHAnsi"/>
          <w:sz w:val="20"/>
          <w:szCs w:val="20"/>
        </w:rPr>
        <w:t xml:space="preserve">1, </w:t>
      </w:r>
      <w:r w:rsidRPr="009E773A">
        <w:rPr>
          <w:rFonts w:asciiTheme="majorHAnsi" w:hAnsiTheme="majorHAnsi"/>
          <w:sz w:val="20"/>
          <w:szCs w:val="20"/>
        </w:rPr>
        <w:t>6 y 8 de la Convención Interamericana para Prevenir y Sancionar la Tortura</w:t>
      </w:r>
      <w:r w:rsidRPr="009E773A">
        <w:rPr>
          <w:rFonts w:asciiTheme="majorHAnsi" w:hAnsiTheme="majorHAnsi"/>
          <w:color w:val="000000" w:themeColor="text1"/>
          <w:sz w:val="20"/>
          <w:szCs w:val="20"/>
        </w:rPr>
        <w:t xml:space="preserve">. </w:t>
      </w:r>
    </w:p>
    <w:p w14:paraId="46D0C0D7" w14:textId="77777777" w:rsidR="00C8292F" w:rsidRPr="009E773A" w:rsidRDefault="00C8292F" w:rsidP="009A79B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lang w:val="es-ES"/>
        </w:rPr>
      </w:pPr>
    </w:p>
    <w:p w14:paraId="5182D816" w14:textId="77777777" w:rsidR="00C8292F" w:rsidRPr="009E773A" w:rsidRDefault="00C8292F" w:rsidP="009A79B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9360"/>
        </w:tabs>
        <w:jc w:val="both"/>
        <w:rPr>
          <w:rFonts w:asciiTheme="majorHAnsi" w:hAnsiTheme="majorHAnsi"/>
          <w:sz w:val="20"/>
          <w:szCs w:val="20"/>
          <w:lang w:val="es-ES"/>
        </w:rPr>
      </w:pPr>
      <w:r w:rsidRPr="009E773A">
        <w:rPr>
          <w:rFonts w:asciiTheme="majorHAnsi" w:hAnsiTheme="majorHAnsi"/>
          <w:sz w:val="20"/>
          <w:szCs w:val="20"/>
          <w:lang w:val="es-ES_tradnl"/>
        </w:rPr>
        <w:t xml:space="preserve">En </w:t>
      </w:r>
      <w:r w:rsidRPr="009E773A">
        <w:rPr>
          <w:rFonts w:asciiTheme="majorHAnsi" w:hAnsiTheme="majorHAnsi"/>
          <w:sz w:val="20"/>
          <w:szCs w:val="20"/>
          <w:lang w:val="es-ES"/>
        </w:rPr>
        <w:t>virtud</w:t>
      </w:r>
      <w:r w:rsidRPr="009E773A">
        <w:rPr>
          <w:rFonts w:asciiTheme="majorHAnsi" w:hAnsiTheme="majorHAnsi"/>
          <w:sz w:val="20"/>
          <w:szCs w:val="20"/>
          <w:lang w:val="es-ES_tradnl"/>
        </w:rPr>
        <w:t xml:space="preserve"> de las anteriores conclusiones,</w:t>
      </w:r>
    </w:p>
    <w:p w14:paraId="23A8B7FC" w14:textId="77777777" w:rsidR="00C8292F" w:rsidRPr="009E773A" w:rsidRDefault="00C8292F" w:rsidP="009A79B6">
      <w:pPr>
        <w:suppressAutoHyphens/>
        <w:jc w:val="both"/>
        <w:rPr>
          <w:rFonts w:asciiTheme="majorHAnsi" w:hAnsiTheme="majorHAnsi"/>
          <w:sz w:val="20"/>
          <w:szCs w:val="20"/>
          <w:lang w:val="es-ES_tradnl"/>
        </w:rPr>
      </w:pPr>
    </w:p>
    <w:p w14:paraId="1AA6F8EB" w14:textId="77777777" w:rsidR="00C8292F" w:rsidRPr="009E773A" w:rsidRDefault="00C8292F" w:rsidP="009A79B6">
      <w:pPr>
        <w:jc w:val="both"/>
        <w:rPr>
          <w:rFonts w:asciiTheme="majorHAnsi" w:hAnsiTheme="majorHAnsi"/>
          <w:b/>
          <w:sz w:val="20"/>
          <w:szCs w:val="20"/>
          <w:lang w:val="es-ES_tradnl"/>
        </w:rPr>
      </w:pPr>
      <w:r w:rsidRPr="009E773A">
        <w:rPr>
          <w:rFonts w:asciiTheme="majorHAnsi" w:hAnsiTheme="majorHAnsi"/>
          <w:b/>
          <w:sz w:val="20"/>
          <w:szCs w:val="20"/>
          <w:lang w:val="es-ES_tradnl"/>
        </w:rPr>
        <w:tab/>
        <w:t>LA COMISIÓN INTERAMERICANA DE DERECHOS HUMANOS, RECOMIENDA AL ESTADO DE VENEZUELA,</w:t>
      </w:r>
    </w:p>
    <w:p w14:paraId="12A815F5" w14:textId="77777777" w:rsidR="00C8292F" w:rsidRPr="009E773A" w:rsidRDefault="00C8292F" w:rsidP="009A79B6">
      <w:pPr>
        <w:jc w:val="both"/>
        <w:rPr>
          <w:rFonts w:asciiTheme="majorHAnsi" w:hAnsiTheme="majorHAnsi"/>
          <w:b/>
          <w:sz w:val="20"/>
          <w:szCs w:val="20"/>
          <w:lang w:val="es-ES_tradnl"/>
        </w:rPr>
      </w:pPr>
    </w:p>
    <w:p w14:paraId="555F0F86" w14:textId="0BFADC3D" w:rsidR="00776826" w:rsidRPr="009E773A" w:rsidRDefault="00C8292F" w:rsidP="009A79B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Times New Roman" w:hAnsiTheme="majorHAnsi" w:cs="Tahoma"/>
          <w:sz w:val="20"/>
          <w:szCs w:val="20"/>
          <w:bdr w:val="none" w:sz="0" w:space="0" w:color="auto"/>
          <w:lang w:val="es-ES"/>
        </w:rPr>
      </w:pPr>
      <w:r w:rsidRPr="009E773A">
        <w:rPr>
          <w:rFonts w:asciiTheme="majorHAnsi" w:eastAsia="Times New Roman" w:hAnsiTheme="majorHAnsi"/>
          <w:color w:val="666666"/>
          <w:sz w:val="15"/>
          <w:szCs w:val="15"/>
          <w:bdr w:val="none" w:sz="0" w:space="0" w:color="auto"/>
          <w:lang w:val="es-US"/>
        </w:rPr>
        <w:t> </w:t>
      </w:r>
      <w:r w:rsidR="00776826" w:rsidRPr="009E773A">
        <w:rPr>
          <w:rFonts w:asciiTheme="majorHAnsi" w:eastAsia="Times New Roman" w:hAnsiTheme="majorHAnsi" w:cs="Tahoma"/>
          <w:sz w:val="20"/>
          <w:szCs w:val="20"/>
          <w:bdr w:val="none" w:sz="0" w:space="0" w:color="auto"/>
          <w:lang w:val="es-ES"/>
        </w:rPr>
        <w:t>Reparar integralmente las violaciones de derechos humanos declaradas en el presente informe tanto en el aspecto material como inmaterial, incluyendo una compensación económica</w:t>
      </w:r>
      <w:r w:rsidR="004306CC" w:rsidRPr="009E773A">
        <w:rPr>
          <w:rFonts w:asciiTheme="majorHAnsi" w:eastAsia="Times New Roman" w:hAnsiTheme="majorHAnsi" w:cs="Tahoma"/>
          <w:sz w:val="20"/>
          <w:szCs w:val="20"/>
          <w:bdr w:val="none" w:sz="0" w:space="0" w:color="auto"/>
          <w:lang w:val="es-ES"/>
        </w:rPr>
        <w:t xml:space="preserve"> y medidas de satisfacción.</w:t>
      </w:r>
    </w:p>
    <w:p w14:paraId="2E7A77F4" w14:textId="77777777" w:rsidR="00776826" w:rsidRPr="009E773A" w:rsidRDefault="00776826" w:rsidP="009A79B6">
      <w:pPr>
        <w:rPr>
          <w:rFonts w:asciiTheme="majorHAnsi" w:eastAsia="Times New Roman" w:hAnsiTheme="majorHAnsi" w:cs="Tahoma"/>
          <w:sz w:val="20"/>
          <w:szCs w:val="20"/>
          <w:bdr w:val="none" w:sz="0" w:space="0" w:color="auto"/>
          <w:lang w:val="es-ES"/>
        </w:rPr>
      </w:pPr>
    </w:p>
    <w:p w14:paraId="2B58990B" w14:textId="77777777" w:rsidR="00776826" w:rsidRPr="009E773A" w:rsidRDefault="00776826" w:rsidP="009A79B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Times New Roman" w:hAnsiTheme="majorHAnsi"/>
          <w:sz w:val="14"/>
          <w:szCs w:val="14"/>
          <w:bdr w:val="none" w:sz="0" w:space="0" w:color="auto"/>
          <w:lang w:val="es-ES"/>
        </w:rPr>
      </w:pPr>
      <w:r w:rsidRPr="009E773A">
        <w:rPr>
          <w:rFonts w:asciiTheme="majorHAnsi" w:eastAsia="Times New Roman" w:hAnsiTheme="majorHAnsi" w:cs="Tahoma"/>
          <w:sz w:val="20"/>
          <w:szCs w:val="20"/>
          <w:bdr w:val="none" w:sz="0" w:space="0" w:color="auto"/>
          <w:lang w:val="es-ES"/>
        </w:rPr>
        <w:t xml:space="preserve">Disponer las medidas de atención en salud física y mental necesarias para la rehabilitación de los familiares de </w:t>
      </w:r>
      <w:r w:rsidR="008556A5" w:rsidRPr="009E773A">
        <w:rPr>
          <w:rFonts w:asciiTheme="majorHAnsi" w:eastAsia="Times New Roman" w:hAnsiTheme="majorHAnsi" w:cs="Tahoma"/>
          <w:sz w:val="20"/>
          <w:szCs w:val="20"/>
          <w:bdr w:val="none" w:sz="0" w:space="0" w:color="auto"/>
          <w:lang w:val="es-ES"/>
        </w:rPr>
        <w:t xml:space="preserve">Jimmy Guerrero y </w:t>
      </w:r>
      <w:r w:rsidR="004B0C29" w:rsidRPr="009E773A">
        <w:rPr>
          <w:rFonts w:asciiTheme="majorHAnsi" w:eastAsia="Times New Roman" w:hAnsiTheme="majorHAnsi" w:cs="Tahoma"/>
          <w:sz w:val="20"/>
          <w:szCs w:val="20"/>
          <w:bdr w:val="none" w:sz="0" w:space="0" w:color="auto"/>
          <w:lang w:val="es-ES"/>
        </w:rPr>
        <w:t>Ramón Molina</w:t>
      </w:r>
      <w:r w:rsidRPr="009E773A">
        <w:rPr>
          <w:rFonts w:asciiTheme="majorHAnsi" w:eastAsia="Times New Roman" w:hAnsiTheme="majorHAnsi" w:cs="Tahoma"/>
          <w:sz w:val="20"/>
          <w:szCs w:val="20"/>
          <w:bdr w:val="none" w:sz="0" w:space="0" w:color="auto"/>
          <w:lang w:val="es-ES"/>
        </w:rPr>
        <w:t xml:space="preserve"> de ser su voluntad y de manera concertada.</w:t>
      </w:r>
    </w:p>
    <w:p w14:paraId="00F406D4" w14:textId="77777777" w:rsidR="00776826" w:rsidRPr="009E773A" w:rsidRDefault="00776826" w:rsidP="009A79B6">
      <w:pPr>
        <w:rPr>
          <w:rFonts w:asciiTheme="majorHAnsi" w:hAnsiTheme="majorHAnsi"/>
          <w:sz w:val="20"/>
          <w:szCs w:val="20"/>
          <w:lang w:val="es-ES"/>
        </w:rPr>
      </w:pPr>
    </w:p>
    <w:p w14:paraId="2CB69F99" w14:textId="66C95F0D" w:rsidR="008556A5" w:rsidRPr="009E773A" w:rsidRDefault="008556A5" w:rsidP="009A79B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Times New Roman" w:hAnsiTheme="majorHAnsi" w:cs="Tahoma"/>
          <w:sz w:val="20"/>
          <w:szCs w:val="20"/>
          <w:bdr w:val="none" w:sz="0" w:space="0" w:color="auto"/>
          <w:lang w:val="es-US"/>
        </w:rPr>
      </w:pPr>
      <w:r w:rsidRPr="009E773A">
        <w:rPr>
          <w:rFonts w:asciiTheme="majorHAnsi" w:eastAsia="Times New Roman" w:hAnsiTheme="majorHAnsi" w:cs="Tahoma"/>
          <w:sz w:val="20"/>
          <w:szCs w:val="20"/>
          <w:bdr w:val="none" w:sz="0" w:space="0" w:color="auto"/>
          <w:lang w:val="es-ES"/>
        </w:rPr>
        <w:t>Continuar con</w:t>
      </w:r>
      <w:r w:rsidR="00776826" w:rsidRPr="009E773A">
        <w:rPr>
          <w:rFonts w:asciiTheme="majorHAnsi" w:eastAsia="Times New Roman" w:hAnsiTheme="majorHAnsi" w:cs="Tahoma"/>
          <w:sz w:val="20"/>
          <w:szCs w:val="20"/>
          <w:bdr w:val="none" w:sz="0" w:space="0" w:color="auto"/>
          <w:lang w:val="es-AR"/>
        </w:rPr>
        <w:t xml:space="preserve"> la investigación penal de manera diligente, efectiva y dentro de un plazo razonable con el objeto de esclarecer los hechos en forma completa, identificar todas las posibles responsabilidades e imponer las sanciones que correspondan respecto de las violaciones de derechos humanos declaradas en el presente informe. </w:t>
      </w:r>
      <w:r w:rsidRPr="009E773A">
        <w:rPr>
          <w:rFonts w:asciiTheme="majorHAnsi" w:eastAsia="Times New Roman" w:hAnsiTheme="majorHAnsi" w:cs="Tahoma"/>
          <w:color w:val="000000"/>
          <w:sz w:val="20"/>
          <w:szCs w:val="20"/>
          <w:bdr w:val="none" w:sz="0" w:space="0" w:color="auto"/>
          <w:lang w:val="es-AR"/>
        </w:rPr>
        <w:t>En cumplimiento de esta recomendación, el Estado venezolano deberá incorporar en la investigación los elementos relevantes de contexto en los términos descritos en el presente informe</w:t>
      </w:r>
      <w:r w:rsidR="00A16EE6" w:rsidRPr="009E773A">
        <w:rPr>
          <w:rFonts w:asciiTheme="majorHAnsi" w:eastAsia="Times New Roman" w:hAnsiTheme="majorHAnsi" w:cs="Tahoma"/>
          <w:color w:val="000000"/>
          <w:sz w:val="20"/>
          <w:szCs w:val="20"/>
          <w:bdr w:val="none" w:sz="0" w:space="0" w:color="auto"/>
          <w:lang w:val="es-AR"/>
        </w:rPr>
        <w:t xml:space="preserve"> y adoptar todos los correctivos posibles frente a las falencias</w:t>
      </w:r>
      <w:r w:rsidR="00650EE6" w:rsidRPr="009E773A">
        <w:rPr>
          <w:rFonts w:asciiTheme="majorHAnsi" w:eastAsia="Times New Roman" w:hAnsiTheme="majorHAnsi" w:cs="Tahoma"/>
          <w:color w:val="000000"/>
          <w:sz w:val="20"/>
          <w:szCs w:val="20"/>
          <w:bdr w:val="none" w:sz="0" w:space="0" w:color="auto"/>
          <w:lang w:val="es-AR"/>
        </w:rPr>
        <w:t xml:space="preserve"> que se han registrado a lo largo de toda la investigación. </w:t>
      </w:r>
      <w:r w:rsidRPr="009E773A">
        <w:rPr>
          <w:rFonts w:asciiTheme="majorHAnsi" w:eastAsia="Times New Roman" w:hAnsiTheme="majorHAnsi" w:cs="Tahoma"/>
          <w:color w:val="000000"/>
          <w:sz w:val="20"/>
          <w:szCs w:val="20"/>
          <w:bdr w:val="none" w:sz="0" w:space="0" w:color="auto"/>
          <w:lang w:val="es-AR"/>
        </w:rPr>
        <w:t xml:space="preserve"> </w:t>
      </w:r>
    </w:p>
    <w:p w14:paraId="75158D57" w14:textId="77777777" w:rsidR="008556A5" w:rsidRPr="009E773A" w:rsidRDefault="008556A5" w:rsidP="009A79B6">
      <w:pPr>
        <w:pStyle w:val="ListParagraph"/>
        <w:rPr>
          <w:rFonts w:asciiTheme="majorHAnsi" w:eastAsia="Times New Roman" w:hAnsiTheme="majorHAnsi" w:cs="Tahoma"/>
          <w:sz w:val="20"/>
          <w:szCs w:val="20"/>
          <w:bdr w:val="none" w:sz="0" w:space="0" w:color="auto"/>
          <w:lang w:val="es-AR"/>
        </w:rPr>
      </w:pPr>
    </w:p>
    <w:p w14:paraId="3A9E55A4" w14:textId="69E71FB3" w:rsidR="004D21FE" w:rsidRPr="009D0C3F" w:rsidRDefault="00C8292F" w:rsidP="009A79B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hAnsiTheme="majorHAnsi"/>
          <w:sz w:val="20"/>
          <w:szCs w:val="20"/>
          <w:lang w:val="es-US"/>
        </w:rPr>
      </w:pPr>
      <w:r w:rsidRPr="009E773A">
        <w:rPr>
          <w:rFonts w:asciiTheme="majorHAnsi" w:eastAsia="Times New Roman" w:hAnsiTheme="majorHAnsi" w:cs="Tahoma"/>
          <w:color w:val="000000"/>
          <w:sz w:val="20"/>
          <w:szCs w:val="20"/>
          <w:bdr w:val="none" w:sz="0" w:space="0" w:color="auto"/>
          <w:lang w:val="es-US"/>
        </w:rPr>
        <w:t xml:space="preserve">Disponer mecanismos de no repetición que incluyan: i) programas de capacitación sobre los estándares internacionales de derechos humanos en general, en particular, dirigidos a la Policía del estado </w:t>
      </w:r>
      <w:r w:rsidR="008556A5" w:rsidRPr="009E773A">
        <w:rPr>
          <w:rFonts w:asciiTheme="majorHAnsi" w:eastAsia="Times New Roman" w:hAnsiTheme="majorHAnsi" w:cs="Tahoma"/>
          <w:color w:val="000000"/>
          <w:sz w:val="20"/>
          <w:szCs w:val="20"/>
          <w:bdr w:val="none" w:sz="0" w:space="0" w:color="auto"/>
          <w:lang w:val="es-US"/>
        </w:rPr>
        <w:t>de Falcón</w:t>
      </w:r>
      <w:r w:rsidRPr="009E773A">
        <w:rPr>
          <w:rFonts w:asciiTheme="majorHAnsi" w:eastAsia="Times New Roman" w:hAnsiTheme="majorHAnsi" w:cs="Tahoma"/>
          <w:color w:val="000000"/>
          <w:sz w:val="20"/>
          <w:szCs w:val="20"/>
          <w:bdr w:val="none" w:sz="0" w:space="0" w:color="auto"/>
          <w:lang w:val="es-US"/>
        </w:rPr>
        <w:t>, y a operadores de justicia; ii) medidas para asegurar la efectiva rendición de cuentas en el fuero penal, disciplinario o administrativo, en casos de presunto abuso de poder por parte de agentes del Estado a cargo de la seguridad pública; y iii) medidas legislativas, administrativas y de otra índole para asegurar la investigación con la debida diligencia y de conformidad con los estánda</w:t>
      </w:r>
      <w:r w:rsidR="008556A5" w:rsidRPr="009E773A">
        <w:rPr>
          <w:rFonts w:asciiTheme="majorHAnsi" w:eastAsia="Times New Roman" w:hAnsiTheme="majorHAnsi" w:cs="Tahoma"/>
          <w:color w:val="000000"/>
          <w:sz w:val="20"/>
          <w:szCs w:val="20"/>
          <w:bdr w:val="none" w:sz="0" w:space="0" w:color="auto"/>
          <w:lang w:val="es-US"/>
        </w:rPr>
        <w:t>res internacionales relevantes</w:t>
      </w:r>
      <w:r w:rsidR="001F08EF" w:rsidRPr="009E773A">
        <w:rPr>
          <w:rFonts w:asciiTheme="majorHAnsi" w:eastAsia="Times New Roman" w:hAnsiTheme="majorHAnsi" w:cs="Tahoma"/>
          <w:color w:val="000000"/>
          <w:sz w:val="20"/>
          <w:szCs w:val="20"/>
          <w:bdr w:val="none" w:sz="0" w:space="0" w:color="auto"/>
          <w:lang w:val="es-US"/>
        </w:rPr>
        <w:t xml:space="preserve"> de casos de alegadas ejec</w:t>
      </w:r>
      <w:r w:rsidR="00867CF9" w:rsidRPr="009E773A">
        <w:rPr>
          <w:rFonts w:asciiTheme="majorHAnsi" w:eastAsia="Times New Roman" w:hAnsiTheme="majorHAnsi" w:cs="Tahoma"/>
          <w:color w:val="000000"/>
          <w:sz w:val="20"/>
          <w:szCs w:val="20"/>
          <w:bdr w:val="none" w:sz="0" w:space="0" w:color="auto"/>
          <w:lang w:val="es-US"/>
        </w:rPr>
        <w:t>u</w:t>
      </w:r>
      <w:r w:rsidR="001F08EF" w:rsidRPr="009E773A">
        <w:rPr>
          <w:rFonts w:asciiTheme="majorHAnsi" w:eastAsia="Times New Roman" w:hAnsiTheme="majorHAnsi" w:cs="Tahoma"/>
          <w:color w:val="000000"/>
          <w:sz w:val="20"/>
          <w:szCs w:val="20"/>
          <w:bdr w:val="none" w:sz="0" w:space="0" w:color="auto"/>
          <w:lang w:val="es-US"/>
        </w:rPr>
        <w:t>ciones extrajudiciales.</w:t>
      </w:r>
    </w:p>
    <w:p w14:paraId="7089827C" w14:textId="77777777" w:rsidR="009D0C3F" w:rsidRDefault="009D0C3F" w:rsidP="009A79B6">
      <w:pPr>
        <w:pStyle w:val="ListParagraph"/>
        <w:rPr>
          <w:rFonts w:asciiTheme="majorHAnsi" w:hAnsiTheme="majorHAnsi"/>
          <w:sz w:val="20"/>
          <w:szCs w:val="20"/>
          <w:lang w:val="es-US"/>
        </w:rPr>
      </w:pPr>
    </w:p>
    <w:p w14:paraId="3D39E16A" w14:textId="1F771B2A" w:rsidR="009D0C3F" w:rsidRPr="00CA08FD" w:rsidRDefault="002A4B97" w:rsidP="002A4B97">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hAnsiTheme="majorHAnsi"/>
          <w:sz w:val="20"/>
          <w:szCs w:val="20"/>
          <w:lang w:val="es-US"/>
        </w:rPr>
      </w:pPr>
      <w:r w:rsidRPr="002A4B97">
        <w:rPr>
          <w:rFonts w:asciiTheme="majorHAnsi" w:hAnsiTheme="majorHAnsi"/>
          <w:sz w:val="20"/>
          <w:szCs w:val="20"/>
          <w:lang w:val="es-MX"/>
        </w:rPr>
        <w:t>Disponer el reintegro de los gastos del Fondo de Asistencia Legal de Víctimas de la Comisión Interamericana de Derechos Humanos, por la cantidad erogada durante la tramitación del presente caso</w:t>
      </w:r>
      <w:r>
        <w:rPr>
          <w:rFonts w:asciiTheme="majorHAnsi" w:hAnsiTheme="majorHAnsi"/>
          <w:sz w:val="20"/>
          <w:szCs w:val="20"/>
          <w:lang w:val="es-MX"/>
        </w:rPr>
        <w:t>.</w:t>
      </w:r>
    </w:p>
    <w:p w14:paraId="7CC9B2B6" w14:textId="77777777" w:rsidR="00727450" w:rsidRPr="00B37F55" w:rsidRDefault="00727450" w:rsidP="00727450">
      <w:pPr>
        <w:ind w:firstLine="720"/>
        <w:jc w:val="both"/>
        <w:rPr>
          <w:rFonts w:asciiTheme="majorHAnsi" w:hAnsiTheme="majorHAnsi"/>
          <w:b/>
          <w:sz w:val="20"/>
          <w:szCs w:val="20"/>
          <w:lang w:val="es-ES"/>
        </w:rPr>
      </w:pPr>
    </w:p>
    <w:p w14:paraId="60D9E23B" w14:textId="77777777" w:rsidR="00727450" w:rsidRPr="00B37F55" w:rsidRDefault="00727450" w:rsidP="00727450">
      <w:pPr>
        <w:ind w:firstLine="720"/>
        <w:jc w:val="both"/>
        <w:rPr>
          <w:rFonts w:asciiTheme="majorHAnsi" w:hAnsiTheme="majorHAnsi"/>
          <w:spacing w:val="-2"/>
          <w:sz w:val="20"/>
          <w:szCs w:val="20"/>
          <w:lang w:val="es-CL"/>
        </w:rPr>
      </w:pPr>
      <w:r w:rsidRPr="00B37F55">
        <w:rPr>
          <w:rFonts w:asciiTheme="majorHAnsi" w:hAnsiTheme="majorHAnsi"/>
          <w:spacing w:val="-2"/>
          <w:sz w:val="20"/>
          <w:szCs w:val="20"/>
          <w:lang w:val="es-CL"/>
        </w:rPr>
        <w:t>Aprobado por la Comisión Interamericana de Derechos Humanos en la ciudad de Washington, D.C. a los 7 días del mes de diciembre de 2018.  (Firmado): Margarette May Macaulay, Presidenta; Esmeralda Arosemena de Troitiño, Primera Vicepresidenta; Francisco José Eguiguren Praeli, Joel Hernández García y Antonia Urrejola, Miembros de la Comisión.</w:t>
      </w:r>
      <w:r w:rsidRPr="00B37F55">
        <w:rPr>
          <w:rFonts w:asciiTheme="majorHAnsi" w:hAnsiTheme="majorHAnsi"/>
          <w:sz w:val="20"/>
          <w:szCs w:val="20"/>
          <w:lang w:val="es-CL"/>
        </w:rPr>
        <w:t xml:space="preserve"> </w:t>
      </w:r>
    </w:p>
    <w:p w14:paraId="21C8E3DA" w14:textId="77777777" w:rsidR="00727450" w:rsidRPr="00727450" w:rsidRDefault="00727450" w:rsidP="00727450">
      <w:pPr>
        <w:ind w:firstLine="720"/>
        <w:jc w:val="both"/>
        <w:rPr>
          <w:rFonts w:asciiTheme="majorHAnsi" w:hAnsiTheme="majorHAnsi"/>
          <w:spacing w:val="-2"/>
          <w:sz w:val="20"/>
          <w:szCs w:val="20"/>
          <w:lang w:val="es-CL"/>
        </w:rPr>
      </w:pPr>
    </w:p>
    <w:p w14:paraId="32D9E3AF" w14:textId="3E97A20A" w:rsidR="00727450" w:rsidRPr="00727450" w:rsidRDefault="00727450" w:rsidP="00727450">
      <w:pPr>
        <w:ind w:firstLine="720"/>
        <w:jc w:val="both"/>
        <w:rPr>
          <w:rFonts w:asciiTheme="majorHAnsi" w:hAnsiTheme="majorHAnsi"/>
          <w:sz w:val="20"/>
          <w:szCs w:val="20"/>
          <w:lang w:val="es-CL"/>
        </w:rPr>
      </w:pPr>
      <w:r w:rsidRPr="00727450">
        <w:rPr>
          <w:rFonts w:asciiTheme="majorHAnsi" w:hAnsiTheme="majorHAnsi"/>
          <w:sz w:val="20"/>
          <w:szCs w:val="20"/>
          <w:lang w:val="es-CL"/>
        </w:rPr>
        <w:t xml:space="preserve">La que suscribe, </w:t>
      </w:r>
      <w:r>
        <w:rPr>
          <w:rFonts w:asciiTheme="majorHAnsi" w:hAnsiTheme="majorHAnsi" w:cs="Arial"/>
          <w:sz w:val="20"/>
          <w:szCs w:val="20"/>
          <w:lang w:val="es-PE"/>
        </w:rPr>
        <w:t>Marisol Blanchard</w:t>
      </w:r>
      <w:r w:rsidRPr="00727450">
        <w:rPr>
          <w:rFonts w:asciiTheme="majorHAnsi" w:hAnsiTheme="majorHAnsi"/>
          <w:sz w:val="20"/>
          <w:szCs w:val="20"/>
          <w:lang w:val="es-CL"/>
        </w:rPr>
        <w:t xml:space="preserve">, </w:t>
      </w:r>
      <w:r>
        <w:rPr>
          <w:rFonts w:asciiTheme="majorHAnsi" w:hAnsiTheme="majorHAnsi"/>
          <w:sz w:val="20"/>
          <w:szCs w:val="20"/>
          <w:lang w:val="es-CL"/>
        </w:rPr>
        <w:t>Jefa del Gabinete de la Secretaría Ejecutiva</w:t>
      </w:r>
      <w:r w:rsidRPr="00727450">
        <w:rPr>
          <w:rFonts w:asciiTheme="majorHAnsi" w:hAnsiTheme="majorHAnsi"/>
          <w:sz w:val="20"/>
          <w:szCs w:val="20"/>
          <w:lang w:val="es-CL"/>
        </w:rPr>
        <w:t>, de conformidad con el artículo 49 del Reglamento de la Comisión, certifica que es copia fiel del original depositado en los archivos de la Secretaría de la CIDH.</w:t>
      </w:r>
    </w:p>
    <w:p w14:paraId="6C0080F8" w14:textId="77777777" w:rsidR="00727450" w:rsidRPr="00727450" w:rsidRDefault="00727450" w:rsidP="00727450">
      <w:pPr>
        <w:jc w:val="both"/>
        <w:rPr>
          <w:rFonts w:asciiTheme="majorHAnsi" w:hAnsiTheme="majorHAnsi"/>
          <w:sz w:val="20"/>
          <w:szCs w:val="20"/>
          <w:lang w:val="es-PE"/>
        </w:rPr>
      </w:pPr>
    </w:p>
    <w:p w14:paraId="6A60A679" w14:textId="77777777" w:rsidR="00727450" w:rsidRPr="00727450" w:rsidRDefault="00727450" w:rsidP="00727450">
      <w:pPr>
        <w:rPr>
          <w:rFonts w:asciiTheme="majorHAnsi" w:hAnsiTheme="majorHAnsi"/>
          <w:sz w:val="20"/>
          <w:szCs w:val="20"/>
          <w:lang w:val="es-PE"/>
        </w:rPr>
      </w:pPr>
    </w:p>
    <w:p w14:paraId="18DF5DE1" w14:textId="77777777" w:rsidR="00727450" w:rsidRPr="00727450" w:rsidRDefault="00727450" w:rsidP="00727450">
      <w:pPr>
        <w:rPr>
          <w:rFonts w:asciiTheme="majorHAnsi" w:hAnsiTheme="majorHAnsi"/>
          <w:sz w:val="20"/>
          <w:szCs w:val="20"/>
          <w:lang w:val="es-PE"/>
        </w:rPr>
      </w:pPr>
    </w:p>
    <w:p w14:paraId="4C21461F" w14:textId="77777777" w:rsidR="00727450" w:rsidRPr="00727450" w:rsidRDefault="00727450" w:rsidP="00727450">
      <w:pPr>
        <w:rPr>
          <w:rFonts w:asciiTheme="majorHAnsi" w:hAnsiTheme="majorHAnsi"/>
          <w:sz w:val="20"/>
          <w:szCs w:val="20"/>
          <w:lang w:val="es-PE"/>
        </w:rPr>
      </w:pPr>
    </w:p>
    <w:p w14:paraId="338BF4BF" w14:textId="77777777" w:rsidR="00727450" w:rsidRPr="00727450" w:rsidRDefault="00727450" w:rsidP="00727450">
      <w:pPr>
        <w:rPr>
          <w:rFonts w:asciiTheme="majorHAnsi" w:hAnsiTheme="majorHAnsi"/>
          <w:sz w:val="20"/>
          <w:szCs w:val="20"/>
          <w:lang w:val="es-PE"/>
        </w:rPr>
      </w:pPr>
    </w:p>
    <w:p w14:paraId="7DEC783A" w14:textId="77777777" w:rsidR="00727450" w:rsidRPr="00727450" w:rsidRDefault="00727450" w:rsidP="00727450">
      <w:pPr>
        <w:rPr>
          <w:rFonts w:asciiTheme="majorHAnsi" w:hAnsiTheme="majorHAnsi"/>
          <w:sz w:val="20"/>
          <w:szCs w:val="20"/>
        </w:rPr>
      </w:pPr>
    </w:p>
    <w:p w14:paraId="73CD394F" w14:textId="77777777" w:rsidR="00727450" w:rsidRPr="00727450" w:rsidRDefault="00727450" w:rsidP="00727450">
      <w:pPr>
        <w:tabs>
          <w:tab w:val="left" w:pos="-720"/>
        </w:tabs>
        <w:ind w:left="4500"/>
        <w:rPr>
          <w:rFonts w:asciiTheme="majorHAnsi" w:hAnsiTheme="majorHAnsi" w:cs="Arial"/>
          <w:sz w:val="20"/>
          <w:szCs w:val="20"/>
        </w:rPr>
      </w:pPr>
      <w:r w:rsidRPr="00727450">
        <w:rPr>
          <w:rFonts w:asciiTheme="majorHAnsi" w:hAnsiTheme="majorHAnsi" w:cs="Arial"/>
          <w:sz w:val="20"/>
          <w:szCs w:val="20"/>
        </w:rPr>
        <w:t xml:space="preserve">   Marisol Blanchard</w:t>
      </w:r>
    </w:p>
    <w:p w14:paraId="231C8FA6" w14:textId="3E23068D" w:rsidR="00727450" w:rsidRPr="00727450" w:rsidRDefault="00727450" w:rsidP="00727450">
      <w:pPr>
        <w:tabs>
          <w:tab w:val="left" w:pos="-720"/>
          <w:tab w:val="left" w:pos="5760"/>
        </w:tabs>
        <w:rPr>
          <w:rFonts w:asciiTheme="majorHAnsi" w:hAnsiTheme="majorHAnsi" w:cs="Arial"/>
          <w:sz w:val="20"/>
          <w:szCs w:val="20"/>
          <w:lang w:val="es-PE"/>
        </w:rPr>
      </w:pPr>
      <w:r w:rsidRPr="00727450">
        <w:rPr>
          <w:rFonts w:asciiTheme="majorHAnsi" w:hAnsiTheme="majorHAnsi" w:cs="Arial"/>
          <w:sz w:val="20"/>
          <w:szCs w:val="20"/>
        </w:rPr>
        <w:t xml:space="preserve">                                                      </w:t>
      </w:r>
      <w:r>
        <w:rPr>
          <w:rFonts w:asciiTheme="majorHAnsi" w:hAnsiTheme="majorHAnsi" w:cs="Arial"/>
          <w:sz w:val="20"/>
          <w:szCs w:val="20"/>
        </w:rPr>
        <w:t xml:space="preserve">          </w:t>
      </w:r>
      <w:r w:rsidRPr="00727450">
        <w:rPr>
          <w:rFonts w:asciiTheme="majorHAnsi" w:hAnsiTheme="majorHAnsi" w:cs="Arial"/>
          <w:sz w:val="20"/>
          <w:szCs w:val="20"/>
        </w:rPr>
        <w:t xml:space="preserve">                 </w:t>
      </w:r>
      <w:r w:rsidRPr="00727450">
        <w:rPr>
          <w:rFonts w:asciiTheme="majorHAnsi" w:hAnsiTheme="majorHAnsi" w:cs="Arial"/>
          <w:sz w:val="20"/>
          <w:szCs w:val="20"/>
          <w:lang w:val="es-PE"/>
        </w:rPr>
        <w:t>Jefa de Gabinete de la Secretaría Ejecutiva</w:t>
      </w:r>
    </w:p>
    <w:p w14:paraId="19BFA833" w14:textId="77777777" w:rsidR="00727450" w:rsidRPr="00727450" w:rsidRDefault="00727450" w:rsidP="00727450">
      <w:pPr>
        <w:suppressAutoHyphens/>
        <w:rPr>
          <w:rFonts w:asciiTheme="majorHAnsi" w:hAnsiTheme="majorHAnsi" w:cs="Arial"/>
          <w:sz w:val="20"/>
          <w:szCs w:val="20"/>
        </w:rPr>
      </w:pPr>
    </w:p>
    <w:p w14:paraId="0F2AD9B1" w14:textId="77777777" w:rsidR="00CA08FD" w:rsidRPr="00727450" w:rsidRDefault="00CA08FD" w:rsidP="00CA08FD">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sectPr w:rsidR="00CA08FD" w:rsidRPr="00727450" w:rsidSect="00FC5E2A">
      <w:type w:val="oddPage"/>
      <w:pgSz w:w="12240" w:h="15840"/>
      <w:pgMar w:top="1440" w:right="900" w:bottom="1440" w:left="1276" w:header="720" w:footer="720" w:gutter="0"/>
      <w:pgNumType w:start="1"/>
      <w:cols w:space="720"/>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14D8E35" w15:done="0"/>
  <w15:commentEx w15:paraId="27556331" w15:done="0"/>
  <w15:commentEx w15:paraId="11CB23C6" w15:done="0"/>
  <w15:commentEx w15:paraId="392815A8" w15:done="0"/>
  <w15:commentEx w15:paraId="51D3A6BF" w15:done="0"/>
  <w15:commentEx w15:paraId="3FB0C9A0" w15:done="0"/>
  <w15:commentEx w15:paraId="029155F4" w15:done="0"/>
  <w15:commentEx w15:paraId="514C35A7" w15:done="0"/>
  <w15:commentEx w15:paraId="3E93AEFE" w15:done="0"/>
  <w15:commentEx w15:paraId="6DCA077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4D8E35" w16cid:durableId="1F849DE2"/>
  <w16cid:commentId w16cid:paraId="27556331" w16cid:durableId="1F849DE3"/>
  <w16cid:commentId w16cid:paraId="11CB23C6" w16cid:durableId="1F849DE4"/>
  <w16cid:commentId w16cid:paraId="392815A8" w16cid:durableId="1F849DE5"/>
  <w16cid:commentId w16cid:paraId="51D3A6BF" w16cid:durableId="1F849DE6"/>
  <w16cid:commentId w16cid:paraId="3FB0C9A0" w16cid:durableId="1F849DE7"/>
  <w16cid:commentId w16cid:paraId="029155F4" w16cid:durableId="1F849EEE"/>
  <w16cid:commentId w16cid:paraId="514C35A7" w16cid:durableId="1F84ADBD"/>
  <w16cid:commentId w16cid:paraId="3E93AEFE" w16cid:durableId="1F84C297"/>
  <w16cid:commentId w16cid:paraId="6DCA0770" w16cid:durableId="1F84ABA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482F2" w14:textId="77777777" w:rsidR="00747C92" w:rsidRDefault="00747C92">
      <w:r>
        <w:separator/>
      </w:r>
    </w:p>
  </w:endnote>
  <w:endnote w:type="continuationSeparator" w:id="0">
    <w:p w14:paraId="055301D8" w14:textId="77777777" w:rsidR="00747C92" w:rsidRDefault="00747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NewRoman">
    <w:altName w:val="Cambria"/>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4548532"/>
      <w:docPartObj>
        <w:docPartGallery w:val="Page Numbers (Bottom of Page)"/>
        <w:docPartUnique/>
      </w:docPartObj>
    </w:sdtPr>
    <w:sdtEndPr>
      <w:rPr>
        <w:noProof/>
        <w:sz w:val="16"/>
        <w:szCs w:val="22"/>
      </w:rPr>
    </w:sdtEndPr>
    <w:sdtContent>
      <w:p w14:paraId="2EDAF7F9" w14:textId="77777777" w:rsidR="006B16F4" w:rsidRPr="00934A2C" w:rsidRDefault="006B16F4">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A34BBD">
          <w:rPr>
            <w:noProof/>
            <w:sz w:val="16"/>
            <w:szCs w:val="22"/>
          </w:rPr>
          <w:t>1</w:t>
        </w:r>
        <w:r w:rsidRPr="00934A2C">
          <w:rPr>
            <w:noProof/>
            <w:sz w:val="16"/>
            <w:szCs w:val="22"/>
          </w:rPr>
          <w:fldChar w:fldCharType="end"/>
        </w:r>
      </w:p>
    </w:sdtContent>
  </w:sdt>
  <w:p w14:paraId="2167DB68" w14:textId="77777777" w:rsidR="006B16F4" w:rsidRDefault="006B16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617FA" w14:textId="77777777" w:rsidR="006B16F4" w:rsidRPr="00934A2C" w:rsidRDefault="006B16F4">
    <w:pPr>
      <w:pStyle w:val="Footer"/>
      <w:jc w:val="center"/>
      <w:rPr>
        <w:sz w:val="16"/>
        <w:szCs w:val="22"/>
      </w:rPr>
    </w:pPr>
  </w:p>
  <w:p w14:paraId="02A2BB53" w14:textId="77777777" w:rsidR="006B16F4" w:rsidRDefault="006B16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79C1B" w14:textId="77777777" w:rsidR="00747C92" w:rsidRPr="000F35ED" w:rsidRDefault="00747C92">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9A91DAF" w14:textId="77777777" w:rsidR="00747C92" w:rsidRPr="000F35ED" w:rsidRDefault="00747C92" w:rsidP="000F35ED">
      <w:pPr>
        <w:rPr>
          <w:rFonts w:asciiTheme="majorHAnsi" w:hAnsiTheme="majorHAnsi"/>
          <w:sz w:val="16"/>
          <w:szCs w:val="16"/>
        </w:rPr>
      </w:pPr>
      <w:r w:rsidRPr="000F35ED">
        <w:rPr>
          <w:rFonts w:asciiTheme="majorHAnsi" w:hAnsiTheme="majorHAnsi"/>
          <w:sz w:val="16"/>
          <w:szCs w:val="16"/>
        </w:rPr>
        <w:separator/>
      </w:r>
    </w:p>
    <w:p w14:paraId="57E4991E" w14:textId="77777777" w:rsidR="00747C92" w:rsidRPr="000F35ED" w:rsidRDefault="00747C92"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70C96AE9" w14:textId="77777777" w:rsidR="00747C92" w:rsidRPr="000F35ED" w:rsidRDefault="00747C92"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64712A47" w14:textId="77777777" w:rsidR="006B16F4" w:rsidRPr="007608B0" w:rsidRDefault="006B16F4" w:rsidP="006E7B50">
      <w:pPr>
        <w:pStyle w:val="FootnoteText"/>
        <w:contextualSpacing/>
        <w:jc w:val="both"/>
        <w:rPr>
          <w:szCs w:val="16"/>
          <w:lang w:val="es-CO"/>
        </w:rPr>
      </w:pPr>
      <w:r w:rsidRPr="007608B0">
        <w:rPr>
          <w:rStyle w:val="FootnoteReference"/>
          <w:szCs w:val="16"/>
          <w:lang w:val="es-CO"/>
        </w:rPr>
        <w:footnoteRef/>
      </w:r>
      <w:r w:rsidRPr="007608B0">
        <w:rPr>
          <w:szCs w:val="16"/>
          <w:lang w:val="es-CO"/>
        </w:rPr>
        <w:t xml:space="preserve"> Con posterioridad el Centro por la Justicia y el Derecho Internacional (CEJIL) se incorporó como parte peticionaria.</w:t>
      </w:r>
    </w:p>
  </w:footnote>
  <w:footnote w:id="3">
    <w:p w14:paraId="646FDC7A" w14:textId="77777777" w:rsidR="006B16F4" w:rsidRPr="007608B0" w:rsidRDefault="006B16F4" w:rsidP="006E7B50">
      <w:pPr>
        <w:pStyle w:val="FootnoteText"/>
        <w:contextualSpacing/>
        <w:jc w:val="both"/>
        <w:rPr>
          <w:szCs w:val="16"/>
          <w:lang w:val="es-CO"/>
        </w:rPr>
      </w:pPr>
      <w:r w:rsidRPr="007608B0">
        <w:rPr>
          <w:rStyle w:val="FootnoteReference"/>
          <w:color w:val="auto"/>
          <w:szCs w:val="16"/>
          <w:lang w:val="es-CO"/>
        </w:rPr>
        <w:footnoteRef/>
      </w:r>
      <w:r w:rsidRPr="007608B0">
        <w:rPr>
          <w:szCs w:val="16"/>
          <w:lang w:val="es-CO"/>
        </w:rPr>
        <w:t xml:space="preserve"> CIDH. Informe No. 4/11. </w:t>
      </w:r>
      <w:r>
        <w:rPr>
          <w:szCs w:val="16"/>
          <w:lang w:val="es-CO"/>
        </w:rPr>
        <w:t xml:space="preserve">Admisibilidad. </w:t>
      </w:r>
      <w:r w:rsidRPr="007608B0">
        <w:rPr>
          <w:szCs w:val="16"/>
          <w:lang w:val="es-CO"/>
        </w:rPr>
        <w:t xml:space="preserve">Caso 12.805. Jimmy Rafael Guerrero Meléndez y Ramón Antonio Molina Pérez y Familia. Venezuela. 19 de febrero de 2011.  </w:t>
      </w:r>
      <w:r>
        <w:rPr>
          <w:szCs w:val="16"/>
          <w:lang w:val="es-CO"/>
        </w:rPr>
        <w:t xml:space="preserve">La Comisión declaró admisibles los artículos 4, 5, 7, 8 y 25 de la Convención Americana y los artículos 2, 6 y 8 de la Convención Interamericana para Prevenir y Sancionar la Tortura. </w:t>
      </w:r>
    </w:p>
  </w:footnote>
  <w:footnote w:id="4">
    <w:p w14:paraId="326A29BC" w14:textId="2C535BB1" w:rsidR="006B16F4" w:rsidRPr="007608B0" w:rsidRDefault="006B16F4" w:rsidP="00347947">
      <w:pPr>
        <w:pStyle w:val="FootnoteText"/>
        <w:contextualSpacing/>
        <w:jc w:val="both"/>
        <w:rPr>
          <w:szCs w:val="16"/>
          <w:lang w:val="es-CO"/>
        </w:rPr>
      </w:pPr>
      <w:r w:rsidRPr="007608B0">
        <w:rPr>
          <w:rStyle w:val="FootnoteReference"/>
          <w:szCs w:val="16"/>
          <w:lang w:val="es-CO"/>
        </w:rPr>
        <w:footnoteRef/>
      </w:r>
      <w:r w:rsidRPr="0073270A">
        <w:rPr>
          <w:szCs w:val="16"/>
          <w:lang w:val="pt-BR"/>
        </w:rPr>
        <w:t xml:space="preserve"> </w:t>
      </w:r>
      <w:r>
        <w:rPr>
          <w:szCs w:val="16"/>
          <w:lang w:val="pt-BR"/>
        </w:rPr>
        <w:t xml:space="preserve">Anexo 1. </w:t>
      </w:r>
      <w:r w:rsidRPr="0073270A">
        <w:rPr>
          <w:szCs w:val="16"/>
          <w:lang w:val="pt-BR"/>
        </w:rPr>
        <w:t xml:space="preserve">Ministerio Público. Informe Anual 2006. </w:t>
      </w:r>
      <w:r w:rsidRPr="007608B0">
        <w:rPr>
          <w:szCs w:val="16"/>
          <w:lang w:val="es-CO"/>
        </w:rPr>
        <w:t>Presentación del Fiscal General de la República, despacho del Fiscal General de la República</w:t>
      </w:r>
      <w:r>
        <w:rPr>
          <w:szCs w:val="16"/>
          <w:lang w:val="es-CO"/>
        </w:rPr>
        <w:t xml:space="preserve">. Anexo a la petición inicial. </w:t>
      </w:r>
      <w:r w:rsidRPr="007608B0">
        <w:rPr>
          <w:szCs w:val="16"/>
          <w:lang w:val="es-CO"/>
        </w:rPr>
        <w:t xml:space="preserve">Ver también: Defensoría del Pueblo de Venezuela. </w:t>
      </w:r>
      <w:r w:rsidR="00747C92">
        <w:fldChar w:fldCharType="begin"/>
      </w:r>
      <w:r w:rsidR="00747C92" w:rsidRPr="00A34BBD">
        <w:rPr>
          <w:lang w:val="es-UY"/>
        </w:rPr>
        <w:instrText xml:space="preserve"> HYPERLINK "http://www.defensoria.gob.ve/lista.asp?sec=1404080002" </w:instrText>
      </w:r>
      <w:r w:rsidR="00747C92">
        <w:fldChar w:fldCharType="separate"/>
      </w:r>
      <w:r w:rsidRPr="00AB6BE5">
        <w:rPr>
          <w:rStyle w:val="Hyperlink"/>
          <w:szCs w:val="16"/>
          <w:lang w:val="es-CO"/>
        </w:rPr>
        <w:t>Informe: Ajusticiamientos y Desapariciones Forzadas.</w:t>
      </w:r>
      <w:r w:rsidR="00747C92">
        <w:rPr>
          <w:rStyle w:val="Hyperlink"/>
          <w:szCs w:val="16"/>
          <w:lang w:val="es-CO"/>
        </w:rPr>
        <w:fldChar w:fldCharType="end"/>
      </w:r>
      <w:r>
        <w:rPr>
          <w:szCs w:val="16"/>
          <w:lang w:val="es-CO"/>
        </w:rPr>
        <w:t xml:space="preserve"> Anuario 2001</w:t>
      </w:r>
      <w:r w:rsidRPr="007608B0">
        <w:rPr>
          <w:szCs w:val="16"/>
          <w:lang w:val="es-CO"/>
        </w:rPr>
        <w:t xml:space="preserve">; Informe Anual 2002 de la Defensoría del Pueblo de la República Bolivariana de Venezuela; Informe Anual 2003 de la Defensoría del Pueblo de la República Bolivariana de Venezuela; Informe de la Defensoría del Pueblo, Anuario 2003; Informe de la Defensoría del Pueblo, Anuario 2006; Discurso del Fiscal General de la República con motivo de la entrega del Informe Anual de Gestión del año 2005. 25 de abril de 2006; Comisión Nacional para la Reforma Policial (CONAREPOL). Características de la Policía Venezolana Informe Anual del Fiscal de la República de 2007. </w:t>
      </w:r>
    </w:p>
  </w:footnote>
  <w:footnote w:id="5">
    <w:p w14:paraId="2DCFDCFA" w14:textId="77777777" w:rsidR="006B16F4" w:rsidRPr="0073270A" w:rsidRDefault="006B16F4" w:rsidP="00347947">
      <w:pPr>
        <w:pStyle w:val="FootnoteText"/>
        <w:contextualSpacing/>
        <w:jc w:val="both"/>
        <w:rPr>
          <w:szCs w:val="16"/>
          <w:lang w:val="es-ES"/>
        </w:rPr>
      </w:pPr>
      <w:r w:rsidRPr="007608B0">
        <w:rPr>
          <w:rStyle w:val="FootnoteReference"/>
          <w:szCs w:val="16"/>
          <w:lang w:val="es-CO"/>
        </w:rPr>
        <w:footnoteRef/>
      </w:r>
      <w:r>
        <w:rPr>
          <w:szCs w:val="16"/>
          <w:lang w:val="es-CO"/>
        </w:rPr>
        <w:t xml:space="preserve"> </w:t>
      </w:r>
      <w:r w:rsidRPr="007608B0">
        <w:rPr>
          <w:szCs w:val="16"/>
          <w:lang w:val="es-CO"/>
        </w:rPr>
        <w:t xml:space="preserve">Amnistía Internacional. Venezuela. </w:t>
      </w:r>
      <w:r w:rsidR="00747C92">
        <w:fldChar w:fldCharType="begin"/>
      </w:r>
      <w:r w:rsidR="00747C92" w:rsidRPr="00A34BBD">
        <w:rPr>
          <w:lang w:val="es-UY"/>
        </w:rPr>
        <w:instrText xml:space="preserve"> HYPERLINK "http://www.amnesty.org/es/library/asset/AMR53/008/2000/es/2f84ad73-de10-11dd-a3e1-93acb0aa12d8/amr530082000es.html;" </w:instrText>
      </w:r>
      <w:r w:rsidR="00747C92">
        <w:fldChar w:fldCharType="separate"/>
      </w:r>
      <w:r w:rsidRPr="00AB6BE5">
        <w:rPr>
          <w:rStyle w:val="Hyperlink"/>
          <w:szCs w:val="16"/>
          <w:lang w:val="es-CO"/>
        </w:rPr>
        <w:t>LA PROTECCIÓN DE LOS DERECHOS HUMANOS. UNA TAREA INCONCLUSA.</w:t>
      </w:r>
      <w:r w:rsidR="00747C92">
        <w:rPr>
          <w:rStyle w:val="Hyperlink"/>
          <w:szCs w:val="16"/>
          <w:lang w:val="es-CO"/>
        </w:rPr>
        <w:fldChar w:fldCharType="end"/>
      </w:r>
    </w:p>
  </w:footnote>
  <w:footnote w:id="6">
    <w:p w14:paraId="1A5D27D5" w14:textId="77777777" w:rsidR="006B16F4" w:rsidRPr="007608B0" w:rsidRDefault="006B16F4" w:rsidP="00347947">
      <w:pPr>
        <w:pStyle w:val="FootnoteText"/>
        <w:contextualSpacing/>
        <w:jc w:val="both"/>
        <w:rPr>
          <w:szCs w:val="16"/>
          <w:lang w:val="es-CO"/>
        </w:rPr>
      </w:pPr>
      <w:r w:rsidRPr="007608B0">
        <w:rPr>
          <w:rStyle w:val="FootnoteReference"/>
          <w:szCs w:val="16"/>
          <w:lang w:val="es-CO"/>
        </w:rPr>
        <w:footnoteRef/>
      </w:r>
      <w:r w:rsidRPr="007608B0">
        <w:rPr>
          <w:szCs w:val="16"/>
          <w:lang w:val="es-CO"/>
        </w:rPr>
        <w:t xml:space="preserve"> </w:t>
      </w:r>
      <w:r>
        <w:rPr>
          <w:szCs w:val="16"/>
          <w:lang w:val="es-CO"/>
        </w:rPr>
        <w:t>P</w:t>
      </w:r>
      <w:r w:rsidRPr="007608B0">
        <w:rPr>
          <w:szCs w:val="16"/>
          <w:lang w:val="es-CO"/>
        </w:rPr>
        <w:t xml:space="preserve">ROVEA. Informes Anuales disponibles en: </w:t>
      </w:r>
      <w:r w:rsidR="00747C92">
        <w:fldChar w:fldCharType="begin"/>
      </w:r>
      <w:r w:rsidR="00747C92" w:rsidRPr="00A34BBD">
        <w:rPr>
          <w:lang w:val="es-UY"/>
        </w:rPr>
        <w:instrText xml:space="preserve"> HYPERLINK "https://www.derechos.org.ve/" </w:instrText>
      </w:r>
      <w:r w:rsidR="00747C92">
        <w:fldChar w:fldCharType="separate"/>
      </w:r>
      <w:r w:rsidRPr="007608B0">
        <w:rPr>
          <w:rStyle w:val="Hyperlink"/>
          <w:szCs w:val="16"/>
          <w:lang w:val="es-CO"/>
        </w:rPr>
        <w:t>https://www.derechos.org.ve/</w:t>
      </w:r>
      <w:r w:rsidR="00747C92">
        <w:rPr>
          <w:rStyle w:val="Hyperlink"/>
          <w:szCs w:val="16"/>
          <w:lang w:val="es-CO"/>
        </w:rPr>
        <w:fldChar w:fldCharType="end"/>
      </w:r>
      <w:r w:rsidRPr="007608B0">
        <w:rPr>
          <w:szCs w:val="16"/>
          <w:lang w:val="es-CO"/>
        </w:rPr>
        <w:t xml:space="preserve">; Anexo 1. </w:t>
      </w:r>
      <w:r w:rsidR="00747C92">
        <w:fldChar w:fldCharType="begin"/>
      </w:r>
      <w:r w:rsidR="00747C92" w:rsidRPr="00A34BBD">
        <w:rPr>
          <w:lang w:val="es-UY"/>
        </w:rPr>
        <w:instrText xml:space="preserve"> HYPERLINK "https://issuu.com/ddhhcofavic/docs/grupos_parapoliciales_en_vzla_cofavic" </w:instrText>
      </w:r>
      <w:r w:rsidR="00747C92">
        <w:fldChar w:fldCharType="separate"/>
      </w:r>
      <w:r w:rsidRPr="00AB6BE5">
        <w:rPr>
          <w:rStyle w:val="Hyperlink"/>
          <w:szCs w:val="16"/>
          <w:lang w:val="es-CO"/>
        </w:rPr>
        <w:t>COFAVIC/Los grupos parapoliciales en Venezuela, 2005, págs. 28-33</w:t>
      </w:r>
      <w:r w:rsidR="00747C92">
        <w:rPr>
          <w:rStyle w:val="Hyperlink"/>
          <w:szCs w:val="16"/>
          <w:lang w:val="es-CO"/>
        </w:rPr>
        <w:fldChar w:fldCharType="end"/>
      </w:r>
      <w:r w:rsidRPr="007608B0">
        <w:rPr>
          <w:szCs w:val="16"/>
          <w:lang w:val="es-CO"/>
        </w:rPr>
        <w:t xml:space="preserve">; Anexo 3. </w:t>
      </w:r>
      <w:r w:rsidRPr="007608B0">
        <w:rPr>
          <w:rFonts w:cs="Arial"/>
          <w:szCs w:val="16"/>
          <w:lang w:val="es-CO"/>
        </w:rPr>
        <w:t xml:space="preserve">Balance de la Situación de los Derechos Humanos en el Estado Aragua entre julio de 1996 y marzo de 2003, preparado por la Comisión de Derechos Humanos, Justicia y Paz del Estado Aragua; y Anexo 2. Informe elaborado por la </w:t>
      </w:r>
      <w:r w:rsidRPr="007608B0">
        <w:rPr>
          <w:szCs w:val="16"/>
          <w:lang w:val="es-CO"/>
        </w:rPr>
        <w:t xml:space="preserve">Comisión Nacional para la Reforma Policial (CONAREPOL). Características de la Policía Venezolana. 2007. Citados en: Corte IDH. </w:t>
      </w:r>
      <w:r w:rsidRPr="007608B0">
        <w:rPr>
          <w:i/>
          <w:szCs w:val="16"/>
          <w:lang w:val="es-CO"/>
        </w:rPr>
        <w:t>Caso Hermanos Landaeta Mejías y otros vs. Venezuela</w:t>
      </w:r>
      <w:r w:rsidRPr="007608B0">
        <w:rPr>
          <w:szCs w:val="16"/>
          <w:lang w:val="es-CO"/>
        </w:rPr>
        <w:t xml:space="preserve">. Excepciones Preliminares, Fondo, Reparaciones y Costas. Sentencia de 27 de agosto de 2014. Serie C No. 281, párrs. 47-55. </w:t>
      </w:r>
    </w:p>
  </w:footnote>
  <w:footnote w:id="7">
    <w:p w14:paraId="02CDD506" w14:textId="77777777" w:rsidR="006B16F4" w:rsidRPr="007608B0" w:rsidRDefault="006B16F4" w:rsidP="00347947">
      <w:pPr>
        <w:pStyle w:val="FootnoteText"/>
        <w:contextualSpacing/>
        <w:jc w:val="both"/>
        <w:rPr>
          <w:bCs/>
          <w:szCs w:val="16"/>
          <w:lang w:val="es-CO"/>
        </w:rPr>
      </w:pPr>
      <w:r w:rsidRPr="007608B0">
        <w:rPr>
          <w:rStyle w:val="FootnoteReference"/>
          <w:szCs w:val="16"/>
          <w:lang w:val="es-CO"/>
        </w:rPr>
        <w:footnoteRef/>
      </w:r>
      <w:r w:rsidRPr="007608B0">
        <w:rPr>
          <w:szCs w:val="16"/>
          <w:lang w:val="es-CO"/>
        </w:rPr>
        <w:t xml:space="preserve"> Relator Especial de Naciones Unidas sobre las ejecuciones extrajudiciales, sumarias o </w:t>
      </w:r>
      <w:r w:rsidRPr="007608B0">
        <w:rPr>
          <w:rFonts w:cs="Arial"/>
          <w:szCs w:val="16"/>
          <w:lang w:val="es-CO"/>
        </w:rPr>
        <w:t>arbitrarias</w:t>
      </w:r>
      <w:r w:rsidRPr="007608B0">
        <w:rPr>
          <w:szCs w:val="16"/>
          <w:lang w:val="es-CO"/>
        </w:rPr>
        <w:t xml:space="preserve">. Informes ante la Comisión de Derechos Humanos: E-CN.4-1994-7; </w:t>
      </w:r>
      <w:r w:rsidRPr="007608B0">
        <w:rPr>
          <w:rFonts w:cs="Courier"/>
          <w:szCs w:val="16"/>
          <w:lang w:val="es-CO"/>
        </w:rPr>
        <w:t xml:space="preserve">E/CN.4/1998/68/Add.1; </w:t>
      </w:r>
      <w:r w:rsidRPr="007608B0">
        <w:rPr>
          <w:rFonts w:cs="Courier New"/>
          <w:szCs w:val="16"/>
          <w:lang w:val="es-CO"/>
        </w:rPr>
        <w:t xml:space="preserve">E/CN.4/1999/39/Add.1; </w:t>
      </w:r>
      <w:r w:rsidRPr="007608B0">
        <w:rPr>
          <w:szCs w:val="16"/>
          <w:lang w:val="es-CO"/>
        </w:rPr>
        <w:t>E/CN.4/2001/9/Add.1; E/CN.4</w:t>
      </w:r>
      <w:r w:rsidRPr="007608B0">
        <w:rPr>
          <w:bCs/>
          <w:szCs w:val="16"/>
          <w:lang w:val="es-CO"/>
        </w:rPr>
        <w:t>/</w:t>
      </w:r>
      <w:r w:rsidRPr="007608B0">
        <w:rPr>
          <w:szCs w:val="16"/>
          <w:lang w:val="es-CO"/>
        </w:rPr>
        <w:t xml:space="preserve">2003/3/Add.1; </w:t>
      </w:r>
      <w:r w:rsidRPr="007608B0">
        <w:rPr>
          <w:rFonts w:cs="TimesNewRoman"/>
          <w:szCs w:val="16"/>
          <w:lang w:val="es-CO"/>
        </w:rPr>
        <w:t>E/CN.4/2004/7/Add.1</w:t>
      </w:r>
      <w:r w:rsidR="00747C92">
        <w:fldChar w:fldCharType="begin"/>
      </w:r>
      <w:r w:rsidR="00747C92" w:rsidRPr="00A34BBD">
        <w:rPr>
          <w:lang w:val="es-UY"/>
        </w:rPr>
        <w:instrText xml:space="preserve"> HYPERLINK "http://daccess-dds-ny.un.org/doc/UNDOC/GEN/N00/604/84/PDF/N0060484.pdf?OpenElement." </w:instrText>
      </w:r>
      <w:r w:rsidR="00747C92">
        <w:fldChar w:fldCharType="separate"/>
      </w:r>
      <w:r w:rsidRPr="0033594A">
        <w:rPr>
          <w:rStyle w:val="Hyperlink"/>
          <w:rFonts w:cs="TimesNewRoman"/>
          <w:szCs w:val="16"/>
          <w:lang w:val="es-CO"/>
        </w:rPr>
        <w:t>. Informes ante la Asamblea General de Naciones Unidas,</w:t>
      </w:r>
      <w:r w:rsidRPr="0033594A">
        <w:rPr>
          <w:rStyle w:val="Hyperlink"/>
          <w:szCs w:val="16"/>
          <w:lang w:val="es-CO"/>
        </w:rPr>
        <w:t xml:space="preserve"> ver: A/55/288, de 11 de agosto de 2000.</w:t>
      </w:r>
      <w:r w:rsidR="00747C92">
        <w:rPr>
          <w:rStyle w:val="Hyperlink"/>
          <w:szCs w:val="16"/>
          <w:lang w:val="es-CO"/>
        </w:rPr>
        <w:fldChar w:fldCharType="end"/>
      </w:r>
      <w:r>
        <w:rPr>
          <w:szCs w:val="16"/>
          <w:lang w:val="es-CO"/>
        </w:rPr>
        <w:t xml:space="preserve"> </w:t>
      </w:r>
      <w:proofErr w:type="spellStart"/>
      <w:r>
        <w:rPr>
          <w:szCs w:val="16"/>
          <w:lang w:val="es-CO"/>
        </w:rPr>
        <w:t>Dis</w:t>
      </w:r>
      <w:proofErr w:type="spellEnd"/>
    </w:p>
  </w:footnote>
  <w:footnote w:id="8">
    <w:p w14:paraId="2D71F4F6" w14:textId="77777777" w:rsidR="006B16F4" w:rsidRPr="007608B0" w:rsidRDefault="006B16F4" w:rsidP="00347947">
      <w:pPr>
        <w:pStyle w:val="FootnoteText"/>
        <w:contextualSpacing/>
        <w:jc w:val="both"/>
        <w:rPr>
          <w:szCs w:val="16"/>
          <w:lang w:val="es-CO"/>
        </w:rPr>
      </w:pPr>
      <w:r w:rsidRPr="007608B0">
        <w:rPr>
          <w:rStyle w:val="FootnoteReference"/>
          <w:szCs w:val="16"/>
          <w:lang w:val="es-CO"/>
        </w:rPr>
        <w:footnoteRef/>
      </w:r>
      <w:r w:rsidRPr="007608B0">
        <w:rPr>
          <w:szCs w:val="16"/>
          <w:lang w:val="es-CO"/>
        </w:rPr>
        <w:t xml:space="preserve"> </w:t>
      </w:r>
      <w:r>
        <w:rPr>
          <w:szCs w:val="16"/>
          <w:lang w:val="es-CO"/>
        </w:rPr>
        <w:t>UN CCPR. Observaciones finales del Comité de Derechos Humanos. VENEZUELA. CCPR/CO/71/VEN. 26 de abril de 2001. Párr. 7.</w:t>
      </w:r>
    </w:p>
  </w:footnote>
  <w:footnote w:id="9">
    <w:p w14:paraId="07CF5A8A" w14:textId="77777777" w:rsidR="006B16F4" w:rsidRPr="00587C3F" w:rsidRDefault="006B16F4" w:rsidP="006B366A">
      <w:pPr>
        <w:pStyle w:val="FootnoteText"/>
        <w:contextualSpacing/>
        <w:jc w:val="both"/>
        <w:rPr>
          <w:szCs w:val="16"/>
          <w:lang w:val="es-CO"/>
        </w:rPr>
      </w:pPr>
      <w:r w:rsidRPr="00587C3F">
        <w:rPr>
          <w:rStyle w:val="FootnoteReference"/>
          <w:szCs w:val="16"/>
          <w:lang w:val="es-CO"/>
        </w:rPr>
        <w:footnoteRef/>
      </w:r>
      <w:r w:rsidRPr="004004D7">
        <w:rPr>
          <w:szCs w:val="16"/>
          <w:lang w:val="es-ES"/>
        </w:rPr>
        <w:t xml:space="preserve"> Ver: CIDH. Informe Anual de 2005. </w:t>
      </w:r>
      <w:r w:rsidRPr="00587C3F">
        <w:rPr>
          <w:szCs w:val="16"/>
          <w:lang w:val="es-VE"/>
        </w:rPr>
        <w:t xml:space="preserve">Capítulo IV sobre Venezuela. Apartado sobre la situación de impunidad, en particular frente al caso de ejecuciones extrajudiciales; </w:t>
      </w:r>
      <w:r w:rsidRPr="00587C3F">
        <w:rPr>
          <w:szCs w:val="16"/>
          <w:lang w:val="es-CO"/>
        </w:rPr>
        <w:t xml:space="preserve">CIDH. Informe Anual de 2004. Capítulo V. </w:t>
      </w:r>
      <w:r w:rsidRPr="00587C3F">
        <w:rPr>
          <w:i/>
          <w:szCs w:val="16"/>
          <w:lang w:val="es-CO"/>
        </w:rPr>
        <w:t>Informe de seguimiento sobre el cumplimiento por el Estado de la República Bolivariana de Venezuela de las recomendaciones efectuadas por la CIDH en el Informe sobre la Situación de Derechos Humanos en Venezuela</w:t>
      </w:r>
      <w:r w:rsidRPr="00587C3F">
        <w:rPr>
          <w:szCs w:val="16"/>
          <w:lang w:val="es-CO"/>
        </w:rPr>
        <w:t xml:space="preserve"> (2003), párr. 144; y CIDH. </w:t>
      </w:r>
      <w:r w:rsidRPr="00587C3F">
        <w:rPr>
          <w:i/>
          <w:szCs w:val="16"/>
          <w:lang w:val="es-CO"/>
        </w:rPr>
        <w:t>Informe sobre la situación de derechos humanos en Venezuela</w:t>
      </w:r>
      <w:r w:rsidRPr="00587C3F">
        <w:rPr>
          <w:szCs w:val="16"/>
          <w:lang w:val="es-CO"/>
        </w:rPr>
        <w:t xml:space="preserve">, 24 de octubre de 2003, párrs. 321 – 343. En los años subsiguientes, la CIDH ha continuado dando seguimiento a esta grave problemática tanto en su informe sobre </w:t>
      </w:r>
      <w:r w:rsidRPr="00587C3F">
        <w:rPr>
          <w:i/>
          <w:szCs w:val="16"/>
          <w:lang w:val="es-CO"/>
        </w:rPr>
        <w:t>Democracia y Derechos Humanos en Venezuela</w:t>
      </w:r>
      <w:r w:rsidRPr="00587C3F">
        <w:rPr>
          <w:szCs w:val="16"/>
          <w:lang w:val="es-CO"/>
        </w:rPr>
        <w:t xml:space="preserve"> del año 2009, como a través de audiencias públicas, en sus informes anuales y casos individuales, verificando que hasta la actualidad, persisten las denuncias sobre la existencia de este fenómeno en Venezuela. Ver: CIDH. </w:t>
      </w:r>
      <w:r w:rsidRPr="00587C3F">
        <w:rPr>
          <w:i/>
          <w:szCs w:val="16"/>
          <w:lang w:val="es-CO"/>
        </w:rPr>
        <w:t>Democracia y Derechos Humanos en Venezuela</w:t>
      </w:r>
      <w:r w:rsidRPr="00587C3F">
        <w:rPr>
          <w:szCs w:val="16"/>
          <w:lang w:val="es-CO"/>
        </w:rPr>
        <w:t xml:space="preserve">. 30 de diciembre de 2009, párrs. 35, 756 y 789; CIDH, Informe Anual de 2016. Capítulo IV sobre Venezuela. Apartado sobre Situación de seguridad ciudadana; CIDH. Informe Anual de 2015. Capítulo IV sobre Venezuela. Apartado sobre situación de violencia y seguridad ciudadana; CIDH, Informe Anual de 2013. Capítulo IV sobre Venezuela. Apartado sobre Alegada violencia por parte de miembros de la Fuerza Pública; y CIDH. </w:t>
      </w:r>
      <w:r w:rsidRPr="00587C3F">
        <w:rPr>
          <w:i/>
          <w:szCs w:val="16"/>
          <w:lang w:val="es-CO"/>
        </w:rPr>
        <w:t>Institucionalidad democrática, Estado de Derecho y derechos humanos en Venezuela</w:t>
      </w:r>
      <w:r w:rsidRPr="00587C3F">
        <w:rPr>
          <w:szCs w:val="16"/>
          <w:lang w:val="es-CO"/>
        </w:rPr>
        <w:t xml:space="preserve">. Informe de país. 31 de diciembre de 2017.  </w:t>
      </w:r>
    </w:p>
  </w:footnote>
  <w:footnote w:id="10">
    <w:p w14:paraId="38D10A18" w14:textId="77777777" w:rsidR="006B16F4" w:rsidRPr="007608B0" w:rsidRDefault="006B16F4" w:rsidP="008E6940">
      <w:pPr>
        <w:pStyle w:val="FootnoteText"/>
        <w:contextualSpacing/>
        <w:jc w:val="both"/>
        <w:rPr>
          <w:szCs w:val="16"/>
          <w:lang w:val="es-CO"/>
        </w:rPr>
      </w:pPr>
      <w:r w:rsidRPr="007608B0">
        <w:rPr>
          <w:rStyle w:val="FootnoteReference"/>
          <w:szCs w:val="16"/>
          <w:lang w:val="es-CO"/>
        </w:rPr>
        <w:footnoteRef/>
      </w:r>
      <w:r w:rsidRPr="004004D7">
        <w:rPr>
          <w:szCs w:val="16"/>
          <w:lang w:val="es-ES"/>
        </w:rPr>
        <w:t xml:space="preserve"> Ver: CIDH. </w:t>
      </w:r>
      <w:r w:rsidRPr="007608B0">
        <w:rPr>
          <w:i/>
          <w:szCs w:val="16"/>
          <w:lang w:val="es-CO"/>
        </w:rPr>
        <w:t>Informe sobre la situación de derechos humanos en Venezuela</w:t>
      </w:r>
      <w:r w:rsidRPr="007608B0">
        <w:rPr>
          <w:szCs w:val="16"/>
          <w:lang w:val="es-CO"/>
        </w:rPr>
        <w:t>, 24 de octubre de 2003, párrs. 321 – 343.</w:t>
      </w:r>
    </w:p>
  </w:footnote>
  <w:footnote w:id="11">
    <w:p w14:paraId="467D09C5" w14:textId="77777777" w:rsidR="006B16F4" w:rsidRPr="007608B0" w:rsidRDefault="006B16F4" w:rsidP="006B366A">
      <w:pPr>
        <w:pStyle w:val="FootnoteText"/>
        <w:contextualSpacing/>
        <w:jc w:val="both"/>
        <w:rPr>
          <w:szCs w:val="16"/>
          <w:lang w:val="es-CO"/>
        </w:rPr>
      </w:pPr>
      <w:r w:rsidRPr="007608B0">
        <w:rPr>
          <w:rStyle w:val="FootnoteReference"/>
          <w:szCs w:val="16"/>
          <w:lang w:val="es-CO"/>
        </w:rPr>
        <w:footnoteRef/>
      </w:r>
      <w:r w:rsidRPr="007608B0">
        <w:rPr>
          <w:szCs w:val="16"/>
          <w:lang w:val="es-CO"/>
        </w:rPr>
        <w:t xml:space="preserve"> </w:t>
      </w:r>
      <w:r w:rsidRPr="007608B0">
        <w:rPr>
          <w:rFonts w:cs="Arial"/>
          <w:szCs w:val="16"/>
          <w:lang w:val="es-CO"/>
        </w:rPr>
        <w:t xml:space="preserve">Balance de la Situación de los Derechos Humanos en el Estado Aragua entre julio de 1996 y marzo de 2003, preparado por la Comisión de Derechos Humanos, Justicia y Paz del Estado Aragua. Citado en: CIDH. Informe No. 58/12. Caso 12.606. Fondo. </w:t>
      </w:r>
      <w:r w:rsidRPr="007608B0">
        <w:rPr>
          <w:rFonts w:cs="Arial"/>
          <w:i/>
          <w:szCs w:val="16"/>
          <w:lang w:val="es-CO"/>
        </w:rPr>
        <w:t>Hermanos Landaeta Mejías</w:t>
      </w:r>
      <w:r w:rsidRPr="007608B0">
        <w:rPr>
          <w:rFonts w:cs="Arial"/>
          <w:szCs w:val="16"/>
          <w:lang w:val="es-CO"/>
        </w:rPr>
        <w:t xml:space="preserve">. Venezuela. 21 de marzo de 2012. </w:t>
      </w:r>
    </w:p>
  </w:footnote>
  <w:footnote w:id="12">
    <w:p w14:paraId="45EC963E" w14:textId="77777777" w:rsidR="006B16F4" w:rsidRPr="001B1056" w:rsidRDefault="006B16F4">
      <w:pPr>
        <w:pStyle w:val="FootnoteText"/>
        <w:rPr>
          <w:szCs w:val="16"/>
          <w:lang w:val="es-ES"/>
        </w:rPr>
      </w:pPr>
      <w:r w:rsidRPr="001B1056">
        <w:rPr>
          <w:rStyle w:val="FootnoteReference"/>
          <w:szCs w:val="16"/>
        </w:rPr>
        <w:footnoteRef/>
      </w:r>
      <w:r w:rsidRPr="001B1056">
        <w:rPr>
          <w:szCs w:val="16"/>
          <w:lang w:val="es-ES"/>
        </w:rPr>
        <w:t xml:space="preserve"> </w:t>
      </w:r>
      <w:r w:rsidRPr="007608B0">
        <w:rPr>
          <w:szCs w:val="16"/>
          <w:lang w:val="es-CO"/>
        </w:rPr>
        <w:t xml:space="preserve">Ver: </w:t>
      </w:r>
      <w:r w:rsidR="00747C92">
        <w:fldChar w:fldCharType="begin"/>
      </w:r>
      <w:r w:rsidR="00747C92" w:rsidRPr="00A34BBD">
        <w:rPr>
          <w:lang w:val="es-UY"/>
        </w:rPr>
        <w:instrText xml:space="preserve"> HYPERLINK "https://issuu.com/ddhhcofavic/docs/grupos_parapoliciales_en_vzla_cofavic" </w:instrText>
      </w:r>
      <w:r w:rsidR="00747C92">
        <w:fldChar w:fldCharType="separate"/>
      </w:r>
      <w:r>
        <w:rPr>
          <w:rStyle w:val="Hyperlink"/>
          <w:szCs w:val="16"/>
          <w:lang w:val="es-CO"/>
        </w:rPr>
        <w:t>COFAVIC/Los grupos parapoliciales en Venezuela, 2005, pág. 25.</w:t>
      </w:r>
      <w:r w:rsidR="00747C92">
        <w:rPr>
          <w:rStyle w:val="Hyperlink"/>
          <w:szCs w:val="16"/>
          <w:lang w:val="es-CO"/>
        </w:rPr>
        <w:fldChar w:fldCharType="end"/>
      </w:r>
    </w:p>
  </w:footnote>
  <w:footnote w:id="13">
    <w:p w14:paraId="204CB3E6" w14:textId="77777777" w:rsidR="006B16F4" w:rsidRPr="007608B0" w:rsidRDefault="006B16F4" w:rsidP="00843162">
      <w:pPr>
        <w:pStyle w:val="FootnoteText"/>
        <w:contextualSpacing/>
        <w:jc w:val="both"/>
        <w:rPr>
          <w:szCs w:val="16"/>
          <w:lang w:val="es-CO"/>
        </w:rPr>
      </w:pPr>
      <w:r w:rsidRPr="007608B0">
        <w:rPr>
          <w:rStyle w:val="FootnoteReference"/>
          <w:szCs w:val="16"/>
          <w:lang w:val="es-CO"/>
        </w:rPr>
        <w:footnoteRef/>
      </w:r>
      <w:r>
        <w:rPr>
          <w:szCs w:val="16"/>
          <w:lang w:val="es-CO"/>
        </w:rPr>
        <w:t xml:space="preserve"> </w:t>
      </w:r>
      <w:r w:rsidRPr="007608B0">
        <w:rPr>
          <w:szCs w:val="16"/>
          <w:lang w:val="es-CO"/>
        </w:rPr>
        <w:t xml:space="preserve">Ver: </w:t>
      </w:r>
      <w:r w:rsidR="00747C92">
        <w:fldChar w:fldCharType="begin"/>
      </w:r>
      <w:r w:rsidR="00747C92" w:rsidRPr="00A34BBD">
        <w:rPr>
          <w:lang w:val="es-UY"/>
        </w:rPr>
        <w:instrText xml:space="preserve"> HYPERLINK "https://issuu.com/ddhhcofavic/docs/grupos_parapoliciales_en_vzla_cofavic" </w:instrText>
      </w:r>
      <w:r w:rsidR="00747C92">
        <w:fldChar w:fldCharType="separate"/>
      </w:r>
      <w:r w:rsidRPr="006B366A">
        <w:rPr>
          <w:rStyle w:val="Hyperlink"/>
          <w:szCs w:val="16"/>
          <w:lang w:val="es-CO"/>
        </w:rPr>
        <w:t>COFAVIC/Los grupos parapoliciales en Venezuela, 2005, págs. 28-33.</w:t>
      </w:r>
      <w:r w:rsidR="00747C92">
        <w:rPr>
          <w:rStyle w:val="Hyperlink"/>
          <w:szCs w:val="16"/>
          <w:lang w:val="es-CO"/>
        </w:rPr>
        <w:fldChar w:fldCharType="end"/>
      </w:r>
    </w:p>
  </w:footnote>
  <w:footnote w:id="14">
    <w:p w14:paraId="399E3D32" w14:textId="77777777" w:rsidR="006B16F4" w:rsidRPr="007608B0" w:rsidRDefault="006B16F4" w:rsidP="00843162">
      <w:pPr>
        <w:pStyle w:val="FootnoteText"/>
        <w:contextualSpacing/>
        <w:jc w:val="both"/>
        <w:rPr>
          <w:szCs w:val="16"/>
          <w:lang w:val="es-CO"/>
        </w:rPr>
      </w:pPr>
      <w:r w:rsidRPr="007608B0">
        <w:rPr>
          <w:rStyle w:val="FootnoteReference"/>
          <w:szCs w:val="16"/>
          <w:lang w:val="es-CO"/>
        </w:rPr>
        <w:footnoteRef/>
      </w:r>
      <w:r w:rsidRPr="007608B0">
        <w:rPr>
          <w:szCs w:val="16"/>
          <w:lang w:val="es-CO"/>
        </w:rPr>
        <w:t xml:space="preserve">  Ver: </w:t>
      </w:r>
      <w:r w:rsidR="00747C92">
        <w:fldChar w:fldCharType="begin"/>
      </w:r>
      <w:r w:rsidR="00747C92" w:rsidRPr="00A34BBD">
        <w:rPr>
          <w:lang w:val="es-UY"/>
        </w:rPr>
        <w:instrText xml:space="preserve"> HYPERLINK "http://www.defensoria.gob.ve/lista.asp?sec=1404080002" </w:instrText>
      </w:r>
      <w:r w:rsidR="00747C92">
        <w:fldChar w:fldCharType="separate"/>
      </w:r>
      <w:r w:rsidRPr="006B366A">
        <w:rPr>
          <w:rStyle w:val="Hyperlink"/>
          <w:szCs w:val="16"/>
          <w:lang w:val="es-CO"/>
        </w:rPr>
        <w:t>Defensoría del Pueblo de Venezuela. Informe: Ajusticiamientos y Desapariciones Forzadas. Anuario 2001.</w:t>
      </w:r>
      <w:r w:rsidR="00747C92">
        <w:rPr>
          <w:rStyle w:val="Hyperlink"/>
          <w:szCs w:val="16"/>
          <w:lang w:val="es-CO"/>
        </w:rPr>
        <w:fldChar w:fldCharType="end"/>
      </w:r>
      <w:r>
        <w:rPr>
          <w:szCs w:val="16"/>
          <w:lang w:val="es-CO"/>
        </w:rPr>
        <w:t xml:space="preserve">; </w:t>
      </w:r>
      <w:r w:rsidRPr="007608B0">
        <w:rPr>
          <w:rFonts w:cs="Arial"/>
          <w:szCs w:val="16"/>
          <w:lang w:val="es-CO"/>
        </w:rPr>
        <w:t xml:space="preserve">CIDH. Informe No. 11/10. Caso 12.488. Fondo. Miembros de la Familia Barrios. Venezuela. 16 de marzo de 2010. </w:t>
      </w:r>
    </w:p>
  </w:footnote>
  <w:footnote w:id="15">
    <w:p w14:paraId="069E7B50" w14:textId="5147230A" w:rsidR="006B16F4" w:rsidRPr="007608B0" w:rsidRDefault="006B16F4" w:rsidP="00E76BDE">
      <w:pPr>
        <w:pStyle w:val="FootnoteText"/>
        <w:contextualSpacing/>
        <w:jc w:val="both"/>
        <w:rPr>
          <w:szCs w:val="16"/>
          <w:lang w:val="es-CO"/>
        </w:rPr>
      </w:pPr>
      <w:r w:rsidRPr="007608B0">
        <w:rPr>
          <w:rStyle w:val="FootnoteReference"/>
          <w:szCs w:val="16"/>
          <w:lang w:val="es-CO"/>
        </w:rPr>
        <w:footnoteRef/>
      </w:r>
      <w:r w:rsidRPr="004004D7">
        <w:rPr>
          <w:szCs w:val="16"/>
          <w:lang w:val="es-ES"/>
        </w:rPr>
        <w:t xml:space="preserve"> </w:t>
      </w:r>
      <w:r w:rsidRPr="007608B0">
        <w:rPr>
          <w:rFonts w:cs="Arial"/>
          <w:szCs w:val="16"/>
          <w:lang w:val="es-CO"/>
        </w:rPr>
        <w:t xml:space="preserve">CIDH. Informe No. 11/10. Caso 12.488. Fondo. Miembros de la Familia Barrios. Venezuela. 16 de marzo de 2010. </w:t>
      </w:r>
    </w:p>
  </w:footnote>
  <w:footnote w:id="16">
    <w:p w14:paraId="08ED5EDE" w14:textId="77777777" w:rsidR="006B16F4" w:rsidRPr="007608B0" w:rsidRDefault="006B16F4" w:rsidP="00E76BDE">
      <w:pPr>
        <w:pStyle w:val="FootnoteText"/>
        <w:contextualSpacing/>
        <w:jc w:val="both"/>
        <w:rPr>
          <w:szCs w:val="16"/>
          <w:lang w:val="es-CO"/>
        </w:rPr>
      </w:pPr>
      <w:r w:rsidRPr="007608B0">
        <w:rPr>
          <w:rStyle w:val="FootnoteReference"/>
          <w:szCs w:val="16"/>
          <w:lang w:val="es-CO"/>
        </w:rPr>
        <w:footnoteRef/>
      </w:r>
      <w:r w:rsidRPr="007608B0">
        <w:rPr>
          <w:szCs w:val="16"/>
          <w:lang w:val="es-CO"/>
        </w:rPr>
        <w:t xml:space="preserve"> Corte IDH. </w:t>
      </w:r>
      <w:r w:rsidRPr="007608B0">
        <w:rPr>
          <w:i/>
          <w:szCs w:val="16"/>
          <w:lang w:val="es-CO"/>
        </w:rPr>
        <w:t>Hermanos Landaeta Mejías y otros vs. Venezuela</w:t>
      </w:r>
      <w:r w:rsidRPr="007608B0">
        <w:rPr>
          <w:szCs w:val="16"/>
          <w:lang w:val="es-CO"/>
        </w:rPr>
        <w:t xml:space="preserve">. Excepciones preliminares, Fondo, Reparaciones y Costas. Sentencia de 27 de agosto de 2014. Serie C No. 281, párr. 47. </w:t>
      </w:r>
    </w:p>
  </w:footnote>
  <w:footnote w:id="17">
    <w:p w14:paraId="155D23F9" w14:textId="77777777" w:rsidR="006B16F4" w:rsidRPr="00965FBD" w:rsidRDefault="006B16F4">
      <w:pPr>
        <w:pStyle w:val="FootnoteText"/>
        <w:rPr>
          <w:lang w:val="es-ES"/>
        </w:rPr>
      </w:pPr>
      <w:r>
        <w:rPr>
          <w:rStyle w:val="FootnoteReference"/>
        </w:rPr>
        <w:footnoteRef/>
      </w:r>
      <w:r w:rsidRPr="00965FBD">
        <w:rPr>
          <w:lang w:val="es-ES"/>
        </w:rPr>
        <w:t xml:space="preserve"> </w:t>
      </w:r>
      <w:r>
        <w:rPr>
          <w:lang w:val="es-ES"/>
        </w:rPr>
        <w:t xml:space="preserve">CIDH. Informe No. 88/10. Caso 12.6661. Fondo. Néstor José y Luis Uzcátegui y otros. Venezuela. 14 de julio de 2010. Párr. 95  y ss. </w:t>
      </w:r>
    </w:p>
  </w:footnote>
  <w:footnote w:id="18">
    <w:p w14:paraId="3139B936" w14:textId="36CA815D" w:rsidR="006B16F4" w:rsidRPr="007608B0" w:rsidRDefault="006B16F4" w:rsidP="00843162">
      <w:pPr>
        <w:pStyle w:val="FootnoteText"/>
        <w:contextualSpacing/>
        <w:jc w:val="both"/>
        <w:rPr>
          <w:szCs w:val="16"/>
          <w:lang w:val="es-CO"/>
        </w:rPr>
      </w:pPr>
      <w:r w:rsidRPr="007608B0">
        <w:rPr>
          <w:rStyle w:val="FootnoteReference"/>
          <w:szCs w:val="16"/>
          <w:lang w:val="es-CO"/>
        </w:rPr>
        <w:footnoteRef/>
      </w:r>
      <w:r w:rsidRPr="007608B0">
        <w:rPr>
          <w:szCs w:val="16"/>
          <w:lang w:val="es-CO"/>
        </w:rPr>
        <w:t xml:space="preserve"> Corte IDH. </w:t>
      </w:r>
      <w:r>
        <w:rPr>
          <w:i/>
          <w:szCs w:val="16"/>
          <w:lang w:val="es-CO"/>
        </w:rPr>
        <w:t>Caso Uz</w:t>
      </w:r>
      <w:r w:rsidRPr="007608B0">
        <w:rPr>
          <w:i/>
          <w:szCs w:val="16"/>
          <w:lang w:val="es-CO"/>
        </w:rPr>
        <w:t>cátegui y otros vs. Venezuela</w:t>
      </w:r>
      <w:r w:rsidRPr="007608B0">
        <w:rPr>
          <w:szCs w:val="16"/>
          <w:lang w:val="es-CO"/>
        </w:rPr>
        <w:t xml:space="preserve">. Fondo y Reparaciones. Sentencia de 3 de septiembre de 2012. Serie C No. 249, párr. 35. </w:t>
      </w:r>
    </w:p>
  </w:footnote>
  <w:footnote w:id="19">
    <w:p w14:paraId="0E831779" w14:textId="77777777" w:rsidR="006B16F4" w:rsidRPr="009B35E6" w:rsidRDefault="006B16F4" w:rsidP="00775BC9">
      <w:pPr>
        <w:pStyle w:val="FootnoteText"/>
        <w:rPr>
          <w:lang w:val="es-ES"/>
        </w:rPr>
      </w:pPr>
      <w:r>
        <w:rPr>
          <w:rStyle w:val="FootnoteReference"/>
        </w:rPr>
        <w:footnoteRef/>
      </w:r>
      <w:r w:rsidRPr="009B35E6">
        <w:rPr>
          <w:lang w:val="es-ES"/>
        </w:rPr>
        <w:t xml:space="preserve"> </w:t>
      </w:r>
      <w:r w:rsidR="00747C92">
        <w:fldChar w:fldCharType="begin"/>
      </w:r>
      <w:r w:rsidR="00747C92" w:rsidRPr="00A34BBD">
        <w:rPr>
          <w:lang w:val="es-UY"/>
        </w:rPr>
        <w:instrText xml:space="preserve"> HYPERLINK "https://issuu.com/ddhhcofavic/docs/grupos_parapoliciales_en_vzla_cofavic" </w:instrText>
      </w:r>
      <w:r w:rsidR="00747C92">
        <w:fldChar w:fldCharType="separate"/>
      </w:r>
      <w:r>
        <w:rPr>
          <w:rStyle w:val="Hyperlink"/>
          <w:szCs w:val="16"/>
          <w:lang w:val="es-CO"/>
        </w:rPr>
        <w:t>COFAVIC/Los grupos parapoliciales en Venezuela, 2005.</w:t>
      </w:r>
      <w:r w:rsidR="00747C92">
        <w:rPr>
          <w:rStyle w:val="Hyperlink"/>
          <w:szCs w:val="16"/>
          <w:lang w:val="es-CO"/>
        </w:rPr>
        <w:fldChar w:fldCharType="end"/>
      </w:r>
    </w:p>
  </w:footnote>
  <w:footnote w:id="20">
    <w:p w14:paraId="5628420A" w14:textId="04C14C3B" w:rsidR="006B16F4" w:rsidRPr="007608B0" w:rsidRDefault="006B16F4" w:rsidP="00843162">
      <w:pPr>
        <w:pStyle w:val="FootnoteText"/>
        <w:contextualSpacing/>
        <w:rPr>
          <w:szCs w:val="16"/>
          <w:lang w:val="es-CO"/>
        </w:rPr>
      </w:pPr>
      <w:r w:rsidRPr="007608B0">
        <w:rPr>
          <w:rStyle w:val="FootnoteReference"/>
          <w:szCs w:val="16"/>
        </w:rPr>
        <w:footnoteRef/>
      </w:r>
      <w:r>
        <w:rPr>
          <w:szCs w:val="16"/>
          <w:lang w:val="es-CO"/>
        </w:rPr>
        <w:t xml:space="preserve"> P</w:t>
      </w:r>
      <w:r w:rsidRPr="007608B0">
        <w:rPr>
          <w:rFonts w:eastAsia="Arial Unicode MS" w:cs="Times New Roman"/>
          <w:szCs w:val="16"/>
          <w:lang w:val="es-CO" w:eastAsia="en-US"/>
        </w:rPr>
        <w:t>etición inicial de 10 de marzo de 2008</w:t>
      </w:r>
      <w:r>
        <w:rPr>
          <w:rFonts w:eastAsia="Arial Unicode MS" w:cs="Times New Roman"/>
          <w:szCs w:val="16"/>
          <w:lang w:val="es-CO" w:eastAsia="en-US"/>
        </w:rPr>
        <w:t>.</w:t>
      </w:r>
    </w:p>
  </w:footnote>
  <w:footnote w:id="21">
    <w:p w14:paraId="617A659A" w14:textId="2139729E" w:rsidR="006B16F4" w:rsidRPr="000B76A6" w:rsidRDefault="006B16F4" w:rsidP="00843162">
      <w:pPr>
        <w:pStyle w:val="FootnoteText"/>
        <w:contextualSpacing/>
        <w:rPr>
          <w:szCs w:val="16"/>
          <w:lang w:val="es-ES"/>
        </w:rPr>
      </w:pPr>
      <w:r w:rsidRPr="007608B0">
        <w:rPr>
          <w:rStyle w:val="FootnoteReference"/>
          <w:szCs w:val="16"/>
        </w:rPr>
        <w:footnoteRef/>
      </w:r>
      <w:r w:rsidRPr="007608B0">
        <w:rPr>
          <w:szCs w:val="16"/>
          <w:lang w:val="es-CO"/>
        </w:rPr>
        <w:t xml:space="preserve"> </w:t>
      </w:r>
      <w:r>
        <w:rPr>
          <w:szCs w:val="16"/>
          <w:lang w:val="es-CO"/>
        </w:rPr>
        <w:t>P</w:t>
      </w:r>
      <w:r w:rsidRPr="007608B0">
        <w:rPr>
          <w:rFonts w:eastAsia="Arial Unicode MS" w:cs="Times New Roman"/>
          <w:szCs w:val="16"/>
          <w:lang w:val="es-CO" w:eastAsia="en-US"/>
        </w:rPr>
        <w:t>etición inicial de 10 de marzo de 2008</w:t>
      </w:r>
      <w:r>
        <w:rPr>
          <w:rFonts w:eastAsia="Arial Unicode MS" w:cs="Times New Roman"/>
          <w:szCs w:val="16"/>
          <w:lang w:val="es-CO" w:eastAsia="en-US"/>
        </w:rPr>
        <w:t>.</w:t>
      </w:r>
    </w:p>
  </w:footnote>
  <w:footnote w:id="22">
    <w:p w14:paraId="2F98BB55" w14:textId="17F280EF" w:rsidR="006B16F4" w:rsidRPr="007608B0" w:rsidRDefault="006B16F4" w:rsidP="00843162">
      <w:pPr>
        <w:pStyle w:val="FootnoteText"/>
        <w:contextualSpacing/>
        <w:jc w:val="both"/>
        <w:rPr>
          <w:szCs w:val="16"/>
          <w:lang w:val="es-CO"/>
        </w:rPr>
      </w:pPr>
      <w:r w:rsidRPr="00FE446E">
        <w:rPr>
          <w:rStyle w:val="FootnoteReference"/>
          <w:szCs w:val="16"/>
          <w:lang w:val="es-CO"/>
        </w:rPr>
        <w:footnoteRef/>
      </w:r>
      <w:r w:rsidRPr="000B76A6">
        <w:rPr>
          <w:szCs w:val="16"/>
          <w:lang w:val="es-ES"/>
        </w:rPr>
        <w:t xml:space="preserve">  Anexo 2. CICPC. Acta Policial. </w:t>
      </w:r>
      <w:r>
        <w:rPr>
          <w:szCs w:val="16"/>
          <w:lang w:val="es-CO"/>
        </w:rPr>
        <w:t xml:space="preserve">Región Falcón. Delegación de Punto Fijo. 30 de marzo de 2003. Anexo a la petición inicial. </w:t>
      </w:r>
    </w:p>
  </w:footnote>
  <w:footnote w:id="23">
    <w:p w14:paraId="1157856C" w14:textId="0F3BD960" w:rsidR="006B16F4" w:rsidRPr="007608B0" w:rsidRDefault="006B16F4" w:rsidP="00843162">
      <w:pPr>
        <w:pStyle w:val="FootnoteText"/>
        <w:contextualSpacing/>
        <w:jc w:val="both"/>
        <w:rPr>
          <w:szCs w:val="16"/>
          <w:lang w:val="es-CO"/>
        </w:rPr>
      </w:pPr>
      <w:r w:rsidRPr="007608B0">
        <w:rPr>
          <w:rStyle w:val="FootnoteReference"/>
          <w:szCs w:val="16"/>
          <w:lang w:val="es-CO"/>
        </w:rPr>
        <w:footnoteRef/>
      </w:r>
      <w:r>
        <w:rPr>
          <w:szCs w:val="16"/>
          <w:lang w:val="es-CO"/>
        </w:rPr>
        <w:t xml:space="preserve"> P</w:t>
      </w:r>
      <w:r w:rsidRPr="007608B0">
        <w:rPr>
          <w:rFonts w:eastAsia="Arial Unicode MS" w:cs="Times New Roman"/>
          <w:szCs w:val="16"/>
          <w:lang w:val="es-CO" w:eastAsia="en-US"/>
        </w:rPr>
        <w:t xml:space="preserve">etición inicial de 10 </w:t>
      </w:r>
      <w:r>
        <w:rPr>
          <w:rFonts w:eastAsia="Arial Unicode MS" w:cs="Times New Roman"/>
          <w:szCs w:val="16"/>
          <w:lang w:val="es-CO" w:eastAsia="en-US"/>
        </w:rPr>
        <w:t xml:space="preserve">de marzo de 2008. </w:t>
      </w:r>
    </w:p>
  </w:footnote>
  <w:footnote w:id="24">
    <w:p w14:paraId="65A63608" w14:textId="074FBE4B" w:rsidR="006B16F4" w:rsidRPr="007608B0" w:rsidRDefault="006B16F4" w:rsidP="00843162">
      <w:pPr>
        <w:pStyle w:val="FootnoteText"/>
        <w:contextualSpacing/>
        <w:jc w:val="both"/>
        <w:rPr>
          <w:szCs w:val="16"/>
          <w:lang w:val="es-CO"/>
        </w:rPr>
      </w:pPr>
      <w:r w:rsidRPr="007608B0">
        <w:rPr>
          <w:rStyle w:val="FootnoteReference"/>
          <w:szCs w:val="16"/>
        </w:rPr>
        <w:footnoteRef/>
      </w:r>
      <w:r w:rsidRPr="007608B0">
        <w:rPr>
          <w:szCs w:val="16"/>
          <w:lang w:val="es-CO"/>
        </w:rPr>
        <w:t xml:space="preserve"> Anexo </w:t>
      </w:r>
      <w:r>
        <w:rPr>
          <w:szCs w:val="16"/>
          <w:lang w:val="es-CO"/>
        </w:rPr>
        <w:t>3</w:t>
      </w:r>
      <w:r w:rsidRPr="007608B0">
        <w:rPr>
          <w:szCs w:val="16"/>
          <w:lang w:val="es-CO"/>
        </w:rPr>
        <w:t xml:space="preserve">: Fiscalía </w:t>
      </w:r>
      <w:r>
        <w:rPr>
          <w:szCs w:val="16"/>
          <w:lang w:val="es-CO"/>
        </w:rPr>
        <w:t>Segunda.</w:t>
      </w:r>
      <w:r w:rsidRPr="007608B0">
        <w:rPr>
          <w:szCs w:val="16"/>
          <w:lang w:val="es-CO"/>
        </w:rPr>
        <w:t xml:space="preserve"> </w:t>
      </w:r>
      <w:r>
        <w:rPr>
          <w:szCs w:val="16"/>
          <w:lang w:val="es-CO"/>
        </w:rPr>
        <w:t>D</w:t>
      </w:r>
      <w:r w:rsidRPr="007608B0">
        <w:rPr>
          <w:szCs w:val="16"/>
          <w:lang w:val="es-CO"/>
        </w:rPr>
        <w:t>enuncia manuscrita, 16 de agosto de</w:t>
      </w:r>
      <w:r w:rsidRPr="00C73697">
        <w:rPr>
          <w:color w:val="FF0000"/>
          <w:szCs w:val="16"/>
          <w:lang w:val="es-CO"/>
        </w:rPr>
        <w:t xml:space="preserve"> </w:t>
      </w:r>
      <w:r w:rsidRPr="000B76A6">
        <w:rPr>
          <w:color w:val="auto"/>
          <w:szCs w:val="16"/>
          <w:lang w:val="es-CO"/>
        </w:rPr>
        <w:t>2002</w:t>
      </w:r>
      <w:r w:rsidRPr="007608B0">
        <w:rPr>
          <w:szCs w:val="16"/>
          <w:lang w:val="es-CO"/>
        </w:rPr>
        <w:t xml:space="preserve">. Anexo </w:t>
      </w:r>
      <w:r>
        <w:rPr>
          <w:szCs w:val="16"/>
          <w:lang w:val="es-CO"/>
        </w:rPr>
        <w:t>a</w:t>
      </w:r>
      <w:r w:rsidRPr="007608B0">
        <w:rPr>
          <w:szCs w:val="16"/>
          <w:lang w:val="es-CO"/>
        </w:rPr>
        <w:t xml:space="preserve"> la petición inicial</w:t>
      </w:r>
      <w:r>
        <w:rPr>
          <w:szCs w:val="16"/>
          <w:lang w:val="es-CO"/>
        </w:rPr>
        <w:t>.</w:t>
      </w:r>
    </w:p>
  </w:footnote>
  <w:footnote w:id="25">
    <w:p w14:paraId="3473BAC8" w14:textId="5F7F6753" w:rsidR="006B16F4" w:rsidRPr="007608B0" w:rsidRDefault="006B16F4" w:rsidP="00843162">
      <w:pPr>
        <w:pStyle w:val="FootnoteText"/>
        <w:contextualSpacing/>
        <w:jc w:val="both"/>
        <w:rPr>
          <w:szCs w:val="16"/>
          <w:lang w:val="es-CO"/>
        </w:rPr>
      </w:pPr>
      <w:r w:rsidRPr="007608B0">
        <w:rPr>
          <w:rStyle w:val="FootnoteReference"/>
          <w:szCs w:val="16"/>
          <w:lang w:val="es-CO"/>
        </w:rPr>
        <w:footnoteRef/>
      </w:r>
      <w:r w:rsidRPr="007608B0">
        <w:rPr>
          <w:rStyle w:val="FootnoteReference"/>
          <w:szCs w:val="16"/>
          <w:lang w:val="es-CO"/>
        </w:rPr>
        <w:t xml:space="preserve"> </w:t>
      </w:r>
      <w:r>
        <w:rPr>
          <w:szCs w:val="16"/>
          <w:lang w:val="es-CO"/>
        </w:rPr>
        <w:t>Anexo 4: Fiscalía Segunda. D</w:t>
      </w:r>
      <w:r w:rsidRPr="007608B0">
        <w:rPr>
          <w:szCs w:val="16"/>
          <w:lang w:val="es-CO"/>
        </w:rPr>
        <w:t xml:space="preserve">enuncia causa </w:t>
      </w:r>
      <w:r>
        <w:rPr>
          <w:szCs w:val="16"/>
          <w:lang w:val="es-CO"/>
        </w:rPr>
        <w:t>N</w:t>
      </w:r>
      <w:r w:rsidRPr="007608B0">
        <w:rPr>
          <w:szCs w:val="16"/>
          <w:lang w:val="es-CO"/>
        </w:rPr>
        <w:t xml:space="preserve">° 2202-02, 10 de agosto de 2002. Anexo </w:t>
      </w:r>
      <w:r>
        <w:rPr>
          <w:szCs w:val="16"/>
          <w:lang w:val="es-CO"/>
        </w:rPr>
        <w:t xml:space="preserve">a </w:t>
      </w:r>
      <w:r w:rsidRPr="007608B0">
        <w:rPr>
          <w:szCs w:val="16"/>
          <w:lang w:val="es-CO"/>
        </w:rPr>
        <w:t>la petición inicial</w:t>
      </w:r>
      <w:r w:rsidRPr="007608B0">
        <w:rPr>
          <w:rFonts w:eastAsia="Arial Unicode MS" w:cs="Times New Roman"/>
          <w:szCs w:val="16"/>
          <w:lang w:val="es-CO" w:eastAsia="en-US"/>
        </w:rPr>
        <w:t>.</w:t>
      </w:r>
    </w:p>
  </w:footnote>
  <w:footnote w:id="26">
    <w:p w14:paraId="56D15762" w14:textId="1B5057A6" w:rsidR="006B16F4" w:rsidRPr="007608B0" w:rsidRDefault="006B16F4" w:rsidP="00843162">
      <w:pPr>
        <w:pStyle w:val="FootnoteText"/>
        <w:contextualSpacing/>
        <w:jc w:val="both"/>
        <w:rPr>
          <w:szCs w:val="16"/>
          <w:lang w:val="es-CO"/>
        </w:rPr>
      </w:pPr>
      <w:r w:rsidRPr="007608B0">
        <w:rPr>
          <w:rStyle w:val="FootnoteReference"/>
          <w:szCs w:val="16"/>
          <w:lang w:val="es-CO"/>
        </w:rPr>
        <w:footnoteRef/>
      </w:r>
      <w:r w:rsidRPr="007608B0">
        <w:rPr>
          <w:rStyle w:val="FootnoteReference"/>
          <w:szCs w:val="16"/>
          <w:lang w:val="es-CO"/>
        </w:rPr>
        <w:t xml:space="preserve"> </w:t>
      </w:r>
      <w:r w:rsidRPr="007608B0">
        <w:rPr>
          <w:szCs w:val="16"/>
          <w:lang w:val="es-CO"/>
        </w:rPr>
        <w:t xml:space="preserve">Anexo </w:t>
      </w:r>
      <w:r>
        <w:rPr>
          <w:szCs w:val="16"/>
          <w:lang w:val="es-CO"/>
        </w:rPr>
        <w:t>5</w:t>
      </w:r>
      <w:r w:rsidRPr="007608B0">
        <w:rPr>
          <w:szCs w:val="16"/>
          <w:lang w:val="es-CO"/>
        </w:rPr>
        <w:t>: Fiscalía Primera</w:t>
      </w:r>
      <w:r>
        <w:rPr>
          <w:szCs w:val="16"/>
          <w:lang w:val="es-CO"/>
        </w:rPr>
        <w:t>.</w:t>
      </w:r>
      <w:r w:rsidRPr="007608B0">
        <w:rPr>
          <w:szCs w:val="16"/>
          <w:lang w:val="es-CO"/>
        </w:rPr>
        <w:t xml:space="preserve"> </w:t>
      </w:r>
      <w:r>
        <w:rPr>
          <w:szCs w:val="16"/>
          <w:lang w:val="es-CO"/>
        </w:rPr>
        <w:t>Comunicación de</w:t>
      </w:r>
      <w:r w:rsidRPr="007608B0">
        <w:rPr>
          <w:szCs w:val="16"/>
          <w:lang w:val="es-CO"/>
        </w:rPr>
        <w:t xml:space="preserve"> 13 de septiembre de 2002. Anexo </w:t>
      </w:r>
      <w:r>
        <w:rPr>
          <w:szCs w:val="16"/>
          <w:lang w:val="es-CO"/>
        </w:rPr>
        <w:t>a</w:t>
      </w:r>
      <w:r w:rsidRPr="007608B0">
        <w:rPr>
          <w:szCs w:val="16"/>
          <w:lang w:val="es-CO"/>
        </w:rPr>
        <w:t xml:space="preserve"> la petición inicial</w:t>
      </w:r>
      <w:r w:rsidRPr="007608B0">
        <w:rPr>
          <w:rFonts w:eastAsia="Arial Unicode MS" w:cs="Times New Roman"/>
          <w:szCs w:val="16"/>
          <w:lang w:val="es-CO" w:eastAsia="en-US"/>
        </w:rPr>
        <w:t>.</w:t>
      </w:r>
    </w:p>
  </w:footnote>
  <w:footnote w:id="27">
    <w:p w14:paraId="38122471" w14:textId="3A005D27" w:rsidR="006B16F4" w:rsidRPr="007608B0" w:rsidRDefault="006B16F4" w:rsidP="00267666">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16"/>
          <w:szCs w:val="16"/>
        </w:rPr>
      </w:pPr>
      <w:r w:rsidRPr="007608B0">
        <w:rPr>
          <w:rStyle w:val="FootnoteReference"/>
          <w:rFonts w:asciiTheme="majorHAnsi" w:hAnsiTheme="majorHAnsi"/>
          <w:sz w:val="16"/>
          <w:szCs w:val="16"/>
        </w:rPr>
        <w:footnoteRef/>
      </w:r>
      <w:r w:rsidRPr="007608B0">
        <w:rPr>
          <w:rFonts w:asciiTheme="majorHAnsi" w:hAnsiTheme="majorHAnsi"/>
          <w:sz w:val="16"/>
          <w:szCs w:val="16"/>
        </w:rPr>
        <w:t xml:space="preserve"> </w:t>
      </w:r>
      <w:r w:rsidRPr="007608B0">
        <w:rPr>
          <w:rFonts w:asciiTheme="majorHAnsi" w:eastAsia="Calibri" w:hAnsiTheme="majorHAnsi" w:cs="Calibri"/>
          <w:color w:val="000000"/>
          <w:sz w:val="16"/>
          <w:szCs w:val="16"/>
          <w:u w:color="000000"/>
          <w:lang w:eastAsia="es-ES"/>
        </w:rPr>
        <w:t xml:space="preserve">Anexo </w:t>
      </w:r>
      <w:r>
        <w:rPr>
          <w:rFonts w:asciiTheme="majorHAnsi" w:eastAsia="Calibri" w:hAnsiTheme="majorHAnsi" w:cs="Calibri"/>
          <w:color w:val="000000"/>
          <w:sz w:val="16"/>
          <w:szCs w:val="16"/>
          <w:u w:color="000000"/>
          <w:lang w:eastAsia="es-ES"/>
        </w:rPr>
        <w:t>6.</w:t>
      </w:r>
      <w:r w:rsidRPr="007608B0">
        <w:rPr>
          <w:rFonts w:asciiTheme="majorHAnsi" w:eastAsia="Calibri" w:hAnsiTheme="majorHAnsi" w:cs="Calibri"/>
          <w:color w:val="000000"/>
          <w:sz w:val="16"/>
          <w:szCs w:val="16"/>
          <w:u w:color="000000"/>
          <w:lang w:eastAsia="es-ES"/>
        </w:rPr>
        <w:t xml:space="preserve"> </w:t>
      </w:r>
      <w:r w:rsidRPr="00036FAF">
        <w:rPr>
          <w:rFonts w:asciiTheme="majorHAnsi" w:hAnsiTheme="majorHAnsi"/>
          <w:sz w:val="16"/>
          <w:szCs w:val="16"/>
        </w:rPr>
        <w:t>Fiscalía Superior</w:t>
      </w:r>
      <w:r>
        <w:rPr>
          <w:rFonts w:asciiTheme="majorHAnsi" w:hAnsiTheme="majorHAnsi"/>
          <w:sz w:val="16"/>
          <w:szCs w:val="16"/>
        </w:rPr>
        <w:t>. Constancia de audiencia de</w:t>
      </w:r>
      <w:r w:rsidRPr="00036FAF">
        <w:rPr>
          <w:rFonts w:asciiTheme="majorHAnsi" w:hAnsiTheme="majorHAnsi"/>
          <w:sz w:val="16"/>
          <w:szCs w:val="16"/>
        </w:rPr>
        <w:t xml:space="preserve"> 27 de septiembre de 2002</w:t>
      </w:r>
      <w:r w:rsidRPr="00036FAF">
        <w:rPr>
          <w:rFonts w:asciiTheme="majorHAnsi" w:eastAsia="Calibri" w:hAnsiTheme="majorHAnsi" w:cs="Calibri"/>
          <w:color w:val="000000"/>
          <w:sz w:val="16"/>
          <w:szCs w:val="16"/>
          <w:u w:color="000000"/>
          <w:lang w:eastAsia="es-ES"/>
        </w:rPr>
        <w:t>.</w:t>
      </w:r>
      <w:r>
        <w:rPr>
          <w:rFonts w:asciiTheme="majorHAnsi" w:eastAsia="Calibri" w:hAnsiTheme="majorHAnsi" w:cs="Calibri"/>
          <w:color w:val="000000"/>
          <w:sz w:val="16"/>
          <w:szCs w:val="16"/>
          <w:u w:color="000000"/>
          <w:lang w:eastAsia="es-ES"/>
        </w:rPr>
        <w:t xml:space="preserve"> </w:t>
      </w:r>
      <w:r w:rsidRPr="000B76A6">
        <w:rPr>
          <w:rFonts w:asciiTheme="majorHAnsi" w:eastAsia="Calibri" w:hAnsiTheme="majorHAnsi" w:cs="Calibri"/>
          <w:color w:val="000000"/>
          <w:sz w:val="16"/>
          <w:szCs w:val="16"/>
          <w:u w:color="000000"/>
          <w:lang w:eastAsia="es-ES"/>
        </w:rPr>
        <w:t>Anexo a la petición inicial</w:t>
      </w:r>
      <w:r>
        <w:rPr>
          <w:rFonts w:asciiTheme="majorHAnsi" w:eastAsia="Calibri" w:hAnsiTheme="majorHAnsi" w:cs="Calibri"/>
          <w:color w:val="000000"/>
          <w:sz w:val="16"/>
          <w:szCs w:val="16"/>
          <w:u w:color="000000"/>
          <w:lang w:eastAsia="es-ES"/>
        </w:rPr>
        <w:t>.</w:t>
      </w:r>
    </w:p>
  </w:footnote>
  <w:footnote w:id="28">
    <w:p w14:paraId="2B0CD4B9" w14:textId="67E29CA8" w:rsidR="006B16F4" w:rsidRPr="007608B0" w:rsidRDefault="006B16F4" w:rsidP="00267666">
      <w:pPr>
        <w:pStyle w:val="FootnoteText"/>
        <w:contextualSpacing/>
        <w:rPr>
          <w:szCs w:val="16"/>
          <w:lang w:val="es-CO"/>
        </w:rPr>
      </w:pPr>
      <w:r w:rsidRPr="007608B0">
        <w:rPr>
          <w:rStyle w:val="FootnoteReference"/>
          <w:szCs w:val="16"/>
        </w:rPr>
        <w:footnoteRef/>
      </w:r>
      <w:r w:rsidRPr="007608B0">
        <w:rPr>
          <w:szCs w:val="16"/>
          <w:lang w:val="es-CO"/>
        </w:rPr>
        <w:t xml:space="preserve"> Anexo </w:t>
      </w:r>
      <w:r>
        <w:rPr>
          <w:szCs w:val="16"/>
          <w:lang w:val="es-CO"/>
        </w:rPr>
        <w:t>7</w:t>
      </w:r>
      <w:r w:rsidRPr="007608B0">
        <w:rPr>
          <w:szCs w:val="16"/>
          <w:lang w:val="es-CO"/>
        </w:rPr>
        <w:t xml:space="preserve">: </w:t>
      </w:r>
      <w:r>
        <w:rPr>
          <w:szCs w:val="16"/>
          <w:lang w:val="es-CO"/>
        </w:rPr>
        <w:t xml:space="preserve">Fiscal Segundo. </w:t>
      </w:r>
      <w:r w:rsidRPr="007608B0">
        <w:rPr>
          <w:szCs w:val="16"/>
          <w:lang w:val="es-CO"/>
        </w:rPr>
        <w:t xml:space="preserve">Denuncia </w:t>
      </w:r>
      <w:r>
        <w:rPr>
          <w:szCs w:val="16"/>
          <w:lang w:val="es-CO"/>
        </w:rPr>
        <w:t>de Jimmy Rafael Guerrero de</w:t>
      </w:r>
      <w:r w:rsidRPr="007608B0">
        <w:rPr>
          <w:szCs w:val="16"/>
          <w:lang w:val="es-CO"/>
        </w:rPr>
        <w:t xml:space="preserve"> 4 de noviembre de 2002. </w:t>
      </w:r>
      <w:r>
        <w:rPr>
          <w:szCs w:val="16"/>
          <w:lang w:val="es-CO"/>
        </w:rPr>
        <w:t>Anexo a la petición inicial.</w:t>
      </w:r>
    </w:p>
  </w:footnote>
  <w:footnote w:id="29">
    <w:p w14:paraId="26499699" w14:textId="377C1937" w:rsidR="006B16F4" w:rsidRPr="007608B0" w:rsidRDefault="006B16F4" w:rsidP="00843162">
      <w:pPr>
        <w:pStyle w:val="FootnoteText"/>
        <w:contextualSpacing/>
        <w:rPr>
          <w:szCs w:val="16"/>
          <w:lang w:val="es-CO"/>
        </w:rPr>
      </w:pPr>
      <w:r w:rsidRPr="007608B0">
        <w:rPr>
          <w:rStyle w:val="FootnoteReference"/>
          <w:szCs w:val="16"/>
        </w:rPr>
        <w:footnoteRef/>
      </w:r>
      <w:r w:rsidRPr="007608B0">
        <w:rPr>
          <w:szCs w:val="16"/>
          <w:lang w:val="es-CO"/>
        </w:rPr>
        <w:t xml:space="preserve"> Anexo </w:t>
      </w:r>
      <w:r>
        <w:rPr>
          <w:szCs w:val="16"/>
          <w:lang w:val="es-CO"/>
        </w:rPr>
        <w:t>8</w:t>
      </w:r>
      <w:r w:rsidRPr="007608B0">
        <w:rPr>
          <w:szCs w:val="16"/>
          <w:lang w:val="es-CO"/>
        </w:rPr>
        <w:t>: Defensoría del Pueblo</w:t>
      </w:r>
      <w:r>
        <w:rPr>
          <w:szCs w:val="16"/>
          <w:lang w:val="es-CO"/>
        </w:rPr>
        <w:t>. D</w:t>
      </w:r>
      <w:r w:rsidRPr="007608B0">
        <w:rPr>
          <w:szCs w:val="16"/>
          <w:lang w:val="es-CO"/>
        </w:rPr>
        <w:t xml:space="preserve">eclaración </w:t>
      </w:r>
      <w:r>
        <w:rPr>
          <w:szCs w:val="16"/>
          <w:lang w:val="es-CO"/>
        </w:rPr>
        <w:t>de</w:t>
      </w:r>
      <w:r w:rsidRPr="007608B0">
        <w:rPr>
          <w:szCs w:val="16"/>
          <w:lang w:val="es-CO"/>
        </w:rPr>
        <w:t xml:space="preserve"> Jimmy Guerrero, 28 de octubre de 2002. Anexo </w:t>
      </w:r>
      <w:r>
        <w:rPr>
          <w:szCs w:val="16"/>
          <w:lang w:val="es-CO"/>
        </w:rPr>
        <w:t>a</w:t>
      </w:r>
      <w:r w:rsidRPr="007608B0">
        <w:rPr>
          <w:szCs w:val="16"/>
          <w:lang w:val="es-CO"/>
        </w:rPr>
        <w:t xml:space="preserve"> la petición inicial</w:t>
      </w:r>
      <w:r>
        <w:rPr>
          <w:szCs w:val="16"/>
          <w:lang w:val="es-CO"/>
        </w:rPr>
        <w:t>.</w:t>
      </w:r>
    </w:p>
  </w:footnote>
  <w:footnote w:id="30">
    <w:p w14:paraId="702339CE" w14:textId="6943E489" w:rsidR="006B16F4" w:rsidRPr="007608B0" w:rsidRDefault="006B16F4" w:rsidP="00843162">
      <w:pPr>
        <w:pStyle w:val="FootnoteText"/>
        <w:contextualSpacing/>
        <w:jc w:val="both"/>
        <w:rPr>
          <w:szCs w:val="16"/>
          <w:lang w:val="es-US"/>
        </w:rPr>
      </w:pPr>
      <w:r w:rsidRPr="007608B0">
        <w:rPr>
          <w:rStyle w:val="FootnoteReference"/>
          <w:szCs w:val="16"/>
        </w:rPr>
        <w:footnoteRef/>
      </w:r>
      <w:r w:rsidRPr="007608B0">
        <w:rPr>
          <w:szCs w:val="16"/>
          <w:lang w:val="es-US"/>
        </w:rPr>
        <w:t xml:space="preserve"> </w:t>
      </w:r>
      <w:r>
        <w:rPr>
          <w:szCs w:val="16"/>
          <w:lang w:val="es-CO"/>
        </w:rPr>
        <w:t>Anexo 8: Defensoría del Pueblo. D</w:t>
      </w:r>
      <w:r w:rsidRPr="007608B0">
        <w:rPr>
          <w:szCs w:val="16"/>
          <w:lang w:val="es-CO"/>
        </w:rPr>
        <w:t xml:space="preserve">eclaración de </w:t>
      </w:r>
      <w:r>
        <w:rPr>
          <w:szCs w:val="16"/>
          <w:lang w:val="es-CO"/>
        </w:rPr>
        <w:t xml:space="preserve">Jimmy Guerrero, </w:t>
      </w:r>
      <w:r w:rsidRPr="007608B0">
        <w:rPr>
          <w:szCs w:val="16"/>
          <w:lang w:val="es-CO"/>
        </w:rPr>
        <w:t xml:space="preserve">28 de octubre de 2002. Anexo </w:t>
      </w:r>
      <w:r>
        <w:rPr>
          <w:szCs w:val="16"/>
          <w:lang w:val="es-CO"/>
        </w:rPr>
        <w:t>a</w:t>
      </w:r>
      <w:r w:rsidRPr="007608B0">
        <w:rPr>
          <w:szCs w:val="16"/>
          <w:lang w:val="es-CO"/>
        </w:rPr>
        <w:t xml:space="preserve"> la petición</w:t>
      </w:r>
      <w:r>
        <w:rPr>
          <w:szCs w:val="16"/>
          <w:lang w:val="es-CO"/>
        </w:rPr>
        <w:t xml:space="preserve"> inicial. </w:t>
      </w:r>
    </w:p>
  </w:footnote>
  <w:footnote w:id="31">
    <w:p w14:paraId="126D85F4" w14:textId="50EF9DEE" w:rsidR="006B16F4" w:rsidRPr="007608B0" w:rsidRDefault="006B16F4" w:rsidP="000C6B8C">
      <w:pPr>
        <w:pStyle w:val="FootnoteText"/>
        <w:contextualSpacing/>
        <w:jc w:val="both"/>
        <w:rPr>
          <w:szCs w:val="16"/>
          <w:lang w:val="es-CO"/>
        </w:rPr>
      </w:pPr>
      <w:r w:rsidRPr="007608B0">
        <w:rPr>
          <w:rStyle w:val="FootnoteReference"/>
          <w:szCs w:val="16"/>
        </w:rPr>
        <w:footnoteRef/>
      </w:r>
      <w:r w:rsidRPr="007608B0">
        <w:rPr>
          <w:szCs w:val="16"/>
          <w:lang w:val="es-CO"/>
        </w:rPr>
        <w:t xml:space="preserve"> Anexo </w:t>
      </w:r>
      <w:r>
        <w:rPr>
          <w:szCs w:val="16"/>
          <w:lang w:val="es-CO"/>
        </w:rPr>
        <w:t>9</w:t>
      </w:r>
      <w:r w:rsidRPr="007608B0">
        <w:rPr>
          <w:szCs w:val="16"/>
          <w:lang w:val="es-CO"/>
        </w:rPr>
        <w:t>: Defensoría del Pueblo</w:t>
      </w:r>
      <w:r>
        <w:rPr>
          <w:szCs w:val="16"/>
          <w:lang w:val="es-CO"/>
        </w:rPr>
        <w:t xml:space="preserve">. </w:t>
      </w:r>
      <w:r w:rsidRPr="007608B0">
        <w:rPr>
          <w:szCs w:val="16"/>
          <w:lang w:val="es-CO"/>
        </w:rPr>
        <w:t xml:space="preserve">Declaración </w:t>
      </w:r>
      <w:r>
        <w:rPr>
          <w:szCs w:val="16"/>
          <w:lang w:val="es-CO"/>
        </w:rPr>
        <w:t>de</w:t>
      </w:r>
      <w:r w:rsidRPr="007608B0">
        <w:rPr>
          <w:szCs w:val="16"/>
          <w:lang w:val="es-CO"/>
        </w:rPr>
        <w:t xml:space="preserve"> J</w:t>
      </w:r>
      <w:r>
        <w:rPr>
          <w:szCs w:val="16"/>
          <w:lang w:val="es-CO"/>
        </w:rPr>
        <w:t xml:space="preserve">immy Guerrero, </w:t>
      </w:r>
      <w:r w:rsidRPr="007608B0">
        <w:rPr>
          <w:szCs w:val="16"/>
          <w:lang w:val="es-CO"/>
        </w:rPr>
        <w:t xml:space="preserve">18 de febrero de 2003. Anexo </w:t>
      </w:r>
      <w:r>
        <w:rPr>
          <w:szCs w:val="16"/>
          <w:lang w:val="es-CO"/>
        </w:rPr>
        <w:t>a la petición inicial.</w:t>
      </w:r>
    </w:p>
  </w:footnote>
  <w:footnote w:id="32">
    <w:p w14:paraId="0EB8ADB2" w14:textId="48F36B43" w:rsidR="006B16F4" w:rsidRPr="007608B0" w:rsidRDefault="006B16F4" w:rsidP="00843162">
      <w:pPr>
        <w:pStyle w:val="FootnoteText"/>
        <w:contextualSpacing/>
        <w:rPr>
          <w:szCs w:val="16"/>
          <w:lang w:val="es-CO"/>
        </w:rPr>
      </w:pPr>
      <w:r w:rsidRPr="007608B0">
        <w:rPr>
          <w:rStyle w:val="FootnoteReference"/>
          <w:szCs w:val="16"/>
        </w:rPr>
        <w:footnoteRef/>
      </w:r>
      <w:r w:rsidRPr="007608B0">
        <w:rPr>
          <w:szCs w:val="16"/>
          <w:lang w:val="es-CO"/>
        </w:rPr>
        <w:t xml:space="preserve"> Anexo </w:t>
      </w:r>
      <w:r>
        <w:rPr>
          <w:szCs w:val="16"/>
          <w:lang w:val="es-CO"/>
        </w:rPr>
        <w:t>10</w:t>
      </w:r>
      <w:r w:rsidRPr="007608B0">
        <w:rPr>
          <w:szCs w:val="16"/>
          <w:lang w:val="es-CO"/>
        </w:rPr>
        <w:t>: Defensoría del Pueblo</w:t>
      </w:r>
      <w:r>
        <w:rPr>
          <w:szCs w:val="16"/>
          <w:lang w:val="es-CO"/>
        </w:rPr>
        <w:t>. D</w:t>
      </w:r>
      <w:r w:rsidRPr="007608B0">
        <w:rPr>
          <w:szCs w:val="16"/>
          <w:lang w:val="es-CO"/>
        </w:rPr>
        <w:t xml:space="preserve">eclaración </w:t>
      </w:r>
      <w:r>
        <w:rPr>
          <w:szCs w:val="16"/>
          <w:lang w:val="es-CO"/>
        </w:rPr>
        <w:t>de</w:t>
      </w:r>
      <w:r w:rsidRPr="007608B0">
        <w:rPr>
          <w:szCs w:val="16"/>
          <w:lang w:val="es-CO"/>
        </w:rPr>
        <w:t xml:space="preserve"> </w:t>
      </w:r>
      <w:proofErr w:type="spellStart"/>
      <w:r w:rsidRPr="007608B0">
        <w:rPr>
          <w:szCs w:val="16"/>
          <w:lang w:val="es-CO"/>
        </w:rPr>
        <w:t>Erimay</w:t>
      </w:r>
      <w:proofErr w:type="spellEnd"/>
      <w:r w:rsidRPr="007608B0">
        <w:rPr>
          <w:szCs w:val="16"/>
          <w:lang w:val="es-CO"/>
        </w:rPr>
        <w:t xml:space="preserve"> Loyo, 17 de febrero de 2003. Anexo </w:t>
      </w:r>
      <w:r>
        <w:rPr>
          <w:szCs w:val="16"/>
          <w:lang w:val="es-CO"/>
        </w:rPr>
        <w:t xml:space="preserve">a </w:t>
      </w:r>
      <w:r w:rsidRPr="007608B0">
        <w:rPr>
          <w:szCs w:val="16"/>
          <w:lang w:val="es-CO"/>
        </w:rPr>
        <w:t>la petición inicial</w:t>
      </w:r>
      <w:r>
        <w:rPr>
          <w:rFonts w:eastAsia="Arial Unicode MS" w:cs="Times New Roman"/>
          <w:szCs w:val="16"/>
          <w:lang w:val="es-CO" w:eastAsia="en-US"/>
        </w:rPr>
        <w:t>.</w:t>
      </w:r>
    </w:p>
  </w:footnote>
  <w:footnote w:id="33">
    <w:p w14:paraId="5DEC4726" w14:textId="282166FE" w:rsidR="006B16F4" w:rsidRPr="007608B0" w:rsidRDefault="006B16F4" w:rsidP="00843162">
      <w:pPr>
        <w:pStyle w:val="FootnoteText"/>
        <w:contextualSpacing/>
        <w:jc w:val="both"/>
        <w:rPr>
          <w:szCs w:val="16"/>
          <w:lang w:val="es-CO"/>
        </w:rPr>
      </w:pPr>
      <w:r w:rsidRPr="007608B0">
        <w:rPr>
          <w:rStyle w:val="FootnoteReference"/>
          <w:szCs w:val="16"/>
        </w:rPr>
        <w:footnoteRef/>
      </w:r>
      <w:r w:rsidRPr="007608B0">
        <w:rPr>
          <w:szCs w:val="16"/>
          <w:lang w:val="es-CO"/>
        </w:rPr>
        <w:t xml:space="preserve"> Anexo </w:t>
      </w:r>
      <w:r>
        <w:rPr>
          <w:szCs w:val="16"/>
          <w:lang w:val="es-CO"/>
        </w:rPr>
        <w:t>11</w:t>
      </w:r>
      <w:r w:rsidRPr="007608B0">
        <w:rPr>
          <w:szCs w:val="16"/>
          <w:lang w:val="es-CO"/>
        </w:rPr>
        <w:t>: Defensoría del Pueblo</w:t>
      </w:r>
      <w:r>
        <w:rPr>
          <w:szCs w:val="16"/>
          <w:lang w:val="es-CO"/>
        </w:rPr>
        <w:t xml:space="preserve">. </w:t>
      </w:r>
      <w:r w:rsidRPr="007608B0">
        <w:rPr>
          <w:szCs w:val="16"/>
          <w:lang w:val="es-CO"/>
        </w:rPr>
        <w:t xml:space="preserve">Acta de Visita a retén policial, 17 de febrero de 2003. Anexo </w:t>
      </w:r>
      <w:r>
        <w:rPr>
          <w:szCs w:val="16"/>
          <w:lang w:val="es-CO"/>
        </w:rPr>
        <w:t xml:space="preserve">a </w:t>
      </w:r>
      <w:r w:rsidRPr="007608B0">
        <w:rPr>
          <w:szCs w:val="16"/>
          <w:lang w:val="es-CO"/>
        </w:rPr>
        <w:t>la petición inicial</w:t>
      </w:r>
      <w:r>
        <w:rPr>
          <w:szCs w:val="16"/>
          <w:lang w:val="es-CO"/>
        </w:rPr>
        <w:t>.</w:t>
      </w:r>
    </w:p>
  </w:footnote>
  <w:footnote w:id="34">
    <w:p w14:paraId="4C727391" w14:textId="4B8EF35A" w:rsidR="006B16F4" w:rsidRPr="007608B0" w:rsidRDefault="006B16F4" w:rsidP="00BD679B">
      <w:pPr>
        <w:pStyle w:val="FootnoteText"/>
        <w:contextualSpacing/>
        <w:jc w:val="both"/>
        <w:rPr>
          <w:szCs w:val="16"/>
          <w:lang w:val="es-CO"/>
        </w:rPr>
      </w:pPr>
      <w:r w:rsidRPr="007608B0">
        <w:rPr>
          <w:rStyle w:val="FootnoteReference"/>
          <w:szCs w:val="16"/>
        </w:rPr>
        <w:footnoteRef/>
      </w:r>
      <w:r>
        <w:rPr>
          <w:szCs w:val="16"/>
          <w:lang w:val="es-CO"/>
        </w:rPr>
        <w:t xml:space="preserve"> Anexo 12: Defensoría del Pueblo.</w:t>
      </w:r>
      <w:r w:rsidRPr="007608B0">
        <w:rPr>
          <w:szCs w:val="16"/>
          <w:lang w:val="es-CO"/>
        </w:rPr>
        <w:t xml:space="preserve"> </w:t>
      </w:r>
      <w:r>
        <w:rPr>
          <w:szCs w:val="16"/>
          <w:lang w:val="es-CO"/>
        </w:rPr>
        <w:t>I</w:t>
      </w:r>
      <w:r w:rsidRPr="007608B0">
        <w:rPr>
          <w:szCs w:val="16"/>
          <w:lang w:val="es-CO"/>
        </w:rPr>
        <w:t>nforme</w:t>
      </w:r>
      <w:r>
        <w:rPr>
          <w:szCs w:val="16"/>
          <w:lang w:val="es-CO"/>
        </w:rPr>
        <w:t xml:space="preserve"> de</w:t>
      </w:r>
      <w:r w:rsidRPr="007608B0">
        <w:rPr>
          <w:szCs w:val="16"/>
          <w:lang w:val="es-CO"/>
        </w:rPr>
        <w:t xml:space="preserve"> médico legal de Jimmy Guerrero, 19 de febrero de 2003.</w:t>
      </w:r>
      <w:r w:rsidRPr="007608B0">
        <w:rPr>
          <w:rStyle w:val="FootnoteReference"/>
          <w:szCs w:val="16"/>
          <w:lang w:val="es-CO"/>
        </w:rPr>
        <w:t xml:space="preserve"> </w:t>
      </w:r>
      <w:r w:rsidRPr="007608B0">
        <w:rPr>
          <w:szCs w:val="16"/>
          <w:lang w:val="es-CO"/>
        </w:rPr>
        <w:t xml:space="preserve">Anexo </w:t>
      </w:r>
      <w:r>
        <w:rPr>
          <w:szCs w:val="16"/>
          <w:lang w:val="es-CO"/>
        </w:rPr>
        <w:t xml:space="preserve">a la petición inicial. </w:t>
      </w:r>
    </w:p>
  </w:footnote>
  <w:footnote w:id="35">
    <w:p w14:paraId="5DC857B1" w14:textId="0079A369" w:rsidR="006B16F4" w:rsidRPr="007608B0" w:rsidRDefault="006B16F4" w:rsidP="00843162">
      <w:pPr>
        <w:pStyle w:val="FootnoteText"/>
        <w:contextualSpacing/>
        <w:jc w:val="both"/>
        <w:rPr>
          <w:szCs w:val="16"/>
          <w:lang w:val="es-CO"/>
        </w:rPr>
      </w:pPr>
      <w:r w:rsidRPr="007608B0">
        <w:rPr>
          <w:rStyle w:val="FootnoteReference"/>
          <w:szCs w:val="16"/>
        </w:rPr>
        <w:footnoteRef/>
      </w:r>
      <w:r w:rsidRPr="007608B0">
        <w:rPr>
          <w:szCs w:val="16"/>
          <w:lang w:val="es-CO"/>
        </w:rPr>
        <w:t xml:space="preserve"> Anexo </w:t>
      </w:r>
      <w:r>
        <w:rPr>
          <w:szCs w:val="16"/>
          <w:lang w:val="es-CO"/>
        </w:rPr>
        <w:t>13</w:t>
      </w:r>
      <w:r w:rsidRPr="007608B0">
        <w:rPr>
          <w:szCs w:val="16"/>
          <w:lang w:val="es-CO"/>
        </w:rPr>
        <w:t>: Defensoría del Pueblo</w:t>
      </w:r>
      <w:r>
        <w:rPr>
          <w:szCs w:val="16"/>
          <w:lang w:val="es-CO"/>
        </w:rPr>
        <w:t>. C</w:t>
      </w:r>
      <w:r w:rsidRPr="007608B0">
        <w:rPr>
          <w:szCs w:val="16"/>
          <w:lang w:val="es-CO"/>
        </w:rPr>
        <w:t xml:space="preserve">omunicación solicitando medida de protección a favor de Jimmy Guerrero, 25 de febrero de 2003. Anexo </w:t>
      </w:r>
      <w:r>
        <w:rPr>
          <w:szCs w:val="16"/>
          <w:lang w:val="es-CO"/>
        </w:rPr>
        <w:t xml:space="preserve">a la </w:t>
      </w:r>
      <w:r w:rsidRPr="007608B0">
        <w:rPr>
          <w:szCs w:val="16"/>
          <w:lang w:val="es-CO"/>
        </w:rPr>
        <w:t>petición inicial</w:t>
      </w:r>
      <w:r>
        <w:rPr>
          <w:szCs w:val="16"/>
          <w:lang w:val="es-CO"/>
        </w:rPr>
        <w:t>.</w:t>
      </w:r>
      <w:r>
        <w:rPr>
          <w:rFonts w:eastAsia="Arial Unicode MS" w:cs="Times New Roman"/>
          <w:szCs w:val="16"/>
          <w:lang w:val="es-CO" w:eastAsia="en-US"/>
        </w:rPr>
        <w:t xml:space="preserve">; y </w:t>
      </w:r>
      <w:r w:rsidRPr="007608B0">
        <w:rPr>
          <w:szCs w:val="16"/>
          <w:lang w:val="es-CO"/>
        </w:rPr>
        <w:t xml:space="preserve">Anexo </w:t>
      </w:r>
      <w:r>
        <w:rPr>
          <w:szCs w:val="16"/>
          <w:lang w:val="es-CO"/>
        </w:rPr>
        <w:t>14</w:t>
      </w:r>
      <w:r w:rsidRPr="007608B0">
        <w:rPr>
          <w:szCs w:val="16"/>
          <w:lang w:val="es-CO"/>
        </w:rPr>
        <w:t>: Defensoría del Pueblo</w:t>
      </w:r>
      <w:r>
        <w:rPr>
          <w:szCs w:val="16"/>
          <w:lang w:val="es-CO"/>
        </w:rPr>
        <w:t>. C</w:t>
      </w:r>
      <w:r w:rsidRPr="007608B0">
        <w:rPr>
          <w:szCs w:val="16"/>
          <w:lang w:val="es-CO"/>
        </w:rPr>
        <w:t>omunicación mediante la cual se remite informe de médico legal de Jimmy Guerrero</w:t>
      </w:r>
      <w:r>
        <w:rPr>
          <w:szCs w:val="16"/>
          <w:lang w:val="es-CO"/>
        </w:rPr>
        <w:t>,</w:t>
      </w:r>
      <w:r w:rsidRPr="007608B0">
        <w:rPr>
          <w:szCs w:val="16"/>
          <w:lang w:val="es-CO"/>
        </w:rPr>
        <w:t xml:space="preserve"> 26 de febrero de 2003.</w:t>
      </w:r>
      <w:r w:rsidRPr="007608B0">
        <w:rPr>
          <w:rStyle w:val="FootnoteReference"/>
          <w:szCs w:val="16"/>
          <w:lang w:val="es-CO"/>
        </w:rPr>
        <w:t xml:space="preserve"> </w:t>
      </w:r>
      <w:r>
        <w:rPr>
          <w:szCs w:val="16"/>
          <w:lang w:val="es-CO"/>
        </w:rPr>
        <w:t xml:space="preserve">Anexo a la petición inicial. </w:t>
      </w:r>
    </w:p>
  </w:footnote>
  <w:footnote w:id="36">
    <w:p w14:paraId="69D90F38" w14:textId="74A8CC01" w:rsidR="006B16F4" w:rsidRPr="007608B0" w:rsidRDefault="006B16F4" w:rsidP="00CE053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16"/>
          <w:szCs w:val="16"/>
        </w:rPr>
      </w:pPr>
      <w:r w:rsidRPr="007608B0">
        <w:rPr>
          <w:rStyle w:val="FootnoteReference"/>
          <w:rFonts w:asciiTheme="majorHAnsi" w:hAnsiTheme="majorHAnsi"/>
          <w:sz w:val="16"/>
          <w:szCs w:val="16"/>
        </w:rPr>
        <w:footnoteRef/>
      </w:r>
      <w:r w:rsidRPr="007608B0">
        <w:rPr>
          <w:rFonts w:asciiTheme="majorHAnsi" w:hAnsiTheme="majorHAnsi"/>
          <w:sz w:val="16"/>
          <w:szCs w:val="16"/>
        </w:rPr>
        <w:t xml:space="preserve"> Anexo </w:t>
      </w:r>
      <w:r>
        <w:rPr>
          <w:rFonts w:asciiTheme="majorHAnsi" w:hAnsiTheme="majorHAnsi"/>
          <w:sz w:val="16"/>
          <w:szCs w:val="16"/>
        </w:rPr>
        <w:t>15</w:t>
      </w:r>
      <w:r w:rsidRPr="007608B0">
        <w:rPr>
          <w:rFonts w:asciiTheme="majorHAnsi" w:hAnsiTheme="majorHAnsi"/>
          <w:sz w:val="16"/>
          <w:szCs w:val="16"/>
        </w:rPr>
        <w:t>: Defensoría del Pueblo</w:t>
      </w:r>
      <w:r>
        <w:rPr>
          <w:rFonts w:asciiTheme="majorHAnsi" w:hAnsiTheme="majorHAnsi"/>
          <w:sz w:val="16"/>
          <w:szCs w:val="16"/>
        </w:rPr>
        <w:t>. D</w:t>
      </w:r>
      <w:r w:rsidRPr="007608B0">
        <w:rPr>
          <w:rFonts w:asciiTheme="majorHAnsi" w:hAnsiTheme="majorHAnsi"/>
          <w:sz w:val="16"/>
          <w:szCs w:val="16"/>
        </w:rPr>
        <w:t xml:space="preserve">eclaración </w:t>
      </w:r>
      <w:r>
        <w:rPr>
          <w:rFonts w:asciiTheme="majorHAnsi" w:hAnsiTheme="majorHAnsi"/>
          <w:sz w:val="16"/>
          <w:szCs w:val="16"/>
        </w:rPr>
        <w:t>de</w:t>
      </w:r>
      <w:r w:rsidRPr="007608B0">
        <w:rPr>
          <w:rFonts w:asciiTheme="majorHAnsi" w:hAnsiTheme="majorHAnsi"/>
          <w:sz w:val="16"/>
          <w:szCs w:val="16"/>
        </w:rPr>
        <w:t xml:space="preserve"> Jimmy Guerrero, 6 de marzo de 2003. Anexo </w:t>
      </w:r>
      <w:r>
        <w:rPr>
          <w:rFonts w:asciiTheme="majorHAnsi" w:hAnsiTheme="majorHAnsi"/>
          <w:sz w:val="16"/>
          <w:szCs w:val="16"/>
        </w:rPr>
        <w:t>a</w:t>
      </w:r>
      <w:r w:rsidRPr="007608B0">
        <w:rPr>
          <w:rFonts w:asciiTheme="majorHAnsi" w:hAnsiTheme="majorHAnsi"/>
          <w:sz w:val="16"/>
          <w:szCs w:val="16"/>
        </w:rPr>
        <w:t xml:space="preserve"> la petición inicial</w:t>
      </w:r>
      <w:r>
        <w:rPr>
          <w:rFonts w:asciiTheme="majorHAnsi" w:hAnsiTheme="majorHAnsi"/>
          <w:sz w:val="16"/>
          <w:szCs w:val="16"/>
        </w:rPr>
        <w:t>.</w:t>
      </w:r>
    </w:p>
  </w:footnote>
  <w:footnote w:id="37">
    <w:p w14:paraId="4729C317" w14:textId="4BF3FA65" w:rsidR="006B16F4" w:rsidRPr="007608B0" w:rsidRDefault="006B16F4" w:rsidP="00843162">
      <w:pPr>
        <w:pStyle w:val="FootnoteText"/>
        <w:contextualSpacing/>
        <w:jc w:val="both"/>
        <w:rPr>
          <w:szCs w:val="16"/>
          <w:lang w:val="es-CO"/>
        </w:rPr>
      </w:pPr>
      <w:r w:rsidRPr="007608B0">
        <w:rPr>
          <w:rStyle w:val="FootnoteReference"/>
          <w:szCs w:val="16"/>
        </w:rPr>
        <w:footnoteRef/>
      </w:r>
      <w:r w:rsidRPr="007608B0">
        <w:rPr>
          <w:szCs w:val="16"/>
          <w:lang w:val="es-CO"/>
        </w:rPr>
        <w:t xml:space="preserve"> Anexo </w:t>
      </w:r>
      <w:r>
        <w:rPr>
          <w:szCs w:val="16"/>
          <w:lang w:val="es-CO"/>
        </w:rPr>
        <w:t>16</w:t>
      </w:r>
      <w:r w:rsidRPr="007608B0">
        <w:rPr>
          <w:szCs w:val="16"/>
          <w:lang w:val="es-CO"/>
        </w:rPr>
        <w:t>: Defensoría del Pueblo</w:t>
      </w:r>
      <w:r>
        <w:rPr>
          <w:szCs w:val="16"/>
          <w:lang w:val="es-CO"/>
        </w:rPr>
        <w:t>. Remite</w:t>
      </w:r>
      <w:r w:rsidRPr="007608B0">
        <w:rPr>
          <w:szCs w:val="16"/>
          <w:lang w:val="es-CO"/>
        </w:rPr>
        <w:t xml:space="preserve"> declaración </w:t>
      </w:r>
      <w:r>
        <w:rPr>
          <w:szCs w:val="16"/>
          <w:lang w:val="es-CO"/>
        </w:rPr>
        <w:t xml:space="preserve">de </w:t>
      </w:r>
      <w:r w:rsidRPr="007608B0">
        <w:rPr>
          <w:szCs w:val="16"/>
          <w:lang w:val="es-CO"/>
        </w:rPr>
        <w:t xml:space="preserve"> Jimmy Guerrero, 10 de marzo de 2003. Anexo </w:t>
      </w:r>
      <w:r>
        <w:rPr>
          <w:szCs w:val="16"/>
          <w:lang w:val="es-CO"/>
        </w:rPr>
        <w:t>a la</w:t>
      </w:r>
      <w:r w:rsidRPr="007608B0">
        <w:rPr>
          <w:szCs w:val="16"/>
          <w:lang w:val="es-CO"/>
        </w:rPr>
        <w:t xml:space="preserve"> pe</w:t>
      </w:r>
      <w:r>
        <w:rPr>
          <w:szCs w:val="16"/>
          <w:lang w:val="es-CO"/>
        </w:rPr>
        <w:t>tición inicial.</w:t>
      </w:r>
    </w:p>
  </w:footnote>
  <w:footnote w:id="38">
    <w:p w14:paraId="282E2AD7" w14:textId="4DE797E2" w:rsidR="006B16F4" w:rsidRPr="007608B0" w:rsidRDefault="006B16F4" w:rsidP="009D7A58">
      <w:pPr>
        <w:pStyle w:val="FootnoteText"/>
        <w:contextualSpacing/>
        <w:jc w:val="both"/>
        <w:rPr>
          <w:szCs w:val="16"/>
          <w:lang w:val="es-US"/>
        </w:rPr>
      </w:pPr>
      <w:r w:rsidRPr="007608B0">
        <w:rPr>
          <w:rStyle w:val="FootnoteReference"/>
          <w:szCs w:val="16"/>
        </w:rPr>
        <w:footnoteRef/>
      </w:r>
      <w:r w:rsidRPr="007608B0">
        <w:rPr>
          <w:szCs w:val="16"/>
          <w:lang w:val="es-US"/>
        </w:rPr>
        <w:t xml:space="preserve"> </w:t>
      </w:r>
      <w:r>
        <w:rPr>
          <w:szCs w:val="16"/>
          <w:lang w:val="es-CO"/>
        </w:rPr>
        <w:t>Anexo 17: Defensoría del Pueblo. R</w:t>
      </w:r>
      <w:r w:rsidRPr="007608B0">
        <w:rPr>
          <w:szCs w:val="16"/>
          <w:lang w:val="es-CO"/>
        </w:rPr>
        <w:t xml:space="preserve">emite copia de artículo de prensa titulado: </w:t>
      </w:r>
      <w:r w:rsidRPr="00E533EA">
        <w:rPr>
          <w:szCs w:val="16"/>
          <w:lang w:val="es-CO"/>
        </w:rPr>
        <w:t>Denuncia acoso por parte de Organismos de Seguridad</w:t>
      </w:r>
      <w:r w:rsidRPr="007608B0">
        <w:rPr>
          <w:szCs w:val="16"/>
          <w:lang w:val="es-CO"/>
        </w:rPr>
        <w:t xml:space="preserve">, 07 de noviembre de 2002. Anexo </w:t>
      </w:r>
      <w:r>
        <w:rPr>
          <w:szCs w:val="16"/>
          <w:lang w:val="es-CO"/>
        </w:rPr>
        <w:t>a la petición inicial.</w:t>
      </w:r>
    </w:p>
  </w:footnote>
  <w:footnote w:id="39">
    <w:p w14:paraId="0E2E39A6" w14:textId="138801B3" w:rsidR="006B16F4" w:rsidRPr="006F756F" w:rsidRDefault="006B16F4">
      <w:pPr>
        <w:pStyle w:val="FootnoteText"/>
        <w:rPr>
          <w:lang w:val="es-ES"/>
        </w:rPr>
      </w:pPr>
      <w:r>
        <w:rPr>
          <w:rStyle w:val="FootnoteReference"/>
        </w:rPr>
        <w:footnoteRef/>
      </w:r>
      <w:r w:rsidRPr="006F756F">
        <w:rPr>
          <w:lang w:val="es-ES"/>
        </w:rPr>
        <w:t xml:space="preserve"> </w:t>
      </w:r>
      <w:r>
        <w:rPr>
          <w:lang w:val="es-ES"/>
        </w:rPr>
        <w:t xml:space="preserve">Petición inicial y </w:t>
      </w:r>
      <w:r w:rsidRPr="006F756F">
        <w:rPr>
          <w:szCs w:val="16"/>
          <w:lang w:val="es-ES"/>
        </w:rPr>
        <w:t xml:space="preserve">CIDH. </w:t>
      </w:r>
      <w:r w:rsidR="00747C92">
        <w:fldChar w:fldCharType="begin"/>
      </w:r>
      <w:r w:rsidR="00747C92" w:rsidRPr="00A34BBD">
        <w:rPr>
          <w:lang w:val="es-UY"/>
        </w:rPr>
        <w:instrText xml:space="preserve"> HYPERLINK "https://www.youtube.com/watch?v=UoSV8cqCSyk&amp;t=2795s." </w:instrText>
      </w:r>
      <w:r w:rsidR="00747C92">
        <w:fldChar w:fldCharType="separate"/>
      </w:r>
      <w:r w:rsidRPr="006F756F">
        <w:rPr>
          <w:rStyle w:val="Hyperlink"/>
          <w:szCs w:val="16"/>
          <w:lang w:val="es-ES"/>
        </w:rPr>
        <w:t>Testimonio de Jean Carlos Guerrero Meléndez en Audiencia del 4 de abril de 2016</w:t>
      </w:r>
      <w:r w:rsidR="00747C92">
        <w:rPr>
          <w:rStyle w:val="Hyperlink"/>
          <w:szCs w:val="16"/>
          <w:lang w:val="es-ES"/>
        </w:rPr>
        <w:fldChar w:fldCharType="end"/>
      </w:r>
      <w:r w:rsidRPr="006F756F">
        <w:rPr>
          <w:szCs w:val="16"/>
          <w:lang w:val="es-ES"/>
        </w:rPr>
        <w:t xml:space="preserve">.  </w:t>
      </w:r>
    </w:p>
  </w:footnote>
  <w:footnote w:id="40">
    <w:p w14:paraId="1E6649FB" w14:textId="6635AF38" w:rsidR="006B16F4" w:rsidRPr="007608B0" w:rsidRDefault="006B16F4" w:rsidP="00063FAC">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16"/>
          <w:szCs w:val="16"/>
        </w:rPr>
      </w:pPr>
      <w:r w:rsidRPr="007608B0">
        <w:rPr>
          <w:rStyle w:val="FootnoteReference"/>
          <w:rFonts w:asciiTheme="majorHAnsi" w:hAnsiTheme="majorHAnsi"/>
          <w:sz w:val="16"/>
          <w:szCs w:val="16"/>
        </w:rPr>
        <w:footnoteRef/>
      </w:r>
      <w:r w:rsidRPr="007608B0">
        <w:rPr>
          <w:rFonts w:asciiTheme="majorHAnsi" w:hAnsiTheme="majorHAnsi"/>
          <w:sz w:val="16"/>
          <w:szCs w:val="16"/>
        </w:rPr>
        <w:t xml:space="preserve"> Anexo </w:t>
      </w:r>
      <w:r>
        <w:rPr>
          <w:rFonts w:asciiTheme="majorHAnsi" w:hAnsiTheme="majorHAnsi"/>
          <w:sz w:val="16"/>
          <w:szCs w:val="16"/>
        </w:rPr>
        <w:t>18</w:t>
      </w:r>
      <w:r w:rsidRPr="007608B0">
        <w:rPr>
          <w:rFonts w:asciiTheme="majorHAnsi" w:hAnsiTheme="majorHAnsi"/>
          <w:sz w:val="16"/>
          <w:szCs w:val="16"/>
        </w:rPr>
        <w:t xml:space="preserve">: </w:t>
      </w:r>
      <w:r>
        <w:rPr>
          <w:rFonts w:asciiTheme="majorHAnsi" w:hAnsiTheme="majorHAnsi"/>
          <w:sz w:val="16"/>
          <w:szCs w:val="16"/>
        </w:rPr>
        <w:t xml:space="preserve">CICPC. Acta de Levantamiento de Cadáver, </w:t>
      </w:r>
      <w:r w:rsidRPr="007608B0">
        <w:rPr>
          <w:rFonts w:asciiTheme="majorHAnsi" w:hAnsiTheme="majorHAnsi"/>
          <w:sz w:val="16"/>
          <w:szCs w:val="16"/>
        </w:rPr>
        <w:t xml:space="preserve">30 de marzo de 2003. Anexo </w:t>
      </w:r>
      <w:r>
        <w:rPr>
          <w:rFonts w:asciiTheme="majorHAnsi" w:hAnsiTheme="majorHAnsi"/>
          <w:sz w:val="16"/>
          <w:szCs w:val="16"/>
        </w:rPr>
        <w:t xml:space="preserve">al escrito del Estado de 6 </w:t>
      </w:r>
      <w:r w:rsidRPr="007608B0">
        <w:rPr>
          <w:rFonts w:asciiTheme="majorHAnsi" w:hAnsiTheme="majorHAnsi"/>
          <w:sz w:val="16"/>
          <w:szCs w:val="16"/>
        </w:rPr>
        <w:t>de octubre de 20</w:t>
      </w:r>
      <w:r>
        <w:rPr>
          <w:rFonts w:asciiTheme="majorHAnsi" w:hAnsiTheme="majorHAnsi"/>
          <w:sz w:val="16"/>
          <w:szCs w:val="16"/>
        </w:rPr>
        <w:t>1</w:t>
      </w:r>
      <w:r w:rsidRPr="007608B0">
        <w:rPr>
          <w:rFonts w:asciiTheme="majorHAnsi" w:hAnsiTheme="majorHAnsi"/>
          <w:sz w:val="16"/>
          <w:szCs w:val="16"/>
        </w:rPr>
        <w:t>1.</w:t>
      </w:r>
    </w:p>
  </w:footnote>
  <w:footnote w:id="41">
    <w:p w14:paraId="317601BC" w14:textId="0D361FCB" w:rsidR="006B16F4" w:rsidRPr="00063FAC" w:rsidRDefault="006B16F4" w:rsidP="00063FAC">
      <w:pPr>
        <w:pStyle w:val="FootnoteText"/>
        <w:rPr>
          <w:lang w:val="es-CO"/>
        </w:rPr>
      </w:pPr>
      <w:r>
        <w:rPr>
          <w:rStyle w:val="FootnoteReference"/>
        </w:rPr>
        <w:footnoteRef/>
      </w:r>
      <w:r w:rsidRPr="00063FAC">
        <w:rPr>
          <w:lang w:val="es-CO"/>
        </w:rPr>
        <w:t xml:space="preserve"> Anexo </w:t>
      </w:r>
      <w:r>
        <w:rPr>
          <w:lang w:val="es-CO"/>
        </w:rPr>
        <w:t>19</w:t>
      </w:r>
      <w:r w:rsidRPr="00063FAC">
        <w:rPr>
          <w:lang w:val="es-CO"/>
        </w:rPr>
        <w:t>: Informe de Tr</w:t>
      </w:r>
      <w:r>
        <w:rPr>
          <w:lang w:val="es-CO"/>
        </w:rPr>
        <w:t>ayectoria Balística (N°9700-029</w:t>
      </w:r>
      <w:r w:rsidRPr="00063FAC">
        <w:rPr>
          <w:lang w:val="es-CO"/>
        </w:rPr>
        <w:t>) de 1 de mayo de 2006.  Anexo al Escrito del Estado de 6 de octubre de 201</w:t>
      </w:r>
      <w:r>
        <w:rPr>
          <w:lang w:val="es-CO"/>
        </w:rPr>
        <w:t>1.</w:t>
      </w:r>
    </w:p>
  </w:footnote>
  <w:footnote w:id="42">
    <w:p w14:paraId="5530F042" w14:textId="541A2921" w:rsidR="006B16F4" w:rsidRPr="00DD4BFB" w:rsidRDefault="006B16F4" w:rsidP="000E032A">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16"/>
          <w:szCs w:val="16"/>
        </w:rPr>
      </w:pPr>
      <w:r w:rsidRPr="007608B0">
        <w:rPr>
          <w:rStyle w:val="FootnoteReference"/>
          <w:rFonts w:asciiTheme="majorHAnsi" w:hAnsiTheme="majorHAnsi"/>
          <w:sz w:val="16"/>
          <w:szCs w:val="16"/>
        </w:rPr>
        <w:footnoteRef/>
      </w:r>
      <w:r w:rsidRPr="00DD4BFB">
        <w:rPr>
          <w:rFonts w:asciiTheme="majorHAnsi" w:hAnsiTheme="majorHAnsi"/>
          <w:sz w:val="16"/>
          <w:szCs w:val="16"/>
        </w:rPr>
        <w:t>Anexo 20: Protocolo de Autopsia de Jimmy Guerrero, 3 de abril de 2003. Anexo al Escrito del Estado de 6 de octubre de 2011.</w:t>
      </w:r>
    </w:p>
  </w:footnote>
  <w:footnote w:id="43">
    <w:p w14:paraId="517DF828" w14:textId="07D62130" w:rsidR="006B16F4" w:rsidRPr="00A34BBD" w:rsidRDefault="006B16F4" w:rsidP="000E032A">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16"/>
          <w:szCs w:val="16"/>
          <w:lang w:val="pt-BR"/>
        </w:rPr>
      </w:pPr>
      <w:r w:rsidRPr="007608B0">
        <w:rPr>
          <w:rStyle w:val="FootnoteReference"/>
          <w:rFonts w:asciiTheme="majorHAnsi" w:hAnsiTheme="majorHAnsi"/>
          <w:sz w:val="16"/>
          <w:szCs w:val="16"/>
        </w:rPr>
        <w:footnoteRef/>
      </w:r>
      <w:r w:rsidRPr="00A34BBD">
        <w:rPr>
          <w:rFonts w:asciiTheme="majorHAnsi" w:hAnsiTheme="majorHAnsi"/>
          <w:sz w:val="16"/>
          <w:szCs w:val="16"/>
          <w:lang w:val="pt-BR"/>
        </w:rPr>
        <w:t>Anexo 21: Protocolo Autopsia de Ramón Molina de 3 de abril de 2003. Anexo al Escrito del Estado de 6 de octubre de 2011.</w:t>
      </w:r>
    </w:p>
  </w:footnote>
  <w:footnote w:id="44">
    <w:p w14:paraId="183B7466" w14:textId="40CD2A8B" w:rsidR="006B16F4" w:rsidRPr="00A34BBD" w:rsidRDefault="006B16F4">
      <w:pPr>
        <w:pStyle w:val="FootnoteText"/>
        <w:rPr>
          <w:lang w:val="pt-BR"/>
        </w:rPr>
      </w:pPr>
      <w:r>
        <w:rPr>
          <w:rStyle w:val="FootnoteReference"/>
        </w:rPr>
        <w:footnoteRef/>
      </w:r>
      <w:r w:rsidRPr="00A34BBD">
        <w:rPr>
          <w:lang w:val="pt-BR"/>
        </w:rPr>
        <w:t xml:space="preserve"> Anexo 19: Informe de Trayectoria Balística (N°9700-029) de 1 de mayo de 2006.  Anexo al Escrito del Estado de 6 de octubre de 2011.</w:t>
      </w:r>
    </w:p>
  </w:footnote>
  <w:footnote w:id="45">
    <w:p w14:paraId="68A5EAC0" w14:textId="2E19FE7F" w:rsidR="006B16F4" w:rsidRPr="00D27622" w:rsidRDefault="006B16F4" w:rsidP="002541DE">
      <w:pPr>
        <w:pStyle w:val="FootnoteText"/>
        <w:contextualSpacing/>
        <w:jc w:val="both"/>
        <w:rPr>
          <w:szCs w:val="16"/>
          <w:lang w:val="es-ES"/>
        </w:rPr>
      </w:pPr>
      <w:r w:rsidRPr="00957F33">
        <w:rPr>
          <w:rStyle w:val="FootnoteReference"/>
          <w:szCs w:val="16"/>
          <w:lang w:val="es-CO"/>
        </w:rPr>
        <w:footnoteRef/>
      </w:r>
      <w:r w:rsidRPr="00A34BBD">
        <w:rPr>
          <w:rStyle w:val="FootnoteReference"/>
          <w:szCs w:val="16"/>
          <w:lang w:val="pt-BR"/>
        </w:rPr>
        <w:t xml:space="preserve"> </w:t>
      </w:r>
      <w:r w:rsidRPr="00A34BBD">
        <w:rPr>
          <w:szCs w:val="16"/>
          <w:lang w:val="pt-BR"/>
        </w:rPr>
        <w:t>Anexo 22: Nota periodística. Diario el Falconario, J.J. López, “Jimmy Guerrero registraba antecedentes” de 3 de abril de 2003.  Anexo a la petición inicial</w:t>
      </w:r>
      <w:r w:rsidRPr="00A34BBD">
        <w:rPr>
          <w:rFonts w:eastAsia="Arial Unicode MS" w:cs="Times New Roman"/>
          <w:szCs w:val="16"/>
          <w:lang w:val="pt-BR" w:eastAsia="en-US"/>
        </w:rPr>
        <w:t>; Anexo 23: N</w:t>
      </w:r>
      <w:r w:rsidRPr="00A34BBD">
        <w:rPr>
          <w:szCs w:val="16"/>
          <w:lang w:val="pt-BR"/>
        </w:rPr>
        <w:t xml:space="preserve">ota periodística Diario el Falconario, J.J. López “acribilladas dos personas frente a una licorería”. </w:t>
      </w:r>
      <w:r>
        <w:rPr>
          <w:szCs w:val="16"/>
          <w:lang w:val="es-VE"/>
        </w:rPr>
        <w:t>Anexo a la petición inicial</w:t>
      </w:r>
      <w:r w:rsidRPr="00957F33">
        <w:rPr>
          <w:szCs w:val="16"/>
          <w:lang w:val="es-VE"/>
        </w:rPr>
        <w:t xml:space="preserve"> </w:t>
      </w:r>
      <w:r>
        <w:rPr>
          <w:szCs w:val="16"/>
          <w:lang w:val="es-VE"/>
        </w:rPr>
        <w:t>(</w:t>
      </w:r>
      <w:r w:rsidRPr="00957F33">
        <w:rPr>
          <w:szCs w:val="16"/>
          <w:lang w:val="es-VE"/>
        </w:rPr>
        <w:t>“cuando los doctores se disponían a intervenir a los pacientes llegaron aproximadamente 20 personas y comenzaron a lanzar piedras al importante centro asistencial, causándoles graves daños materiales […] les gritaban al personal médico que no atendieran a esos dos pacientes porque eran sujetos del mal vivir”</w:t>
      </w:r>
      <w:r>
        <w:rPr>
          <w:szCs w:val="16"/>
          <w:lang w:val="es-VE"/>
        </w:rPr>
        <w:t>).</w:t>
      </w:r>
    </w:p>
  </w:footnote>
  <w:footnote w:id="46">
    <w:p w14:paraId="402BA7E2" w14:textId="16943991" w:rsidR="006B16F4" w:rsidRPr="007608B0" w:rsidRDefault="006B16F4" w:rsidP="002541D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16"/>
          <w:szCs w:val="16"/>
        </w:rPr>
      </w:pPr>
      <w:r w:rsidRPr="007608B0">
        <w:rPr>
          <w:rStyle w:val="FootnoteReference"/>
          <w:rFonts w:asciiTheme="majorHAnsi" w:hAnsiTheme="majorHAnsi"/>
          <w:sz w:val="16"/>
          <w:szCs w:val="16"/>
        </w:rPr>
        <w:footnoteRef/>
      </w:r>
      <w:r w:rsidRPr="00DD4BFB">
        <w:rPr>
          <w:rFonts w:asciiTheme="majorHAnsi" w:hAnsiTheme="majorHAnsi"/>
          <w:sz w:val="16"/>
          <w:szCs w:val="16"/>
          <w:lang w:val="pt-BR"/>
        </w:rPr>
        <w:t xml:space="preserve"> Anexo 24: CICPC. Acta Policial entrevista a Humberto Casas, 3 de abril de 2003. </w:t>
      </w:r>
      <w:r w:rsidRPr="007608B0">
        <w:rPr>
          <w:rFonts w:asciiTheme="majorHAnsi" w:hAnsiTheme="majorHAnsi"/>
          <w:sz w:val="16"/>
          <w:szCs w:val="16"/>
        </w:rPr>
        <w:t xml:space="preserve">Anexo </w:t>
      </w:r>
      <w:r>
        <w:rPr>
          <w:rFonts w:asciiTheme="majorHAnsi" w:hAnsiTheme="majorHAnsi"/>
          <w:sz w:val="16"/>
          <w:szCs w:val="16"/>
        </w:rPr>
        <w:t>al Escrito del Estado de</w:t>
      </w:r>
      <w:r w:rsidRPr="007608B0">
        <w:rPr>
          <w:rFonts w:asciiTheme="majorHAnsi" w:hAnsiTheme="majorHAnsi"/>
          <w:sz w:val="16"/>
          <w:szCs w:val="16"/>
        </w:rPr>
        <w:t xml:space="preserve"> 6 de octubre de 2001.</w:t>
      </w:r>
      <w:r>
        <w:rPr>
          <w:rFonts w:asciiTheme="majorHAnsi" w:hAnsiTheme="majorHAnsi"/>
          <w:sz w:val="16"/>
          <w:szCs w:val="16"/>
        </w:rPr>
        <w:t xml:space="preserve"> Esta </w:t>
      </w:r>
      <w:r w:rsidRPr="00A00AC7">
        <w:rPr>
          <w:rFonts w:asciiTheme="majorHAnsi" w:hAnsiTheme="majorHAnsi"/>
          <w:sz w:val="16"/>
          <w:szCs w:val="16"/>
        </w:rPr>
        <w:t>persona declaró que: “[v]</w:t>
      </w:r>
      <w:proofErr w:type="spellStart"/>
      <w:r w:rsidRPr="00A00AC7">
        <w:rPr>
          <w:rFonts w:asciiTheme="majorHAnsi" w:hAnsiTheme="majorHAnsi"/>
          <w:sz w:val="16"/>
          <w:szCs w:val="16"/>
        </w:rPr>
        <w:t>eníamos</w:t>
      </w:r>
      <w:proofErr w:type="spellEnd"/>
      <w:r w:rsidRPr="00A00AC7">
        <w:rPr>
          <w:rFonts w:asciiTheme="majorHAnsi" w:hAnsiTheme="majorHAnsi"/>
          <w:sz w:val="16"/>
          <w:szCs w:val="16"/>
        </w:rPr>
        <w:t xml:space="preserve"> a comprar una caja de cerveza llegando a la Distribuidora Rodríguez, veo como si estaban atracando, ya que vi a un sujeto frente a la Licorería con un arma en la mano que se acachaba y se paraba apuntando para dentro del local, cuando vi eso de inmediato me monté en el carro ya que yo me había abajado y arranqué en retroceso y salí con sentido hacia Punto Fijo, llegando a la Estación de Servicio, siento como si el carro se hubiera espichado un caucho, entonces me metí a la bomba al lugar donde se echa aire y allí mi hijo </w:t>
      </w:r>
      <w:r>
        <w:rPr>
          <w:rFonts w:asciiTheme="majorHAnsi" w:hAnsiTheme="majorHAnsi"/>
          <w:sz w:val="16"/>
          <w:szCs w:val="16"/>
        </w:rPr>
        <w:t xml:space="preserve">[…] </w:t>
      </w:r>
      <w:r w:rsidRPr="00A00AC7">
        <w:rPr>
          <w:rFonts w:asciiTheme="majorHAnsi" w:hAnsiTheme="majorHAnsi"/>
          <w:sz w:val="16"/>
          <w:szCs w:val="16"/>
        </w:rPr>
        <w:t>se bajó para echar aire y yo también me baje y fue cuando vi que estaba un cuerpo debajo del carro”.</w:t>
      </w:r>
      <w:r>
        <w:rPr>
          <w:rFonts w:asciiTheme="majorHAnsi" w:hAnsiTheme="majorHAnsi"/>
          <w:sz w:val="20"/>
          <w:szCs w:val="20"/>
        </w:rPr>
        <w:t xml:space="preserve"> </w:t>
      </w:r>
    </w:p>
  </w:footnote>
  <w:footnote w:id="47">
    <w:p w14:paraId="65D464A9" w14:textId="418F6A27" w:rsidR="006B16F4" w:rsidRPr="007608B0" w:rsidRDefault="006B16F4" w:rsidP="002541D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16"/>
          <w:szCs w:val="16"/>
        </w:rPr>
      </w:pPr>
      <w:r w:rsidRPr="007608B0">
        <w:rPr>
          <w:rStyle w:val="FootnoteReference"/>
          <w:rFonts w:asciiTheme="majorHAnsi" w:hAnsiTheme="majorHAnsi"/>
          <w:sz w:val="16"/>
          <w:szCs w:val="16"/>
        </w:rPr>
        <w:footnoteRef/>
      </w:r>
      <w:r w:rsidRPr="007608B0">
        <w:rPr>
          <w:rFonts w:asciiTheme="majorHAnsi" w:hAnsiTheme="majorHAnsi"/>
          <w:sz w:val="16"/>
          <w:szCs w:val="16"/>
        </w:rPr>
        <w:t xml:space="preserve"> Anexo </w:t>
      </w:r>
      <w:r>
        <w:rPr>
          <w:rFonts w:asciiTheme="majorHAnsi" w:hAnsiTheme="majorHAnsi"/>
          <w:sz w:val="16"/>
          <w:szCs w:val="16"/>
        </w:rPr>
        <w:t>25</w:t>
      </w:r>
      <w:r w:rsidRPr="007608B0">
        <w:rPr>
          <w:rFonts w:asciiTheme="majorHAnsi" w:hAnsiTheme="majorHAnsi"/>
          <w:sz w:val="16"/>
          <w:szCs w:val="16"/>
        </w:rPr>
        <w:t xml:space="preserve">: </w:t>
      </w:r>
      <w:r>
        <w:rPr>
          <w:rFonts w:asciiTheme="majorHAnsi" w:hAnsiTheme="majorHAnsi"/>
          <w:sz w:val="16"/>
          <w:szCs w:val="16"/>
        </w:rPr>
        <w:t xml:space="preserve">CICPC. </w:t>
      </w:r>
      <w:r w:rsidRPr="007608B0">
        <w:rPr>
          <w:rFonts w:asciiTheme="majorHAnsi" w:hAnsiTheme="majorHAnsi"/>
          <w:sz w:val="16"/>
          <w:szCs w:val="16"/>
        </w:rPr>
        <w:t xml:space="preserve">Acta Policial de entrevista a </w:t>
      </w:r>
      <w:proofErr w:type="spellStart"/>
      <w:r w:rsidRPr="007608B0">
        <w:rPr>
          <w:rFonts w:asciiTheme="majorHAnsi" w:hAnsiTheme="majorHAnsi"/>
          <w:sz w:val="16"/>
          <w:szCs w:val="16"/>
        </w:rPr>
        <w:t>Engle</w:t>
      </w:r>
      <w:proofErr w:type="spellEnd"/>
      <w:r w:rsidRPr="007608B0">
        <w:rPr>
          <w:rFonts w:asciiTheme="majorHAnsi" w:hAnsiTheme="majorHAnsi"/>
          <w:sz w:val="16"/>
          <w:szCs w:val="16"/>
        </w:rPr>
        <w:t xml:space="preserve"> Blanco, 3 de abril de 2003. Anexo </w:t>
      </w:r>
      <w:r>
        <w:rPr>
          <w:rFonts w:asciiTheme="majorHAnsi" w:hAnsiTheme="majorHAnsi"/>
          <w:sz w:val="16"/>
          <w:szCs w:val="16"/>
        </w:rPr>
        <w:t>al Escrito del Estado de</w:t>
      </w:r>
      <w:r w:rsidRPr="007608B0">
        <w:rPr>
          <w:rFonts w:asciiTheme="majorHAnsi" w:hAnsiTheme="majorHAnsi"/>
          <w:sz w:val="16"/>
          <w:szCs w:val="16"/>
        </w:rPr>
        <w:t xml:space="preserve"> 6 de octubre de 20</w:t>
      </w:r>
      <w:r>
        <w:rPr>
          <w:rFonts w:asciiTheme="majorHAnsi" w:hAnsiTheme="majorHAnsi"/>
          <w:sz w:val="16"/>
          <w:szCs w:val="16"/>
        </w:rPr>
        <w:t>1</w:t>
      </w:r>
      <w:r w:rsidRPr="007608B0">
        <w:rPr>
          <w:rFonts w:asciiTheme="majorHAnsi" w:hAnsiTheme="majorHAnsi"/>
          <w:sz w:val="16"/>
          <w:szCs w:val="16"/>
        </w:rPr>
        <w:t>1.</w:t>
      </w:r>
      <w:r>
        <w:rPr>
          <w:rFonts w:asciiTheme="majorHAnsi" w:hAnsiTheme="majorHAnsi"/>
          <w:sz w:val="16"/>
          <w:szCs w:val="16"/>
        </w:rPr>
        <w:t xml:space="preserve"> </w:t>
      </w:r>
      <w:r w:rsidRPr="00A00AC7">
        <w:rPr>
          <w:rFonts w:asciiTheme="majorHAnsi" w:hAnsiTheme="majorHAnsi"/>
          <w:sz w:val="16"/>
          <w:szCs w:val="16"/>
        </w:rPr>
        <w:t>Según su relato, “Resulta que un día sábado, para amanecer Domingo, en horas de la madrugada, yo me encontraba en compañía de mi esposo, un sobrino y mis dos hijos, en un vehículo Rey, y a al llegar a la licorería Rodríguez, habían dos vehículos uno de color rojo, y una camioneta cerrada, la cual no pude observar muy bien su color, mi esposo se baja para comprar una caja de cervezas, cuando dijo están atracando, retrocedió el vehículo y arrancamos, cuando íbamos por la bomba de Santa Irene, mi esposo dice, se me vació un caucho, él se paró y nos bajamos para llenar el caucho de aire, pero nos percatamos de que todo los cauchos están normales, es cuando mi esposo dice aquí tenemos un hombre pegado”. Asimismo, declaró que no hicieron ninguna denuncia ante las autoridades por temor.</w:t>
      </w:r>
      <w:r>
        <w:rPr>
          <w:rFonts w:asciiTheme="majorHAnsi" w:hAnsiTheme="majorHAnsi"/>
          <w:sz w:val="20"/>
          <w:szCs w:val="20"/>
        </w:rPr>
        <w:t xml:space="preserve"> </w:t>
      </w:r>
    </w:p>
  </w:footnote>
  <w:footnote w:id="48">
    <w:p w14:paraId="2026A640" w14:textId="43FA1FF8" w:rsidR="006B16F4" w:rsidRPr="007608B0" w:rsidRDefault="006B16F4" w:rsidP="0083514A">
      <w:pPr>
        <w:pStyle w:val="FootnoteText"/>
        <w:contextualSpacing/>
        <w:jc w:val="both"/>
        <w:rPr>
          <w:szCs w:val="16"/>
          <w:lang w:val="es-CO"/>
        </w:rPr>
      </w:pPr>
      <w:r w:rsidRPr="007608B0">
        <w:rPr>
          <w:szCs w:val="16"/>
          <w:vertAlign w:val="superscript"/>
          <w:lang w:val="es-CO"/>
        </w:rPr>
        <w:footnoteRef/>
      </w:r>
      <w:r w:rsidRPr="007608B0">
        <w:rPr>
          <w:szCs w:val="16"/>
          <w:vertAlign w:val="superscript"/>
          <w:lang w:val="es-CO"/>
        </w:rPr>
        <w:t xml:space="preserve"> </w:t>
      </w:r>
      <w:r w:rsidRPr="007608B0">
        <w:rPr>
          <w:szCs w:val="16"/>
          <w:lang w:val="es-CO"/>
        </w:rPr>
        <w:t xml:space="preserve"> Anexo </w:t>
      </w:r>
      <w:r>
        <w:rPr>
          <w:szCs w:val="16"/>
          <w:lang w:val="es-CO"/>
        </w:rPr>
        <w:t>26:</w:t>
      </w:r>
      <w:r w:rsidRPr="007608B0">
        <w:rPr>
          <w:szCs w:val="16"/>
          <w:lang w:val="es-CO"/>
        </w:rPr>
        <w:t xml:space="preserve"> Comunicación de Jean Carlos Guerrero Meléndez dirigida al Fiscal General y al Defensor del</w:t>
      </w:r>
      <w:r>
        <w:rPr>
          <w:szCs w:val="16"/>
          <w:lang w:val="es-CO"/>
        </w:rPr>
        <w:t xml:space="preserve"> Pueblo.</w:t>
      </w:r>
      <w:r w:rsidRPr="007608B0">
        <w:rPr>
          <w:szCs w:val="16"/>
          <w:lang w:val="es-CO"/>
        </w:rPr>
        <w:t xml:space="preserve"> Anexo </w:t>
      </w:r>
      <w:r>
        <w:rPr>
          <w:szCs w:val="16"/>
          <w:lang w:val="es-CO"/>
        </w:rPr>
        <w:t>al escrito de la parte peticionaria</w:t>
      </w:r>
      <w:r w:rsidRPr="007608B0">
        <w:rPr>
          <w:szCs w:val="16"/>
          <w:lang w:val="es-CO"/>
        </w:rPr>
        <w:t xml:space="preserve"> de 4 de enero de 2012</w:t>
      </w:r>
      <w:r>
        <w:rPr>
          <w:szCs w:val="16"/>
          <w:lang w:val="es-CO"/>
        </w:rPr>
        <w:t>.</w:t>
      </w:r>
    </w:p>
  </w:footnote>
  <w:footnote w:id="49">
    <w:p w14:paraId="05C4AC96" w14:textId="77777777" w:rsidR="006B16F4" w:rsidRPr="007608B0" w:rsidRDefault="006B16F4" w:rsidP="0083514A">
      <w:pPr>
        <w:tabs>
          <w:tab w:val="left" w:pos="540"/>
        </w:tabs>
        <w:contextualSpacing/>
        <w:jc w:val="both"/>
        <w:rPr>
          <w:rFonts w:asciiTheme="majorHAnsi" w:hAnsiTheme="majorHAnsi"/>
          <w:sz w:val="16"/>
          <w:szCs w:val="16"/>
        </w:rPr>
      </w:pPr>
      <w:r w:rsidRPr="007608B0">
        <w:rPr>
          <w:rStyle w:val="FootnoteReference"/>
          <w:rFonts w:asciiTheme="majorHAnsi" w:hAnsiTheme="majorHAnsi"/>
          <w:sz w:val="16"/>
          <w:szCs w:val="16"/>
        </w:rPr>
        <w:footnoteRef/>
      </w:r>
      <w:r w:rsidRPr="007608B0">
        <w:rPr>
          <w:rFonts w:asciiTheme="majorHAnsi" w:hAnsiTheme="majorHAnsi"/>
          <w:sz w:val="16"/>
          <w:szCs w:val="16"/>
        </w:rPr>
        <w:t xml:space="preserve"> </w:t>
      </w:r>
      <w:r>
        <w:rPr>
          <w:rFonts w:asciiTheme="majorHAnsi" w:hAnsiTheme="majorHAnsi"/>
          <w:sz w:val="16"/>
          <w:szCs w:val="16"/>
        </w:rPr>
        <w:t xml:space="preserve">CIDH. </w:t>
      </w:r>
      <w:hyperlink r:id="rId1" w:history="1">
        <w:r w:rsidRPr="00ED62E7">
          <w:rPr>
            <w:rStyle w:val="Hyperlink"/>
            <w:rFonts w:asciiTheme="majorHAnsi" w:hAnsiTheme="majorHAnsi"/>
            <w:sz w:val="16"/>
            <w:szCs w:val="16"/>
          </w:rPr>
          <w:t>Testimonio de Jean Carlos Guerrero Meléndez en Audiencia del 4 de abril de 2016</w:t>
        </w:r>
      </w:hyperlink>
      <w:r w:rsidRPr="007608B0">
        <w:rPr>
          <w:rFonts w:asciiTheme="majorHAnsi" w:hAnsiTheme="majorHAnsi"/>
          <w:sz w:val="16"/>
          <w:szCs w:val="16"/>
        </w:rPr>
        <w:t xml:space="preserve">.  </w:t>
      </w:r>
    </w:p>
  </w:footnote>
  <w:footnote w:id="50">
    <w:p w14:paraId="651DA6F8" w14:textId="7384D2F1" w:rsidR="006B16F4" w:rsidRPr="007608B0" w:rsidRDefault="006B16F4" w:rsidP="00D7172B">
      <w:pPr>
        <w:pStyle w:val="FootnoteText"/>
        <w:contextualSpacing/>
        <w:jc w:val="both"/>
        <w:rPr>
          <w:szCs w:val="16"/>
          <w:lang w:val="es-CO"/>
        </w:rPr>
      </w:pPr>
      <w:r w:rsidRPr="007608B0">
        <w:rPr>
          <w:rStyle w:val="FootnoteReference"/>
          <w:szCs w:val="16"/>
        </w:rPr>
        <w:footnoteRef/>
      </w:r>
      <w:r w:rsidRPr="007608B0">
        <w:rPr>
          <w:szCs w:val="16"/>
          <w:lang w:val="es-CO"/>
        </w:rPr>
        <w:t xml:space="preserve"> </w:t>
      </w:r>
      <w:r>
        <w:rPr>
          <w:szCs w:val="16"/>
          <w:lang w:val="es-CO"/>
        </w:rPr>
        <w:t>Ver, entre otras: Anexo 27</w:t>
      </w:r>
      <w:r w:rsidRPr="007608B0">
        <w:rPr>
          <w:szCs w:val="16"/>
          <w:lang w:val="es-CO"/>
        </w:rPr>
        <w:t xml:space="preserve">: Nota periodística. Diario la Mañana, </w:t>
      </w:r>
      <w:proofErr w:type="spellStart"/>
      <w:r w:rsidRPr="007608B0">
        <w:rPr>
          <w:szCs w:val="16"/>
          <w:lang w:val="es-CO"/>
        </w:rPr>
        <w:t>Maiveline</w:t>
      </w:r>
      <w:proofErr w:type="spellEnd"/>
      <w:r w:rsidRPr="007608B0">
        <w:rPr>
          <w:szCs w:val="16"/>
          <w:lang w:val="es-CO"/>
        </w:rPr>
        <w:t xml:space="preserve"> Verde, </w:t>
      </w:r>
      <w:r w:rsidRPr="007608B0">
        <w:rPr>
          <w:i/>
          <w:szCs w:val="16"/>
          <w:lang w:val="es-CO"/>
        </w:rPr>
        <w:t xml:space="preserve">Dos muertos en balacera, </w:t>
      </w:r>
      <w:r w:rsidRPr="007608B0">
        <w:rPr>
          <w:szCs w:val="16"/>
          <w:lang w:val="es-CO"/>
        </w:rPr>
        <w:t xml:space="preserve">31 de marzo de 2003. Anexo </w:t>
      </w:r>
      <w:r>
        <w:rPr>
          <w:szCs w:val="16"/>
          <w:lang w:val="es-CO"/>
        </w:rPr>
        <w:t xml:space="preserve">a </w:t>
      </w:r>
      <w:r w:rsidRPr="007608B0">
        <w:rPr>
          <w:szCs w:val="16"/>
          <w:lang w:val="es-CO"/>
        </w:rPr>
        <w:t>la petición inicial</w:t>
      </w:r>
      <w:r>
        <w:rPr>
          <w:rFonts w:eastAsia="Arial Unicode MS" w:cs="Times New Roman"/>
          <w:szCs w:val="16"/>
          <w:lang w:val="es-CO" w:eastAsia="en-US"/>
        </w:rPr>
        <w:t xml:space="preserve">; </w:t>
      </w:r>
      <w:r w:rsidRPr="0080564E">
        <w:rPr>
          <w:szCs w:val="16"/>
          <w:lang w:val="es-VE"/>
        </w:rPr>
        <w:t xml:space="preserve">Anexo </w:t>
      </w:r>
      <w:r>
        <w:rPr>
          <w:szCs w:val="16"/>
          <w:lang w:val="es-VE"/>
        </w:rPr>
        <w:t>28</w:t>
      </w:r>
      <w:r w:rsidRPr="0080564E">
        <w:rPr>
          <w:szCs w:val="16"/>
          <w:lang w:val="es-VE"/>
        </w:rPr>
        <w:t xml:space="preserve">: Nota periodística. Diario La Mañana, Marianela Millán, </w:t>
      </w:r>
      <w:r w:rsidRPr="0080564E">
        <w:rPr>
          <w:i/>
          <w:szCs w:val="16"/>
          <w:lang w:val="es-VE"/>
        </w:rPr>
        <w:t xml:space="preserve">Murieron ajusticiados y no en balacera, </w:t>
      </w:r>
      <w:r w:rsidRPr="0080564E">
        <w:rPr>
          <w:szCs w:val="16"/>
          <w:lang w:val="es-VE"/>
        </w:rPr>
        <w:t xml:space="preserve">4 de abril de 2003. Anexo </w:t>
      </w:r>
      <w:r>
        <w:rPr>
          <w:szCs w:val="16"/>
          <w:lang w:val="es-VE"/>
        </w:rPr>
        <w:t xml:space="preserve">a </w:t>
      </w:r>
      <w:r w:rsidRPr="0080564E">
        <w:rPr>
          <w:szCs w:val="16"/>
          <w:lang w:val="es-VE"/>
        </w:rPr>
        <w:t xml:space="preserve"> la petición inicial; Anexo </w:t>
      </w:r>
      <w:r>
        <w:rPr>
          <w:szCs w:val="16"/>
          <w:lang w:val="es-VE"/>
        </w:rPr>
        <w:t>29</w:t>
      </w:r>
      <w:r w:rsidRPr="0080564E">
        <w:rPr>
          <w:szCs w:val="16"/>
          <w:lang w:val="es-VE"/>
        </w:rPr>
        <w:t xml:space="preserve">: Nota periodística. Diario el </w:t>
      </w:r>
      <w:proofErr w:type="spellStart"/>
      <w:r w:rsidRPr="0080564E">
        <w:rPr>
          <w:szCs w:val="16"/>
          <w:lang w:val="es-VE"/>
        </w:rPr>
        <w:t>Falconario</w:t>
      </w:r>
      <w:proofErr w:type="spellEnd"/>
      <w:r w:rsidRPr="0080564E">
        <w:rPr>
          <w:szCs w:val="16"/>
          <w:lang w:val="es-VE"/>
        </w:rPr>
        <w:t xml:space="preserve">, </w:t>
      </w:r>
      <w:proofErr w:type="spellStart"/>
      <w:r w:rsidRPr="0080564E">
        <w:rPr>
          <w:szCs w:val="16"/>
          <w:lang w:val="es-VE"/>
        </w:rPr>
        <w:t>Ainnett</w:t>
      </w:r>
      <w:proofErr w:type="spellEnd"/>
      <w:r w:rsidRPr="0080564E">
        <w:rPr>
          <w:szCs w:val="16"/>
          <w:lang w:val="es-VE"/>
        </w:rPr>
        <w:t xml:space="preserve"> Chirinos, </w:t>
      </w:r>
      <w:r w:rsidRPr="0080564E">
        <w:rPr>
          <w:i/>
          <w:szCs w:val="16"/>
          <w:lang w:val="es-VE"/>
        </w:rPr>
        <w:t>Familiares de Jimmy Guerrero y Ramón Molina responsabilizan a la policía de su muerte</w:t>
      </w:r>
      <w:r w:rsidRPr="0080564E">
        <w:rPr>
          <w:szCs w:val="16"/>
          <w:lang w:val="es-VE"/>
        </w:rPr>
        <w:t xml:space="preserve">, 4 de abril de 2003. Anexo </w:t>
      </w:r>
      <w:r>
        <w:rPr>
          <w:szCs w:val="16"/>
          <w:lang w:val="es-VE"/>
        </w:rPr>
        <w:t>a</w:t>
      </w:r>
      <w:r w:rsidRPr="0080564E">
        <w:rPr>
          <w:szCs w:val="16"/>
          <w:lang w:val="es-VE"/>
        </w:rPr>
        <w:t xml:space="preserve"> la petición inicial</w:t>
      </w:r>
      <w:r>
        <w:rPr>
          <w:szCs w:val="16"/>
          <w:lang w:val="es-VE"/>
        </w:rPr>
        <w:t>.</w:t>
      </w:r>
      <w:r w:rsidRPr="0080564E">
        <w:rPr>
          <w:szCs w:val="16"/>
          <w:lang w:val="es-VE"/>
        </w:rPr>
        <w:t xml:space="preserve"> </w:t>
      </w:r>
    </w:p>
  </w:footnote>
  <w:footnote w:id="51">
    <w:p w14:paraId="3D9B65F0" w14:textId="74CE8053" w:rsidR="006B16F4" w:rsidRPr="007608B0" w:rsidRDefault="006B16F4" w:rsidP="00427EB0">
      <w:pPr>
        <w:pStyle w:val="FootnoteText"/>
        <w:contextualSpacing/>
        <w:jc w:val="both"/>
        <w:rPr>
          <w:szCs w:val="16"/>
          <w:lang w:val="es-CO"/>
        </w:rPr>
      </w:pPr>
      <w:r w:rsidRPr="007608B0">
        <w:rPr>
          <w:rStyle w:val="FootnoteReference"/>
          <w:szCs w:val="16"/>
          <w:lang w:val="es-CO"/>
        </w:rPr>
        <w:footnoteRef/>
      </w:r>
      <w:r w:rsidRPr="007608B0">
        <w:rPr>
          <w:szCs w:val="16"/>
          <w:lang w:val="es-CO"/>
        </w:rPr>
        <w:t xml:space="preserve"> Anexo </w:t>
      </w:r>
      <w:r>
        <w:rPr>
          <w:szCs w:val="16"/>
          <w:lang w:val="es-CO"/>
        </w:rPr>
        <w:t>30</w:t>
      </w:r>
      <w:r w:rsidRPr="007608B0">
        <w:rPr>
          <w:szCs w:val="16"/>
          <w:lang w:val="es-CO"/>
        </w:rPr>
        <w:t>: Fiscal Sexto</w:t>
      </w:r>
      <w:r>
        <w:rPr>
          <w:szCs w:val="16"/>
          <w:lang w:val="es-CO"/>
        </w:rPr>
        <w:t>. C</w:t>
      </w:r>
      <w:r w:rsidRPr="007608B0">
        <w:rPr>
          <w:szCs w:val="16"/>
          <w:lang w:val="es-CO"/>
        </w:rPr>
        <w:t xml:space="preserve">omunicación dirigida a Juez de Guardia de Primera Instancia en Funciones de Control del Circuito Judicial Penal del Estado Falcón / Extensión Punto Fijo y Auto de Admisión de Prueba Anticipada. Anexo </w:t>
      </w:r>
      <w:r>
        <w:rPr>
          <w:szCs w:val="16"/>
          <w:lang w:val="es-CO"/>
        </w:rPr>
        <w:t xml:space="preserve">a </w:t>
      </w:r>
      <w:r w:rsidRPr="007608B0">
        <w:rPr>
          <w:szCs w:val="16"/>
          <w:lang w:val="es-CO"/>
        </w:rPr>
        <w:t>la petición inicial</w:t>
      </w:r>
      <w:r>
        <w:rPr>
          <w:rFonts w:eastAsia="Arial Unicode MS" w:cs="Times New Roman"/>
          <w:szCs w:val="16"/>
          <w:lang w:val="es-CO" w:eastAsia="en-US"/>
        </w:rPr>
        <w:t xml:space="preserve">; y </w:t>
      </w:r>
      <w:r>
        <w:rPr>
          <w:szCs w:val="16"/>
          <w:lang w:val="es-CO"/>
        </w:rPr>
        <w:t xml:space="preserve">Anexo 31: </w:t>
      </w:r>
      <w:r w:rsidRPr="007608B0">
        <w:rPr>
          <w:szCs w:val="16"/>
          <w:lang w:val="es-CO"/>
        </w:rPr>
        <w:t>Tribunal</w:t>
      </w:r>
      <w:r>
        <w:rPr>
          <w:szCs w:val="16"/>
          <w:lang w:val="es-CO"/>
        </w:rPr>
        <w:t xml:space="preserve"> Penal. </w:t>
      </w:r>
      <w:r w:rsidRPr="007608B0">
        <w:rPr>
          <w:szCs w:val="16"/>
          <w:lang w:val="es-CO"/>
        </w:rPr>
        <w:t xml:space="preserve"> Acta, 5 de abril de 2003. Anexo </w:t>
      </w:r>
      <w:r>
        <w:rPr>
          <w:szCs w:val="16"/>
          <w:lang w:val="es-CO"/>
        </w:rPr>
        <w:t xml:space="preserve">a </w:t>
      </w:r>
      <w:r w:rsidRPr="007608B0">
        <w:rPr>
          <w:szCs w:val="16"/>
          <w:lang w:val="es-CO"/>
        </w:rPr>
        <w:t>la petición inicial</w:t>
      </w:r>
      <w:r>
        <w:rPr>
          <w:szCs w:val="16"/>
          <w:lang w:val="es-CO"/>
        </w:rPr>
        <w:t>.</w:t>
      </w:r>
      <w:r>
        <w:rPr>
          <w:rFonts w:eastAsia="Arial Unicode MS" w:cs="Times New Roman"/>
          <w:szCs w:val="16"/>
          <w:lang w:val="es-CO" w:eastAsia="en-US"/>
        </w:rPr>
        <w:t xml:space="preserve"> </w:t>
      </w:r>
    </w:p>
  </w:footnote>
  <w:footnote w:id="52">
    <w:p w14:paraId="0DA28CF8" w14:textId="634D33CE" w:rsidR="006B16F4" w:rsidRPr="007608B0" w:rsidRDefault="006B16F4" w:rsidP="00427EB0">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16"/>
          <w:szCs w:val="16"/>
        </w:rPr>
      </w:pPr>
      <w:r w:rsidRPr="007608B0">
        <w:rPr>
          <w:rStyle w:val="FootnoteReference"/>
          <w:rFonts w:asciiTheme="majorHAnsi" w:hAnsiTheme="majorHAnsi"/>
          <w:sz w:val="16"/>
          <w:szCs w:val="16"/>
        </w:rPr>
        <w:footnoteRef/>
      </w:r>
      <w:r w:rsidRPr="007608B0">
        <w:rPr>
          <w:rFonts w:asciiTheme="majorHAnsi" w:hAnsiTheme="majorHAnsi"/>
          <w:sz w:val="16"/>
          <w:szCs w:val="16"/>
        </w:rPr>
        <w:t xml:space="preserve"> Anexo </w:t>
      </w:r>
      <w:r>
        <w:rPr>
          <w:rFonts w:asciiTheme="majorHAnsi" w:hAnsiTheme="majorHAnsi"/>
          <w:sz w:val="16"/>
          <w:szCs w:val="16"/>
        </w:rPr>
        <w:t>32</w:t>
      </w:r>
      <w:r w:rsidRPr="007608B0">
        <w:rPr>
          <w:rFonts w:asciiTheme="majorHAnsi" w:hAnsiTheme="majorHAnsi"/>
          <w:sz w:val="16"/>
          <w:szCs w:val="16"/>
        </w:rPr>
        <w:t xml:space="preserve">: </w:t>
      </w:r>
      <w:r>
        <w:rPr>
          <w:rFonts w:asciiTheme="majorHAnsi" w:hAnsiTheme="majorHAnsi"/>
          <w:sz w:val="16"/>
          <w:szCs w:val="16"/>
        </w:rPr>
        <w:t>CICPC.</w:t>
      </w:r>
      <w:r w:rsidRPr="007608B0">
        <w:rPr>
          <w:rFonts w:asciiTheme="majorHAnsi" w:hAnsiTheme="majorHAnsi"/>
          <w:sz w:val="16"/>
          <w:szCs w:val="16"/>
        </w:rPr>
        <w:t xml:space="preserve"> Acta de </w:t>
      </w:r>
      <w:r>
        <w:rPr>
          <w:rFonts w:asciiTheme="majorHAnsi" w:hAnsiTheme="majorHAnsi"/>
          <w:sz w:val="16"/>
          <w:szCs w:val="16"/>
        </w:rPr>
        <w:t>e</w:t>
      </w:r>
      <w:r w:rsidRPr="007608B0">
        <w:rPr>
          <w:rFonts w:asciiTheme="majorHAnsi" w:hAnsiTheme="majorHAnsi"/>
          <w:sz w:val="16"/>
          <w:szCs w:val="16"/>
        </w:rPr>
        <w:t xml:space="preserve">ntrevista a Manuel Antonio </w:t>
      </w:r>
      <w:proofErr w:type="spellStart"/>
      <w:r w:rsidRPr="007608B0">
        <w:rPr>
          <w:rFonts w:asciiTheme="majorHAnsi" w:hAnsiTheme="majorHAnsi"/>
          <w:sz w:val="16"/>
          <w:szCs w:val="16"/>
        </w:rPr>
        <w:t>Diogo</w:t>
      </w:r>
      <w:proofErr w:type="spellEnd"/>
      <w:r w:rsidRPr="007608B0">
        <w:rPr>
          <w:rFonts w:asciiTheme="majorHAnsi" w:hAnsiTheme="majorHAnsi"/>
          <w:sz w:val="16"/>
          <w:szCs w:val="16"/>
        </w:rPr>
        <w:t xml:space="preserve">, 2 de abril de 2003. Anexo </w:t>
      </w:r>
      <w:r>
        <w:rPr>
          <w:rFonts w:asciiTheme="majorHAnsi" w:hAnsiTheme="majorHAnsi"/>
          <w:sz w:val="16"/>
          <w:szCs w:val="16"/>
        </w:rPr>
        <w:t>a</w:t>
      </w:r>
      <w:r w:rsidRPr="007608B0">
        <w:rPr>
          <w:rFonts w:asciiTheme="majorHAnsi" w:hAnsiTheme="majorHAnsi"/>
          <w:sz w:val="16"/>
          <w:szCs w:val="16"/>
        </w:rPr>
        <w:t xml:space="preserve"> la petición inicial</w:t>
      </w:r>
      <w:r>
        <w:rPr>
          <w:rFonts w:asciiTheme="majorHAnsi" w:hAnsiTheme="majorHAnsi"/>
          <w:sz w:val="16"/>
          <w:szCs w:val="16"/>
        </w:rPr>
        <w:t>.</w:t>
      </w:r>
    </w:p>
  </w:footnote>
  <w:footnote w:id="53">
    <w:p w14:paraId="3006C556" w14:textId="08C4DF65" w:rsidR="006B16F4" w:rsidRPr="007608B0" w:rsidRDefault="006B16F4" w:rsidP="00427EB0">
      <w:pPr>
        <w:pStyle w:val="FootnoteText"/>
        <w:contextualSpacing/>
        <w:jc w:val="both"/>
        <w:rPr>
          <w:szCs w:val="16"/>
          <w:lang w:val="es-CO"/>
        </w:rPr>
      </w:pPr>
      <w:r w:rsidRPr="007608B0">
        <w:rPr>
          <w:rStyle w:val="FootnoteReference"/>
          <w:szCs w:val="16"/>
        </w:rPr>
        <w:footnoteRef/>
      </w:r>
      <w:r>
        <w:rPr>
          <w:szCs w:val="16"/>
          <w:lang w:val="es-CO"/>
        </w:rPr>
        <w:t xml:space="preserve"> Anexo 32</w:t>
      </w:r>
      <w:r w:rsidRPr="007608B0">
        <w:rPr>
          <w:szCs w:val="16"/>
          <w:lang w:val="es-CO"/>
        </w:rPr>
        <w:t xml:space="preserve">: </w:t>
      </w:r>
      <w:r>
        <w:rPr>
          <w:szCs w:val="16"/>
          <w:lang w:val="es-CO"/>
        </w:rPr>
        <w:t>CICPC.</w:t>
      </w:r>
      <w:r w:rsidRPr="007608B0">
        <w:rPr>
          <w:szCs w:val="16"/>
          <w:lang w:val="es-CO"/>
        </w:rPr>
        <w:t xml:space="preserve"> Acta de</w:t>
      </w:r>
      <w:r>
        <w:rPr>
          <w:szCs w:val="16"/>
          <w:lang w:val="es-CO"/>
        </w:rPr>
        <w:t xml:space="preserve"> e</w:t>
      </w:r>
      <w:r w:rsidRPr="007608B0">
        <w:rPr>
          <w:szCs w:val="16"/>
          <w:lang w:val="es-CO"/>
        </w:rPr>
        <w:t xml:space="preserve">ntrevista a Manuel Antonio </w:t>
      </w:r>
      <w:proofErr w:type="spellStart"/>
      <w:r w:rsidRPr="007608B0">
        <w:rPr>
          <w:szCs w:val="16"/>
          <w:lang w:val="es-CO"/>
        </w:rPr>
        <w:t>Diogo</w:t>
      </w:r>
      <w:proofErr w:type="spellEnd"/>
      <w:r w:rsidRPr="007608B0">
        <w:rPr>
          <w:szCs w:val="16"/>
          <w:lang w:val="es-CO"/>
        </w:rPr>
        <w:t xml:space="preserve">, 2 de abril de 2003. Anexo </w:t>
      </w:r>
      <w:r>
        <w:rPr>
          <w:szCs w:val="16"/>
          <w:lang w:val="es-CO"/>
        </w:rPr>
        <w:t xml:space="preserve">a </w:t>
      </w:r>
      <w:r w:rsidRPr="007608B0">
        <w:rPr>
          <w:szCs w:val="16"/>
          <w:lang w:val="es-CO"/>
        </w:rPr>
        <w:t>la petición inicial</w:t>
      </w:r>
      <w:r>
        <w:rPr>
          <w:szCs w:val="16"/>
          <w:lang w:val="es-CO"/>
        </w:rPr>
        <w:t>.</w:t>
      </w:r>
    </w:p>
  </w:footnote>
  <w:footnote w:id="54">
    <w:p w14:paraId="0ECD3369" w14:textId="314FA21F" w:rsidR="006B16F4" w:rsidRPr="007608B0" w:rsidRDefault="006B16F4" w:rsidP="00843162">
      <w:pPr>
        <w:pBdr>
          <w:top w:val="none" w:sz="0" w:space="0" w:color="auto"/>
          <w:left w:val="none" w:sz="0" w:space="0" w:color="auto"/>
          <w:bottom w:val="none" w:sz="0" w:space="0" w:color="auto"/>
          <w:right w:val="none" w:sz="0" w:space="0" w:color="auto"/>
          <w:between w:val="none" w:sz="0" w:space="0" w:color="auto"/>
          <w:bar w:val="none" w:sz="0" w:color="auto"/>
        </w:pBdr>
        <w:spacing w:after="60"/>
        <w:contextualSpacing/>
        <w:jc w:val="both"/>
        <w:rPr>
          <w:rFonts w:asciiTheme="majorHAnsi" w:hAnsiTheme="majorHAnsi"/>
          <w:sz w:val="16"/>
          <w:szCs w:val="16"/>
        </w:rPr>
      </w:pPr>
      <w:r w:rsidRPr="007608B0">
        <w:rPr>
          <w:rStyle w:val="FootnoteReference"/>
          <w:rFonts w:asciiTheme="majorHAnsi" w:hAnsiTheme="majorHAnsi"/>
          <w:sz w:val="16"/>
          <w:szCs w:val="16"/>
        </w:rPr>
        <w:footnoteRef/>
      </w:r>
      <w:r w:rsidRPr="007608B0">
        <w:rPr>
          <w:rFonts w:asciiTheme="majorHAnsi" w:hAnsiTheme="majorHAnsi"/>
          <w:sz w:val="16"/>
          <w:szCs w:val="16"/>
        </w:rPr>
        <w:t xml:space="preserve"> Anexo </w:t>
      </w:r>
      <w:r>
        <w:rPr>
          <w:rFonts w:asciiTheme="majorHAnsi" w:hAnsiTheme="majorHAnsi"/>
          <w:sz w:val="16"/>
          <w:szCs w:val="16"/>
        </w:rPr>
        <w:t>33</w:t>
      </w:r>
      <w:r w:rsidRPr="007608B0">
        <w:rPr>
          <w:rFonts w:asciiTheme="majorHAnsi" w:hAnsiTheme="majorHAnsi"/>
          <w:sz w:val="16"/>
          <w:szCs w:val="16"/>
        </w:rPr>
        <w:t xml:space="preserve">: </w:t>
      </w:r>
      <w:r>
        <w:rPr>
          <w:rFonts w:asciiTheme="majorHAnsi" w:hAnsiTheme="majorHAnsi"/>
          <w:sz w:val="16"/>
          <w:szCs w:val="16"/>
        </w:rPr>
        <w:t xml:space="preserve">CICPC. Acta </w:t>
      </w:r>
      <w:r w:rsidRPr="007608B0">
        <w:rPr>
          <w:rFonts w:asciiTheme="majorHAnsi" w:hAnsiTheme="majorHAnsi"/>
          <w:sz w:val="16"/>
          <w:szCs w:val="16"/>
        </w:rPr>
        <w:t xml:space="preserve">de </w:t>
      </w:r>
      <w:r>
        <w:rPr>
          <w:rFonts w:asciiTheme="majorHAnsi" w:hAnsiTheme="majorHAnsi"/>
          <w:sz w:val="16"/>
          <w:szCs w:val="16"/>
        </w:rPr>
        <w:t>e</w:t>
      </w:r>
      <w:r w:rsidRPr="007608B0">
        <w:rPr>
          <w:rFonts w:asciiTheme="majorHAnsi" w:hAnsiTheme="majorHAnsi"/>
          <w:sz w:val="16"/>
          <w:szCs w:val="16"/>
        </w:rPr>
        <w:t xml:space="preserve">ntrevista a Leonardo Morillo, 30 de marzo de 2003. Anexo </w:t>
      </w:r>
      <w:r>
        <w:rPr>
          <w:rFonts w:asciiTheme="majorHAnsi" w:hAnsiTheme="majorHAnsi"/>
          <w:sz w:val="16"/>
          <w:szCs w:val="16"/>
        </w:rPr>
        <w:t>al Escrito del Estado de</w:t>
      </w:r>
      <w:r w:rsidRPr="007608B0">
        <w:rPr>
          <w:rFonts w:asciiTheme="majorHAnsi" w:hAnsiTheme="majorHAnsi"/>
          <w:sz w:val="16"/>
          <w:szCs w:val="16"/>
        </w:rPr>
        <w:t xml:space="preserve"> 6 de octubre de 20</w:t>
      </w:r>
      <w:r>
        <w:rPr>
          <w:rFonts w:asciiTheme="majorHAnsi" w:hAnsiTheme="majorHAnsi"/>
          <w:sz w:val="16"/>
          <w:szCs w:val="16"/>
        </w:rPr>
        <w:t>1</w:t>
      </w:r>
      <w:r w:rsidRPr="007608B0">
        <w:rPr>
          <w:rFonts w:asciiTheme="majorHAnsi" w:hAnsiTheme="majorHAnsi"/>
          <w:sz w:val="16"/>
          <w:szCs w:val="16"/>
        </w:rPr>
        <w:t>1.</w:t>
      </w:r>
    </w:p>
  </w:footnote>
  <w:footnote w:id="55">
    <w:p w14:paraId="7139FB57" w14:textId="6A464207" w:rsidR="006B16F4" w:rsidRPr="007608B0" w:rsidRDefault="006B16F4" w:rsidP="004A373E">
      <w:pPr>
        <w:pBdr>
          <w:top w:val="none" w:sz="0" w:space="0" w:color="auto"/>
          <w:left w:val="none" w:sz="0" w:space="0" w:color="auto"/>
          <w:bottom w:val="none" w:sz="0" w:space="0" w:color="auto"/>
          <w:right w:val="none" w:sz="0" w:space="0" w:color="auto"/>
          <w:between w:val="none" w:sz="0" w:space="0" w:color="auto"/>
          <w:bar w:val="none" w:sz="0" w:color="auto"/>
        </w:pBdr>
        <w:spacing w:after="60"/>
        <w:contextualSpacing/>
        <w:jc w:val="both"/>
        <w:rPr>
          <w:rFonts w:asciiTheme="majorHAnsi" w:hAnsiTheme="majorHAnsi"/>
          <w:sz w:val="16"/>
          <w:szCs w:val="16"/>
        </w:rPr>
      </w:pPr>
      <w:r w:rsidRPr="007608B0">
        <w:rPr>
          <w:rStyle w:val="FootnoteReference"/>
          <w:rFonts w:asciiTheme="majorHAnsi" w:hAnsiTheme="majorHAnsi"/>
          <w:sz w:val="16"/>
          <w:szCs w:val="16"/>
        </w:rPr>
        <w:footnoteRef/>
      </w:r>
      <w:r w:rsidRPr="007608B0">
        <w:rPr>
          <w:rFonts w:asciiTheme="majorHAnsi" w:hAnsiTheme="majorHAnsi"/>
          <w:sz w:val="16"/>
          <w:szCs w:val="16"/>
        </w:rPr>
        <w:t xml:space="preserve">Anexo </w:t>
      </w:r>
      <w:r>
        <w:rPr>
          <w:rFonts w:asciiTheme="majorHAnsi" w:hAnsiTheme="majorHAnsi"/>
          <w:sz w:val="16"/>
          <w:szCs w:val="16"/>
        </w:rPr>
        <w:t>34</w:t>
      </w:r>
      <w:r w:rsidRPr="007608B0">
        <w:rPr>
          <w:rFonts w:asciiTheme="majorHAnsi" w:hAnsiTheme="majorHAnsi"/>
          <w:sz w:val="16"/>
          <w:szCs w:val="16"/>
        </w:rPr>
        <w:t xml:space="preserve">: </w:t>
      </w:r>
      <w:r>
        <w:rPr>
          <w:rFonts w:asciiTheme="majorHAnsi" w:hAnsiTheme="majorHAnsi"/>
          <w:sz w:val="16"/>
          <w:szCs w:val="16"/>
        </w:rPr>
        <w:t xml:space="preserve">CICPC. </w:t>
      </w:r>
      <w:r w:rsidRPr="007608B0">
        <w:rPr>
          <w:rFonts w:asciiTheme="majorHAnsi" w:hAnsiTheme="majorHAnsi"/>
          <w:sz w:val="16"/>
          <w:szCs w:val="16"/>
        </w:rPr>
        <w:t xml:space="preserve">Acta de entrevista a Horacio Blanco, 1 de abril de 2003. Anexo </w:t>
      </w:r>
      <w:r>
        <w:rPr>
          <w:rFonts w:asciiTheme="majorHAnsi" w:hAnsiTheme="majorHAnsi"/>
          <w:sz w:val="16"/>
          <w:szCs w:val="16"/>
        </w:rPr>
        <w:t>al Escrito del Estado de</w:t>
      </w:r>
      <w:r w:rsidRPr="007608B0">
        <w:rPr>
          <w:rFonts w:asciiTheme="majorHAnsi" w:hAnsiTheme="majorHAnsi"/>
          <w:sz w:val="16"/>
          <w:szCs w:val="16"/>
        </w:rPr>
        <w:t xml:space="preserve"> 6 de octubre de 20</w:t>
      </w:r>
      <w:r>
        <w:rPr>
          <w:rFonts w:asciiTheme="majorHAnsi" w:hAnsiTheme="majorHAnsi"/>
          <w:sz w:val="16"/>
          <w:szCs w:val="16"/>
        </w:rPr>
        <w:t>1</w:t>
      </w:r>
      <w:r w:rsidRPr="007608B0">
        <w:rPr>
          <w:rFonts w:asciiTheme="majorHAnsi" w:hAnsiTheme="majorHAnsi"/>
          <w:sz w:val="16"/>
          <w:szCs w:val="16"/>
        </w:rPr>
        <w:t>1.</w:t>
      </w:r>
    </w:p>
  </w:footnote>
  <w:footnote w:id="56">
    <w:p w14:paraId="586C1B49" w14:textId="66B321B4" w:rsidR="006B16F4" w:rsidRPr="007608B0" w:rsidRDefault="006B16F4" w:rsidP="008C23F9">
      <w:pPr>
        <w:pBdr>
          <w:top w:val="none" w:sz="0" w:space="0" w:color="auto"/>
          <w:left w:val="none" w:sz="0" w:space="0" w:color="auto"/>
          <w:bottom w:val="none" w:sz="0" w:space="0" w:color="auto"/>
          <w:right w:val="none" w:sz="0" w:space="0" w:color="auto"/>
          <w:between w:val="none" w:sz="0" w:space="0" w:color="auto"/>
          <w:bar w:val="none" w:sz="0" w:color="auto"/>
        </w:pBdr>
        <w:spacing w:after="60"/>
        <w:contextualSpacing/>
        <w:jc w:val="both"/>
        <w:rPr>
          <w:rFonts w:asciiTheme="majorHAnsi" w:hAnsiTheme="majorHAnsi"/>
          <w:sz w:val="16"/>
          <w:szCs w:val="16"/>
        </w:rPr>
      </w:pPr>
      <w:r w:rsidRPr="007608B0">
        <w:rPr>
          <w:rStyle w:val="FootnoteReference"/>
          <w:rFonts w:asciiTheme="majorHAnsi" w:hAnsiTheme="majorHAnsi"/>
          <w:sz w:val="16"/>
          <w:szCs w:val="16"/>
        </w:rPr>
        <w:footnoteRef/>
      </w:r>
      <w:r>
        <w:rPr>
          <w:rFonts w:asciiTheme="majorHAnsi" w:hAnsiTheme="majorHAnsi"/>
          <w:sz w:val="16"/>
          <w:szCs w:val="16"/>
        </w:rPr>
        <w:t xml:space="preserve"> Anexo 35</w:t>
      </w:r>
      <w:r w:rsidRPr="007608B0">
        <w:rPr>
          <w:rFonts w:asciiTheme="majorHAnsi" w:hAnsiTheme="majorHAnsi"/>
          <w:sz w:val="16"/>
          <w:szCs w:val="16"/>
        </w:rPr>
        <w:t xml:space="preserve">: </w:t>
      </w:r>
      <w:r>
        <w:rPr>
          <w:rFonts w:asciiTheme="majorHAnsi" w:hAnsiTheme="majorHAnsi"/>
          <w:sz w:val="16"/>
          <w:szCs w:val="16"/>
        </w:rPr>
        <w:t>CICPC.</w:t>
      </w:r>
      <w:r w:rsidRPr="007608B0">
        <w:rPr>
          <w:rFonts w:asciiTheme="majorHAnsi" w:hAnsiTheme="majorHAnsi"/>
          <w:sz w:val="16"/>
          <w:szCs w:val="16"/>
        </w:rPr>
        <w:t xml:space="preserve"> Acta de entrevista a Wilmer Enrique Arias</w:t>
      </w:r>
      <w:r>
        <w:rPr>
          <w:rFonts w:asciiTheme="majorHAnsi" w:hAnsiTheme="majorHAnsi"/>
          <w:sz w:val="16"/>
          <w:szCs w:val="16"/>
        </w:rPr>
        <w:t>, 31 de marzo de 2003. Anexo al Escrito del Estado de</w:t>
      </w:r>
      <w:r w:rsidRPr="007608B0">
        <w:rPr>
          <w:rFonts w:asciiTheme="majorHAnsi" w:hAnsiTheme="majorHAnsi"/>
          <w:sz w:val="16"/>
          <w:szCs w:val="16"/>
        </w:rPr>
        <w:t xml:space="preserve"> 6 de octubre de 20</w:t>
      </w:r>
      <w:r>
        <w:rPr>
          <w:rFonts w:asciiTheme="majorHAnsi" w:hAnsiTheme="majorHAnsi"/>
          <w:sz w:val="16"/>
          <w:szCs w:val="16"/>
        </w:rPr>
        <w:t>1</w:t>
      </w:r>
      <w:r w:rsidRPr="007608B0">
        <w:rPr>
          <w:rFonts w:asciiTheme="majorHAnsi" w:hAnsiTheme="majorHAnsi"/>
          <w:sz w:val="16"/>
          <w:szCs w:val="16"/>
        </w:rPr>
        <w:t>1.</w:t>
      </w:r>
    </w:p>
  </w:footnote>
  <w:footnote w:id="57">
    <w:p w14:paraId="465FA1E6" w14:textId="2D08EC41" w:rsidR="006B16F4" w:rsidRPr="007608B0" w:rsidRDefault="006B16F4" w:rsidP="005D3C86">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16"/>
          <w:szCs w:val="16"/>
        </w:rPr>
      </w:pPr>
      <w:r w:rsidRPr="007608B0">
        <w:rPr>
          <w:rStyle w:val="FootnoteReference"/>
          <w:rFonts w:asciiTheme="majorHAnsi" w:hAnsiTheme="majorHAnsi"/>
          <w:sz w:val="16"/>
          <w:szCs w:val="16"/>
        </w:rPr>
        <w:footnoteRef/>
      </w:r>
      <w:r w:rsidRPr="007608B0">
        <w:rPr>
          <w:rFonts w:asciiTheme="majorHAnsi" w:hAnsiTheme="majorHAnsi"/>
          <w:sz w:val="16"/>
          <w:szCs w:val="16"/>
        </w:rPr>
        <w:t xml:space="preserve"> Anexo </w:t>
      </w:r>
      <w:r>
        <w:rPr>
          <w:rFonts w:asciiTheme="majorHAnsi" w:hAnsiTheme="majorHAnsi"/>
          <w:sz w:val="16"/>
          <w:szCs w:val="16"/>
        </w:rPr>
        <w:t>34</w:t>
      </w:r>
      <w:r w:rsidRPr="007608B0">
        <w:rPr>
          <w:rFonts w:asciiTheme="majorHAnsi" w:hAnsiTheme="majorHAnsi"/>
          <w:sz w:val="16"/>
          <w:szCs w:val="16"/>
        </w:rPr>
        <w:t xml:space="preserve">: </w:t>
      </w:r>
      <w:r>
        <w:rPr>
          <w:rFonts w:asciiTheme="majorHAnsi" w:hAnsiTheme="majorHAnsi"/>
          <w:sz w:val="16"/>
          <w:szCs w:val="16"/>
        </w:rPr>
        <w:t>CICPC.</w:t>
      </w:r>
      <w:r w:rsidRPr="007608B0">
        <w:rPr>
          <w:rFonts w:asciiTheme="majorHAnsi" w:hAnsiTheme="majorHAnsi"/>
          <w:sz w:val="16"/>
          <w:szCs w:val="16"/>
        </w:rPr>
        <w:t xml:space="preserve"> Acta de entrevista a Horacio Blanco, 1 de abril de 2003. Anexo </w:t>
      </w:r>
      <w:r>
        <w:rPr>
          <w:rFonts w:asciiTheme="majorHAnsi" w:hAnsiTheme="majorHAnsi"/>
          <w:sz w:val="16"/>
          <w:szCs w:val="16"/>
        </w:rPr>
        <w:t xml:space="preserve">al Escrito del Estado de 6 de octubre de 2011; </w:t>
      </w:r>
      <w:r w:rsidRPr="007608B0">
        <w:rPr>
          <w:rFonts w:asciiTheme="majorHAnsi" w:hAnsiTheme="majorHAnsi"/>
          <w:sz w:val="16"/>
          <w:szCs w:val="16"/>
        </w:rPr>
        <w:t xml:space="preserve">Anexo </w:t>
      </w:r>
      <w:r>
        <w:rPr>
          <w:rFonts w:asciiTheme="majorHAnsi" w:hAnsiTheme="majorHAnsi"/>
          <w:sz w:val="16"/>
          <w:szCs w:val="16"/>
        </w:rPr>
        <w:t>36</w:t>
      </w:r>
      <w:r w:rsidRPr="007608B0">
        <w:rPr>
          <w:rFonts w:asciiTheme="majorHAnsi" w:hAnsiTheme="majorHAnsi"/>
          <w:sz w:val="16"/>
          <w:szCs w:val="16"/>
        </w:rPr>
        <w:t>: Guard</w:t>
      </w:r>
      <w:r>
        <w:rPr>
          <w:rFonts w:asciiTheme="majorHAnsi" w:hAnsiTheme="majorHAnsi"/>
          <w:sz w:val="16"/>
          <w:szCs w:val="16"/>
        </w:rPr>
        <w:t>ia Nacional, Comando Regional N</w:t>
      </w:r>
      <w:r w:rsidRPr="007608B0">
        <w:rPr>
          <w:rFonts w:asciiTheme="majorHAnsi" w:hAnsiTheme="majorHAnsi"/>
          <w:sz w:val="16"/>
          <w:szCs w:val="16"/>
        </w:rPr>
        <w:t>o</w:t>
      </w:r>
      <w:r>
        <w:rPr>
          <w:rFonts w:asciiTheme="majorHAnsi" w:hAnsiTheme="majorHAnsi"/>
          <w:sz w:val="16"/>
          <w:szCs w:val="16"/>
        </w:rPr>
        <w:t>.</w:t>
      </w:r>
      <w:r w:rsidRPr="007608B0">
        <w:rPr>
          <w:rFonts w:asciiTheme="majorHAnsi" w:hAnsiTheme="majorHAnsi"/>
          <w:sz w:val="16"/>
          <w:szCs w:val="16"/>
        </w:rPr>
        <w:t xml:space="preserve"> 4, Destacamento NRO 44, Comando </w:t>
      </w:r>
      <w:proofErr w:type="spellStart"/>
      <w:r w:rsidRPr="007608B0">
        <w:rPr>
          <w:rFonts w:asciiTheme="majorHAnsi" w:hAnsiTheme="majorHAnsi"/>
          <w:sz w:val="16"/>
          <w:szCs w:val="16"/>
        </w:rPr>
        <w:t>Jud</w:t>
      </w:r>
      <w:r>
        <w:rPr>
          <w:rFonts w:asciiTheme="majorHAnsi" w:hAnsiTheme="majorHAnsi"/>
          <w:sz w:val="16"/>
          <w:szCs w:val="16"/>
        </w:rPr>
        <w:t>ibama</w:t>
      </w:r>
      <w:proofErr w:type="spellEnd"/>
      <w:r>
        <w:rPr>
          <w:rFonts w:asciiTheme="majorHAnsi" w:hAnsiTheme="majorHAnsi"/>
          <w:sz w:val="16"/>
          <w:szCs w:val="16"/>
        </w:rPr>
        <w:t>, Acta de e</w:t>
      </w:r>
      <w:r w:rsidRPr="007608B0">
        <w:rPr>
          <w:rFonts w:asciiTheme="majorHAnsi" w:hAnsiTheme="majorHAnsi"/>
          <w:sz w:val="16"/>
          <w:szCs w:val="16"/>
        </w:rPr>
        <w:t xml:space="preserve">ntrevista a </w:t>
      </w:r>
      <w:proofErr w:type="spellStart"/>
      <w:r w:rsidRPr="007608B0">
        <w:rPr>
          <w:rFonts w:asciiTheme="majorHAnsi" w:hAnsiTheme="majorHAnsi"/>
          <w:sz w:val="16"/>
          <w:szCs w:val="16"/>
        </w:rPr>
        <w:t>Yarelis</w:t>
      </w:r>
      <w:proofErr w:type="spellEnd"/>
      <w:r w:rsidRPr="007608B0">
        <w:rPr>
          <w:rFonts w:asciiTheme="majorHAnsi" w:hAnsiTheme="majorHAnsi"/>
          <w:sz w:val="16"/>
          <w:szCs w:val="16"/>
        </w:rPr>
        <w:t xml:space="preserve"> Guerrero, 2 de abril de 2003. Anexo </w:t>
      </w:r>
      <w:r>
        <w:rPr>
          <w:rFonts w:asciiTheme="majorHAnsi" w:hAnsiTheme="majorHAnsi"/>
          <w:sz w:val="16"/>
          <w:szCs w:val="16"/>
        </w:rPr>
        <w:t>al Escrito del Estado de</w:t>
      </w:r>
      <w:r w:rsidRPr="007608B0">
        <w:rPr>
          <w:rFonts w:asciiTheme="majorHAnsi" w:hAnsiTheme="majorHAnsi"/>
          <w:sz w:val="16"/>
          <w:szCs w:val="16"/>
        </w:rPr>
        <w:t xml:space="preserve"> 6 de octubre de 20</w:t>
      </w:r>
      <w:r>
        <w:rPr>
          <w:rFonts w:asciiTheme="majorHAnsi" w:hAnsiTheme="majorHAnsi"/>
          <w:sz w:val="16"/>
          <w:szCs w:val="16"/>
        </w:rPr>
        <w:t>1</w:t>
      </w:r>
      <w:r w:rsidRPr="007608B0">
        <w:rPr>
          <w:rFonts w:asciiTheme="majorHAnsi" w:hAnsiTheme="majorHAnsi"/>
          <w:sz w:val="16"/>
          <w:szCs w:val="16"/>
        </w:rPr>
        <w:t>1.</w:t>
      </w:r>
    </w:p>
  </w:footnote>
  <w:footnote w:id="58">
    <w:p w14:paraId="5DD2E159" w14:textId="4ED88A67" w:rsidR="006B16F4" w:rsidRPr="007608B0" w:rsidRDefault="006B16F4" w:rsidP="00843162">
      <w:pPr>
        <w:pStyle w:val="FootnoteText"/>
        <w:contextualSpacing/>
        <w:jc w:val="both"/>
        <w:rPr>
          <w:szCs w:val="16"/>
          <w:lang w:val="es-CO"/>
        </w:rPr>
      </w:pPr>
      <w:r w:rsidRPr="007608B0">
        <w:rPr>
          <w:szCs w:val="16"/>
          <w:vertAlign w:val="superscript"/>
          <w:lang w:val="es-CO"/>
        </w:rPr>
        <w:footnoteRef/>
      </w:r>
      <w:r>
        <w:rPr>
          <w:szCs w:val="16"/>
          <w:lang w:val="es-CO"/>
        </w:rPr>
        <w:t xml:space="preserve"> Anexo 37: Fiscal Sexto. </w:t>
      </w:r>
      <w:r w:rsidRPr="007608B0">
        <w:rPr>
          <w:szCs w:val="16"/>
          <w:lang w:val="es-CO"/>
        </w:rPr>
        <w:t xml:space="preserve">Orden de Apertura de Investigación, 30 de marzo de 2003. Anexo </w:t>
      </w:r>
      <w:r>
        <w:rPr>
          <w:szCs w:val="16"/>
          <w:lang w:val="es-CO"/>
        </w:rPr>
        <w:t xml:space="preserve">a </w:t>
      </w:r>
      <w:r w:rsidRPr="007608B0">
        <w:rPr>
          <w:szCs w:val="16"/>
          <w:lang w:val="es-CO"/>
        </w:rPr>
        <w:t>la petición inicial</w:t>
      </w:r>
      <w:r>
        <w:rPr>
          <w:szCs w:val="16"/>
          <w:lang w:val="es-CO"/>
        </w:rPr>
        <w:t>.</w:t>
      </w:r>
    </w:p>
  </w:footnote>
  <w:footnote w:id="59">
    <w:p w14:paraId="7E1C09A4" w14:textId="7C92849B" w:rsidR="006B16F4" w:rsidRPr="007608B0" w:rsidRDefault="006B16F4" w:rsidP="00843162">
      <w:pPr>
        <w:pStyle w:val="FootnoteText"/>
        <w:contextualSpacing/>
        <w:jc w:val="both"/>
        <w:rPr>
          <w:szCs w:val="16"/>
          <w:lang w:val="es-CO"/>
        </w:rPr>
      </w:pPr>
      <w:r w:rsidRPr="007608B0">
        <w:rPr>
          <w:szCs w:val="16"/>
          <w:vertAlign w:val="superscript"/>
          <w:lang w:val="es-CO"/>
        </w:rPr>
        <w:footnoteRef/>
      </w:r>
      <w:r w:rsidRPr="004004D7">
        <w:rPr>
          <w:szCs w:val="16"/>
          <w:vertAlign w:val="superscript"/>
          <w:lang w:val="es-ES"/>
        </w:rPr>
        <w:t xml:space="preserve"> </w:t>
      </w:r>
      <w:r>
        <w:rPr>
          <w:szCs w:val="16"/>
          <w:lang w:val="es-ES"/>
        </w:rPr>
        <w:t>Anexo 38</w:t>
      </w:r>
      <w:r w:rsidRPr="004004D7">
        <w:rPr>
          <w:szCs w:val="16"/>
          <w:lang w:val="es-ES"/>
        </w:rPr>
        <w:t xml:space="preserve">: Oficio DP/DDEF N° 01073-03 (Expediente 11-F6-06.612-03, Pieza N° I, folio 95). </w:t>
      </w:r>
      <w:r w:rsidRPr="007608B0">
        <w:rPr>
          <w:szCs w:val="16"/>
          <w:lang w:val="es-CO"/>
        </w:rPr>
        <w:t>Defensoría del Pueblo</w:t>
      </w:r>
      <w:r>
        <w:rPr>
          <w:szCs w:val="16"/>
          <w:lang w:val="es-CO"/>
        </w:rPr>
        <w:t>.</w:t>
      </w:r>
      <w:r w:rsidRPr="007608B0">
        <w:rPr>
          <w:szCs w:val="16"/>
          <w:lang w:val="es-CO"/>
        </w:rPr>
        <w:t xml:space="preserve"> 14 de mayo de 2003. Anexo</w:t>
      </w:r>
      <w:r>
        <w:rPr>
          <w:szCs w:val="16"/>
          <w:lang w:val="es-CO"/>
        </w:rPr>
        <w:t xml:space="preserve"> a</w:t>
      </w:r>
      <w:r w:rsidRPr="007608B0">
        <w:rPr>
          <w:szCs w:val="16"/>
          <w:lang w:val="es-CO"/>
        </w:rPr>
        <w:t xml:space="preserve"> la petición inicial</w:t>
      </w:r>
      <w:r>
        <w:rPr>
          <w:szCs w:val="16"/>
          <w:lang w:val="es-CO"/>
        </w:rPr>
        <w:t>.</w:t>
      </w:r>
    </w:p>
  </w:footnote>
  <w:footnote w:id="60">
    <w:p w14:paraId="14AAD184" w14:textId="501535BC" w:rsidR="006B16F4" w:rsidRPr="007608B0" w:rsidRDefault="006B16F4" w:rsidP="00843162">
      <w:pPr>
        <w:pStyle w:val="FootnoteText"/>
        <w:contextualSpacing/>
        <w:jc w:val="both"/>
        <w:rPr>
          <w:szCs w:val="16"/>
          <w:lang w:val="es-CO"/>
        </w:rPr>
      </w:pPr>
      <w:r w:rsidRPr="007608B0">
        <w:rPr>
          <w:rStyle w:val="FootnoteReference"/>
          <w:szCs w:val="16"/>
        </w:rPr>
        <w:footnoteRef/>
      </w:r>
      <w:r w:rsidRPr="007608B0">
        <w:rPr>
          <w:szCs w:val="16"/>
          <w:lang w:val="es-CO"/>
        </w:rPr>
        <w:t xml:space="preserve"> Anexo </w:t>
      </w:r>
      <w:r>
        <w:rPr>
          <w:szCs w:val="16"/>
          <w:lang w:val="es-CO"/>
        </w:rPr>
        <w:t>39</w:t>
      </w:r>
      <w:r w:rsidRPr="007608B0">
        <w:rPr>
          <w:szCs w:val="16"/>
          <w:lang w:val="es-CO"/>
        </w:rPr>
        <w:t xml:space="preserve">: </w:t>
      </w:r>
      <w:r>
        <w:rPr>
          <w:szCs w:val="16"/>
          <w:lang w:val="es-CO"/>
        </w:rPr>
        <w:t>CICPC. A</w:t>
      </w:r>
      <w:r w:rsidRPr="007608B0">
        <w:rPr>
          <w:szCs w:val="16"/>
          <w:lang w:val="es-CO"/>
        </w:rPr>
        <w:t>cta de inspección en estación de servicios (</w:t>
      </w:r>
      <w:proofErr w:type="spellStart"/>
      <w:r w:rsidRPr="007608B0">
        <w:rPr>
          <w:szCs w:val="16"/>
          <w:lang w:val="es-CO"/>
        </w:rPr>
        <w:t>Exp</w:t>
      </w:r>
      <w:proofErr w:type="spellEnd"/>
      <w:r>
        <w:rPr>
          <w:szCs w:val="16"/>
          <w:lang w:val="es-CO"/>
        </w:rPr>
        <w:t>.</w:t>
      </w:r>
      <w:r w:rsidRPr="007608B0">
        <w:rPr>
          <w:szCs w:val="16"/>
          <w:lang w:val="es-CO"/>
        </w:rPr>
        <w:t xml:space="preserve"> No. G-371.453), 30 de marzo de 2003. Anexo </w:t>
      </w:r>
      <w:r>
        <w:rPr>
          <w:szCs w:val="16"/>
          <w:lang w:val="es-CO"/>
        </w:rPr>
        <w:t xml:space="preserve">a </w:t>
      </w:r>
      <w:r w:rsidRPr="007608B0">
        <w:rPr>
          <w:szCs w:val="16"/>
          <w:lang w:val="es-CO"/>
        </w:rPr>
        <w:t>la petición inicial</w:t>
      </w:r>
      <w:r>
        <w:rPr>
          <w:szCs w:val="16"/>
          <w:lang w:val="es-CO"/>
        </w:rPr>
        <w:t>.</w:t>
      </w:r>
    </w:p>
  </w:footnote>
  <w:footnote w:id="61">
    <w:p w14:paraId="78346F05" w14:textId="13F45A5D" w:rsidR="006B16F4" w:rsidRPr="007608B0" w:rsidRDefault="006B16F4" w:rsidP="00BB46F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16"/>
          <w:szCs w:val="16"/>
        </w:rPr>
      </w:pPr>
      <w:r w:rsidRPr="007608B0">
        <w:rPr>
          <w:rStyle w:val="FootnoteReference"/>
          <w:rFonts w:asciiTheme="majorHAnsi" w:hAnsiTheme="majorHAnsi"/>
          <w:sz w:val="16"/>
          <w:szCs w:val="16"/>
        </w:rPr>
        <w:footnoteRef/>
      </w:r>
      <w:r w:rsidRPr="007608B0">
        <w:rPr>
          <w:rFonts w:asciiTheme="majorHAnsi" w:hAnsiTheme="majorHAnsi"/>
          <w:sz w:val="16"/>
          <w:szCs w:val="16"/>
        </w:rPr>
        <w:t xml:space="preserve"> Anexo </w:t>
      </w:r>
      <w:r>
        <w:rPr>
          <w:rFonts w:asciiTheme="majorHAnsi" w:hAnsiTheme="majorHAnsi"/>
          <w:sz w:val="16"/>
          <w:szCs w:val="16"/>
        </w:rPr>
        <w:t>40</w:t>
      </w:r>
      <w:r w:rsidRPr="007608B0">
        <w:rPr>
          <w:rFonts w:asciiTheme="majorHAnsi" w:hAnsiTheme="majorHAnsi"/>
          <w:sz w:val="16"/>
          <w:szCs w:val="16"/>
        </w:rPr>
        <w:t xml:space="preserve">: </w:t>
      </w:r>
      <w:r>
        <w:rPr>
          <w:rFonts w:asciiTheme="majorHAnsi" w:hAnsiTheme="majorHAnsi"/>
          <w:sz w:val="16"/>
          <w:szCs w:val="16"/>
        </w:rPr>
        <w:t xml:space="preserve">CICPC. </w:t>
      </w:r>
      <w:r w:rsidRPr="007608B0">
        <w:rPr>
          <w:rFonts w:asciiTheme="majorHAnsi" w:hAnsiTheme="majorHAnsi"/>
          <w:sz w:val="16"/>
          <w:szCs w:val="16"/>
        </w:rPr>
        <w:t>Inspección de Cadáveres Nro. 645, 30 de marzo de 2003.</w:t>
      </w:r>
      <w:r>
        <w:rPr>
          <w:rFonts w:asciiTheme="majorHAnsi" w:hAnsiTheme="majorHAnsi"/>
          <w:sz w:val="16"/>
          <w:szCs w:val="16"/>
        </w:rPr>
        <w:t xml:space="preserve"> Anexo al Escrito del Estado de</w:t>
      </w:r>
      <w:r w:rsidRPr="007608B0">
        <w:rPr>
          <w:rFonts w:asciiTheme="majorHAnsi" w:hAnsiTheme="majorHAnsi"/>
          <w:sz w:val="16"/>
          <w:szCs w:val="16"/>
        </w:rPr>
        <w:t xml:space="preserve"> 6 de octubre de 20</w:t>
      </w:r>
      <w:r>
        <w:rPr>
          <w:rFonts w:asciiTheme="majorHAnsi" w:hAnsiTheme="majorHAnsi"/>
          <w:sz w:val="16"/>
          <w:szCs w:val="16"/>
        </w:rPr>
        <w:t>1</w:t>
      </w:r>
      <w:r w:rsidRPr="007608B0">
        <w:rPr>
          <w:rFonts w:asciiTheme="majorHAnsi" w:hAnsiTheme="majorHAnsi"/>
          <w:sz w:val="16"/>
          <w:szCs w:val="16"/>
        </w:rPr>
        <w:t>1.</w:t>
      </w:r>
    </w:p>
  </w:footnote>
  <w:footnote w:id="62">
    <w:p w14:paraId="0E940A41" w14:textId="203B6A8B" w:rsidR="006B16F4" w:rsidRPr="007608B0" w:rsidRDefault="006B16F4" w:rsidP="00D6553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16"/>
          <w:szCs w:val="16"/>
        </w:rPr>
      </w:pPr>
      <w:r w:rsidRPr="007608B0">
        <w:rPr>
          <w:rStyle w:val="FootnoteReference"/>
          <w:rFonts w:asciiTheme="majorHAnsi" w:hAnsiTheme="majorHAnsi"/>
          <w:sz w:val="16"/>
          <w:szCs w:val="16"/>
        </w:rPr>
        <w:footnoteRef/>
      </w:r>
      <w:r w:rsidRPr="007608B0">
        <w:rPr>
          <w:rFonts w:asciiTheme="majorHAnsi" w:hAnsiTheme="majorHAnsi"/>
          <w:sz w:val="16"/>
          <w:szCs w:val="16"/>
        </w:rPr>
        <w:t xml:space="preserve"> Anexo </w:t>
      </w:r>
      <w:r>
        <w:rPr>
          <w:rFonts w:asciiTheme="majorHAnsi" w:hAnsiTheme="majorHAnsi"/>
          <w:sz w:val="16"/>
          <w:szCs w:val="16"/>
        </w:rPr>
        <w:t>40</w:t>
      </w:r>
      <w:r w:rsidRPr="007608B0">
        <w:rPr>
          <w:rFonts w:asciiTheme="majorHAnsi" w:hAnsiTheme="majorHAnsi"/>
          <w:sz w:val="16"/>
          <w:szCs w:val="16"/>
        </w:rPr>
        <w:t xml:space="preserve">: </w:t>
      </w:r>
      <w:r w:rsidRPr="001841B2">
        <w:rPr>
          <w:rFonts w:asciiTheme="majorHAnsi" w:hAnsiTheme="majorHAnsi"/>
          <w:sz w:val="16"/>
          <w:szCs w:val="16"/>
          <w:lang w:val="es-ES"/>
        </w:rPr>
        <w:t>CICPC</w:t>
      </w:r>
      <w:r>
        <w:rPr>
          <w:rFonts w:asciiTheme="majorHAnsi" w:hAnsiTheme="majorHAnsi"/>
          <w:sz w:val="16"/>
          <w:szCs w:val="16"/>
          <w:lang w:val="es-ES"/>
        </w:rPr>
        <w:t xml:space="preserve">. </w:t>
      </w:r>
      <w:r w:rsidRPr="007608B0">
        <w:rPr>
          <w:rFonts w:asciiTheme="majorHAnsi" w:hAnsiTheme="majorHAnsi"/>
          <w:sz w:val="16"/>
          <w:szCs w:val="16"/>
        </w:rPr>
        <w:t xml:space="preserve">Inspección de Cadáveres Nro. 645, 30 de marzo de 2003. Anexo </w:t>
      </w:r>
      <w:r>
        <w:rPr>
          <w:rFonts w:asciiTheme="majorHAnsi" w:hAnsiTheme="majorHAnsi"/>
          <w:sz w:val="16"/>
          <w:szCs w:val="16"/>
        </w:rPr>
        <w:t>al Escrito del Estado de</w:t>
      </w:r>
      <w:r w:rsidRPr="007608B0">
        <w:rPr>
          <w:rFonts w:asciiTheme="majorHAnsi" w:hAnsiTheme="majorHAnsi"/>
          <w:sz w:val="16"/>
          <w:szCs w:val="16"/>
        </w:rPr>
        <w:t xml:space="preserve"> 6 de octubre de 20</w:t>
      </w:r>
      <w:r>
        <w:rPr>
          <w:rFonts w:asciiTheme="majorHAnsi" w:hAnsiTheme="majorHAnsi"/>
          <w:sz w:val="16"/>
          <w:szCs w:val="16"/>
        </w:rPr>
        <w:t>1</w:t>
      </w:r>
      <w:r w:rsidRPr="007608B0">
        <w:rPr>
          <w:rFonts w:asciiTheme="majorHAnsi" w:hAnsiTheme="majorHAnsi"/>
          <w:sz w:val="16"/>
          <w:szCs w:val="16"/>
        </w:rPr>
        <w:t>1.</w:t>
      </w:r>
    </w:p>
  </w:footnote>
  <w:footnote w:id="63">
    <w:p w14:paraId="605A27C5" w14:textId="34776E6E" w:rsidR="006B16F4" w:rsidRPr="007608B0" w:rsidRDefault="006B16F4" w:rsidP="00D6553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16"/>
          <w:szCs w:val="16"/>
        </w:rPr>
      </w:pPr>
      <w:r w:rsidRPr="007608B0">
        <w:rPr>
          <w:rStyle w:val="FootnoteReference"/>
          <w:rFonts w:asciiTheme="majorHAnsi" w:hAnsiTheme="majorHAnsi"/>
          <w:sz w:val="16"/>
          <w:szCs w:val="16"/>
        </w:rPr>
        <w:footnoteRef/>
      </w:r>
      <w:r w:rsidRPr="007608B0">
        <w:rPr>
          <w:rFonts w:asciiTheme="majorHAnsi" w:hAnsiTheme="majorHAnsi"/>
          <w:sz w:val="16"/>
          <w:szCs w:val="16"/>
        </w:rPr>
        <w:t xml:space="preserve"> Anexo </w:t>
      </w:r>
      <w:r>
        <w:rPr>
          <w:rFonts w:asciiTheme="majorHAnsi" w:hAnsiTheme="majorHAnsi"/>
          <w:sz w:val="16"/>
          <w:szCs w:val="16"/>
        </w:rPr>
        <w:t>41</w:t>
      </w:r>
      <w:r w:rsidRPr="007608B0">
        <w:rPr>
          <w:rFonts w:asciiTheme="majorHAnsi" w:hAnsiTheme="majorHAnsi"/>
          <w:sz w:val="16"/>
          <w:szCs w:val="16"/>
        </w:rPr>
        <w:t xml:space="preserve">: </w:t>
      </w:r>
      <w:r>
        <w:rPr>
          <w:rFonts w:asciiTheme="majorHAnsi" w:hAnsiTheme="majorHAnsi"/>
          <w:sz w:val="16"/>
          <w:szCs w:val="16"/>
        </w:rPr>
        <w:t xml:space="preserve">CICPC. </w:t>
      </w:r>
      <w:r w:rsidRPr="007608B0">
        <w:rPr>
          <w:rFonts w:asciiTheme="majorHAnsi" w:hAnsiTheme="majorHAnsi"/>
          <w:sz w:val="16"/>
          <w:szCs w:val="16"/>
        </w:rPr>
        <w:t xml:space="preserve">Inspección de Vía y Vehículo, 30 de marzo de 2003. Anexo </w:t>
      </w:r>
      <w:r>
        <w:rPr>
          <w:rFonts w:asciiTheme="majorHAnsi" w:hAnsiTheme="majorHAnsi"/>
          <w:sz w:val="16"/>
          <w:szCs w:val="16"/>
        </w:rPr>
        <w:t>al Escrito del Estado de 6 de octubre de 201</w:t>
      </w:r>
      <w:r w:rsidRPr="007608B0">
        <w:rPr>
          <w:rFonts w:asciiTheme="majorHAnsi" w:hAnsiTheme="majorHAnsi"/>
          <w:sz w:val="16"/>
          <w:szCs w:val="16"/>
        </w:rPr>
        <w:t>1.</w:t>
      </w:r>
    </w:p>
  </w:footnote>
  <w:footnote w:id="64">
    <w:p w14:paraId="7DB48754" w14:textId="3C61CC31" w:rsidR="006B16F4" w:rsidRPr="007608B0" w:rsidRDefault="006B16F4" w:rsidP="00DE5734">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16"/>
          <w:szCs w:val="16"/>
        </w:rPr>
      </w:pPr>
      <w:r w:rsidRPr="007608B0">
        <w:rPr>
          <w:rStyle w:val="FootnoteReference"/>
          <w:rFonts w:asciiTheme="majorHAnsi" w:hAnsiTheme="majorHAnsi"/>
          <w:sz w:val="16"/>
          <w:szCs w:val="16"/>
        </w:rPr>
        <w:footnoteRef/>
      </w:r>
      <w:r w:rsidRPr="007608B0">
        <w:rPr>
          <w:rFonts w:asciiTheme="majorHAnsi" w:hAnsiTheme="majorHAnsi"/>
          <w:sz w:val="16"/>
          <w:szCs w:val="16"/>
        </w:rPr>
        <w:t xml:space="preserve"> Anexo </w:t>
      </w:r>
      <w:r>
        <w:rPr>
          <w:rFonts w:asciiTheme="majorHAnsi" w:hAnsiTheme="majorHAnsi"/>
          <w:sz w:val="16"/>
          <w:szCs w:val="16"/>
        </w:rPr>
        <w:t>42</w:t>
      </w:r>
      <w:r w:rsidRPr="007608B0">
        <w:rPr>
          <w:rFonts w:asciiTheme="majorHAnsi" w:hAnsiTheme="majorHAnsi"/>
          <w:sz w:val="16"/>
          <w:szCs w:val="16"/>
        </w:rPr>
        <w:t xml:space="preserve">: Orden de Allanamiento </w:t>
      </w:r>
      <w:r>
        <w:rPr>
          <w:rFonts w:asciiTheme="majorHAnsi" w:hAnsiTheme="majorHAnsi"/>
          <w:sz w:val="16"/>
          <w:szCs w:val="16"/>
        </w:rPr>
        <w:t xml:space="preserve">de </w:t>
      </w:r>
      <w:r w:rsidRPr="007608B0">
        <w:rPr>
          <w:rFonts w:asciiTheme="majorHAnsi" w:hAnsiTheme="majorHAnsi"/>
          <w:sz w:val="16"/>
          <w:szCs w:val="16"/>
        </w:rPr>
        <w:t xml:space="preserve">2 de abril de 2003. Anexo </w:t>
      </w:r>
      <w:r>
        <w:rPr>
          <w:rFonts w:asciiTheme="majorHAnsi" w:hAnsiTheme="majorHAnsi"/>
          <w:sz w:val="16"/>
          <w:szCs w:val="16"/>
        </w:rPr>
        <w:t>al Escrito del Estado de 6 de octubre de 201</w:t>
      </w:r>
      <w:r w:rsidRPr="007608B0">
        <w:rPr>
          <w:rFonts w:asciiTheme="majorHAnsi" w:hAnsiTheme="majorHAnsi"/>
          <w:sz w:val="16"/>
          <w:szCs w:val="16"/>
        </w:rPr>
        <w:t>1.</w:t>
      </w:r>
    </w:p>
  </w:footnote>
  <w:footnote w:id="65">
    <w:p w14:paraId="11B8AEC2" w14:textId="41B8F7A8" w:rsidR="006B16F4" w:rsidRPr="007608B0" w:rsidRDefault="006B16F4" w:rsidP="00DE5734">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16"/>
          <w:szCs w:val="16"/>
        </w:rPr>
      </w:pPr>
      <w:r w:rsidRPr="007608B0">
        <w:rPr>
          <w:rStyle w:val="FootnoteReference"/>
          <w:rFonts w:asciiTheme="majorHAnsi" w:hAnsiTheme="majorHAnsi"/>
          <w:sz w:val="16"/>
          <w:szCs w:val="16"/>
        </w:rPr>
        <w:footnoteRef/>
      </w:r>
      <w:r w:rsidRPr="007608B0">
        <w:rPr>
          <w:rFonts w:asciiTheme="majorHAnsi" w:hAnsiTheme="majorHAnsi"/>
          <w:sz w:val="16"/>
          <w:szCs w:val="16"/>
        </w:rPr>
        <w:t xml:space="preserve"> Anexo </w:t>
      </w:r>
      <w:r>
        <w:rPr>
          <w:rFonts w:asciiTheme="majorHAnsi" w:hAnsiTheme="majorHAnsi"/>
          <w:sz w:val="16"/>
          <w:szCs w:val="16"/>
        </w:rPr>
        <w:t>43</w:t>
      </w:r>
      <w:r w:rsidRPr="007608B0">
        <w:rPr>
          <w:rFonts w:asciiTheme="majorHAnsi" w:hAnsiTheme="majorHAnsi"/>
          <w:sz w:val="16"/>
          <w:szCs w:val="16"/>
        </w:rPr>
        <w:t xml:space="preserve">: </w:t>
      </w:r>
      <w:r>
        <w:rPr>
          <w:rFonts w:asciiTheme="majorHAnsi" w:hAnsiTheme="majorHAnsi"/>
          <w:sz w:val="16"/>
          <w:szCs w:val="16"/>
        </w:rPr>
        <w:t>CICPC. Acta Policial de</w:t>
      </w:r>
      <w:r w:rsidRPr="007608B0">
        <w:rPr>
          <w:rFonts w:asciiTheme="majorHAnsi" w:hAnsiTheme="majorHAnsi"/>
          <w:sz w:val="16"/>
          <w:szCs w:val="16"/>
        </w:rPr>
        <w:t xml:space="preserve"> 3 de abril de 2003. Anexo </w:t>
      </w:r>
      <w:r>
        <w:rPr>
          <w:rFonts w:asciiTheme="majorHAnsi" w:hAnsiTheme="majorHAnsi"/>
          <w:sz w:val="16"/>
          <w:szCs w:val="16"/>
        </w:rPr>
        <w:t>al Escrito del Estado de 6 de octubre de 201</w:t>
      </w:r>
      <w:r w:rsidRPr="007608B0">
        <w:rPr>
          <w:rFonts w:asciiTheme="majorHAnsi" w:hAnsiTheme="majorHAnsi"/>
          <w:sz w:val="16"/>
          <w:szCs w:val="16"/>
        </w:rPr>
        <w:t>1.</w:t>
      </w:r>
    </w:p>
  </w:footnote>
  <w:footnote w:id="66">
    <w:p w14:paraId="75150B16" w14:textId="0BA5DA26" w:rsidR="006B16F4" w:rsidRPr="007608B0" w:rsidRDefault="006B16F4" w:rsidP="00843162">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16"/>
          <w:szCs w:val="16"/>
        </w:rPr>
      </w:pPr>
      <w:r w:rsidRPr="007608B0">
        <w:rPr>
          <w:rStyle w:val="FootnoteReference"/>
          <w:rFonts w:asciiTheme="majorHAnsi" w:hAnsiTheme="majorHAnsi"/>
          <w:sz w:val="16"/>
          <w:szCs w:val="16"/>
        </w:rPr>
        <w:footnoteRef/>
      </w:r>
      <w:r w:rsidRPr="007608B0">
        <w:rPr>
          <w:rFonts w:asciiTheme="majorHAnsi" w:hAnsiTheme="majorHAnsi"/>
          <w:sz w:val="16"/>
          <w:szCs w:val="16"/>
        </w:rPr>
        <w:t xml:space="preserve"> Anexo </w:t>
      </w:r>
      <w:r>
        <w:rPr>
          <w:rFonts w:asciiTheme="majorHAnsi" w:hAnsiTheme="majorHAnsi"/>
          <w:sz w:val="16"/>
          <w:szCs w:val="16"/>
        </w:rPr>
        <w:t>44</w:t>
      </w:r>
      <w:r w:rsidRPr="007608B0">
        <w:rPr>
          <w:rFonts w:asciiTheme="majorHAnsi" w:hAnsiTheme="majorHAnsi"/>
          <w:sz w:val="16"/>
          <w:szCs w:val="16"/>
        </w:rPr>
        <w:t xml:space="preserve">: </w:t>
      </w:r>
      <w:r>
        <w:rPr>
          <w:rFonts w:asciiTheme="majorHAnsi" w:hAnsiTheme="majorHAnsi"/>
          <w:sz w:val="16"/>
          <w:szCs w:val="16"/>
        </w:rPr>
        <w:t>CICPC.</w:t>
      </w:r>
      <w:r w:rsidRPr="007608B0">
        <w:rPr>
          <w:rFonts w:asciiTheme="majorHAnsi" w:hAnsiTheme="majorHAnsi"/>
          <w:sz w:val="16"/>
          <w:szCs w:val="16"/>
        </w:rPr>
        <w:t xml:space="preserve"> Oficio No. 9700-175-3477, Oficio No. 9700-175-3481, 1 de abril de 2003. Anexo</w:t>
      </w:r>
      <w:r>
        <w:rPr>
          <w:rFonts w:asciiTheme="majorHAnsi" w:hAnsiTheme="majorHAnsi"/>
          <w:sz w:val="16"/>
          <w:szCs w:val="16"/>
        </w:rPr>
        <w:t xml:space="preserve"> de la petición inicial.</w:t>
      </w:r>
    </w:p>
  </w:footnote>
  <w:footnote w:id="67">
    <w:p w14:paraId="43573730" w14:textId="68A979EE" w:rsidR="006B16F4" w:rsidRPr="007608B0" w:rsidRDefault="006B16F4" w:rsidP="00C620E8">
      <w:pPr>
        <w:pStyle w:val="FootnoteText"/>
        <w:contextualSpacing/>
        <w:jc w:val="both"/>
        <w:rPr>
          <w:szCs w:val="16"/>
          <w:lang w:val="es-CO"/>
        </w:rPr>
      </w:pPr>
      <w:r w:rsidRPr="007608B0">
        <w:rPr>
          <w:szCs w:val="16"/>
          <w:vertAlign w:val="superscript"/>
          <w:lang w:val="es-CO"/>
        </w:rPr>
        <w:footnoteRef/>
      </w:r>
      <w:r w:rsidRPr="007608B0">
        <w:rPr>
          <w:szCs w:val="16"/>
          <w:vertAlign w:val="superscript"/>
          <w:lang w:val="es-CO"/>
        </w:rPr>
        <w:t xml:space="preserve"> </w:t>
      </w:r>
      <w:r w:rsidRPr="007608B0">
        <w:rPr>
          <w:szCs w:val="16"/>
          <w:lang w:val="es-CO"/>
        </w:rPr>
        <w:t xml:space="preserve">Anexo </w:t>
      </w:r>
      <w:r>
        <w:rPr>
          <w:szCs w:val="16"/>
          <w:lang w:val="es-CO"/>
        </w:rPr>
        <w:t>45</w:t>
      </w:r>
      <w:r w:rsidRPr="007608B0">
        <w:rPr>
          <w:szCs w:val="16"/>
          <w:lang w:val="es-CO"/>
        </w:rPr>
        <w:t xml:space="preserve">: </w:t>
      </w:r>
      <w:r>
        <w:rPr>
          <w:szCs w:val="16"/>
          <w:lang w:val="es-CO"/>
        </w:rPr>
        <w:t xml:space="preserve">CICPC. </w:t>
      </w:r>
      <w:r w:rsidRPr="007608B0">
        <w:rPr>
          <w:szCs w:val="16"/>
          <w:lang w:val="es-CO"/>
        </w:rPr>
        <w:t xml:space="preserve">Oficio No. 9700-175-3883, del 21 de mayo de 2004. </w:t>
      </w:r>
      <w:r>
        <w:rPr>
          <w:szCs w:val="16"/>
          <w:lang w:val="es-CO"/>
        </w:rPr>
        <w:t xml:space="preserve">Anexo a la petición inicial. </w:t>
      </w:r>
    </w:p>
  </w:footnote>
  <w:footnote w:id="68">
    <w:p w14:paraId="03ED115F" w14:textId="44F6EB24" w:rsidR="006B16F4" w:rsidRPr="007608B0" w:rsidRDefault="006B16F4" w:rsidP="00C620E8">
      <w:pPr>
        <w:pStyle w:val="FootnoteText"/>
        <w:contextualSpacing/>
        <w:jc w:val="both"/>
        <w:rPr>
          <w:szCs w:val="16"/>
          <w:lang w:val="es-CO"/>
        </w:rPr>
      </w:pPr>
      <w:r w:rsidRPr="007608B0">
        <w:rPr>
          <w:szCs w:val="16"/>
          <w:vertAlign w:val="superscript"/>
          <w:lang w:val="es-CO"/>
        </w:rPr>
        <w:footnoteRef/>
      </w:r>
      <w:r w:rsidRPr="007608B0">
        <w:rPr>
          <w:szCs w:val="16"/>
          <w:lang w:val="es-CO"/>
        </w:rPr>
        <w:t xml:space="preserve"> Anexo </w:t>
      </w:r>
      <w:r>
        <w:rPr>
          <w:szCs w:val="16"/>
          <w:lang w:val="es-CO"/>
        </w:rPr>
        <w:t>46</w:t>
      </w:r>
      <w:r w:rsidRPr="007608B0">
        <w:rPr>
          <w:szCs w:val="16"/>
          <w:lang w:val="es-CO"/>
        </w:rPr>
        <w:t xml:space="preserve">: </w:t>
      </w:r>
      <w:r>
        <w:rPr>
          <w:szCs w:val="16"/>
          <w:lang w:val="es-CO"/>
        </w:rPr>
        <w:t>CICPC.</w:t>
      </w:r>
      <w:r w:rsidRPr="007608B0">
        <w:rPr>
          <w:szCs w:val="16"/>
          <w:lang w:val="es-CO"/>
        </w:rPr>
        <w:t xml:space="preserve"> Oficio No. 9700-175-3883, del 21 de mayo de 2004. </w:t>
      </w:r>
      <w:r>
        <w:rPr>
          <w:szCs w:val="16"/>
          <w:lang w:val="es-CO"/>
        </w:rPr>
        <w:t xml:space="preserve">Anexo a la petición inicial. </w:t>
      </w:r>
    </w:p>
  </w:footnote>
  <w:footnote w:id="69">
    <w:p w14:paraId="38C01053" w14:textId="1951391C" w:rsidR="006B16F4" w:rsidRPr="007608B0" w:rsidRDefault="006B16F4" w:rsidP="00E30D68">
      <w:pPr>
        <w:pStyle w:val="FootnoteText"/>
        <w:jc w:val="both"/>
        <w:rPr>
          <w:szCs w:val="16"/>
          <w:lang w:val="es-CO"/>
        </w:rPr>
      </w:pPr>
      <w:r w:rsidRPr="007608B0">
        <w:rPr>
          <w:rStyle w:val="FootnoteReference"/>
          <w:szCs w:val="16"/>
        </w:rPr>
        <w:footnoteRef/>
      </w:r>
      <w:r w:rsidRPr="007608B0">
        <w:rPr>
          <w:szCs w:val="16"/>
          <w:lang w:val="es-CO"/>
        </w:rPr>
        <w:t xml:space="preserve"> Anexo </w:t>
      </w:r>
      <w:r>
        <w:rPr>
          <w:szCs w:val="16"/>
          <w:lang w:val="es-CO"/>
        </w:rPr>
        <w:t>47</w:t>
      </w:r>
      <w:r w:rsidRPr="007608B0">
        <w:rPr>
          <w:szCs w:val="16"/>
          <w:lang w:val="es-CO"/>
        </w:rPr>
        <w:t xml:space="preserve">: </w:t>
      </w:r>
      <w:r w:rsidRPr="001841B2">
        <w:rPr>
          <w:szCs w:val="16"/>
          <w:lang w:val="es-ES"/>
        </w:rPr>
        <w:t>CICPC</w:t>
      </w:r>
      <w:r>
        <w:rPr>
          <w:szCs w:val="16"/>
          <w:lang w:val="es-ES"/>
        </w:rPr>
        <w:t xml:space="preserve">. </w:t>
      </w:r>
      <w:r w:rsidRPr="007608B0">
        <w:rPr>
          <w:szCs w:val="16"/>
          <w:lang w:val="es-CO"/>
        </w:rPr>
        <w:t xml:space="preserve">Oficio No. 9700-1759836 (Expediente 11-F6-06.612-03, Pieza N° I, folio 96), del 26 de mayo de 2003. </w:t>
      </w:r>
      <w:r>
        <w:rPr>
          <w:szCs w:val="16"/>
          <w:lang w:val="es-CO"/>
        </w:rPr>
        <w:t>Anexo de la petición inicial</w:t>
      </w:r>
      <w:r>
        <w:rPr>
          <w:rFonts w:eastAsia="Arial Unicode MS" w:cs="Times New Roman"/>
          <w:szCs w:val="16"/>
          <w:lang w:val="es-CO" w:eastAsia="en-US"/>
        </w:rPr>
        <w:t xml:space="preserve">; </w:t>
      </w:r>
      <w:r w:rsidRPr="007608B0">
        <w:rPr>
          <w:szCs w:val="16"/>
          <w:lang w:val="es-CO"/>
        </w:rPr>
        <w:t xml:space="preserve">Anexo </w:t>
      </w:r>
      <w:r>
        <w:rPr>
          <w:szCs w:val="16"/>
          <w:lang w:val="es-CO"/>
        </w:rPr>
        <w:t>48</w:t>
      </w:r>
      <w:r w:rsidRPr="007608B0">
        <w:rPr>
          <w:szCs w:val="16"/>
          <w:lang w:val="es-CO"/>
        </w:rPr>
        <w:t xml:space="preserve">: </w:t>
      </w:r>
      <w:r>
        <w:rPr>
          <w:szCs w:val="16"/>
          <w:lang w:val="es-CO"/>
        </w:rPr>
        <w:t xml:space="preserve">CICPC. </w:t>
      </w:r>
      <w:r w:rsidRPr="007608B0">
        <w:rPr>
          <w:szCs w:val="16"/>
          <w:lang w:val="es-CO"/>
        </w:rPr>
        <w:t>Oficio No. 9700-175-3881, de 21 de mayo de 2004.</w:t>
      </w:r>
      <w:r>
        <w:rPr>
          <w:szCs w:val="16"/>
          <w:lang w:val="es-CO"/>
        </w:rPr>
        <w:t xml:space="preserve"> Anexo a la petición inicial; </w:t>
      </w:r>
      <w:r>
        <w:rPr>
          <w:szCs w:val="16"/>
          <w:lang w:val="es-ES"/>
        </w:rPr>
        <w:t xml:space="preserve">Anexo 49: CICPC. </w:t>
      </w:r>
      <w:r w:rsidRPr="00C55194">
        <w:rPr>
          <w:szCs w:val="16"/>
          <w:lang w:val="es-ES"/>
        </w:rPr>
        <w:t>Oficio No. 9700-175-</w:t>
      </w:r>
      <w:r>
        <w:rPr>
          <w:szCs w:val="16"/>
          <w:lang w:val="es-ES"/>
        </w:rPr>
        <w:t xml:space="preserve">05906 del 17 de agosto de 2004, </w:t>
      </w:r>
      <w:r>
        <w:rPr>
          <w:szCs w:val="16"/>
          <w:lang w:val="es-CO"/>
        </w:rPr>
        <w:t>Oficio No. 9700-175-05907, del 17 de agosto de 2004. Anexo a la petición inicial</w:t>
      </w:r>
      <w:r>
        <w:rPr>
          <w:szCs w:val="16"/>
          <w:lang w:val="es-ES"/>
        </w:rPr>
        <w:t>;</w:t>
      </w:r>
      <w:r w:rsidRPr="00C55194">
        <w:rPr>
          <w:szCs w:val="16"/>
          <w:lang w:val="es-CO"/>
        </w:rPr>
        <w:t xml:space="preserve"> </w:t>
      </w:r>
      <w:r>
        <w:rPr>
          <w:szCs w:val="16"/>
          <w:lang w:val="es-CO"/>
        </w:rPr>
        <w:t>Anexo 50</w:t>
      </w:r>
      <w:r w:rsidRPr="007608B0">
        <w:rPr>
          <w:szCs w:val="16"/>
          <w:lang w:val="es-CO"/>
        </w:rPr>
        <w:t xml:space="preserve">: </w:t>
      </w:r>
      <w:r>
        <w:rPr>
          <w:szCs w:val="16"/>
          <w:lang w:val="es-CO"/>
        </w:rPr>
        <w:t xml:space="preserve">CICPC. </w:t>
      </w:r>
      <w:r w:rsidRPr="007608B0">
        <w:rPr>
          <w:szCs w:val="16"/>
          <w:lang w:val="es-CO"/>
        </w:rPr>
        <w:t xml:space="preserve">No. 9700-175-1085, del 9 de febrero de 2005; </w:t>
      </w:r>
      <w:r>
        <w:rPr>
          <w:szCs w:val="16"/>
          <w:lang w:val="es-CO"/>
        </w:rPr>
        <w:t xml:space="preserve">CICPC. </w:t>
      </w:r>
      <w:r w:rsidRPr="007608B0">
        <w:rPr>
          <w:szCs w:val="16"/>
          <w:lang w:val="es-CO"/>
        </w:rPr>
        <w:t>Oficio No. 9700-175-1088, del 9 de febrero de 2005.</w:t>
      </w:r>
      <w:r w:rsidRPr="007608B0">
        <w:rPr>
          <w:rStyle w:val="FootnoteReference"/>
          <w:szCs w:val="16"/>
          <w:lang w:val="es-CO"/>
        </w:rPr>
        <w:t xml:space="preserve"> </w:t>
      </w:r>
      <w:r w:rsidRPr="007608B0">
        <w:rPr>
          <w:szCs w:val="16"/>
          <w:lang w:val="es-CO"/>
        </w:rPr>
        <w:t xml:space="preserve">Anexo </w:t>
      </w:r>
      <w:r>
        <w:rPr>
          <w:szCs w:val="16"/>
          <w:lang w:val="es-CO"/>
        </w:rPr>
        <w:t xml:space="preserve">a </w:t>
      </w:r>
      <w:r w:rsidRPr="007608B0">
        <w:rPr>
          <w:szCs w:val="16"/>
          <w:lang w:val="es-CO"/>
        </w:rPr>
        <w:t>la petición inicial</w:t>
      </w:r>
      <w:r>
        <w:rPr>
          <w:szCs w:val="16"/>
          <w:lang w:val="es-CO"/>
        </w:rPr>
        <w:t>.</w:t>
      </w:r>
    </w:p>
  </w:footnote>
  <w:footnote w:id="70">
    <w:p w14:paraId="3B3F1D70" w14:textId="7A869B04" w:rsidR="006B16F4" w:rsidRPr="007608B0" w:rsidRDefault="006B16F4" w:rsidP="00D337AC">
      <w:pPr>
        <w:pStyle w:val="FootnoteText"/>
        <w:contextualSpacing/>
        <w:jc w:val="both"/>
        <w:rPr>
          <w:szCs w:val="16"/>
          <w:lang w:val="es-CO"/>
        </w:rPr>
      </w:pPr>
      <w:r w:rsidRPr="007608B0">
        <w:rPr>
          <w:szCs w:val="16"/>
          <w:vertAlign w:val="superscript"/>
          <w:lang w:val="es-CO"/>
        </w:rPr>
        <w:footnoteRef/>
      </w:r>
      <w:r w:rsidRPr="00DD4BFB">
        <w:rPr>
          <w:szCs w:val="16"/>
          <w:lang w:val="es-PE"/>
        </w:rPr>
        <w:t xml:space="preserve"> Anexo 51: Fiscal Sexto. Oficio No. </w:t>
      </w:r>
      <w:r w:rsidRPr="007608B0">
        <w:rPr>
          <w:szCs w:val="16"/>
          <w:lang w:val="es-CO"/>
        </w:rPr>
        <w:t xml:space="preserve">FAL-06-04-01.131, del 22 de julio de 2004. </w:t>
      </w:r>
      <w:r>
        <w:rPr>
          <w:szCs w:val="16"/>
          <w:lang w:val="es-CO"/>
        </w:rPr>
        <w:t xml:space="preserve">Anexo a la petición inicial. </w:t>
      </w:r>
    </w:p>
  </w:footnote>
  <w:footnote w:id="71">
    <w:p w14:paraId="7F5930FE" w14:textId="2AE2FE1D" w:rsidR="006B16F4" w:rsidRPr="007608B0" w:rsidRDefault="006B16F4" w:rsidP="00D337AC">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contextualSpacing/>
        <w:jc w:val="both"/>
        <w:rPr>
          <w:rFonts w:asciiTheme="majorHAnsi" w:hAnsiTheme="majorHAnsi"/>
          <w:sz w:val="16"/>
          <w:szCs w:val="16"/>
        </w:rPr>
      </w:pPr>
      <w:r w:rsidRPr="007608B0">
        <w:rPr>
          <w:rStyle w:val="FootnoteReference"/>
          <w:rFonts w:asciiTheme="majorHAnsi" w:hAnsiTheme="majorHAnsi"/>
          <w:sz w:val="16"/>
          <w:szCs w:val="16"/>
        </w:rPr>
        <w:footnoteRef/>
      </w:r>
      <w:r w:rsidRPr="00E47370">
        <w:rPr>
          <w:rFonts w:asciiTheme="majorHAnsi" w:hAnsiTheme="majorHAnsi"/>
          <w:sz w:val="16"/>
          <w:szCs w:val="16"/>
          <w:lang w:val="es-ES"/>
        </w:rPr>
        <w:t xml:space="preserve"> Anexo </w:t>
      </w:r>
      <w:r>
        <w:rPr>
          <w:rFonts w:asciiTheme="majorHAnsi" w:hAnsiTheme="majorHAnsi"/>
          <w:sz w:val="16"/>
          <w:szCs w:val="16"/>
          <w:lang w:val="es-ES"/>
        </w:rPr>
        <w:t>52</w:t>
      </w:r>
      <w:r w:rsidRPr="00E47370">
        <w:rPr>
          <w:rFonts w:asciiTheme="majorHAnsi" w:hAnsiTheme="majorHAnsi"/>
          <w:sz w:val="16"/>
          <w:szCs w:val="16"/>
          <w:lang w:val="es-ES"/>
        </w:rPr>
        <w:t xml:space="preserve">: </w:t>
      </w:r>
      <w:r w:rsidRPr="007608B0">
        <w:rPr>
          <w:rFonts w:asciiTheme="majorHAnsi" w:hAnsiTheme="majorHAnsi"/>
          <w:sz w:val="16"/>
          <w:szCs w:val="16"/>
        </w:rPr>
        <w:t xml:space="preserve">Fiscalía </w:t>
      </w:r>
      <w:r>
        <w:rPr>
          <w:rFonts w:asciiTheme="majorHAnsi" w:hAnsiTheme="majorHAnsi"/>
          <w:sz w:val="16"/>
          <w:szCs w:val="16"/>
        </w:rPr>
        <w:t xml:space="preserve">17. </w:t>
      </w:r>
      <w:r w:rsidRPr="00E47370">
        <w:rPr>
          <w:rFonts w:asciiTheme="majorHAnsi" w:hAnsiTheme="majorHAnsi"/>
          <w:sz w:val="16"/>
          <w:szCs w:val="16"/>
          <w:lang w:val="es-ES"/>
        </w:rPr>
        <w:t>Of</w:t>
      </w:r>
      <w:r>
        <w:rPr>
          <w:rFonts w:asciiTheme="majorHAnsi" w:hAnsiTheme="majorHAnsi"/>
          <w:sz w:val="16"/>
          <w:szCs w:val="16"/>
          <w:lang w:val="es-ES"/>
        </w:rPr>
        <w:t>.</w:t>
      </w:r>
      <w:r w:rsidRPr="00E47370">
        <w:rPr>
          <w:rFonts w:asciiTheme="majorHAnsi" w:hAnsiTheme="majorHAnsi"/>
          <w:sz w:val="16"/>
          <w:szCs w:val="16"/>
          <w:lang w:val="es-ES"/>
        </w:rPr>
        <w:t xml:space="preserve"> FAL17-399-2014</w:t>
      </w:r>
      <w:r>
        <w:rPr>
          <w:rFonts w:asciiTheme="majorHAnsi" w:hAnsiTheme="majorHAnsi"/>
          <w:sz w:val="16"/>
          <w:szCs w:val="16"/>
        </w:rPr>
        <w:t xml:space="preserve">, </w:t>
      </w:r>
      <w:r w:rsidRPr="007608B0">
        <w:rPr>
          <w:rFonts w:asciiTheme="majorHAnsi" w:hAnsiTheme="majorHAnsi"/>
          <w:sz w:val="16"/>
          <w:szCs w:val="16"/>
        </w:rPr>
        <w:t xml:space="preserve">27 de marzo de 2014. Anexo </w:t>
      </w:r>
      <w:r>
        <w:rPr>
          <w:rFonts w:asciiTheme="majorHAnsi" w:hAnsiTheme="majorHAnsi"/>
          <w:sz w:val="16"/>
          <w:szCs w:val="16"/>
        </w:rPr>
        <w:t xml:space="preserve">al escrito de la parte peticionaria, </w:t>
      </w:r>
      <w:r w:rsidRPr="007608B0">
        <w:rPr>
          <w:rFonts w:asciiTheme="majorHAnsi" w:hAnsiTheme="majorHAnsi"/>
          <w:sz w:val="16"/>
          <w:szCs w:val="16"/>
        </w:rPr>
        <w:t>24 de abril de 2017.</w:t>
      </w:r>
    </w:p>
  </w:footnote>
  <w:footnote w:id="72">
    <w:p w14:paraId="1BB98247" w14:textId="5F5C8920" w:rsidR="006B16F4" w:rsidRPr="007608B0" w:rsidRDefault="006B16F4" w:rsidP="00D337AC">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contextualSpacing/>
        <w:jc w:val="both"/>
        <w:rPr>
          <w:rFonts w:asciiTheme="majorHAnsi" w:hAnsiTheme="majorHAnsi"/>
          <w:sz w:val="16"/>
          <w:szCs w:val="16"/>
        </w:rPr>
      </w:pPr>
      <w:r w:rsidRPr="007608B0">
        <w:rPr>
          <w:rStyle w:val="FootnoteReference"/>
          <w:rFonts w:asciiTheme="majorHAnsi" w:hAnsiTheme="majorHAnsi"/>
          <w:sz w:val="16"/>
          <w:szCs w:val="16"/>
        </w:rPr>
        <w:footnoteRef/>
      </w:r>
      <w:r w:rsidRPr="007608B0">
        <w:rPr>
          <w:rFonts w:asciiTheme="majorHAnsi" w:hAnsiTheme="majorHAnsi"/>
          <w:sz w:val="16"/>
          <w:szCs w:val="16"/>
        </w:rPr>
        <w:t xml:space="preserve"> Anexo</w:t>
      </w:r>
      <w:r>
        <w:rPr>
          <w:rFonts w:asciiTheme="majorHAnsi" w:hAnsiTheme="majorHAnsi"/>
          <w:sz w:val="16"/>
          <w:szCs w:val="16"/>
        </w:rPr>
        <w:t xml:space="preserve"> 53</w:t>
      </w:r>
      <w:r w:rsidRPr="007608B0">
        <w:rPr>
          <w:rFonts w:asciiTheme="majorHAnsi" w:hAnsiTheme="majorHAnsi"/>
          <w:sz w:val="16"/>
          <w:szCs w:val="16"/>
        </w:rPr>
        <w:t xml:space="preserve">: Acta policial sobre la destrucción de los libros, 27 de marzo de 2014. Anexo </w:t>
      </w:r>
      <w:r>
        <w:rPr>
          <w:rFonts w:asciiTheme="majorHAnsi" w:hAnsiTheme="majorHAnsi"/>
          <w:sz w:val="16"/>
          <w:szCs w:val="16"/>
        </w:rPr>
        <w:t xml:space="preserve">al escrito de la parte peticionaria, </w:t>
      </w:r>
      <w:r w:rsidRPr="007608B0">
        <w:rPr>
          <w:rFonts w:asciiTheme="majorHAnsi" w:hAnsiTheme="majorHAnsi"/>
          <w:sz w:val="16"/>
          <w:szCs w:val="16"/>
        </w:rPr>
        <w:t>24 de abril de 2017.</w:t>
      </w:r>
    </w:p>
  </w:footnote>
  <w:footnote w:id="73">
    <w:p w14:paraId="36C796F7" w14:textId="7AF3F94F" w:rsidR="006B16F4" w:rsidRPr="007608B0" w:rsidRDefault="006B16F4" w:rsidP="00900349">
      <w:pPr>
        <w:pStyle w:val="FootnoteText"/>
        <w:contextualSpacing/>
        <w:jc w:val="both"/>
        <w:rPr>
          <w:szCs w:val="16"/>
          <w:lang w:val="es-CO"/>
        </w:rPr>
      </w:pPr>
      <w:r w:rsidRPr="007608B0">
        <w:rPr>
          <w:szCs w:val="16"/>
          <w:vertAlign w:val="superscript"/>
          <w:lang w:val="es-CO"/>
        </w:rPr>
        <w:footnoteRef/>
      </w:r>
      <w:r w:rsidRPr="007608B0">
        <w:rPr>
          <w:szCs w:val="16"/>
          <w:vertAlign w:val="superscript"/>
          <w:lang w:val="es-CO"/>
        </w:rPr>
        <w:t xml:space="preserve"> </w:t>
      </w:r>
      <w:r w:rsidRPr="007608B0">
        <w:rPr>
          <w:szCs w:val="16"/>
          <w:lang w:val="es-CO"/>
        </w:rPr>
        <w:t xml:space="preserve">Anexo </w:t>
      </w:r>
      <w:r>
        <w:rPr>
          <w:szCs w:val="16"/>
          <w:lang w:val="es-CO"/>
        </w:rPr>
        <w:t>54</w:t>
      </w:r>
      <w:r w:rsidRPr="007608B0">
        <w:rPr>
          <w:szCs w:val="16"/>
          <w:lang w:val="es-CO"/>
        </w:rPr>
        <w:t xml:space="preserve">: </w:t>
      </w:r>
      <w:r>
        <w:rPr>
          <w:szCs w:val="16"/>
          <w:lang w:val="es-CO"/>
        </w:rPr>
        <w:t xml:space="preserve">CICPC. Remisión de evidencias. </w:t>
      </w:r>
      <w:r w:rsidRPr="007608B0">
        <w:rPr>
          <w:szCs w:val="16"/>
          <w:lang w:val="es-CO"/>
        </w:rPr>
        <w:t xml:space="preserve">Acta Policial, del 30 de octubre de 2003. Anexo </w:t>
      </w:r>
      <w:r>
        <w:rPr>
          <w:szCs w:val="16"/>
          <w:lang w:val="es-CO"/>
        </w:rPr>
        <w:t xml:space="preserve">a </w:t>
      </w:r>
      <w:r w:rsidRPr="007608B0">
        <w:rPr>
          <w:szCs w:val="16"/>
          <w:lang w:val="es-CO"/>
        </w:rPr>
        <w:t>la petición inicial</w:t>
      </w:r>
      <w:r>
        <w:rPr>
          <w:szCs w:val="16"/>
          <w:lang w:val="es-CO"/>
        </w:rPr>
        <w:t>.</w:t>
      </w:r>
    </w:p>
  </w:footnote>
  <w:footnote w:id="74">
    <w:p w14:paraId="21F74BE9" w14:textId="0F3D929F" w:rsidR="006B16F4" w:rsidRPr="007608B0" w:rsidRDefault="006B16F4" w:rsidP="008A6B24">
      <w:pPr>
        <w:pStyle w:val="FootnoteText"/>
        <w:contextualSpacing/>
        <w:jc w:val="both"/>
        <w:rPr>
          <w:szCs w:val="16"/>
          <w:lang w:val="es-CO"/>
        </w:rPr>
      </w:pPr>
      <w:r w:rsidRPr="007608B0">
        <w:rPr>
          <w:szCs w:val="16"/>
          <w:vertAlign w:val="superscript"/>
          <w:lang w:val="es-CO"/>
        </w:rPr>
        <w:footnoteRef/>
      </w:r>
      <w:r w:rsidRPr="007608B0">
        <w:rPr>
          <w:szCs w:val="16"/>
          <w:lang w:val="es-CO"/>
        </w:rPr>
        <w:t xml:space="preserve"> Anexo </w:t>
      </w:r>
      <w:r>
        <w:rPr>
          <w:szCs w:val="16"/>
          <w:lang w:val="es-CO"/>
        </w:rPr>
        <w:t>55</w:t>
      </w:r>
      <w:r w:rsidRPr="007608B0">
        <w:rPr>
          <w:szCs w:val="16"/>
          <w:lang w:val="es-CO"/>
        </w:rPr>
        <w:t xml:space="preserve">: </w:t>
      </w:r>
      <w:r>
        <w:rPr>
          <w:szCs w:val="16"/>
          <w:lang w:val="es-CO"/>
        </w:rPr>
        <w:t>CICPC. Oficio No. 9700-175-ST-532</w:t>
      </w:r>
      <w:r w:rsidRPr="007608B0">
        <w:rPr>
          <w:szCs w:val="16"/>
          <w:lang w:val="es-CO"/>
        </w:rPr>
        <w:t xml:space="preserve"> del 3 de noviembre de 2003. Anexo </w:t>
      </w:r>
      <w:r>
        <w:rPr>
          <w:szCs w:val="16"/>
          <w:lang w:val="es-CO"/>
        </w:rPr>
        <w:t>a</w:t>
      </w:r>
      <w:r w:rsidRPr="007608B0">
        <w:rPr>
          <w:szCs w:val="16"/>
          <w:lang w:val="es-CO"/>
        </w:rPr>
        <w:t xml:space="preserve"> la petición inicial</w:t>
      </w:r>
      <w:r>
        <w:rPr>
          <w:szCs w:val="16"/>
          <w:lang w:val="es-CO"/>
        </w:rPr>
        <w:t>.</w:t>
      </w:r>
    </w:p>
  </w:footnote>
  <w:footnote w:id="75">
    <w:p w14:paraId="2727FCBE" w14:textId="3DBA6081" w:rsidR="006B16F4" w:rsidRPr="007608B0" w:rsidRDefault="006B16F4" w:rsidP="00C620E8">
      <w:pPr>
        <w:pStyle w:val="FootnoteText"/>
        <w:contextualSpacing/>
        <w:jc w:val="both"/>
        <w:rPr>
          <w:szCs w:val="16"/>
          <w:lang w:val="es-CO"/>
        </w:rPr>
      </w:pPr>
      <w:r w:rsidRPr="007608B0">
        <w:rPr>
          <w:szCs w:val="16"/>
          <w:vertAlign w:val="superscript"/>
          <w:lang w:val="es-CO"/>
        </w:rPr>
        <w:footnoteRef/>
      </w:r>
      <w:r w:rsidRPr="004004D7">
        <w:rPr>
          <w:szCs w:val="16"/>
          <w:vertAlign w:val="superscript"/>
          <w:lang w:val="es-ES"/>
        </w:rPr>
        <w:t xml:space="preserve"> </w:t>
      </w:r>
      <w:r w:rsidRPr="004004D7">
        <w:rPr>
          <w:szCs w:val="16"/>
          <w:lang w:val="es-ES"/>
        </w:rPr>
        <w:t xml:space="preserve">Anexo </w:t>
      </w:r>
      <w:r>
        <w:rPr>
          <w:szCs w:val="16"/>
          <w:lang w:val="es-ES"/>
        </w:rPr>
        <w:t>56</w:t>
      </w:r>
      <w:r w:rsidRPr="004004D7">
        <w:rPr>
          <w:szCs w:val="16"/>
          <w:lang w:val="es-ES"/>
        </w:rPr>
        <w:t xml:space="preserve">: Fiscal Sexto. Oficio No. </w:t>
      </w:r>
      <w:r w:rsidRPr="007608B0">
        <w:rPr>
          <w:szCs w:val="16"/>
          <w:lang w:val="es-CO"/>
        </w:rPr>
        <w:t>FAL-06-03-02.051</w:t>
      </w:r>
      <w:r>
        <w:rPr>
          <w:szCs w:val="16"/>
          <w:lang w:val="es-CO"/>
        </w:rPr>
        <w:t xml:space="preserve">, </w:t>
      </w:r>
      <w:r w:rsidRPr="007608B0">
        <w:rPr>
          <w:szCs w:val="16"/>
          <w:lang w:val="es-CO"/>
        </w:rPr>
        <w:t xml:space="preserve">20 de noviembre de 2003. Anexo </w:t>
      </w:r>
      <w:r>
        <w:rPr>
          <w:szCs w:val="16"/>
          <w:lang w:val="es-CO"/>
        </w:rPr>
        <w:t>a</w:t>
      </w:r>
      <w:r w:rsidRPr="007608B0">
        <w:rPr>
          <w:szCs w:val="16"/>
          <w:lang w:val="es-CO"/>
        </w:rPr>
        <w:t xml:space="preserve"> la petición inicial</w:t>
      </w:r>
      <w:r>
        <w:rPr>
          <w:szCs w:val="16"/>
          <w:lang w:val="es-CO"/>
        </w:rPr>
        <w:t>.</w:t>
      </w:r>
    </w:p>
  </w:footnote>
  <w:footnote w:id="76">
    <w:p w14:paraId="4417C95C" w14:textId="6D325D70" w:rsidR="006B16F4" w:rsidRPr="007608B0" w:rsidRDefault="006B16F4" w:rsidP="008A6B24">
      <w:pPr>
        <w:pStyle w:val="FootnoteText"/>
        <w:contextualSpacing/>
        <w:jc w:val="both"/>
        <w:rPr>
          <w:szCs w:val="16"/>
          <w:lang w:val="es-CO"/>
        </w:rPr>
      </w:pPr>
      <w:r w:rsidRPr="007608B0">
        <w:rPr>
          <w:szCs w:val="16"/>
          <w:vertAlign w:val="superscript"/>
          <w:lang w:val="es-CO"/>
        </w:rPr>
        <w:footnoteRef/>
      </w:r>
      <w:r w:rsidRPr="00A34BBD">
        <w:rPr>
          <w:szCs w:val="16"/>
          <w:vertAlign w:val="superscript"/>
          <w:lang w:val="pt-BR"/>
        </w:rPr>
        <w:t xml:space="preserve"> </w:t>
      </w:r>
      <w:r w:rsidRPr="00A34BBD">
        <w:rPr>
          <w:szCs w:val="16"/>
          <w:lang w:val="pt-BR"/>
        </w:rPr>
        <w:t xml:space="preserve">Anexo 57: Fiscal Sexto. Oficio No. </w:t>
      </w:r>
      <w:r w:rsidRPr="007608B0">
        <w:rPr>
          <w:szCs w:val="16"/>
          <w:lang w:val="es-CO"/>
        </w:rPr>
        <w:t>FAL-06-04-01.153,</w:t>
      </w:r>
      <w:r>
        <w:rPr>
          <w:szCs w:val="16"/>
          <w:lang w:val="es-CO"/>
        </w:rPr>
        <w:t xml:space="preserve"> </w:t>
      </w:r>
      <w:r w:rsidRPr="007608B0">
        <w:rPr>
          <w:szCs w:val="16"/>
          <w:lang w:val="es-CO"/>
        </w:rPr>
        <w:t>26</w:t>
      </w:r>
      <w:r>
        <w:rPr>
          <w:szCs w:val="16"/>
          <w:lang w:val="es-CO"/>
        </w:rPr>
        <w:t xml:space="preserve"> de julio de 2004. Anexo</w:t>
      </w:r>
      <w:r w:rsidRPr="007608B0">
        <w:rPr>
          <w:szCs w:val="16"/>
          <w:lang w:val="es-CO"/>
        </w:rPr>
        <w:t xml:space="preserve"> </w:t>
      </w:r>
      <w:r>
        <w:rPr>
          <w:szCs w:val="16"/>
          <w:lang w:val="es-CO"/>
        </w:rPr>
        <w:t>a</w:t>
      </w:r>
      <w:r w:rsidRPr="007608B0">
        <w:rPr>
          <w:szCs w:val="16"/>
          <w:lang w:val="es-CO"/>
        </w:rPr>
        <w:t xml:space="preserve"> la petición inicial</w:t>
      </w:r>
      <w:r>
        <w:rPr>
          <w:szCs w:val="16"/>
          <w:lang w:val="es-CO"/>
        </w:rPr>
        <w:t>.</w:t>
      </w:r>
    </w:p>
  </w:footnote>
  <w:footnote w:id="77">
    <w:p w14:paraId="5F949B12" w14:textId="2EC7EADF" w:rsidR="006B16F4" w:rsidRPr="004004D7" w:rsidRDefault="006B16F4" w:rsidP="008A6B24">
      <w:pPr>
        <w:pStyle w:val="FootnoteText"/>
        <w:contextualSpacing/>
        <w:jc w:val="both"/>
        <w:rPr>
          <w:szCs w:val="16"/>
          <w:lang w:val="pt-BR"/>
        </w:rPr>
      </w:pPr>
      <w:r w:rsidRPr="007608B0">
        <w:rPr>
          <w:szCs w:val="16"/>
          <w:vertAlign w:val="superscript"/>
          <w:lang w:val="es-CO"/>
        </w:rPr>
        <w:footnoteRef/>
      </w:r>
      <w:r w:rsidRPr="009C3624">
        <w:rPr>
          <w:szCs w:val="16"/>
          <w:vertAlign w:val="superscript"/>
          <w:lang w:val="pt-BR"/>
        </w:rPr>
        <w:t xml:space="preserve"> </w:t>
      </w:r>
      <w:r w:rsidRPr="009C3624">
        <w:rPr>
          <w:szCs w:val="16"/>
          <w:lang w:val="pt-BR"/>
        </w:rPr>
        <w:t xml:space="preserve">Anexo </w:t>
      </w:r>
      <w:r>
        <w:rPr>
          <w:szCs w:val="16"/>
          <w:lang w:val="pt-BR"/>
        </w:rPr>
        <w:t>58</w:t>
      </w:r>
      <w:r w:rsidRPr="009C3624">
        <w:rPr>
          <w:szCs w:val="16"/>
          <w:lang w:val="pt-BR"/>
        </w:rPr>
        <w:t xml:space="preserve">: Fiscal Sexto. Oficio No. </w:t>
      </w:r>
      <w:r w:rsidRPr="004004D7">
        <w:rPr>
          <w:szCs w:val="16"/>
          <w:lang w:val="pt-BR"/>
        </w:rPr>
        <w:t xml:space="preserve">FAL-06-04-01.194, 4 de agosto de 2004. Anexo </w:t>
      </w:r>
      <w:r>
        <w:rPr>
          <w:szCs w:val="16"/>
          <w:lang w:val="pt-BR"/>
        </w:rPr>
        <w:t xml:space="preserve">a </w:t>
      </w:r>
      <w:r w:rsidRPr="004004D7">
        <w:rPr>
          <w:szCs w:val="16"/>
          <w:lang w:val="pt-BR"/>
        </w:rPr>
        <w:t>la petición inicial.</w:t>
      </w:r>
    </w:p>
  </w:footnote>
  <w:footnote w:id="78">
    <w:p w14:paraId="630DFAC5" w14:textId="3D4C4123" w:rsidR="006B16F4" w:rsidRPr="004004D7" w:rsidRDefault="006B16F4" w:rsidP="00CE4F64">
      <w:pPr>
        <w:pStyle w:val="FootnoteText"/>
        <w:contextualSpacing/>
        <w:jc w:val="both"/>
        <w:rPr>
          <w:szCs w:val="16"/>
          <w:lang w:val="pt-BR"/>
        </w:rPr>
      </w:pPr>
      <w:r w:rsidRPr="007608B0">
        <w:rPr>
          <w:szCs w:val="16"/>
          <w:vertAlign w:val="superscript"/>
          <w:lang w:val="es-CO"/>
        </w:rPr>
        <w:footnoteRef/>
      </w:r>
      <w:r w:rsidRPr="004004D7">
        <w:rPr>
          <w:szCs w:val="16"/>
          <w:vertAlign w:val="superscript"/>
          <w:lang w:val="pt-BR"/>
        </w:rPr>
        <w:t xml:space="preserve"> </w:t>
      </w:r>
      <w:r w:rsidRPr="004004D7">
        <w:rPr>
          <w:szCs w:val="16"/>
          <w:lang w:val="pt-BR"/>
        </w:rPr>
        <w:t xml:space="preserve">Anexo </w:t>
      </w:r>
      <w:r>
        <w:rPr>
          <w:szCs w:val="16"/>
          <w:lang w:val="pt-BR"/>
        </w:rPr>
        <w:t>49</w:t>
      </w:r>
      <w:r w:rsidRPr="004004D7">
        <w:rPr>
          <w:szCs w:val="16"/>
          <w:lang w:val="pt-BR"/>
        </w:rPr>
        <w:t xml:space="preserve">: CICPC. Oficio No. 9700-175-05906 de 17 de agosto de 2004; CICPC. Oficio No. 9700-175-05907 de 17 de agosto de 2004. Anexo </w:t>
      </w:r>
      <w:r>
        <w:rPr>
          <w:szCs w:val="16"/>
          <w:lang w:val="pt-BR"/>
        </w:rPr>
        <w:t>a</w:t>
      </w:r>
      <w:r w:rsidRPr="004004D7">
        <w:rPr>
          <w:szCs w:val="16"/>
          <w:lang w:val="pt-BR"/>
        </w:rPr>
        <w:t xml:space="preserve"> la petición inicial;</w:t>
      </w:r>
      <w:r w:rsidRPr="004004D7">
        <w:rPr>
          <w:rFonts w:eastAsia="Arial Unicode MS" w:cs="Times New Roman"/>
          <w:szCs w:val="16"/>
          <w:lang w:val="pt-BR" w:eastAsia="en-US"/>
        </w:rPr>
        <w:t xml:space="preserve"> </w:t>
      </w:r>
      <w:r w:rsidRPr="004004D7">
        <w:rPr>
          <w:szCs w:val="16"/>
          <w:lang w:val="pt-BR"/>
        </w:rPr>
        <w:t xml:space="preserve">Anexo </w:t>
      </w:r>
      <w:r>
        <w:rPr>
          <w:szCs w:val="16"/>
          <w:lang w:val="pt-BR"/>
        </w:rPr>
        <w:t>59</w:t>
      </w:r>
      <w:r w:rsidRPr="004004D7">
        <w:rPr>
          <w:szCs w:val="16"/>
          <w:lang w:val="pt-BR"/>
        </w:rPr>
        <w:t xml:space="preserve">: CICPC. Oficio No. 9700-175-05902 de 17 de agosto de 2004. Anexo </w:t>
      </w:r>
      <w:r>
        <w:rPr>
          <w:szCs w:val="16"/>
          <w:lang w:val="pt-BR"/>
        </w:rPr>
        <w:t>a</w:t>
      </w:r>
      <w:r w:rsidRPr="004004D7">
        <w:rPr>
          <w:szCs w:val="16"/>
          <w:lang w:val="pt-BR"/>
        </w:rPr>
        <w:t xml:space="preserve"> la petición inicial; Anexo </w:t>
      </w:r>
      <w:r>
        <w:rPr>
          <w:szCs w:val="16"/>
          <w:lang w:val="pt-BR"/>
        </w:rPr>
        <w:t>60</w:t>
      </w:r>
      <w:r w:rsidRPr="004004D7">
        <w:rPr>
          <w:szCs w:val="16"/>
          <w:lang w:val="pt-BR"/>
        </w:rPr>
        <w:t xml:space="preserve">: CICPC.ficio No. 9700-175-31 de 18 de agosto de 2004. Anexo </w:t>
      </w:r>
      <w:r>
        <w:rPr>
          <w:szCs w:val="16"/>
          <w:lang w:val="pt-BR"/>
        </w:rPr>
        <w:t>a</w:t>
      </w:r>
      <w:r w:rsidRPr="004004D7">
        <w:rPr>
          <w:szCs w:val="16"/>
          <w:lang w:val="pt-BR"/>
        </w:rPr>
        <w:t xml:space="preserve"> la petición inicial.</w:t>
      </w:r>
    </w:p>
  </w:footnote>
  <w:footnote w:id="79">
    <w:p w14:paraId="2A5A53B9" w14:textId="78E94D9A" w:rsidR="006B16F4" w:rsidRPr="00DD4BFB" w:rsidRDefault="006B16F4" w:rsidP="00CE4F64">
      <w:pPr>
        <w:pStyle w:val="FootnoteText"/>
        <w:contextualSpacing/>
        <w:jc w:val="both"/>
        <w:rPr>
          <w:szCs w:val="16"/>
          <w:lang w:val="pt-BR"/>
        </w:rPr>
      </w:pPr>
      <w:r w:rsidRPr="007608B0">
        <w:rPr>
          <w:rStyle w:val="FootnoteReference"/>
          <w:szCs w:val="16"/>
          <w:lang w:val="es-CO"/>
        </w:rPr>
        <w:footnoteRef/>
      </w:r>
      <w:r w:rsidRPr="005E7C76">
        <w:rPr>
          <w:szCs w:val="16"/>
          <w:lang w:val="pt-BR"/>
        </w:rPr>
        <w:t xml:space="preserve"> Anexo </w:t>
      </w:r>
      <w:r>
        <w:rPr>
          <w:szCs w:val="16"/>
          <w:lang w:val="pt-BR"/>
        </w:rPr>
        <w:t>61</w:t>
      </w:r>
      <w:r w:rsidRPr="005E7C76">
        <w:rPr>
          <w:szCs w:val="16"/>
          <w:lang w:val="pt-BR"/>
        </w:rPr>
        <w:t xml:space="preserve">: CICPC. Oficio No. 9700-175-6010 de 19 de agosto de 2004. </w:t>
      </w:r>
      <w:r w:rsidRPr="00DD4BFB">
        <w:rPr>
          <w:szCs w:val="16"/>
          <w:lang w:val="pt-BR"/>
        </w:rPr>
        <w:t xml:space="preserve">Anexo a la petición inicial. </w:t>
      </w:r>
    </w:p>
  </w:footnote>
  <w:footnote w:id="80">
    <w:p w14:paraId="664AB938" w14:textId="6EAB64E6" w:rsidR="006B16F4" w:rsidRPr="007608B0" w:rsidRDefault="006B16F4" w:rsidP="00CE4F64">
      <w:pPr>
        <w:pStyle w:val="FootnoteText"/>
        <w:contextualSpacing/>
        <w:jc w:val="both"/>
        <w:rPr>
          <w:szCs w:val="16"/>
          <w:lang w:val="es-CO"/>
        </w:rPr>
      </w:pPr>
      <w:r w:rsidRPr="007608B0">
        <w:rPr>
          <w:rStyle w:val="FootnoteReference"/>
          <w:szCs w:val="16"/>
          <w:lang w:val="es-CO"/>
        </w:rPr>
        <w:footnoteRef/>
      </w:r>
      <w:r w:rsidRPr="00DD4BFB">
        <w:rPr>
          <w:rStyle w:val="FootnoteReference"/>
          <w:szCs w:val="16"/>
          <w:lang w:val="pt-BR"/>
        </w:rPr>
        <w:t xml:space="preserve"> </w:t>
      </w:r>
      <w:r w:rsidRPr="00DD4BFB">
        <w:rPr>
          <w:szCs w:val="16"/>
          <w:lang w:val="pt-BR"/>
        </w:rPr>
        <w:t xml:space="preserve">Anexo 62: Fiscal Sexto. </w:t>
      </w:r>
      <w:r w:rsidRPr="004004D7">
        <w:rPr>
          <w:szCs w:val="16"/>
          <w:lang w:val="es-ES"/>
        </w:rPr>
        <w:t xml:space="preserve">Oficio No. </w:t>
      </w:r>
      <w:r>
        <w:rPr>
          <w:szCs w:val="16"/>
          <w:lang w:val="es-CO"/>
        </w:rPr>
        <w:t xml:space="preserve">FAL-06-05-01.00036 de </w:t>
      </w:r>
      <w:r w:rsidRPr="007608B0">
        <w:rPr>
          <w:szCs w:val="16"/>
          <w:lang w:val="es-CO"/>
        </w:rPr>
        <w:t>10 de enero de 2005. A</w:t>
      </w:r>
      <w:r>
        <w:rPr>
          <w:szCs w:val="16"/>
          <w:lang w:val="es-CO"/>
        </w:rPr>
        <w:t>nexo a la petición inicial.</w:t>
      </w:r>
    </w:p>
  </w:footnote>
  <w:footnote w:id="81">
    <w:p w14:paraId="5BB09174" w14:textId="7E7229CB" w:rsidR="006B16F4" w:rsidRPr="007608B0" w:rsidRDefault="006B16F4" w:rsidP="008A6B24">
      <w:pPr>
        <w:pStyle w:val="FootnoteText"/>
        <w:contextualSpacing/>
        <w:jc w:val="both"/>
        <w:rPr>
          <w:szCs w:val="16"/>
          <w:lang w:val="es-CO"/>
        </w:rPr>
      </w:pPr>
      <w:r w:rsidRPr="007608B0">
        <w:rPr>
          <w:rStyle w:val="FootnoteReference"/>
          <w:szCs w:val="16"/>
          <w:lang w:val="es-CO"/>
        </w:rPr>
        <w:footnoteRef/>
      </w:r>
      <w:r w:rsidRPr="007608B0">
        <w:rPr>
          <w:rStyle w:val="FootnoteReference"/>
          <w:szCs w:val="16"/>
          <w:lang w:val="es-CO"/>
        </w:rPr>
        <w:t xml:space="preserve"> </w:t>
      </w:r>
      <w:r>
        <w:rPr>
          <w:szCs w:val="16"/>
          <w:lang w:val="es-CO"/>
        </w:rPr>
        <w:t>Anexo 63</w:t>
      </w:r>
      <w:r w:rsidRPr="007608B0">
        <w:rPr>
          <w:szCs w:val="16"/>
          <w:lang w:val="es-CO"/>
        </w:rPr>
        <w:t xml:space="preserve">: </w:t>
      </w:r>
      <w:r>
        <w:rPr>
          <w:szCs w:val="16"/>
          <w:lang w:val="es-CO"/>
        </w:rPr>
        <w:t>CICPC.</w:t>
      </w:r>
      <w:r w:rsidRPr="007608B0">
        <w:rPr>
          <w:szCs w:val="16"/>
          <w:lang w:val="es-CO"/>
        </w:rPr>
        <w:t xml:space="preserve"> Oficio No. 9700-1</w:t>
      </w:r>
      <w:r>
        <w:rPr>
          <w:szCs w:val="16"/>
          <w:lang w:val="es-CO"/>
        </w:rPr>
        <w:t>75-1140</w:t>
      </w:r>
      <w:r w:rsidRPr="007608B0">
        <w:rPr>
          <w:szCs w:val="16"/>
          <w:lang w:val="es-CO"/>
        </w:rPr>
        <w:t xml:space="preserve"> de 9 de febrero de 2005. A</w:t>
      </w:r>
      <w:r>
        <w:rPr>
          <w:szCs w:val="16"/>
          <w:lang w:val="es-CO"/>
        </w:rPr>
        <w:t>nexo a la petición inicial.</w:t>
      </w:r>
    </w:p>
  </w:footnote>
  <w:footnote w:id="82">
    <w:p w14:paraId="1FC8EF80" w14:textId="137843C0" w:rsidR="006B16F4" w:rsidRPr="007608B0" w:rsidRDefault="006B16F4" w:rsidP="00115531">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16"/>
          <w:szCs w:val="16"/>
        </w:rPr>
      </w:pPr>
      <w:r w:rsidRPr="007608B0">
        <w:rPr>
          <w:rStyle w:val="FootnoteReference"/>
          <w:rFonts w:asciiTheme="majorHAnsi" w:hAnsiTheme="majorHAnsi"/>
          <w:sz w:val="16"/>
          <w:szCs w:val="16"/>
        </w:rPr>
        <w:footnoteRef/>
      </w:r>
      <w:r w:rsidRPr="007608B0">
        <w:rPr>
          <w:rFonts w:asciiTheme="majorHAnsi" w:hAnsiTheme="majorHAnsi"/>
          <w:sz w:val="16"/>
          <w:szCs w:val="16"/>
        </w:rPr>
        <w:t xml:space="preserve"> Anexo </w:t>
      </w:r>
      <w:r>
        <w:rPr>
          <w:rFonts w:asciiTheme="majorHAnsi" w:hAnsiTheme="majorHAnsi"/>
          <w:sz w:val="16"/>
          <w:szCs w:val="16"/>
        </w:rPr>
        <w:t>19</w:t>
      </w:r>
      <w:r w:rsidRPr="007608B0">
        <w:rPr>
          <w:rFonts w:asciiTheme="majorHAnsi" w:hAnsiTheme="majorHAnsi"/>
          <w:sz w:val="16"/>
          <w:szCs w:val="16"/>
        </w:rPr>
        <w:t>: Informe de Tr</w:t>
      </w:r>
      <w:r>
        <w:rPr>
          <w:rFonts w:asciiTheme="majorHAnsi" w:hAnsiTheme="majorHAnsi"/>
          <w:sz w:val="16"/>
          <w:szCs w:val="16"/>
        </w:rPr>
        <w:t>ayectoria Balística (N°9700-029</w:t>
      </w:r>
      <w:r w:rsidRPr="007608B0">
        <w:rPr>
          <w:rFonts w:asciiTheme="majorHAnsi" w:hAnsiTheme="majorHAnsi"/>
          <w:sz w:val="16"/>
          <w:szCs w:val="16"/>
        </w:rPr>
        <w:t>)</w:t>
      </w:r>
      <w:r>
        <w:rPr>
          <w:rFonts w:asciiTheme="majorHAnsi" w:hAnsiTheme="majorHAnsi"/>
          <w:sz w:val="16"/>
          <w:szCs w:val="16"/>
        </w:rPr>
        <w:t xml:space="preserve"> </w:t>
      </w:r>
      <w:r w:rsidRPr="007608B0">
        <w:rPr>
          <w:rFonts w:asciiTheme="majorHAnsi" w:hAnsiTheme="majorHAnsi"/>
          <w:sz w:val="16"/>
          <w:szCs w:val="16"/>
        </w:rPr>
        <w:t xml:space="preserve">de 1 de mayo de 2006.  Anexo </w:t>
      </w:r>
      <w:r>
        <w:rPr>
          <w:rFonts w:asciiTheme="majorHAnsi" w:hAnsiTheme="majorHAnsi"/>
          <w:sz w:val="16"/>
          <w:szCs w:val="16"/>
        </w:rPr>
        <w:t>al escrito del Estado de</w:t>
      </w:r>
      <w:r w:rsidRPr="007608B0">
        <w:rPr>
          <w:rFonts w:asciiTheme="majorHAnsi" w:hAnsiTheme="majorHAnsi"/>
          <w:sz w:val="16"/>
          <w:szCs w:val="16"/>
        </w:rPr>
        <w:t xml:space="preserve"> 6 de octubre de 20</w:t>
      </w:r>
      <w:r>
        <w:rPr>
          <w:rFonts w:asciiTheme="majorHAnsi" w:hAnsiTheme="majorHAnsi"/>
          <w:sz w:val="16"/>
          <w:szCs w:val="16"/>
        </w:rPr>
        <w:t>1</w:t>
      </w:r>
      <w:r w:rsidRPr="007608B0">
        <w:rPr>
          <w:rFonts w:asciiTheme="majorHAnsi" w:hAnsiTheme="majorHAnsi"/>
          <w:sz w:val="16"/>
          <w:szCs w:val="16"/>
        </w:rPr>
        <w:t>1.</w:t>
      </w:r>
    </w:p>
  </w:footnote>
  <w:footnote w:id="83">
    <w:p w14:paraId="7A98CB9A" w14:textId="32B4FF16" w:rsidR="006B16F4" w:rsidRPr="007608B0" w:rsidRDefault="006B16F4" w:rsidP="00686471">
      <w:pPr>
        <w:pStyle w:val="FootnoteText"/>
        <w:contextualSpacing/>
        <w:jc w:val="both"/>
        <w:rPr>
          <w:szCs w:val="16"/>
          <w:lang w:val="es-CO"/>
        </w:rPr>
      </w:pPr>
      <w:r w:rsidRPr="007608B0">
        <w:rPr>
          <w:rStyle w:val="FootnoteReference"/>
          <w:szCs w:val="16"/>
          <w:lang w:val="es-CO"/>
        </w:rPr>
        <w:footnoteRef/>
      </w:r>
      <w:r w:rsidRPr="007608B0">
        <w:rPr>
          <w:rStyle w:val="FootnoteReference"/>
          <w:szCs w:val="16"/>
          <w:lang w:val="es-CO"/>
        </w:rPr>
        <w:t xml:space="preserve"> </w:t>
      </w:r>
      <w:r w:rsidRPr="007608B0">
        <w:rPr>
          <w:szCs w:val="16"/>
          <w:lang w:val="es-CO"/>
        </w:rPr>
        <w:t xml:space="preserve">Anexo </w:t>
      </w:r>
      <w:r>
        <w:rPr>
          <w:szCs w:val="16"/>
          <w:lang w:val="es-CO"/>
        </w:rPr>
        <w:t>64</w:t>
      </w:r>
      <w:r w:rsidRPr="007608B0">
        <w:rPr>
          <w:szCs w:val="16"/>
          <w:lang w:val="es-CO"/>
        </w:rPr>
        <w:t xml:space="preserve">: </w:t>
      </w:r>
      <w:r>
        <w:rPr>
          <w:szCs w:val="16"/>
          <w:lang w:val="es-CO"/>
        </w:rPr>
        <w:t>CICPC. Oficio No. 9700-018-B-2819</w:t>
      </w:r>
      <w:r w:rsidRPr="007608B0">
        <w:rPr>
          <w:szCs w:val="16"/>
          <w:lang w:val="es-CO"/>
        </w:rPr>
        <w:t xml:space="preserve"> de 31 de mayo de 2006. A</w:t>
      </w:r>
      <w:r>
        <w:rPr>
          <w:szCs w:val="16"/>
          <w:lang w:val="es-CO"/>
        </w:rPr>
        <w:t xml:space="preserve">nexo a la petición inicial. </w:t>
      </w:r>
    </w:p>
  </w:footnote>
  <w:footnote w:id="84">
    <w:p w14:paraId="52C7C56F" w14:textId="04F33B8F" w:rsidR="006B16F4" w:rsidRPr="007608B0" w:rsidRDefault="006B16F4" w:rsidP="008A6B24">
      <w:pPr>
        <w:pStyle w:val="FootnoteText"/>
        <w:contextualSpacing/>
        <w:jc w:val="both"/>
        <w:rPr>
          <w:szCs w:val="16"/>
          <w:lang w:val="es-CO"/>
        </w:rPr>
      </w:pPr>
      <w:r w:rsidRPr="007608B0">
        <w:rPr>
          <w:rStyle w:val="FootnoteReference"/>
          <w:szCs w:val="16"/>
          <w:lang w:val="es-CO"/>
        </w:rPr>
        <w:footnoteRef/>
      </w:r>
      <w:r w:rsidRPr="007608B0">
        <w:rPr>
          <w:rStyle w:val="FootnoteReference"/>
          <w:szCs w:val="16"/>
          <w:lang w:val="es-CO"/>
        </w:rPr>
        <w:t xml:space="preserve"> </w:t>
      </w:r>
      <w:r w:rsidRPr="007608B0">
        <w:rPr>
          <w:szCs w:val="16"/>
          <w:lang w:val="es-CO"/>
        </w:rPr>
        <w:t xml:space="preserve">Anexo </w:t>
      </w:r>
      <w:r>
        <w:rPr>
          <w:szCs w:val="16"/>
          <w:lang w:val="es-CO"/>
        </w:rPr>
        <w:t>65</w:t>
      </w:r>
      <w:r w:rsidRPr="007608B0">
        <w:rPr>
          <w:szCs w:val="16"/>
          <w:lang w:val="es-CO"/>
        </w:rPr>
        <w:t>: Fiscal General de la Repúbl</w:t>
      </w:r>
      <w:r>
        <w:rPr>
          <w:szCs w:val="16"/>
          <w:lang w:val="es-CO"/>
        </w:rPr>
        <w:t xml:space="preserve">ica, Oficio No. FAL-6-07-01.427 de 18 de julio de 2007. </w:t>
      </w:r>
      <w:r w:rsidRPr="007608B0">
        <w:rPr>
          <w:szCs w:val="16"/>
          <w:lang w:val="es-CO"/>
        </w:rPr>
        <w:t>A</w:t>
      </w:r>
      <w:r>
        <w:rPr>
          <w:szCs w:val="16"/>
          <w:lang w:val="es-CO"/>
        </w:rPr>
        <w:t xml:space="preserve">nexo a la petición inicial. </w:t>
      </w:r>
    </w:p>
  </w:footnote>
  <w:footnote w:id="85">
    <w:p w14:paraId="54EE2224" w14:textId="001A0C7C" w:rsidR="006B16F4" w:rsidRPr="007608B0" w:rsidRDefault="006B16F4" w:rsidP="00B86D49">
      <w:pPr>
        <w:pBdr>
          <w:top w:val="none" w:sz="0" w:space="0" w:color="auto"/>
          <w:left w:val="none" w:sz="0" w:space="0" w:color="auto"/>
          <w:bottom w:val="none" w:sz="0" w:space="0" w:color="auto"/>
          <w:right w:val="none" w:sz="0" w:space="0" w:color="auto"/>
          <w:between w:val="none" w:sz="0" w:space="0" w:color="auto"/>
          <w:bar w:val="none" w:sz="0" w:color="auto"/>
        </w:pBdr>
        <w:spacing w:after="60"/>
        <w:contextualSpacing/>
        <w:jc w:val="both"/>
        <w:rPr>
          <w:rFonts w:asciiTheme="majorHAnsi" w:hAnsiTheme="majorHAnsi"/>
          <w:sz w:val="16"/>
          <w:szCs w:val="16"/>
        </w:rPr>
      </w:pPr>
      <w:r w:rsidRPr="007608B0">
        <w:rPr>
          <w:rStyle w:val="FootnoteReference"/>
          <w:rFonts w:asciiTheme="majorHAnsi" w:hAnsiTheme="majorHAnsi"/>
          <w:sz w:val="16"/>
          <w:szCs w:val="16"/>
        </w:rPr>
        <w:footnoteRef/>
      </w:r>
      <w:r>
        <w:rPr>
          <w:rFonts w:asciiTheme="majorHAnsi" w:hAnsiTheme="majorHAnsi"/>
          <w:sz w:val="16"/>
          <w:szCs w:val="16"/>
        </w:rPr>
        <w:t xml:space="preserve"> Anexo 66: Fiscalía 17. Memo 11F17-250-08, </w:t>
      </w:r>
      <w:r w:rsidRPr="007608B0">
        <w:rPr>
          <w:rFonts w:asciiTheme="majorHAnsi" w:hAnsiTheme="majorHAnsi"/>
          <w:sz w:val="16"/>
          <w:szCs w:val="16"/>
        </w:rPr>
        <w:t xml:space="preserve">16 de diciembre de 2008. Anexo </w:t>
      </w:r>
      <w:r>
        <w:rPr>
          <w:rFonts w:asciiTheme="majorHAnsi" w:hAnsiTheme="majorHAnsi"/>
          <w:sz w:val="16"/>
          <w:szCs w:val="16"/>
        </w:rPr>
        <w:t>al escrito</w:t>
      </w:r>
      <w:r w:rsidRPr="007608B0">
        <w:rPr>
          <w:rFonts w:asciiTheme="majorHAnsi" w:hAnsiTheme="majorHAnsi"/>
          <w:sz w:val="16"/>
          <w:szCs w:val="16"/>
        </w:rPr>
        <w:t xml:space="preserve"> de la parte peti</w:t>
      </w:r>
      <w:r>
        <w:rPr>
          <w:rFonts w:asciiTheme="majorHAnsi" w:hAnsiTheme="majorHAnsi"/>
          <w:sz w:val="16"/>
          <w:szCs w:val="16"/>
        </w:rPr>
        <w:t>cionaria de 24 de abril de 2017.</w:t>
      </w:r>
    </w:p>
  </w:footnote>
  <w:footnote w:id="86">
    <w:p w14:paraId="4EA0B1B8" w14:textId="5B38EB79" w:rsidR="006B16F4" w:rsidRPr="007608B0" w:rsidRDefault="006B16F4" w:rsidP="00B86D49">
      <w:pPr>
        <w:pBdr>
          <w:top w:val="none" w:sz="0" w:space="0" w:color="auto"/>
          <w:left w:val="none" w:sz="0" w:space="0" w:color="auto"/>
          <w:bottom w:val="none" w:sz="0" w:space="0" w:color="auto"/>
          <w:right w:val="none" w:sz="0" w:space="0" w:color="auto"/>
          <w:between w:val="none" w:sz="0" w:space="0" w:color="auto"/>
          <w:bar w:val="none" w:sz="0" w:color="auto"/>
        </w:pBdr>
        <w:spacing w:after="60"/>
        <w:contextualSpacing/>
        <w:jc w:val="both"/>
        <w:rPr>
          <w:rFonts w:asciiTheme="majorHAnsi" w:hAnsiTheme="majorHAnsi"/>
          <w:sz w:val="16"/>
          <w:szCs w:val="16"/>
        </w:rPr>
      </w:pPr>
      <w:r w:rsidRPr="007608B0">
        <w:rPr>
          <w:rStyle w:val="FootnoteReference"/>
          <w:rFonts w:asciiTheme="majorHAnsi" w:hAnsiTheme="majorHAnsi"/>
          <w:sz w:val="16"/>
          <w:szCs w:val="16"/>
        </w:rPr>
        <w:footnoteRef/>
      </w:r>
      <w:r w:rsidRPr="007608B0">
        <w:rPr>
          <w:rFonts w:asciiTheme="majorHAnsi" w:hAnsiTheme="majorHAnsi"/>
          <w:sz w:val="16"/>
          <w:szCs w:val="16"/>
        </w:rPr>
        <w:t xml:space="preserve"> Anexo </w:t>
      </w:r>
      <w:r>
        <w:rPr>
          <w:rFonts w:asciiTheme="majorHAnsi" w:hAnsiTheme="majorHAnsi"/>
          <w:sz w:val="16"/>
          <w:szCs w:val="16"/>
        </w:rPr>
        <w:t>67</w:t>
      </w:r>
      <w:r w:rsidRPr="007608B0">
        <w:rPr>
          <w:rFonts w:asciiTheme="majorHAnsi" w:hAnsiTheme="majorHAnsi"/>
          <w:sz w:val="16"/>
          <w:szCs w:val="16"/>
        </w:rPr>
        <w:t>: Fi</w:t>
      </w:r>
      <w:r>
        <w:rPr>
          <w:rFonts w:asciiTheme="majorHAnsi" w:hAnsiTheme="majorHAnsi"/>
          <w:sz w:val="16"/>
          <w:szCs w:val="16"/>
        </w:rPr>
        <w:t xml:space="preserve">scalía 17. </w:t>
      </w:r>
      <w:r w:rsidRPr="007608B0">
        <w:rPr>
          <w:rFonts w:asciiTheme="majorHAnsi" w:hAnsiTheme="majorHAnsi"/>
          <w:sz w:val="16"/>
          <w:szCs w:val="16"/>
        </w:rPr>
        <w:t>Memo</w:t>
      </w:r>
      <w:r>
        <w:rPr>
          <w:rFonts w:asciiTheme="majorHAnsi" w:hAnsiTheme="majorHAnsi"/>
          <w:sz w:val="16"/>
          <w:szCs w:val="16"/>
        </w:rPr>
        <w:t xml:space="preserve">. </w:t>
      </w:r>
      <w:r w:rsidRPr="007608B0">
        <w:rPr>
          <w:rFonts w:asciiTheme="majorHAnsi" w:hAnsiTheme="majorHAnsi"/>
          <w:sz w:val="16"/>
          <w:szCs w:val="16"/>
        </w:rPr>
        <w:t>11F17-0055-09</w:t>
      </w:r>
      <w:r>
        <w:rPr>
          <w:rFonts w:asciiTheme="majorHAnsi" w:hAnsiTheme="majorHAnsi"/>
          <w:sz w:val="16"/>
          <w:szCs w:val="16"/>
        </w:rPr>
        <w:t xml:space="preserve">, </w:t>
      </w:r>
      <w:r w:rsidRPr="007608B0">
        <w:rPr>
          <w:rFonts w:asciiTheme="majorHAnsi" w:hAnsiTheme="majorHAnsi"/>
          <w:sz w:val="16"/>
          <w:szCs w:val="16"/>
        </w:rPr>
        <w:t>23 de</w:t>
      </w:r>
      <w:r>
        <w:rPr>
          <w:rFonts w:asciiTheme="majorHAnsi" w:hAnsiTheme="majorHAnsi"/>
          <w:sz w:val="16"/>
          <w:szCs w:val="16"/>
        </w:rPr>
        <w:t xml:space="preserve"> marzo de 2009. Anexo al escrito de la parte peticionaria de</w:t>
      </w:r>
      <w:r w:rsidRPr="007608B0">
        <w:rPr>
          <w:rFonts w:asciiTheme="majorHAnsi" w:hAnsiTheme="majorHAnsi"/>
          <w:sz w:val="16"/>
          <w:szCs w:val="16"/>
        </w:rPr>
        <w:t xml:space="preserve"> 24 de abril de 2017</w:t>
      </w:r>
      <w:r>
        <w:rPr>
          <w:rFonts w:asciiTheme="majorHAnsi" w:hAnsiTheme="majorHAnsi"/>
          <w:sz w:val="16"/>
          <w:szCs w:val="16"/>
        </w:rPr>
        <w:t>.</w:t>
      </w:r>
      <w:r w:rsidRPr="007608B0">
        <w:rPr>
          <w:rFonts w:asciiTheme="majorHAnsi" w:hAnsiTheme="majorHAnsi"/>
          <w:sz w:val="16"/>
          <w:szCs w:val="16"/>
        </w:rPr>
        <w:t xml:space="preserve"> </w:t>
      </w:r>
    </w:p>
  </w:footnote>
  <w:footnote w:id="87">
    <w:p w14:paraId="05CEB63D" w14:textId="0906AFFC" w:rsidR="006B16F4" w:rsidRPr="007608B0" w:rsidRDefault="006B16F4" w:rsidP="00B86D49">
      <w:pPr>
        <w:pBdr>
          <w:top w:val="none" w:sz="0" w:space="0" w:color="auto"/>
          <w:left w:val="none" w:sz="0" w:space="0" w:color="auto"/>
          <w:bottom w:val="none" w:sz="0" w:space="0" w:color="auto"/>
          <w:right w:val="none" w:sz="0" w:space="0" w:color="auto"/>
          <w:between w:val="none" w:sz="0" w:space="0" w:color="auto"/>
          <w:bar w:val="none" w:sz="0" w:color="auto"/>
        </w:pBdr>
        <w:spacing w:after="60"/>
        <w:contextualSpacing/>
        <w:jc w:val="both"/>
        <w:rPr>
          <w:rFonts w:asciiTheme="majorHAnsi" w:hAnsiTheme="majorHAnsi"/>
          <w:sz w:val="16"/>
          <w:szCs w:val="16"/>
        </w:rPr>
      </w:pPr>
      <w:r w:rsidRPr="007608B0">
        <w:rPr>
          <w:rStyle w:val="FootnoteReference"/>
          <w:rFonts w:asciiTheme="majorHAnsi" w:hAnsiTheme="majorHAnsi"/>
          <w:sz w:val="16"/>
          <w:szCs w:val="16"/>
        </w:rPr>
        <w:footnoteRef/>
      </w:r>
      <w:r w:rsidRPr="007608B0">
        <w:rPr>
          <w:rFonts w:asciiTheme="majorHAnsi" w:hAnsiTheme="majorHAnsi"/>
          <w:sz w:val="16"/>
          <w:szCs w:val="16"/>
        </w:rPr>
        <w:t xml:space="preserve"> Anexo </w:t>
      </w:r>
      <w:r>
        <w:rPr>
          <w:rFonts w:asciiTheme="majorHAnsi" w:hAnsiTheme="majorHAnsi"/>
          <w:sz w:val="16"/>
          <w:szCs w:val="16"/>
        </w:rPr>
        <w:t>68</w:t>
      </w:r>
      <w:r w:rsidRPr="007608B0">
        <w:rPr>
          <w:rFonts w:asciiTheme="majorHAnsi" w:hAnsiTheme="majorHAnsi"/>
          <w:sz w:val="16"/>
          <w:szCs w:val="16"/>
        </w:rPr>
        <w:t xml:space="preserve">: Fiscalía </w:t>
      </w:r>
      <w:r>
        <w:rPr>
          <w:rFonts w:asciiTheme="majorHAnsi" w:hAnsiTheme="majorHAnsi"/>
          <w:sz w:val="16"/>
          <w:szCs w:val="16"/>
        </w:rPr>
        <w:t>17.</w:t>
      </w:r>
      <w:r w:rsidRPr="007608B0">
        <w:rPr>
          <w:rFonts w:asciiTheme="majorHAnsi" w:hAnsiTheme="majorHAnsi"/>
          <w:sz w:val="16"/>
          <w:szCs w:val="16"/>
        </w:rPr>
        <w:t xml:space="preserve"> </w:t>
      </w:r>
      <w:r>
        <w:rPr>
          <w:rFonts w:asciiTheme="majorHAnsi" w:hAnsiTheme="majorHAnsi"/>
          <w:sz w:val="16"/>
          <w:szCs w:val="16"/>
        </w:rPr>
        <w:t xml:space="preserve">Of. FAL-17-1.141-2011, </w:t>
      </w:r>
      <w:r w:rsidRPr="007608B0">
        <w:rPr>
          <w:rFonts w:asciiTheme="majorHAnsi" w:hAnsiTheme="majorHAnsi"/>
          <w:sz w:val="16"/>
          <w:szCs w:val="16"/>
        </w:rPr>
        <w:t xml:space="preserve">14 de septiembre de 2011. Anexo </w:t>
      </w:r>
      <w:r>
        <w:rPr>
          <w:rFonts w:asciiTheme="majorHAnsi" w:hAnsiTheme="majorHAnsi"/>
          <w:sz w:val="16"/>
          <w:szCs w:val="16"/>
        </w:rPr>
        <w:t>al escrito</w:t>
      </w:r>
      <w:r w:rsidRPr="007608B0">
        <w:rPr>
          <w:rFonts w:asciiTheme="majorHAnsi" w:hAnsiTheme="majorHAnsi"/>
          <w:sz w:val="16"/>
          <w:szCs w:val="16"/>
        </w:rPr>
        <w:t xml:space="preserve"> </w:t>
      </w:r>
      <w:r>
        <w:rPr>
          <w:rFonts w:asciiTheme="majorHAnsi" w:hAnsiTheme="majorHAnsi"/>
          <w:sz w:val="16"/>
          <w:szCs w:val="16"/>
        </w:rPr>
        <w:t xml:space="preserve">de la parte peticionaria, </w:t>
      </w:r>
      <w:r w:rsidRPr="007608B0">
        <w:rPr>
          <w:rFonts w:asciiTheme="majorHAnsi" w:hAnsiTheme="majorHAnsi"/>
          <w:sz w:val="16"/>
          <w:szCs w:val="16"/>
        </w:rPr>
        <w:t>24 de abril de 2017.</w:t>
      </w:r>
    </w:p>
  </w:footnote>
  <w:footnote w:id="88">
    <w:p w14:paraId="66320631" w14:textId="1398B629" w:rsidR="006B16F4" w:rsidRPr="007608B0" w:rsidRDefault="006B16F4" w:rsidP="00B86D49">
      <w:pPr>
        <w:pBdr>
          <w:top w:val="none" w:sz="0" w:space="0" w:color="auto"/>
          <w:left w:val="none" w:sz="0" w:space="0" w:color="auto"/>
          <w:bottom w:val="none" w:sz="0" w:space="0" w:color="auto"/>
          <w:right w:val="none" w:sz="0" w:space="0" w:color="auto"/>
          <w:between w:val="none" w:sz="0" w:space="0" w:color="auto"/>
          <w:bar w:val="none" w:sz="0" w:color="auto"/>
        </w:pBdr>
        <w:spacing w:after="60"/>
        <w:contextualSpacing/>
        <w:jc w:val="both"/>
        <w:rPr>
          <w:rFonts w:asciiTheme="majorHAnsi" w:hAnsiTheme="majorHAnsi"/>
          <w:sz w:val="16"/>
          <w:szCs w:val="16"/>
        </w:rPr>
      </w:pPr>
      <w:r w:rsidRPr="007608B0">
        <w:rPr>
          <w:rStyle w:val="FootnoteReference"/>
          <w:rFonts w:asciiTheme="majorHAnsi" w:hAnsiTheme="majorHAnsi"/>
          <w:sz w:val="16"/>
          <w:szCs w:val="16"/>
        </w:rPr>
        <w:footnoteRef/>
      </w:r>
      <w:r w:rsidRPr="007608B0">
        <w:rPr>
          <w:rFonts w:asciiTheme="majorHAnsi" w:hAnsiTheme="majorHAnsi"/>
          <w:sz w:val="16"/>
          <w:szCs w:val="16"/>
        </w:rPr>
        <w:t xml:space="preserve"> Anexo </w:t>
      </w:r>
      <w:r>
        <w:rPr>
          <w:rFonts w:asciiTheme="majorHAnsi" w:hAnsiTheme="majorHAnsi"/>
          <w:sz w:val="16"/>
          <w:szCs w:val="16"/>
        </w:rPr>
        <w:t>69</w:t>
      </w:r>
      <w:r w:rsidRPr="007608B0">
        <w:rPr>
          <w:rFonts w:asciiTheme="majorHAnsi" w:hAnsiTheme="majorHAnsi"/>
          <w:sz w:val="16"/>
          <w:szCs w:val="16"/>
        </w:rPr>
        <w:t xml:space="preserve">: </w:t>
      </w:r>
      <w:r>
        <w:rPr>
          <w:rFonts w:asciiTheme="majorHAnsi" w:hAnsiTheme="majorHAnsi"/>
          <w:sz w:val="16"/>
          <w:szCs w:val="16"/>
        </w:rPr>
        <w:t xml:space="preserve">Fiscalía 49, </w:t>
      </w:r>
      <w:r w:rsidRPr="007608B0">
        <w:rPr>
          <w:rFonts w:asciiTheme="majorHAnsi" w:hAnsiTheme="majorHAnsi"/>
          <w:sz w:val="16"/>
          <w:szCs w:val="16"/>
        </w:rPr>
        <w:t>Of</w:t>
      </w:r>
      <w:r>
        <w:rPr>
          <w:rFonts w:asciiTheme="majorHAnsi" w:hAnsiTheme="majorHAnsi"/>
          <w:sz w:val="16"/>
          <w:szCs w:val="16"/>
        </w:rPr>
        <w:t>. 00-F49-0102-2015,</w:t>
      </w:r>
      <w:r w:rsidRPr="007608B0">
        <w:rPr>
          <w:rFonts w:asciiTheme="majorHAnsi" w:hAnsiTheme="majorHAnsi"/>
          <w:sz w:val="16"/>
          <w:szCs w:val="16"/>
        </w:rPr>
        <w:t xml:space="preserve"> 21 de abril de 2015. Anexo </w:t>
      </w:r>
      <w:r>
        <w:rPr>
          <w:rFonts w:asciiTheme="majorHAnsi" w:hAnsiTheme="majorHAnsi"/>
          <w:sz w:val="16"/>
          <w:szCs w:val="16"/>
        </w:rPr>
        <w:t xml:space="preserve">al escrito </w:t>
      </w:r>
      <w:r w:rsidRPr="007608B0">
        <w:rPr>
          <w:rFonts w:asciiTheme="majorHAnsi" w:hAnsiTheme="majorHAnsi"/>
          <w:sz w:val="16"/>
          <w:szCs w:val="16"/>
        </w:rPr>
        <w:t>de la parte peti</w:t>
      </w:r>
      <w:r>
        <w:rPr>
          <w:rFonts w:asciiTheme="majorHAnsi" w:hAnsiTheme="majorHAnsi"/>
          <w:sz w:val="16"/>
          <w:szCs w:val="16"/>
        </w:rPr>
        <w:t>cionaria de</w:t>
      </w:r>
      <w:r w:rsidRPr="007608B0">
        <w:rPr>
          <w:rFonts w:asciiTheme="majorHAnsi" w:hAnsiTheme="majorHAnsi"/>
          <w:sz w:val="16"/>
          <w:szCs w:val="16"/>
        </w:rPr>
        <w:t>24 de abril de 2017.</w:t>
      </w:r>
    </w:p>
  </w:footnote>
  <w:footnote w:id="89">
    <w:p w14:paraId="2824834F" w14:textId="2A3C95AF" w:rsidR="006B16F4" w:rsidRPr="007608B0" w:rsidRDefault="006B16F4" w:rsidP="001774DF">
      <w:pPr>
        <w:pBdr>
          <w:top w:val="none" w:sz="0" w:space="0" w:color="auto"/>
          <w:left w:val="none" w:sz="0" w:space="0" w:color="auto"/>
          <w:bottom w:val="none" w:sz="0" w:space="0" w:color="auto"/>
          <w:right w:val="none" w:sz="0" w:space="0" w:color="auto"/>
          <w:between w:val="none" w:sz="0" w:space="0" w:color="auto"/>
          <w:bar w:val="none" w:sz="0" w:color="auto"/>
        </w:pBdr>
        <w:spacing w:after="60"/>
        <w:contextualSpacing/>
        <w:jc w:val="both"/>
        <w:rPr>
          <w:rFonts w:asciiTheme="majorHAnsi" w:hAnsiTheme="majorHAnsi"/>
          <w:sz w:val="16"/>
          <w:szCs w:val="16"/>
          <w:lang w:val="es-ES"/>
        </w:rPr>
      </w:pPr>
      <w:r w:rsidRPr="007608B0">
        <w:rPr>
          <w:rStyle w:val="FootnoteReference"/>
          <w:rFonts w:asciiTheme="majorHAnsi" w:hAnsiTheme="majorHAnsi"/>
          <w:sz w:val="16"/>
          <w:szCs w:val="16"/>
        </w:rPr>
        <w:footnoteRef/>
      </w:r>
      <w:r w:rsidRPr="007608B0">
        <w:rPr>
          <w:rFonts w:asciiTheme="majorHAnsi" w:hAnsiTheme="majorHAnsi"/>
          <w:sz w:val="16"/>
          <w:szCs w:val="16"/>
        </w:rPr>
        <w:t xml:space="preserve"> Anexo </w:t>
      </w:r>
      <w:r>
        <w:rPr>
          <w:rFonts w:asciiTheme="majorHAnsi" w:hAnsiTheme="majorHAnsi"/>
          <w:sz w:val="16"/>
          <w:szCs w:val="16"/>
        </w:rPr>
        <w:t>70</w:t>
      </w:r>
      <w:r w:rsidRPr="007608B0">
        <w:rPr>
          <w:rFonts w:asciiTheme="majorHAnsi" w:hAnsiTheme="majorHAnsi"/>
          <w:sz w:val="16"/>
          <w:szCs w:val="16"/>
        </w:rPr>
        <w:t xml:space="preserve">: </w:t>
      </w:r>
      <w:r>
        <w:rPr>
          <w:rFonts w:asciiTheme="majorHAnsi" w:hAnsiTheme="majorHAnsi"/>
          <w:sz w:val="16"/>
          <w:szCs w:val="16"/>
        </w:rPr>
        <w:t xml:space="preserve">Fiscalía 17. Of. FAL17-169-2016, </w:t>
      </w:r>
      <w:r w:rsidRPr="007608B0">
        <w:rPr>
          <w:rFonts w:asciiTheme="majorHAnsi" w:hAnsiTheme="majorHAnsi"/>
          <w:sz w:val="16"/>
          <w:szCs w:val="16"/>
        </w:rPr>
        <w:t xml:space="preserve">02 de febrero de 2016. Anexo </w:t>
      </w:r>
      <w:r>
        <w:rPr>
          <w:rFonts w:asciiTheme="majorHAnsi" w:hAnsiTheme="majorHAnsi"/>
          <w:sz w:val="16"/>
          <w:szCs w:val="16"/>
        </w:rPr>
        <w:t xml:space="preserve">al escrito de la parte peticionaria de </w:t>
      </w:r>
      <w:r w:rsidRPr="007608B0">
        <w:rPr>
          <w:rFonts w:asciiTheme="majorHAnsi" w:hAnsiTheme="majorHAnsi"/>
          <w:sz w:val="16"/>
          <w:szCs w:val="16"/>
        </w:rPr>
        <w:t xml:space="preserve">24 de abril de 2017. </w:t>
      </w:r>
    </w:p>
  </w:footnote>
  <w:footnote w:id="90">
    <w:p w14:paraId="1BCE2AB2" w14:textId="3AD75CD9" w:rsidR="006B16F4" w:rsidRPr="007608B0" w:rsidRDefault="006B16F4" w:rsidP="00173483">
      <w:pPr>
        <w:pBdr>
          <w:top w:val="none" w:sz="0" w:space="0" w:color="auto"/>
          <w:left w:val="none" w:sz="0" w:space="0" w:color="auto"/>
          <w:bottom w:val="none" w:sz="0" w:space="0" w:color="auto"/>
          <w:right w:val="none" w:sz="0" w:space="0" w:color="auto"/>
          <w:between w:val="none" w:sz="0" w:space="0" w:color="auto"/>
          <w:bar w:val="none" w:sz="0" w:color="auto"/>
        </w:pBdr>
        <w:spacing w:after="60"/>
        <w:contextualSpacing/>
        <w:jc w:val="both"/>
        <w:rPr>
          <w:rFonts w:asciiTheme="majorHAnsi" w:hAnsiTheme="majorHAnsi"/>
          <w:sz w:val="16"/>
          <w:szCs w:val="16"/>
        </w:rPr>
      </w:pPr>
      <w:r w:rsidRPr="007608B0">
        <w:rPr>
          <w:rStyle w:val="FootnoteReference"/>
          <w:rFonts w:asciiTheme="majorHAnsi" w:hAnsiTheme="majorHAnsi"/>
          <w:sz w:val="16"/>
          <w:szCs w:val="16"/>
        </w:rPr>
        <w:footnoteRef/>
      </w:r>
      <w:r w:rsidRPr="007608B0">
        <w:rPr>
          <w:rFonts w:asciiTheme="majorHAnsi" w:hAnsiTheme="majorHAnsi"/>
          <w:sz w:val="16"/>
          <w:szCs w:val="16"/>
        </w:rPr>
        <w:t xml:space="preserve"> Anexo </w:t>
      </w:r>
      <w:r>
        <w:rPr>
          <w:rFonts w:asciiTheme="majorHAnsi" w:hAnsiTheme="majorHAnsi"/>
          <w:sz w:val="16"/>
          <w:szCs w:val="16"/>
        </w:rPr>
        <w:t>71</w:t>
      </w:r>
      <w:r w:rsidRPr="007608B0">
        <w:rPr>
          <w:rFonts w:asciiTheme="majorHAnsi" w:hAnsiTheme="majorHAnsi"/>
          <w:sz w:val="16"/>
          <w:szCs w:val="16"/>
        </w:rPr>
        <w:t xml:space="preserve">: </w:t>
      </w:r>
      <w:r>
        <w:rPr>
          <w:rFonts w:asciiTheme="majorHAnsi" w:hAnsiTheme="majorHAnsi"/>
          <w:sz w:val="16"/>
          <w:szCs w:val="16"/>
        </w:rPr>
        <w:t xml:space="preserve">Fiscalía 17. Of. </w:t>
      </w:r>
      <w:r w:rsidRPr="007608B0">
        <w:rPr>
          <w:rFonts w:asciiTheme="majorHAnsi" w:hAnsiTheme="majorHAnsi"/>
          <w:sz w:val="16"/>
          <w:szCs w:val="16"/>
        </w:rPr>
        <w:t>FAL</w:t>
      </w:r>
      <w:r>
        <w:rPr>
          <w:rFonts w:asciiTheme="majorHAnsi" w:hAnsiTheme="majorHAnsi"/>
          <w:sz w:val="16"/>
          <w:szCs w:val="16"/>
        </w:rPr>
        <w:t>-</w:t>
      </w:r>
      <w:r w:rsidRPr="007608B0">
        <w:rPr>
          <w:rFonts w:asciiTheme="majorHAnsi" w:hAnsiTheme="majorHAnsi"/>
          <w:sz w:val="16"/>
          <w:szCs w:val="16"/>
        </w:rPr>
        <w:t>17-</w:t>
      </w:r>
      <w:r>
        <w:rPr>
          <w:rFonts w:asciiTheme="majorHAnsi" w:hAnsiTheme="majorHAnsi"/>
          <w:sz w:val="16"/>
          <w:szCs w:val="16"/>
        </w:rPr>
        <w:t xml:space="preserve">169-2016, </w:t>
      </w:r>
      <w:r w:rsidRPr="007608B0">
        <w:rPr>
          <w:rFonts w:asciiTheme="majorHAnsi" w:hAnsiTheme="majorHAnsi"/>
          <w:sz w:val="16"/>
          <w:szCs w:val="16"/>
        </w:rPr>
        <w:t xml:space="preserve">11 de marzo de 2016. Anexo </w:t>
      </w:r>
      <w:r>
        <w:rPr>
          <w:rFonts w:asciiTheme="majorHAnsi" w:hAnsiTheme="majorHAnsi"/>
          <w:sz w:val="16"/>
          <w:szCs w:val="16"/>
        </w:rPr>
        <w:t xml:space="preserve">al escrito de la parte peticionaria de </w:t>
      </w:r>
      <w:r w:rsidRPr="007608B0">
        <w:rPr>
          <w:rFonts w:asciiTheme="majorHAnsi" w:hAnsiTheme="majorHAnsi"/>
          <w:sz w:val="16"/>
          <w:szCs w:val="16"/>
        </w:rPr>
        <w:t>24 de abril de 2017.</w:t>
      </w:r>
    </w:p>
  </w:footnote>
  <w:footnote w:id="91">
    <w:p w14:paraId="4F489C98" w14:textId="0D0C0BFD" w:rsidR="006B16F4" w:rsidRPr="007608B0" w:rsidRDefault="006B16F4" w:rsidP="00173483">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16"/>
          <w:szCs w:val="16"/>
        </w:rPr>
      </w:pPr>
      <w:r w:rsidRPr="007608B0">
        <w:rPr>
          <w:rStyle w:val="FootnoteReference"/>
          <w:rFonts w:asciiTheme="majorHAnsi" w:hAnsiTheme="majorHAnsi"/>
          <w:sz w:val="16"/>
          <w:szCs w:val="16"/>
        </w:rPr>
        <w:footnoteRef/>
      </w:r>
      <w:r w:rsidRPr="007608B0">
        <w:rPr>
          <w:rFonts w:asciiTheme="majorHAnsi" w:hAnsiTheme="majorHAnsi"/>
          <w:sz w:val="16"/>
          <w:szCs w:val="16"/>
        </w:rPr>
        <w:t xml:space="preserve"> Anexo </w:t>
      </w:r>
      <w:r>
        <w:rPr>
          <w:rFonts w:asciiTheme="majorHAnsi" w:hAnsiTheme="majorHAnsi"/>
          <w:sz w:val="16"/>
          <w:szCs w:val="16"/>
        </w:rPr>
        <w:t>72</w:t>
      </w:r>
      <w:r w:rsidRPr="007608B0">
        <w:rPr>
          <w:rFonts w:asciiTheme="majorHAnsi" w:hAnsiTheme="majorHAnsi"/>
          <w:sz w:val="16"/>
          <w:szCs w:val="16"/>
        </w:rPr>
        <w:t xml:space="preserve">: Fiscalía </w:t>
      </w:r>
      <w:r>
        <w:rPr>
          <w:rFonts w:asciiTheme="majorHAnsi" w:hAnsiTheme="majorHAnsi"/>
          <w:sz w:val="16"/>
          <w:szCs w:val="16"/>
        </w:rPr>
        <w:t xml:space="preserve">17. </w:t>
      </w:r>
      <w:r w:rsidRPr="007608B0">
        <w:rPr>
          <w:rFonts w:asciiTheme="majorHAnsi" w:hAnsiTheme="majorHAnsi"/>
          <w:sz w:val="16"/>
          <w:szCs w:val="16"/>
        </w:rPr>
        <w:t>Of</w:t>
      </w:r>
      <w:r>
        <w:rPr>
          <w:rFonts w:asciiTheme="majorHAnsi" w:hAnsiTheme="majorHAnsi"/>
          <w:sz w:val="16"/>
          <w:szCs w:val="16"/>
        </w:rPr>
        <w:t xml:space="preserve">. FAL17-191-2016, 12 de marzo de 2016. Anexo al escrito de la parte peticionaria de </w:t>
      </w:r>
      <w:r w:rsidRPr="007608B0">
        <w:rPr>
          <w:rFonts w:asciiTheme="majorHAnsi" w:hAnsiTheme="majorHAnsi"/>
          <w:sz w:val="16"/>
          <w:szCs w:val="16"/>
        </w:rPr>
        <w:t>24 de abril de 2017.</w:t>
      </w:r>
    </w:p>
  </w:footnote>
  <w:footnote w:id="92">
    <w:p w14:paraId="2FAC5A52" w14:textId="5A00F560" w:rsidR="006B16F4" w:rsidRPr="007608B0" w:rsidRDefault="006B16F4" w:rsidP="00173483">
      <w:pPr>
        <w:pStyle w:val="FootnoteText"/>
        <w:contextualSpacing/>
        <w:jc w:val="both"/>
        <w:rPr>
          <w:szCs w:val="16"/>
          <w:lang w:val="es-CO"/>
        </w:rPr>
      </w:pPr>
      <w:r w:rsidRPr="007608B0">
        <w:rPr>
          <w:rStyle w:val="FootnoteReference"/>
          <w:szCs w:val="16"/>
          <w:lang w:val="es-CO"/>
        </w:rPr>
        <w:footnoteRef/>
      </w:r>
      <w:r w:rsidRPr="007608B0">
        <w:rPr>
          <w:szCs w:val="16"/>
          <w:lang w:val="es-CO"/>
        </w:rPr>
        <w:t xml:space="preserve"> Anexo </w:t>
      </w:r>
      <w:r>
        <w:rPr>
          <w:szCs w:val="16"/>
          <w:lang w:val="es-CO"/>
        </w:rPr>
        <w:t>73</w:t>
      </w:r>
      <w:r w:rsidRPr="007608B0">
        <w:rPr>
          <w:szCs w:val="16"/>
          <w:lang w:val="es-CO"/>
        </w:rPr>
        <w:t xml:space="preserve">: </w:t>
      </w:r>
      <w:r>
        <w:rPr>
          <w:szCs w:val="16"/>
          <w:lang w:val="es-CO"/>
        </w:rPr>
        <w:t xml:space="preserve">Fiscalía 17. </w:t>
      </w:r>
      <w:r w:rsidRPr="007608B0">
        <w:rPr>
          <w:szCs w:val="16"/>
          <w:lang w:val="es-CO"/>
        </w:rPr>
        <w:t>Of</w:t>
      </w:r>
      <w:r>
        <w:rPr>
          <w:szCs w:val="16"/>
          <w:lang w:val="es-CO"/>
        </w:rPr>
        <w:t xml:space="preserve">. </w:t>
      </w:r>
      <w:r w:rsidRPr="007608B0">
        <w:rPr>
          <w:szCs w:val="16"/>
          <w:lang w:val="es-CO"/>
        </w:rPr>
        <w:t>FAL17-192-2016</w:t>
      </w:r>
      <w:r>
        <w:rPr>
          <w:szCs w:val="16"/>
          <w:lang w:val="es-CO"/>
        </w:rPr>
        <w:t xml:space="preserve">, 12 de marzo de 2016. Anexo al escrito de la parte peticionaria de </w:t>
      </w:r>
      <w:r w:rsidRPr="007608B0">
        <w:rPr>
          <w:szCs w:val="16"/>
          <w:lang w:val="es-CO"/>
        </w:rPr>
        <w:t>24 de abril de 2017.</w:t>
      </w:r>
    </w:p>
  </w:footnote>
  <w:footnote w:id="93">
    <w:p w14:paraId="0211D33C" w14:textId="28BBF0FC" w:rsidR="006B16F4" w:rsidRPr="007608B0" w:rsidRDefault="006B16F4" w:rsidP="00173483">
      <w:pPr>
        <w:pBdr>
          <w:top w:val="none" w:sz="0" w:space="0" w:color="auto"/>
          <w:left w:val="none" w:sz="0" w:space="0" w:color="auto"/>
          <w:bottom w:val="none" w:sz="0" w:space="0" w:color="auto"/>
          <w:right w:val="none" w:sz="0" w:space="0" w:color="auto"/>
          <w:between w:val="none" w:sz="0" w:space="0" w:color="auto"/>
          <w:bar w:val="none" w:sz="0" w:color="auto"/>
        </w:pBdr>
        <w:spacing w:after="60"/>
        <w:contextualSpacing/>
        <w:jc w:val="both"/>
        <w:rPr>
          <w:rFonts w:asciiTheme="majorHAnsi" w:hAnsiTheme="majorHAnsi"/>
          <w:sz w:val="16"/>
          <w:szCs w:val="16"/>
        </w:rPr>
      </w:pPr>
      <w:r w:rsidRPr="007608B0">
        <w:rPr>
          <w:rStyle w:val="FootnoteReference"/>
          <w:rFonts w:asciiTheme="majorHAnsi" w:hAnsiTheme="majorHAnsi"/>
          <w:sz w:val="16"/>
          <w:szCs w:val="16"/>
        </w:rPr>
        <w:footnoteRef/>
      </w:r>
      <w:r w:rsidRPr="007608B0">
        <w:rPr>
          <w:rFonts w:asciiTheme="majorHAnsi" w:hAnsiTheme="majorHAnsi"/>
          <w:sz w:val="16"/>
          <w:szCs w:val="16"/>
        </w:rPr>
        <w:t xml:space="preserve"> Anexo </w:t>
      </w:r>
      <w:r>
        <w:rPr>
          <w:rFonts w:asciiTheme="majorHAnsi" w:hAnsiTheme="majorHAnsi"/>
          <w:sz w:val="16"/>
          <w:szCs w:val="16"/>
        </w:rPr>
        <w:t xml:space="preserve">74: Fiscalía 17. Of. FAL17-193-2016, 12 de marzo de 2016. Anexo al escrito de la parte peticionaria de </w:t>
      </w:r>
      <w:r w:rsidRPr="007608B0">
        <w:rPr>
          <w:rFonts w:asciiTheme="majorHAnsi" w:hAnsiTheme="majorHAnsi"/>
          <w:sz w:val="16"/>
          <w:szCs w:val="16"/>
        </w:rPr>
        <w:t>24 de abril de 2017.</w:t>
      </w:r>
    </w:p>
  </w:footnote>
  <w:footnote w:id="94">
    <w:p w14:paraId="00E1574D" w14:textId="666D620E" w:rsidR="006B16F4" w:rsidRPr="007608B0" w:rsidRDefault="006B16F4" w:rsidP="00173483">
      <w:pPr>
        <w:pBdr>
          <w:top w:val="none" w:sz="0" w:space="0" w:color="auto"/>
          <w:left w:val="none" w:sz="0" w:space="0" w:color="auto"/>
          <w:bottom w:val="none" w:sz="0" w:space="0" w:color="auto"/>
          <w:right w:val="none" w:sz="0" w:space="0" w:color="auto"/>
          <w:between w:val="none" w:sz="0" w:space="0" w:color="auto"/>
          <w:bar w:val="none" w:sz="0" w:color="auto"/>
        </w:pBdr>
        <w:spacing w:after="60"/>
        <w:contextualSpacing/>
        <w:jc w:val="both"/>
        <w:rPr>
          <w:rFonts w:asciiTheme="majorHAnsi" w:hAnsiTheme="majorHAnsi"/>
          <w:sz w:val="16"/>
          <w:szCs w:val="16"/>
          <w:lang w:val="es-ES"/>
        </w:rPr>
      </w:pPr>
      <w:r w:rsidRPr="007608B0">
        <w:rPr>
          <w:rStyle w:val="FootnoteReference"/>
          <w:rFonts w:asciiTheme="majorHAnsi" w:hAnsiTheme="majorHAnsi"/>
          <w:sz w:val="16"/>
          <w:szCs w:val="16"/>
        </w:rPr>
        <w:footnoteRef/>
      </w:r>
      <w:r w:rsidRPr="007608B0">
        <w:rPr>
          <w:rFonts w:asciiTheme="majorHAnsi" w:hAnsiTheme="majorHAnsi"/>
          <w:sz w:val="16"/>
          <w:szCs w:val="16"/>
        </w:rPr>
        <w:t xml:space="preserve"> </w:t>
      </w:r>
      <w:r>
        <w:rPr>
          <w:rFonts w:asciiTheme="majorHAnsi" w:hAnsiTheme="majorHAnsi"/>
          <w:sz w:val="16"/>
          <w:szCs w:val="16"/>
          <w:lang w:val="es-ES"/>
        </w:rPr>
        <w:t>Anexo 75</w:t>
      </w:r>
      <w:r w:rsidRPr="007608B0">
        <w:rPr>
          <w:rFonts w:asciiTheme="majorHAnsi" w:hAnsiTheme="majorHAnsi"/>
          <w:sz w:val="16"/>
          <w:szCs w:val="16"/>
          <w:lang w:val="es-ES"/>
        </w:rPr>
        <w:t>: Unidad Criminalística</w:t>
      </w:r>
      <w:r>
        <w:rPr>
          <w:rFonts w:asciiTheme="majorHAnsi" w:hAnsiTheme="majorHAnsi"/>
          <w:sz w:val="16"/>
          <w:szCs w:val="16"/>
          <w:lang w:val="es-ES"/>
        </w:rPr>
        <w:t>.</w:t>
      </w:r>
      <w:r w:rsidRPr="007608B0">
        <w:rPr>
          <w:rFonts w:asciiTheme="majorHAnsi" w:hAnsiTheme="majorHAnsi"/>
          <w:sz w:val="16"/>
          <w:szCs w:val="16"/>
          <w:lang w:val="es-ES"/>
        </w:rPr>
        <w:t xml:space="preserve"> Acta de investigación </w:t>
      </w:r>
      <w:r>
        <w:rPr>
          <w:rFonts w:asciiTheme="majorHAnsi" w:hAnsiTheme="majorHAnsi"/>
          <w:sz w:val="16"/>
          <w:szCs w:val="16"/>
          <w:lang w:val="es-ES"/>
        </w:rPr>
        <w:t xml:space="preserve">y reunión </w:t>
      </w:r>
      <w:r w:rsidRPr="007608B0">
        <w:rPr>
          <w:rFonts w:asciiTheme="majorHAnsi" w:hAnsiTheme="majorHAnsi"/>
          <w:sz w:val="16"/>
          <w:szCs w:val="16"/>
          <w:lang w:val="es-ES"/>
        </w:rPr>
        <w:t xml:space="preserve">de 14 de marzo de 2016. Anexo </w:t>
      </w:r>
      <w:r>
        <w:rPr>
          <w:rFonts w:asciiTheme="majorHAnsi" w:hAnsiTheme="majorHAnsi"/>
          <w:sz w:val="16"/>
          <w:szCs w:val="16"/>
          <w:lang w:val="es-ES"/>
        </w:rPr>
        <w:t xml:space="preserve">al </w:t>
      </w:r>
      <w:r>
        <w:rPr>
          <w:rFonts w:asciiTheme="majorHAnsi" w:hAnsiTheme="majorHAnsi"/>
          <w:sz w:val="16"/>
          <w:szCs w:val="16"/>
        </w:rPr>
        <w:t xml:space="preserve">escrito </w:t>
      </w:r>
      <w:r w:rsidRPr="007608B0">
        <w:rPr>
          <w:rFonts w:asciiTheme="majorHAnsi" w:hAnsiTheme="majorHAnsi"/>
          <w:sz w:val="16"/>
          <w:szCs w:val="16"/>
        </w:rPr>
        <w:t>de la parte peticionaria de 24 de abril de 2017.</w:t>
      </w:r>
    </w:p>
  </w:footnote>
  <w:footnote w:id="95">
    <w:p w14:paraId="5FDEE8C9" w14:textId="73136042" w:rsidR="006B16F4" w:rsidRPr="007608B0" w:rsidRDefault="006B16F4" w:rsidP="00173483">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right="-90"/>
        <w:contextualSpacing/>
        <w:jc w:val="both"/>
        <w:rPr>
          <w:rFonts w:asciiTheme="majorHAnsi" w:hAnsiTheme="majorHAnsi"/>
          <w:sz w:val="16"/>
          <w:szCs w:val="16"/>
        </w:rPr>
      </w:pPr>
      <w:r w:rsidRPr="007608B0">
        <w:rPr>
          <w:rStyle w:val="FootnoteReference"/>
          <w:rFonts w:asciiTheme="majorHAnsi" w:hAnsiTheme="majorHAnsi"/>
          <w:sz w:val="16"/>
          <w:szCs w:val="16"/>
        </w:rPr>
        <w:footnoteRef/>
      </w:r>
      <w:r w:rsidRPr="007608B0">
        <w:rPr>
          <w:rFonts w:asciiTheme="majorHAnsi" w:hAnsiTheme="majorHAnsi"/>
          <w:sz w:val="16"/>
          <w:szCs w:val="16"/>
        </w:rPr>
        <w:t xml:space="preserve"> </w:t>
      </w:r>
      <w:r>
        <w:rPr>
          <w:rFonts w:asciiTheme="majorHAnsi" w:hAnsiTheme="majorHAnsi"/>
          <w:sz w:val="16"/>
          <w:szCs w:val="16"/>
          <w:lang w:val="es-ES"/>
        </w:rPr>
        <w:t xml:space="preserve">Anexo 76: Unidad Criminalística. Acta de investigación, </w:t>
      </w:r>
      <w:r w:rsidRPr="007608B0">
        <w:rPr>
          <w:rFonts w:asciiTheme="majorHAnsi" w:hAnsiTheme="majorHAnsi"/>
          <w:sz w:val="16"/>
          <w:szCs w:val="16"/>
          <w:lang w:val="es-ES"/>
        </w:rPr>
        <w:t xml:space="preserve">7 de abril de 2016. Anexo </w:t>
      </w:r>
      <w:r>
        <w:rPr>
          <w:rFonts w:asciiTheme="majorHAnsi" w:hAnsiTheme="majorHAnsi"/>
          <w:sz w:val="16"/>
          <w:szCs w:val="16"/>
          <w:lang w:val="es-ES"/>
        </w:rPr>
        <w:t xml:space="preserve">al </w:t>
      </w:r>
      <w:r>
        <w:rPr>
          <w:rFonts w:asciiTheme="majorHAnsi" w:hAnsiTheme="majorHAnsi"/>
          <w:sz w:val="16"/>
          <w:szCs w:val="16"/>
        </w:rPr>
        <w:t xml:space="preserve">escrito de la parte peticionaria de </w:t>
      </w:r>
      <w:r w:rsidRPr="007608B0">
        <w:rPr>
          <w:rFonts w:asciiTheme="majorHAnsi" w:hAnsiTheme="majorHAnsi"/>
          <w:sz w:val="16"/>
          <w:szCs w:val="16"/>
        </w:rPr>
        <w:t>24 de abril d</w:t>
      </w:r>
      <w:r>
        <w:rPr>
          <w:rFonts w:asciiTheme="majorHAnsi" w:hAnsiTheme="majorHAnsi"/>
          <w:sz w:val="16"/>
          <w:szCs w:val="16"/>
        </w:rPr>
        <w:t>e 2017.</w:t>
      </w:r>
    </w:p>
  </w:footnote>
  <w:footnote w:id="96">
    <w:p w14:paraId="05954042" w14:textId="6EDFC34C" w:rsidR="006B16F4" w:rsidRPr="007608B0" w:rsidRDefault="006B16F4" w:rsidP="00173483">
      <w:pPr>
        <w:pBdr>
          <w:top w:val="none" w:sz="0" w:space="0" w:color="auto"/>
          <w:left w:val="none" w:sz="0" w:space="0" w:color="auto"/>
          <w:bottom w:val="none" w:sz="0" w:space="0" w:color="auto"/>
          <w:right w:val="none" w:sz="0" w:space="0" w:color="auto"/>
          <w:between w:val="none" w:sz="0" w:space="0" w:color="auto"/>
          <w:bar w:val="none" w:sz="0" w:color="auto"/>
        </w:pBdr>
        <w:spacing w:after="60"/>
        <w:contextualSpacing/>
        <w:jc w:val="both"/>
        <w:rPr>
          <w:rFonts w:asciiTheme="majorHAnsi" w:hAnsiTheme="majorHAnsi"/>
          <w:sz w:val="16"/>
          <w:szCs w:val="16"/>
          <w:lang w:val="es-ES"/>
        </w:rPr>
      </w:pPr>
      <w:r w:rsidRPr="007608B0">
        <w:rPr>
          <w:rStyle w:val="FootnoteReference"/>
          <w:rFonts w:asciiTheme="majorHAnsi" w:hAnsiTheme="majorHAnsi"/>
          <w:sz w:val="16"/>
          <w:szCs w:val="16"/>
        </w:rPr>
        <w:footnoteRef/>
      </w:r>
      <w:r w:rsidRPr="007608B0">
        <w:rPr>
          <w:rFonts w:asciiTheme="majorHAnsi" w:hAnsiTheme="majorHAnsi"/>
          <w:sz w:val="16"/>
          <w:szCs w:val="16"/>
        </w:rPr>
        <w:t xml:space="preserve"> </w:t>
      </w:r>
      <w:r w:rsidRPr="007608B0">
        <w:rPr>
          <w:rFonts w:asciiTheme="majorHAnsi" w:hAnsiTheme="majorHAnsi"/>
          <w:sz w:val="16"/>
          <w:szCs w:val="16"/>
          <w:lang w:val="es-ES"/>
        </w:rPr>
        <w:t xml:space="preserve">Anexo </w:t>
      </w:r>
      <w:r>
        <w:rPr>
          <w:rFonts w:asciiTheme="majorHAnsi" w:hAnsiTheme="majorHAnsi"/>
          <w:sz w:val="16"/>
          <w:szCs w:val="16"/>
          <w:lang w:val="es-ES"/>
        </w:rPr>
        <w:t>77</w:t>
      </w:r>
      <w:r w:rsidRPr="007608B0">
        <w:rPr>
          <w:rFonts w:asciiTheme="majorHAnsi" w:hAnsiTheme="majorHAnsi"/>
          <w:sz w:val="16"/>
          <w:szCs w:val="16"/>
          <w:lang w:val="es-ES"/>
        </w:rPr>
        <w:t>: Unidad Criminalística</w:t>
      </w:r>
      <w:r>
        <w:rPr>
          <w:rFonts w:asciiTheme="majorHAnsi" w:hAnsiTheme="majorHAnsi"/>
          <w:sz w:val="16"/>
          <w:szCs w:val="16"/>
          <w:lang w:val="es-ES"/>
        </w:rPr>
        <w:t xml:space="preserve">. </w:t>
      </w:r>
      <w:r w:rsidRPr="007608B0">
        <w:rPr>
          <w:rFonts w:asciiTheme="majorHAnsi" w:hAnsiTheme="majorHAnsi"/>
          <w:sz w:val="16"/>
          <w:szCs w:val="16"/>
          <w:lang w:val="es-ES"/>
        </w:rPr>
        <w:t xml:space="preserve">Minuta </w:t>
      </w:r>
      <w:r>
        <w:rPr>
          <w:rFonts w:asciiTheme="majorHAnsi" w:hAnsiTheme="majorHAnsi"/>
          <w:sz w:val="16"/>
          <w:szCs w:val="16"/>
          <w:lang w:val="es-ES"/>
        </w:rPr>
        <w:t xml:space="preserve">de </w:t>
      </w:r>
      <w:r w:rsidRPr="007608B0">
        <w:rPr>
          <w:rFonts w:asciiTheme="majorHAnsi" w:hAnsiTheme="majorHAnsi"/>
          <w:sz w:val="16"/>
          <w:szCs w:val="16"/>
          <w:lang w:val="es-ES"/>
        </w:rPr>
        <w:t xml:space="preserve">14 de marzo de </w:t>
      </w:r>
      <w:r>
        <w:rPr>
          <w:rFonts w:asciiTheme="majorHAnsi" w:hAnsiTheme="majorHAnsi"/>
          <w:sz w:val="16"/>
          <w:szCs w:val="16"/>
          <w:lang w:val="es-ES"/>
        </w:rPr>
        <w:t>20</w:t>
      </w:r>
      <w:r w:rsidRPr="007608B0">
        <w:rPr>
          <w:rFonts w:asciiTheme="majorHAnsi" w:hAnsiTheme="majorHAnsi"/>
          <w:sz w:val="16"/>
          <w:szCs w:val="16"/>
          <w:lang w:val="es-ES"/>
        </w:rPr>
        <w:t xml:space="preserve">16. Anexo </w:t>
      </w:r>
      <w:r>
        <w:rPr>
          <w:rFonts w:asciiTheme="majorHAnsi" w:hAnsiTheme="majorHAnsi"/>
          <w:sz w:val="16"/>
          <w:szCs w:val="16"/>
          <w:lang w:val="es-ES"/>
        </w:rPr>
        <w:t xml:space="preserve">al escrito </w:t>
      </w:r>
      <w:r>
        <w:rPr>
          <w:rFonts w:asciiTheme="majorHAnsi" w:hAnsiTheme="majorHAnsi"/>
          <w:sz w:val="16"/>
          <w:szCs w:val="16"/>
        </w:rPr>
        <w:t xml:space="preserve">de la parte peticionaria de </w:t>
      </w:r>
      <w:r w:rsidRPr="007608B0">
        <w:rPr>
          <w:rFonts w:asciiTheme="majorHAnsi" w:hAnsiTheme="majorHAnsi"/>
          <w:sz w:val="16"/>
          <w:szCs w:val="16"/>
        </w:rPr>
        <w:t>24 de abril de 2017.</w:t>
      </w:r>
    </w:p>
  </w:footnote>
  <w:footnote w:id="97">
    <w:p w14:paraId="49CED128" w14:textId="4CCBED0E" w:rsidR="006B16F4" w:rsidRPr="007608B0" w:rsidRDefault="006B16F4" w:rsidP="00173483">
      <w:pPr>
        <w:pBdr>
          <w:top w:val="none" w:sz="0" w:space="0" w:color="auto"/>
          <w:left w:val="none" w:sz="0" w:space="0" w:color="auto"/>
          <w:bottom w:val="none" w:sz="0" w:space="0" w:color="auto"/>
          <w:right w:val="none" w:sz="0" w:space="0" w:color="auto"/>
          <w:between w:val="none" w:sz="0" w:space="0" w:color="auto"/>
          <w:bar w:val="none" w:sz="0" w:color="auto"/>
        </w:pBdr>
        <w:spacing w:after="60"/>
        <w:contextualSpacing/>
        <w:jc w:val="both"/>
        <w:rPr>
          <w:rFonts w:asciiTheme="majorHAnsi" w:hAnsiTheme="majorHAnsi"/>
          <w:sz w:val="16"/>
          <w:szCs w:val="16"/>
          <w:lang w:val="es-ES"/>
        </w:rPr>
      </w:pPr>
      <w:r w:rsidRPr="007608B0">
        <w:rPr>
          <w:rStyle w:val="FootnoteReference"/>
          <w:rFonts w:asciiTheme="majorHAnsi" w:hAnsiTheme="majorHAnsi"/>
          <w:sz w:val="16"/>
          <w:szCs w:val="16"/>
        </w:rPr>
        <w:footnoteRef/>
      </w:r>
      <w:r w:rsidRPr="007608B0">
        <w:rPr>
          <w:rFonts w:asciiTheme="majorHAnsi" w:hAnsiTheme="majorHAnsi"/>
          <w:sz w:val="16"/>
          <w:szCs w:val="16"/>
        </w:rPr>
        <w:t xml:space="preserve"> </w:t>
      </w:r>
      <w:r w:rsidRPr="007608B0">
        <w:rPr>
          <w:rFonts w:asciiTheme="majorHAnsi" w:hAnsiTheme="majorHAnsi"/>
          <w:sz w:val="16"/>
          <w:szCs w:val="16"/>
          <w:lang w:val="es-ES"/>
        </w:rPr>
        <w:t xml:space="preserve">Anexo </w:t>
      </w:r>
      <w:r>
        <w:rPr>
          <w:rFonts w:asciiTheme="majorHAnsi" w:hAnsiTheme="majorHAnsi"/>
          <w:sz w:val="16"/>
          <w:szCs w:val="16"/>
          <w:lang w:val="es-ES"/>
        </w:rPr>
        <w:t>78</w:t>
      </w:r>
      <w:r w:rsidRPr="007608B0">
        <w:rPr>
          <w:rFonts w:asciiTheme="majorHAnsi" w:hAnsiTheme="majorHAnsi"/>
          <w:sz w:val="16"/>
          <w:szCs w:val="16"/>
          <w:lang w:val="es-ES"/>
        </w:rPr>
        <w:t xml:space="preserve">: Fiscalía </w:t>
      </w:r>
      <w:r>
        <w:rPr>
          <w:rFonts w:asciiTheme="majorHAnsi" w:hAnsiTheme="majorHAnsi"/>
          <w:sz w:val="16"/>
          <w:szCs w:val="16"/>
          <w:lang w:val="es-ES"/>
        </w:rPr>
        <w:t xml:space="preserve">17. </w:t>
      </w:r>
      <w:r w:rsidRPr="007608B0">
        <w:rPr>
          <w:rFonts w:asciiTheme="majorHAnsi" w:hAnsiTheme="majorHAnsi"/>
          <w:sz w:val="16"/>
          <w:szCs w:val="16"/>
          <w:lang w:val="es-ES"/>
        </w:rPr>
        <w:t>Of</w:t>
      </w:r>
      <w:r>
        <w:rPr>
          <w:rFonts w:asciiTheme="majorHAnsi" w:hAnsiTheme="majorHAnsi"/>
          <w:sz w:val="16"/>
          <w:szCs w:val="16"/>
          <w:lang w:val="es-ES"/>
        </w:rPr>
        <w:t xml:space="preserve">. </w:t>
      </w:r>
      <w:r w:rsidRPr="007608B0">
        <w:rPr>
          <w:rFonts w:asciiTheme="majorHAnsi" w:hAnsiTheme="majorHAnsi"/>
          <w:sz w:val="16"/>
          <w:szCs w:val="16"/>
          <w:lang w:val="es-ES"/>
        </w:rPr>
        <w:t>FAL17-204-2016</w:t>
      </w:r>
      <w:r>
        <w:rPr>
          <w:rFonts w:asciiTheme="majorHAnsi" w:hAnsiTheme="majorHAnsi"/>
          <w:sz w:val="16"/>
          <w:szCs w:val="16"/>
          <w:lang w:val="es-ES"/>
        </w:rPr>
        <w:t xml:space="preserve">, </w:t>
      </w:r>
      <w:r w:rsidRPr="007608B0">
        <w:rPr>
          <w:rFonts w:asciiTheme="majorHAnsi" w:hAnsiTheme="majorHAnsi"/>
          <w:sz w:val="16"/>
          <w:szCs w:val="16"/>
          <w:lang w:val="es-ES"/>
        </w:rPr>
        <w:t>28 de marzo de 2016. Anexo</w:t>
      </w:r>
      <w:r>
        <w:rPr>
          <w:rFonts w:asciiTheme="majorHAnsi" w:hAnsiTheme="majorHAnsi"/>
          <w:sz w:val="16"/>
          <w:szCs w:val="16"/>
          <w:lang w:val="es-ES"/>
        </w:rPr>
        <w:t xml:space="preserve"> al</w:t>
      </w:r>
      <w:r w:rsidRPr="007608B0">
        <w:rPr>
          <w:rFonts w:asciiTheme="majorHAnsi" w:hAnsiTheme="majorHAnsi"/>
          <w:sz w:val="16"/>
          <w:szCs w:val="16"/>
        </w:rPr>
        <w:t xml:space="preserve"> </w:t>
      </w:r>
      <w:r>
        <w:rPr>
          <w:rFonts w:asciiTheme="majorHAnsi" w:hAnsiTheme="majorHAnsi"/>
          <w:sz w:val="16"/>
          <w:szCs w:val="16"/>
        </w:rPr>
        <w:t>escrito de la parte peticionaria de</w:t>
      </w:r>
      <w:r w:rsidRPr="007608B0">
        <w:rPr>
          <w:rFonts w:asciiTheme="majorHAnsi" w:hAnsiTheme="majorHAnsi"/>
          <w:sz w:val="16"/>
          <w:szCs w:val="16"/>
        </w:rPr>
        <w:t xml:space="preserve"> 24 de abril de 2017.</w:t>
      </w:r>
    </w:p>
  </w:footnote>
  <w:footnote w:id="98">
    <w:p w14:paraId="1E3AD9AE" w14:textId="028CD3D9" w:rsidR="006B16F4" w:rsidRPr="007608B0" w:rsidRDefault="006B16F4" w:rsidP="00173483">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contextualSpacing/>
        <w:jc w:val="both"/>
        <w:rPr>
          <w:rFonts w:asciiTheme="majorHAnsi" w:hAnsiTheme="majorHAnsi"/>
          <w:sz w:val="16"/>
          <w:szCs w:val="16"/>
        </w:rPr>
      </w:pPr>
      <w:r w:rsidRPr="007608B0">
        <w:rPr>
          <w:rStyle w:val="FootnoteReference"/>
          <w:rFonts w:asciiTheme="majorHAnsi" w:hAnsiTheme="majorHAnsi"/>
          <w:sz w:val="16"/>
          <w:szCs w:val="16"/>
        </w:rPr>
        <w:footnoteRef/>
      </w:r>
      <w:r>
        <w:rPr>
          <w:rFonts w:asciiTheme="majorHAnsi" w:hAnsiTheme="majorHAnsi"/>
          <w:sz w:val="16"/>
          <w:szCs w:val="16"/>
        </w:rPr>
        <w:t xml:space="preserve"> Anexo 79</w:t>
      </w:r>
      <w:r w:rsidRPr="007608B0">
        <w:rPr>
          <w:rFonts w:asciiTheme="majorHAnsi" w:hAnsiTheme="majorHAnsi"/>
          <w:sz w:val="16"/>
          <w:szCs w:val="16"/>
        </w:rPr>
        <w:t>: Cuerpo de Policía Estadal</w:t>
      </w:r>
      <w:r>
        <w:rPr>
          <w:rFonts w:asciiTheme="majorHAnsi" w:hAnsiTheme="majorHAnsi"/>
          <w:sz w:val="16"/>
          <w:szCs w:val="16"/>
        </w:rPr>
        <w:t xml:space="preserve">. Of. 0252, 30 de marzo de 2016. Anexo al escrito de la parte peticionaria de </w:t>
      </w:r>
      <w:r w:rsidRPr="007608B0">
        <w:rPr>
          <w:rFonts w:asciiTheme="majorHAnsi" w:hAnsiTheme="majorHAnsi"/>
          <w:sz w:val="16"/>
          <w:szCs w:val="16"/>
        </w:rPr>
        <w:t>24 de abril de 2017.</w:t>
      </w:r>
    </w:p>
  </w:footnote>
  <w:footnote w:id="99">
    <w:p w14:paraId="52BD9C23" w14:textId="16A765F2" w:rsidR="006B16F4" w:rsidRPr="007608B0" w:rsidRDefault="006B16F4" w:rsidP="00173483">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contextualSpacing/>
        <w:jc w:val="both"/>
        <w:rPr>
          <w:rFonts w:asciiTheme="majorHAnsi" w:hAnsiTheme="majorHAnsi"/>
          <w:sz w:val="16"/>
          <w:szCs w:val="16"/>
          <w:lang w:val="es-ES"/>
        </w:rPr>
      </w:pPr>
      <w:r w:rsidRPr="007608B0">
        <w:rPr>
          <w:rStyle w:val="FootnoteReference"/>
          <w:rFonts w:asciiTheme="majorHAnsi" w:hAnsiTheme="majorHAnsi"/>
          <w:sz w:val="16"/>
          <w:szCs w:val="16"/>
        </w:rPr>
        <w:footnoteRef/>
      </w:r>
      <w:r w:rsidRPr="007608B0">
        <w:rPr>
          <w:rFonts w:asciiTheme="majorHAnsi" w:hAnsiTheme="majorHAnsi"/>
          <w:sz w:val="16"/>
          <w:szCs w:val="16"/>
        </w:rPr>
        <w:t xml:space="preserve"> Anexo </w:t>
      </w:r>
      <w:r>
        <w:rPr>
          <w:rFonts w:asciiTheme="majorHAnsi" w:hAnsiTheme="majorHAnsi"/>
          <w:sz w:val="16"/>
          <w:szCs w:val="16"/>
        </w:rPr>
        <w:t>80</w:t>
      </w:r>
      <w:r w:rsidRPr="007608B0">
        <w:rPr>
          <w:rFonts w:asciiTheme="majorHAnsi" w:hAnsiTheme="majorHAnsi"/>
          <w:sz w:val="16"/>
          <w:szCs w:val="16"/>
        </w:rPr>
        <w:t>: Tribunal Penal de Primera Instancia Estadales y Munic</w:t>
      </w:r>
      <w:r>
        <w:rPr>
          <w:rFonts w:asciiTheme="majorHAnsi" w:hAnsiTheme="majorHAnsi"/>
          <w:sz w:val="16"/>
          <w:szCs w:val="16"/>
        </w:rPr>
        <w:t xml:space="preserve">ipales en Funciones de Control. </w:t>
      </w:r>
      <w:r w:rsidRPr="007608B0">
        <w:rPr>
          <w:rFonts w:asciiTheme="majorHAnsi" w:hAnsiTheme="majorHAnsi"/>
          <w:sz w:val="16"/>
          <w:szCs w:val="16"/>
        </w:rPr>
        <w:t>Oficio No 2C-920-2016</w:t>
      </w:r>
      <w:r>
        <w:rPr>
          <w:rFonts w:asciiTheme="majorHAnsi" w:hAnsiTheme="majorHAnsi"/>
          <w:sz w:val="16"/>
          <w:szCs w:val="16"/>
        </w:rPr>
        <w:t>.</w:t>
      </w:r>
      <w:r w:rsidRPr="007608B0">
        <w:rPr>
          <w:rFonts w:asciiTheme="majorHAnsi" w:hAnsiTheme="majorHAnsi"/>
          <w:sz w:val="16"/>
          <w:szCs w:val="16"/>
        </w:rPr>
        <w:t xml:space="preserve"> </w:t>
      </w:r>
      <w:r>
        <w:rPr>
          <w:rFonts w:asciiTheme="majorHAnsi" w:hAnsiTheme="majorHAnsi"/>
          <w:sz w:val="16"/>
          <w:szCs w:val="16"/>
        </w:rPr>
        <w:t>O</w:t>
      </w:r>
      <w:r w:rsidRPr="007608B0">
        <w:rPr>
          <w:rFonts w:asciiTheme="majorHAnsi" w:hAnsiTheme="majorHAnsi"/>
          <w:sz w:val="16"/>
          <w:szCs w:val="16"/>
        </w:rPr>
        <w:t>rden de aprehensión contra Felipe Antonio Rojas Quero</w:t>
      </w:r>
      <w:r>
        <w:rPr>
          <w:rFonts w:asciiTheme="majorHAnsi" w:hAnsiTheme="majorHAnsi"/>
          <w:sz w:val="16"/>
          <w:szCs w:val="16"/>
        </w:rPr>
        <w:t>, 1 de abril de 2016. Anexo al escrito</w:t>
      </w:r>
      <w:r w:rsidRPr="007608B0">
        <w:rPr>
          <w:rFonts w:asciiTheme="majorHAnsi" w:hAnsiTheme="majorHAnsi"/>
          <w:sz w:val="16"/>
          <w:szCs w:val="16"/>
        </w:rPr>
        <w:t xml:space="preserve"> </w:t>
      </w:r>
      <w:r>
        <w:rPr>
          <w:rFonts w:asciiTheme="majorHAnsi" w:hAnsiTheme="majorHAnsi"/>
          <w:sz w:val="16"/>
          <w:szCs w:val="16"/>
        </w:rPr>
        <w:t xml:space="preserve">de la parte peticionaria de </w:t>
      </w:r>
      <w:r w:rsidRPr="007608B0">
        <w:rPr>
          <w:rFonts w:asciiTheme="majorHAnsi" w:hAnsiTheme="majorHAnsi"/>
          <w:sz w:val="16"/>
          <w:szCs w:val="16"/>
        </w:rPr>
        <w:t>24 de abril de 2017.</w:t>
      </w:r>
    </w:p>
  </w:footnote>
  <w:footnote w:id="100">
    <w:p w14:paraId="4F1BBFD5" w14:textId="7AFC1115" w:rsidR="006B16F4" w:rsidRPr="007608B0" w:rsidRDefault="006B16F4" w:rsidP="00173483">
      <w:pPr>
        <w:pStyle w:val="FootnoteText"/>
        <w:contextualSpacing/>
        <w:jc w:val="both"/>
        <w:rPr>
          <w:szCs w:val="16"/>
          <w:lang w:val="es-CO"/>
        </w:rPr>
      </w:pPr>
      <w:r w:rsidRPr="007608B0">
        <w:rPr>
          <w:rStyle w:val="FootnoteReference"/>
          <w:szCs w:val="16"/>
          <w:lang w:val="es-CO"/>
        </w:rPr>
        <w:footnoteRef/>
      </w:r>
      <w:r w:rsidRPr="007608B0">
        <w:rPr>
          <w:szCs w:val="16"/>
          <w:lang w:val="es-CO"/>
        </w:rPr>
        <w:t xml:space="preserve"> Anexo </w:t>
      </w:r>
      <w:r>
        <w:rPr>
          <w:szCs w:val="16"/>
          <w:lang w:val="es-CO"/>
        </w:rPr>
        <w:t>81</w:t>
      </w:r>
      <w:r w:rsidRPr="007608B0">
        <w:rPr>
          <w:szCs w:val="16"/>
          <w:lang w:val="es-CO"/>
        </w:rPr>
        <w:t>: F</w:t>
      </w:r>
      <w:r>
        <w:rPr>
          <w:szCs w:val="16"/>
          <w:lang w:val="es-CO"/>
        </w:rPr>
        <w:t>iscalía 76.</w:t>
      </w:r>
      <w:r w:rsidRPr="007608B0">
        <w:rPr>
          <w:szCs w:val="16"/>
          <w:lang w:val="es-CO"/>
        </w:rPr>
        <w:t xml:space="preserve"> Of</w:t>
      </w:r>
      <w:r>
        <w:rPr>
          <w:szCs w:val="16"/>
          <w:lang w:val="es-CO"/>
        </w:rPr>
        <w:t>.</w:t>
      </w:r>
      <w:r w:rsidRPr="007608B0">
        <w:rPr>
          <w:szCs w:val="16"/>
          <w:lang w:val="es-CO"/>
        </w:rPr>
        <w:t xml:space="preserve"> FAL17-229-2016</w:t>
      </w:r>
      <w:r>
        <w:rPr>
          <w:szCs w:val="16"/>
          <w:lang w:val="es-CO"/>
        </w:rPr>
        <w:t xml:space="preserve">, 1 de abril de 2016. Anexo escrito de la parte peticionaria, </w:t>
      </w:r>
      <w:r w:rsidRPr="007608B0">
        <w:rPr>
          <w:szCs w:val="16"/>
          <w:lang w:val="es-CO"/>
        </w:rPr>
        <w:t>24 de abril de 2017.</w:t>
      </w:r>
    </w:p>
  </w:footnote>
  <w:footnote w:id="101">
    <w:p w14:paraId="769B3567" w14:textId="2AB74506" w:rsidR="006B16F4" w:rsidRPr="007608B0" w:rsidRDefault="006B16F4" w:rsidP="00173483">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contextualSpacing/>
        <w:jc w:val="both"/>
        <w:rPr>
          <w:rFonts w:asciiTheme="majorHAnsi" w:hAnsiTheme="majorHAnsi"/>
          <w:sz w:val="16"/>
          <w:szCs w:val="16"/>
          <w:lang w:val="es-ES"/>
        </w:rPr>
      </w:pPr>
      <w:r w:rsidRPr="007608B0">
        <w:rPr>
          <w:rStyle w:val="FootnoteReference"/>
          <w:rFonts w:asciiTheme="majorHAnsi" w:hAnsiTheme="majorHAnsi"/>
          <w:sz w:val="16"/>
          <w:szCs w:val="16"/>
        </w:rPr>
        <w:footnoteRef/>
      </w:r>
      <w:r w:rsidRPr="007608B0">
        <w:rPr>
          <w:rFonts w:asciiTheme="majorHAnsi" w:hAnsiTheme="majorHAnsi"/>
          <w:sz w:val="16"/>
          <w:szCs w:val="16"/>
        </w:rPr>
        <w:t xml:space="preserve"> </w:t>
      </w:r>
      <w:r>
        <w:rPr>
          <w:rFonts w:asciiTheme="majorHAnsi" w:hAnsiTheme="majorHAnsi"/>
          <w:sz w:val="16"/>
          <w:szCs w:val="16"/>
          <w:lang w:val="es-ES"/>
        </w:rPr>
        <w:t xml:space="preserve">Anexo 82: Acta policía de </w:t>
      </w:r>
      <w:r w:rsidRPr="007608B0">
        <w:rPr>
          <w:rFonts w:asciiTheme="majorHAnsi" w:hAnsiTheme="majorHAnsi"/>
          <w:sz w:val="16"/>
          <w:szCs w:val="16"/>
        </w:rPr>
        <w:t xml:space="preserve">5 de abril de 2016. </w:t>
      </w:r>
      <w:r w:rsidRPr="007608B0">
        <w:rPr>
          <w:rFonts w:asciiTheme="majorHAnsi" w:hAnsiTheme="majorHAnsi"/>
          <w:sz w:val="16"/>
          <w:szCs w:val="16"/>
          <w:lang w:val="es-ES"/>
        </w:rPr>
        <w:t xml:space="preserve">Anexo </w:t>
      </w:r>
      <w:r>
        <w:rPr>
          <w:rFonts w:asciiTheme="majorHAnsi" w:hAnsiTheme="majorHAnsi"/>
          <w:sz w:val="16"/>
          <w:szCs w:val="16"/>
          <w:lang w:val="es-ES"/>
        </w:rPr>
        <w:t xml:space="preserve">al </w:t>
      </w:r>
      <w:r>
        <w:rPr>
          <w:rFonts w:asciiTheme="majorHAnsi" w:hAnsiTheme="majorHAnsi"/>
          <w:sz w:val="16"/>
          <w:szCs w:val="16"/>
        </w:rPr>
        <w:t xml:space="preserve">escrito de la parte peticionaria de </w:t>
      </w:r>
      <w:r w:rsidRPr="007608B0">
        <w:rPr>
          <w:rFonts w:asciiTheme="majorHAnsi" w:hAnsiTheme="majorHAnsi"/>
          <w:sz w:val="16"/>
          <w:szCs w:val="16"/>
        </w:rPr>
        <w:t>24 de abril de 2017.</w:t>
      </w:r>
    </w:p>
  </w:footnote>
  <w:footnote w:id="102">
    <w:p w14:paraId="3B5CA741" w14:textId="77777777" w:rsidR="006B16F4" w:rsidRPr="005D3C86" w:rsidRDefault="006B16F4" w:rsidP="00DB38BC">
      <w:pPr>
        <w:tabs>
          <w:tab w:val="left" w:pos="540"/>
        </w:tabs>
        <w:contextualSpacing/>
        <w:jc w:val="both"/>
        <w:rPr>
          <w:rFonts w:asciiTheme="majorHAnsi" w:hAnsiTheme="majorHAnsi"/>
          <w:sz w:val="16"/>
          <w:szCs w:val="16"/>
        </w:rPr>
      </w:pPr>
      <w:r w:rsidRPr="005D3C86">
        <w:rPr>
          <w:rStyle w:val="FootnoteReference"/>
          <w:rFonts w:asciiTheme="majorHAnsi" w:hAnsiTheme="majorHAnsi"/>
          <w:sz w:val="16"/>
          <w:szCs w:val="16"/>
        </w:rPr>
        <w:footnoteRef/>
      </w:r>
      <w:r w:rsidRPr="005D3C86">
        <w:rPr>
          <w:rFonts w:asciiTheme="majorHAnsi" w:hAnsiTheme="majorHAnsi"/>
          <w:sz w:val="16"/>
          <w:szCs w:val="16"/>
        </w:rPr>
        <w:t xml:space="preserve"> Misión Permanente de la República Bolivariana de Venezuela ante la OEA, Comunicación II.2.E8.D-OEA.16-399, de 09 de junio de 2016.</w:t>
      </w:r>
    </w:p>
  </w:footnote>
  <w:footnote w:id="103">
    <w:p w14:paraId="6C8945BF" w14:textId="77777777" w:rsidR="006B16F4" w:rsidRPr="005D3C86" w:rsidRDefault="006B16F4" w:rsidP="00DB38BC">
      <w:pPr>
        <w:pStyle w:val="FootnoteText"/>
        <w:jc w:val="both"/>
        <w:rPr>
          <w:szCs w:val="16"/>
          <w:lang w:val="es-ES"/>
        </w:rPr>
      </w:pPr>
      <w:r w:rsidRPr="005D3C86">
        <w:rPr>
          <w:rStyle w:val="FootnoteReference"/>
          <w:szCs w:val="16"/>
        </w:rPr>
        <w:footnoteRef/>
      </w:r>
      <w:r w:rsidRPr="005D3C86">
        <w:rPr>
          <w:szCs w:val="16"/>
          <w:lang w:val="es-ES"/>
        </w:rPr>
        <w:t xml:space="preserve"> El artículo 4 de la Convención Americana establece: 1. Toda persona tiene derecho a que se respete su vida. (…)  Nadie puede ser privado de la vida arbitrariamente. (…)</w:t>
      </w:r>
    </w:p>
  </w:footnote>
  <w:footnote w:id="104">
    <w:p w14:paraId="6945A81F" w14:textId="0A60020F" w:rsidR="006B16F4" w:rsidRPr="005D3C86" w:rsidRDefault="006B16F4" w:rsidP="00DB38BC">
      <w:pPr>
        <w:pStyle w:val="FootnoteText"/>
        <w:jc w:val="both"/>
        <w:rPr>
          <w:szCs w:val="16"/>
          <w:lang w:val="es-ES_tradnl"/>
        </w:rPr>
      </w:pPr>
      <w:r w:rsidRPr="005D3C86">
        <w:rPr>
          <w:rStyle w:val="FootnoteReference"/>
          <w:szCs w:val="16"/>
        </w:rPr>
        <w:footnoteRef/>
      </w:r>
      <w:r w:rsidRPr="005D3C86">
        <w:rPr>
          <w:szCs w:val="16"/>
          <w:lang w:val="es-ES"/>
        </w:rPr>
        <w:t xml:space="preserve"> El artículo 5 de la Convención Americana establece: </w:t>
      </w:r>
      <w:r w:rsidRPr="005D3C86">
        <w:rPr>
          <w:szCs w:val="16"/>
          <w:lang w:val="es-ES_tradnl"/>
        </w:rPr>
        <w:t>1. Toda persona tiene derecho a que se respete su integridad física, psíquica y moral.</w:t>
      </w:r>
    </w:p>
  </w:footnote>
  <w:footnote w:id="105">
    <w:p w14:paraId="304F914B" w14:textId="77777777" w:rsidR="006B16F4" w:rsidRPr="00DB38BC" w:rsidRDefault="006B16F4" w:rsidP="00DB38BC">
      <w:pPr>
        <w:pStyle w:val="FootnoteText"/>
        <w:jc w:val="both"/>
        <w:rPr>
          <w:lang w:val="es-ES"/>
        </w:rPr>
      </w:pPr>
      <w:r>
        <w:rPr>
          <w:rStyle w:val="FootnoteReference"/>
        </w:rPr>
        <w:footnoteRef/>
      </w:r>
      <w:r w:rsidRPr="00E779C8">
        <w:rPr>
          <w:lang w:val="es-ES"/>
        </w:rPr>
        <w:t xml:space="preserve"> </w:t>
      </w:r>
      <w:r>
        <w:rPr>
          <w:lang w:val="es-ES"/>
        </w:rPr>
        <w:t xml:space="preserve">El artículo 1.1 de la Convención americana establece: </w:t>
      </w:r>
      <w:r w:rsidRPr="00DB38BC">
        <w:rPr>
          <w:lang w:val="es-CO"/>
        </w:rPr>
        <w:t>Los Estados Partes en esta Convención se comprometen a respetar los derechos y libertades reconocidos en ella y a garantizar su libre y pleno ejercicio a toda persona que esté sujeta a su jurisdicción,</w:t>
      </w:r>
    </w:p>
  </w:footnote>
  <w:footnote w:id="106">
    <w:p w14:paraId="7785B087" w14:textId="77777777" w:rsidR="006B16F4" w:rsidRPr="00DB38BC" w:rsidRDefault="006B16F4" w:rsidP="00DB38BC">
      <w:pPr>
        <w:pStyle w:val="FootnoteText"/>
        <w:jc w:val="both"/>
        <w:rPr>
          <w:lang w:val="es-ES"/>
        </w:rPr>
      </w:pPr>
      <w:r>
        <w:rPr>
          <w:rStyle w:val="FootnoteReference"/>
        </w:rPr>
        <w:footnoteRef/>
      </w:r>
      <w:r w:rsidRPr="00E779C8">
        <w:rPr>
          <w:lang w:val="es-ES"/>
        </w:rPr>
        <w:t xml:space="preserve"> </w:t>
      </w:r>
      <w:r>
        <w:rPr>
          <w:lang w:val="es-ES"/>
        </w:rPr>
        <w:t xml:space="preserve">El artículo 1 de la CIPST establece: </w:t>
      </w:r>
      <w:r w:rsidRPr="00DB38BC">
        <w:rPr>
          <w:lang w:val="es-CO"/>
        </w:rPr>
        <w:t>os Estados partes se obligan a prevenir y a sancionar la tortura en los términos de la presente Convención.</w:t>
      </w:r>
    </w:p>
  </w:footnote>
  <w:footnote w:id="107">
    <w:p w14:paraId="5ED2136B" w14:textId="77777777" w:rsidR="006B16F4" w:rsidRPr="00DB38BC" w:rsidRDefault="006B16F4" w:rsidP="00DB38BC">
      <w:pPr>
        <w:pStyle w:val="FootnoteText"/>
        <w:jc w:val="both"/>
        <w:rPr>
          <w:lang w:val="es-ES"/>
        </w:rPr>
      </w:pPr>
      <w:r>
        <w:rPr>
          <w:rStyle w:val="FootnoteReference"/>
        </w:rPr>
        <w:footnoteRef/>
      </w:r>
      <w:r w:rsidRPr="00E779C8">
        <w:rPr>
          <w:lang w:val="es-ES"/>
        </w:rPr>
        <w:t xml:space="preserve"> </w:t>
      </w:r>
      <w:r>
        <w:rPr>
          <w:lang w:val="es-ES"/>
        </w:rPr>
        <w:t xml:space="preserve">El artículo 6 de la CIPST establece: </w:t>
      </w:r>
      <w:r w:rsidRPr="00DB38BC">
        <w:rPr>
          <w:lang w:val="es-ES"/>
        </w:rPr>
        <w:t>De conformidad con lo dispuesto en el artículo 1, los Estados partes tomarán medidas efectivas para prevenir y sancionar la tortura en el ámbito de su jurisdicción.</w:t>
      </w:r>
      <w:r>
        <w:rPr>
          <w:lang w:val="es-ES"/>
        </w:rPr>
        <w:t xml:space="preserve"> </w:t>
      </w:r>
      <w:r w:rsidRPr="00DB38BC">
        <w:rPr>
          <w:lang w:val="es-ES"/>
        </w:rPr>
        <w:t>Los Estados partes se asegurarán de que todos los actos de tortura y los intentos de cometer tales actos constituyan delitos conforme a su derecho penal, estableciendo para castigarlos sanciones severas que tengan en cuenta su gravedad.</w:t>
      </w:r>
      <w:r>
        <w:rPr>
          <w:lang w:val="es-ES"/>
        </w:rPr>
        <w:t xml:space="preserve"> </w:t>
      </w:r>
      <w:r w:rsidRPr="00DB38BC">
        <w:rPr>
          <w:lang w:val="es-ES"/>
        </w:rPr>
        <w:t>Igualmente, los Estados partes tomarán medidas efectivas para prevenir y sancionar, además, otros tratos o penas crueles, inhumanos o degradantes en el ámbito de su jurisdicción.</w:t>
      </w:r>
    </w:p>
  </w:footnote>
  <w:footnote w:id="108">
    <w:p w14:paraId="3C3FCAC2" w14:textId="77777777" w:rsidR="006B16F4" w:rsidRPr="00DB38BC" w:rsidRDefault="006B16F4" w:rsidP="00DB38BC">
      <w:pPr>
        <w:pStyle w:val="FootnoteText"/>
        <w:jc w:val="both"/>
        <w:rPr>
          <w:lang w:val="es-ES"/>
        </w:rPr>
      </w:pPr>
      <w:r>
        <w:rPr>
          <w:rStyle w:val="FootnoteReference"/>
        </w:rPr>
        <w:footnoteRef/>
      </w:r>
      <w:r w:rsidRPr="00E779C8">
        <w:rPr>
          <w:lang w:val="es-ES"/>
        </w:rPr>
        <w:t xml:space="preserve"> </w:t>
      </w:r>
      <w:r>
        <w:rPr>
          <w:lang w:val="es-ES"/>
        </w:rPr>
        <w:t xml:space="preserve">El artículo 8 de la CIPST establece: </w:t>
      </w:r>
      <w:r w:rsidRPr="00DB38BC">
        <w:rPr>
          <w:lang w:val="es-ES"/>
        </w:rPr>
        <w:t>Los Estados partes garantizarán a toda persona que denuncie haber sido sometida a tortura en el ámbito de su jurisdicción el derecho a que el caso sea examinado imparcialmente.</w:t>
      </w:r>
      <w:r>
        <w:rPr>
          <w:lang w:val="es-ES"/>
        </w:rPr>
        <w:t xml:space="preserve"> </w:t>
      </w:r>
      <w:r w:rsidRPr="00DB38BC">
        <w:rPr>
          <w:lang w:val="es-ES"/>
        </w:rPr>
        <w:t>Asimismo, cuando exista denuncia o razón fundada para creer que se ha cometido un acto de tortura en el ámbito de su jurisdicción, los Estados partes garantizarán que sus respectivas autoridades procederán de oficio y de inmediato a realizar una investigación sobre el caso y a iniciar, cuando corresponda, el respectivo proceso penal.</w:t>
      </w:r>
      <w:r>
        <w:rPr>
          <w:lang w:val="es-ES"/>
        </w:rPr>
        <w:t xml:space="preserve"> </w:t>
      </w:r>
      <w:r w:rsidRPr="00DB38BC">
        <w:rPr>
          <w:lang w:val="es-ES"/>
        </w:rPr>
        <w:t>Una vez agotado el ordenamiento jurídico interno del respectivo Estado y los recursos que éste prevé, el caso podrá ser sometido a instancias internacionales cuya competencia haya sido aceptada por ese Estado.</w:t>
      </w:r>
    </w:p>
  </w:footnote>
  <w:footnote w:id="109">
    <w:p w14:paraId="76525AFA" w14:textId="42081D89" w:rsidR="006B16F4" w:rsidRPr="009272EF" w:rsidRDefault="006B16F4" w:rsidP="00DB38BC">
      <w:pPr>
        <w:pStyle w:val="FootnoteText"/>
        <w:jc w:val="both"/>
        <w:rPr>
          <w:szCs w:val="16"/>
          <w:lang w:val="es-CO"/>
        </w:rPr>
      </w:pPr>
      <w:r w:rsidRPr="00C8292F">
        <w:rPr>
          <w:rStyle w:val="FootnoteReference"/>
          <w:szCs w:val="16"/>
          <w:lang w:val="es-ES"/>
        </w:rPr>
        <w:footnoteRef/>
      </w:r>
      <w:r>
        <w:rPr>
          <w:szCs w:val="16"/>
          <w:lang w:val="es-ES"/>
        </w:rPr>
        <w:t xml:space="preserve"> CIDH. </w:t>
      </w:r>
      <w:r w:rsidRPr="00C8292F">
        <w:rPr>
          <w:szCs w:val="16"/>
          <w:lang w:val="es-ES"/>
        </w:rPr>
        <w:t xml:space="preserve">Informe No. 25/02, Caso 11.763, Masacre de Plan de Sánchez, Guatemala Caso 11.763, del 28 de febrero de 2002, párr. </w:t>
      </w:r>
      <w:r w:rsidRPr="009272EF">
        <w:rPr>
          <w:szCs w:val="16"/>
          <w:lang w:val="es-CO"/>
        </w:rPr>
        <w:t xml:space="preserve">114. </w:t>
      </w:r>
    </w:p>
  </w:footnote>
  <w:footnote w:id="110">
    <w:p w14:paraId="5079153E" w14:textId="6446EAC6" w:rsidR="006B16F4" w:rsidRPr="00D0385C" w:rsidRDefault="006B16F4" w:rsidP="00A67632">
      <w:pPr>
        <w:pStyle w:val="FootnoteText"/>
        <w:jc w:val="both"/>
        <w:rPr>
          <w:color w:val="auto"/>
          <w:szCs w:val="16"/>
          <w:lang w:val="es-ES"/>
        </w:rPr>
      </w:pPr>
      <w:r w:rsidRPr="00D0385C">
        <w:rPr>
          <w:rStyle w:val="FootnoteReference"/>
          <w:color w:val="auto"/>
          <w:szCs w:val="16"/>
        </w:rPr>
        <w:footnoteRef/>
      </w:r>
      <w:r w:rsidRPr="00D0385C">
        <w:rPr>
          <w:color w:val="auto"/>
          <w:szCs w:val="16"/>
          <w:lang w:val="es-ES"/>
        </w:rPr>
        <w:t xml:space="preserve"> CIDH. Informe No. 120/10, Caso 12.605, Fondo, Joe Luis Castillo González, Venezuela, 22 de octubre de 2010, párr. 109.</w:t>
      </w:r>
    </w:p>
  </w:footnote>
  <w:footnote w:id="111">
    <w:p w14:paraId="5030BF11" w14:textId="0DA7DD5E" w:rsidR="006B16F4" w:rsidRPr="00D0385C" w:rsidRDefault="006B16F4">
      <w:pPr>
        <w:pStyle w:val="FootnoteText"/>
        <w:rPr>
          <w:lang w:val="es-ES"/>
        </w:rPr>
      </w:pPr>
      <w:r w:rsidRPr="00D0385C">
        <w:rPr>
          <w:rStyle w:val="FootnoteReference"/>
        </w:rPr>
        <w:footnoteRef/>
      </w:r>
      <w:r w:rsidRPr="00D0385C">
        <w:rPr>
          <w:lang w:val="es-ES"/>
        </w:rPr>
        <w:t xml:space="preserve"> CIDH. Informe No. 100/17. Fondo. Juan Francisco </w:t>
      </w:r>
      <w:proofErr w:type="spellStart"/>
      <w:r w:rsidRPr="00D0385C">
        <w:rPr>
          <w:lang w:val="es-ES"/>
        </w:rPr>
        <w:t>Arrom</w:t>
      </w:r>
      <w:proofErr w:type="spellEnd"/>
      <w:r w:rsidRPr="00D0385C">
        <w:rPr>
          <w:lang w:val="es-ES"/>
        </w:rPr>
        <w:t xml:space="preserve"> </w:t>
      </w:r>
      <w:proofErr w:type="spellStart"/>
      <w:r w:rsidRPr="00D0385C">
        <w:rPr>
          <w:lang w:val="es-ES"/>
        </w:rPr>
        <w:t>Shuhurt</w:t>
      </w:r>
      <w:proofErr w:type="spellEnd"/>
      <w:r w:rsidRPr="00D0385C">
        <w:rPr>
          <w:lang w:val="es-ES"/>
        </w:rPr>
        <w:t xml:space="preserve"> y otros. Paraguay. 5 de septiembre de 2017. Párr. 189 y ss.</w:t>
      </w:r>
    </w:p>
  </w:footnote>
  <w:footnote w:id="112">
    <w:p w14:paraId="791EDD51" w14:textId="402CF667" w:rsidR="006B16F4" w:rsidRPr="00D0385C" w:rsidRDefault="006B16F4" w:rsidP="00A67632">
      <w:pPr>
        <w:pStyle w:val="FootnoteText"/>
        <w:jc w:val="both"/>
        <w:rPr>
          <w:color w:val="auto"/>
          <w:szCs w:val="16"/>
          <w:lang w:val="es-ES"/>
        </w:rPr>
      </w:pPr>
      <w:r w:rsidRPr="00D0385C">
        <w:rPr>
          <w:rStyle w:val="FootnoteReference"/>
          <w:color w:val="auto"/>
          <w:szCs w:val="16"/>
        </w:rPr>
        <w:footnoteRef/>
      </w:r>
      <w:r w:rsidRPr="00D0385C">
        <w:rPr>
          <w:color w:val="auto"/>
          <w:szCs w:val="16"/>
          <w:lang w:val="es-ES"/>
        </w:rPr>
        <w:t xml:space="preserve"> Corte IDH. </w:t>
      </w:r>
      <w:r w:rsidR="00747C92">
        <w:fldChar w:fldCharType="begin"/>
      </w:r>
      <w:r w:rsidR="00747C92" w:rsidRPr="00A34BBD">
        <w:rPr>
          <w:lang w:val="es-UY"/>
        </w:rPr>
        <w:instrText xml:space="preserve"> HYPERLINK "http://joomla.corteidh.or.cr:8080/joomla/es/casos-contenciosos/38-jurisprudencia/2120-corte-idh-caso-j-vs-peru-excepcion-preliminar-fondo-reparaciones-y-costas-sentencia-de-27-de-noviembre-de-2013-serie-c-no-275" </w:instrText>
      </w:r>
      <w:r w:rsidR="00747C92">
        <w:fldChar w:fldCharType="separate"/>
      </w:r>
      <w:r w:rsidRPr="00D0385C">
        <w:rPr>
          <w:rStyle w:val="Hyperlink"/>
          <w:color w:val="auto"/>
          <w:szCs w:val="16"/>
          <w:u w:val="none"/>
          <w:shd w:val="clear" w:color="auto" w:fill="FFFFFF"/>
          <w:lang w:val="es-CO"/>
        </w:rPr>
        <w:t>Caso J. Vs. Perú. Excepción Preliminar, Fondo, Reparaciones y Costas. Sentencia de 27 de noviembre de 2013. Serie C No. 275</w:t>
      </w:r>
      <w:r w:rsidR="00747C92">
        <w:rPr>
          <w:rStyle w:val="Hyperlink"/>
          <w:color w:val="auto"/>
          <w:szCs w:val="16"/>
          <w:u w:val="none"/>
          <w:shd w:val="clear" w:color="auto" w:fill="FFFFFF"/>
          <w:lang w:val="es-CO"/>
        </w:rPr>
        <w:fldChar w:fldCharType="end"/>
      </w:r>
      <w:r w:rsidRPr="00D0385C">
        <w:rPr>
          <w:color w:val="auto"/>
          <w:szCs w:val="16"/>
          <w:lang w:val="es-CO"/>
        </w:rPr>
        <w:t xml:space="preserve">, párr. </w:t>
      </w:r>
      <w:r w:rsidRPr="00D0385C">
        <w:rPr>
          <w:color w:val="auto"/>
          <w:szCs w:val="16"/>
          <w:lang w:val="es-ES"/>
        </w:rPr>
        <w:t>353.</w:t>
      </w:r>
    </w:p>
  </w:footnote>
  <w:footnote w:id="113">
    <w:p w14:paraId="301D6D14" w14:textId="7EA30012" w:rsidR="006B16F4" w:rsidRPr="00A34BBD" w:rsidRDefault="006B16F4" w:rsidP="00CF0CAB">
      <w:pPr>
        <w:pStyle w:val="FootnoteText"/>
        <w:jc w:val="both"/>
        <w:rPr>
          <w:color w:val="auto"/>
          <w:szCs w:val="16"/>
          <w:lang w:val="es-UY"/>
        </w:rPr>
      </w:pPr>
      <w:r w:rsidRPr="00D0385C">
        <w:rPr>
          <w:rStyle w:val="FootnoteReference"/>
          <w:color w:val="auto"/>
          <w:szCs w:val="16"/>
        </w:rPr>
        <w:footnoteRef/>
      </w:r>
      <w:r w:rsidRPr="00D0385C">
        <w:rPr>
          <w:color w:val="auto"/>
          <w:szCs w:val="16"/>
          <w:lang w:val="es-ES"/>
        </w:rPr>
        <w:t xml:space="preserve"> Corte IDH. </w:t>
      </w:r>
      <w:r w:rsidR="00747C92">
        <w:fldChar w:fldCharType="begin"/>
      </w:r>
      <w:r w:rsidR="00747C92" w:rsidRPr="00A34BBD">
        <w:rPr>
          <w:lang w:val="es-UY"/>
        </w:rPr>
        <w:instrText xml:space="preserve"> HYPERLINK "http://joomla.corteidh.or.cr:8080/joomla/es/casos-contenciosos/38-jurisprudencia/2120-corte-idh-caso-j-vs-peru-excepcion-pr</w:instrText>
      </w:r>
      <w:r w:rsidR="00747C92" w:rsidRPr="00A34BBD">
        <w:rPr>
          <w:lang w:val="es-UY"/>
        </w:rPr>
        <w:instrText xml:space="preserve">eliminar-fondo-reparaciones-y-costas-sentencia-de-27-de-noviembre-de-2013-serie-c-no-275" </w:instrText>
      </w:r>
      <w:r w:rsidR="00747C92">
        <w:fldChar w:fldCharType="separate"/>
      </w:r>
      <w:r w:rsidRPr="00D0385C">
        <w:rPr>
          <w:rStyle w:val="Hyperlink"/>
          <w:color w:val="auto"/>
          <w:szCs w:val="16"/>
          <w:u w:val="none"/>
          <w:shd w:val="clear" w:color="auto" w:fill="FFFFFF"/>
          <w:lang w:val="es-ES"/>
        </w:rPr>
        <w:t xml:space="preserve">Caso J. Vs. Perú. Excepción Preliminar, Fondo, Reparaciones y Costas. Sentencia de 27 de noviembre de 2013. </w:t>
      </w:r>
      <w:r w:rsidRPr="00A34BBD">
        <w:rPr>
          <w:rStyle w:val="Hyperlink"/>
          <w:color w:val="auto"/>
          <w:szCs w:val="16"/>
          <w:u w:val="none"/>
          <w:shd w:val="clear" w:color="auto" w:fill="FFFFFF"/>
          <w:lang w:val="es-UY"/>
        </w:rPr>
        <w:t>Serie C No. 275</w:t>
      </w:r>
      <w:r w:rsidR="00747C92">
        <w:rPr>
          <w:rStyle w:val="Hyperlink"/>
          <w:color w:val="auto"/>
          <w:szCs w:val="16"/>
          <w:u w:val="none"/>
          <w:shd w:val="clear" w:color="auto" w:fill="FFFFFF"/>
          <w:lang w:val="pt-BR"/>
        </w:rPr>
        <w:fldChar w:fldCharType="end"/>
      </w:r>
      <w:r w:rsidRPr="00A34BBD">
        <w:rPr>
          <w:color w:val="auto"/>
          <w:szCs w:val="16"/>
          <w:lang w:val="es-UY"/>
        </w:rPr>
        <w:t>, párr. 354.</w:t>
      </w:r>
    </w:p>
  </w:footnote>
  <w:footnote w:id="114">
    <w:p w14:paraId="73EE6D75" w14:textId="469F44DF" w:rsidR="006B16F4" w:rsidRPr="00D0385C" w:rsidRDefault="006B16F4" w:rsidP="00CF0CAB">
      <w:pPr>
        <w:pStyle w:val="FootnoteText"/>
        <w:tabs>
          <w:tab w:val="left" w:pos="270"/>
        </w:tabs>
        <w:jc w:val="both"/>
        <w:rPr>
          <w:color w:val="auto"/>
          <w:szCs w:val="16"/>
          <w:lang w:val="es-ES_tradnl"/>
        </w:rPr>
      </w:pPr>
      <w:r w:rsidRPr="00D0385C">
        <w:rPr>
          <w:rStyle w:val="FootnoteReference"/>
        </w:rPr>
        <w:footnoteRef/>
      </w:r>
      <w:r w:rsidRPr="00A34BBD">
        <w:rPr>
          <w:lang w:val="es-UY"/>
        </w:rPr>
        <w:t xml:space="preserve"> </w:t>
      </w:r>
      <w:r w:rsidRPr="00A34BBD">
        <w:rPr>
          <w:lang w:val="es-UY"/>
        </w:rPr>
        <w:tab/>
      </w:r>
      <w:r w:rsidRPr="00A34BBD">
        <w:rPr>
          <w:color w:val="auto"/>
          <w:szCs w:val="16"/>
          <w:lang w:val="es-UY"/>
        </w:rPr>
        <w:t xml:space="preserve">Corte IDH. Caso Kawas Fernández Vs. </w:t>
      </w:r>
      <w:r w:rsidRPr="00D0385C">
        <w:rPr>
          <w:color w:val="auto"/>
          <w:szCs w:val="16"/>
          <w:lang w:val="es-CO"/>
        </w:rPr>
        <w:t xml:space="preserve">Honduras. Fondo, Reparaciones y Costas. </w:t>
      </w:r>
      <w:r w:rsidRPr="00D0385C">
        <w:rPr>
          <w:color w:val="auto"/>
          <w:szCs w:val="16"/>
          <w:lang w:val="es-ES"/>
        </w:rPr>
        <w:t>Sentencia de 3 de abril de 2009 Serie C No. 196, párr. 97.</w:t>
      </w:r>
    </w:p>
  </w:footnote>
  <w:footnote w:id="115">
    <w:p w14:paraId="1CEA0F80" w14:textId="77777777" w:rsidR="006B16F4" w:rsidRPr="00D0385C" w:rsidRDefault="006B16F4" w:rsidP="00212F6A">
      <w:pPr>
        <w:pStyle w:val="FootnoteText"/>
        <w:jc w:val="both"/>
        <w:rPr>
          <w:szCs w:val="16"/>
          <w:lang w:val="es-CO"/>
        </w:rPr>
      </w:pPr>
      <w:r w:rsidRPr="00D0385C">
        <w:rPr>
          <w:rStyle w:val="FootnoteReference"/>
          <w:szCs w:val="16"/>
        </w:rPr>
        <w:footnoteRef/>
      </w:r>
      <w:r w:rsidRPr="00D0385C">
        <w:rPr>
          <w:szCs w:val="16"/>
          <w:lang w:val="es-CO"/>
        </w:rPr>
        <w:t xml:space="preserve"> CIDH. Informe No. 11/10. Caso 12.488. </w:t>
      </w:r>
      <w:r w:rsidRPr="00D0385C">
        <w:rPr>
          <w:szCs w:val="16"/>
          <w:lang w:val="es-ES"/>
        </w:rPr>
        <w:t xml:space="preserve">Fondo. Miembros de la familia Barrios. </w:t>
      </w:r>
      <w:r w:rsidRPr="00D0385C">
        <w:rPr>
          <w:szCs w:val="16"/>
          <w:lang w:val="pt-BR"/>
        </w:rPr>
        <w:t xml:space="preserve">Venezuela. 16 de marzo de 2010, párr.167; CIDH. Informe 24/98. Joao Canuto de Oliveira. </w:t>
      </w:r>
      <w:r w:rsidRPr="00D0385C">
        <w:rPr>
          <w:szCs w:val="16"/>
          <w:lang w:val="es-CO"/>
        </w:rPr>
        <w:t>Brasil. 7 de abril de 1998. Párr. 53.</w:t>
      </w:r>
    </w:p>
  </w:footnote>
  <w:footnote w:id="116">
    <w:p w14:paraId="5A616DDA" w14:textId="77777777" w:rsidR="006B16F4" w:rsidRPr="00D0385C" w:rsidRDefault="006B16F4" w:rsidP="009C712C">
      <w:pPr>
        <w:pStyle w:val="FootnoteText"/>
        <w:tabs>
          <w:tab w:val="left" w:pos="720"/>
        </w:tabs>
        <w:jc w:val="both"/>
        <w:rPr>
          <w:szCs w:val="16"/>
          <w:lang w:val="es-ES_tradnl"/>
        </w:rPr>
      </w:pPr>
      <w:r w:rsidRPr="00D0385C">
        <w:rPr>
          <w:rStyle w:val="FootnoteReference"/>
          <w:szCs w:val="16"/>
          <w:lang w:val="es-ES_tradnl"/>
        </w:rPr>
        <w:footnoteRef/>
      </w:r>
      <w:r w:rsidRPr="00D0385C">
        <w:rPr>
          <w:szCs w:val="16"/>
          <w:lang w:val="es-CO"/>
        </w:rPr>
        <w:t xml:space="preserve"> </w:t>
      </w:r>
      <w:r w:rsidRPr="00D0385C">
        <w:rPr>
          <w:bCs/>
          <w:szCs w:val="16"/>
          <w:lang w:val="es-CO"/>
        </w:rPr>
        <w:t>Corte IDH. Caso Valle Jaramillo y otros Vs. Colombia. Fondo, Reparaciones y Costas. Sentencia de 27 de noviembre de 2008. Serie C No. 192, párr. 78</w:t>
      </w:r>
      <w:r w:rsidRPr="00D0385C">
        <w:rPr>
          <w:b/>
          <w:bCs/>
          <w:szCs w:val="16"/>
          <w:lang w:val="es-CO"/>
        </w:rPr>
        <w:t xml:space="preserve">; </w:t>
      </w:r>
      <w:r w:rsidRPr="00D0385C">
        <w:rPr>
          <w:szCs w:val="16"/>
          <w:lang w:val="es-ES_tradnl"/>
        </w:rPr>
        <w:t xml:space="preserve">Corte IDH. </w:t>
      </w:r>
      <w:r w:rsidRPr="00D0385C">
        <w:rPr>
          <w:iCs/>
          <w:szCs w:val="16"/>
          <w:lang w:val="es-ES_tradnl"/>
        </w:rPr>
        <w:t>Caso</w:t>
      </w:r>
      <w:r w:rsidRPr="00D0385C">
        <w:rPr>
          <w:szCs w:val="16"/>
          <w:lang w:val="es-ES_tradnl"/>
        </w:rPr>
        <w:t xml:space="preserve"> </w:t>
      </w:r>
      <w:r w:rsidRPr="00D0385C">
        <w:rPr>
          <w:iCs/>
          <w:szCs w:val="16"/>
          <w:lang w:val="es-ES_tradnl"/>
        </w:rPr>
        <w:t>de la Masacre de Pueblo Bello</w:t>
      </w:r>
      <w:r w:rsidRPr="00D0385C">
        <w:rPr>
          <w:szCs w:val="16"/>
          <w:lang w:val="es-ES_tradnl"/>
        </w:rPr>
        <w:t>. Párr. 117.</w:t>
      </w:r>
    </w:p>
  </w:footnote>
  <w:footnote w:id="117">
    <w:p w14:paraId="66C0218E" w14:textId="77777777" w:rsidR="006B16F4" w:rsidRPr="00D0385C" w:rsidRDefault="006B16F4" w:rsidP="00185AFE">
      <w:pPr>
        <w:jc w:val="both"/>
        <w:rPr>
          <w:rFonts w:ascii="Cambria" w:eastAsia="Times New Roman" w:hAnsi="Cambria"/>
          <w:sz w:val="16"/>
          <w:szCs w:val="16"/>
        </w:rPr>
      </w:pPr>
      <w:r w:rsidRPr="00D0385C">
        <w:rPr>
          <w:rStyle w:val="FootnoteReference"/>
          <w:rFonts w:ascii="Cambria" w:hAnsi="Cambria"/>
          <w:sz w:val="16"/>
          <w:szCs w:val="16"/>
          <w:lang w:val="es-ES_tradnl"/>
        </w:rPr>
        <w:footnoteRef/>
      </w:r>
      <w:r w:rsidRPr="00D0385C">
        <w:rPr>
          <w:rFonts w:ascii="Cambria" w:hAnsi="Cambria" w:cs="Arial"/>
          <w:sz w:val="16"/>
          <w:szCs w:val="16"/>
          <w:lang w:val="es-ES_tradnl"/>
        </w:rPr>
        <w:t xml:space="preserve">La jurisprudencia de la Corte Europea respecto de los elementos señalando en el deber de prevención ha sido retomada por la Corte Interamericana en varias de sus sentencias. En este sentido ver: </w:t>
      </w:r>
      <w:r w:rsidRPr="00D0385C">
        <w:rPr>
          <w:rFonts w:ascii="Cambria" w:eastAsia="Times New Roman" w:hAnsi="Cambria"/>
          <w:bCs/>
          <w:color w:val="000000"/>
          <w:sz w:val="16"/>
          <w:szCs w:val="16"/>
          <w:shd w:val="clear" w:color="auto" w:fill="FFFFFF"/>
          <w:lang w:val="es-ES_tradnl"/>
        </w:rPr>
        <w:t xml:space="preserve">Corte IDH. Caso de la Masacre de Pueblo Bello Vs. Colombia. Sentencia de 31 de enero de 2006. Serie C No. 140, párr. 124; Corte IDH. Caso González y otras (“Campo Algodonero”) Vs. México. Excepción Preliminar, Fondo, Reparaciones y Costas. Sentencia de 16 de noviembre de 2009. Serie C No.205, párr. 284; Corte IDH. Caso Luna López Vs. Honduras. Fondo, Reparaciones y Costas. </w:t>
      </w:r>
      <w:r w:rsidRPr="00D0385C">
        <w:rPr>
          <w:rFonts w:ascii="Cambria" w:eastAsia="Times New Roman" w:hAnsi="Cambria"/>
          <w:bCs/>
          <w:color w:val="000000"/>
          <w:sz w:val="16"/>
          <w:szCs w:val="16"/>
          <w:shd w:val="clear" w:color="auto" w:fill="FFFFFF"/>
        </w:rPr>
        <w:t>Sentencia de 10 de octubre de 2013. Serie C No. 269, párr. 124.</w:t>
      </w:r>
    </w:p>
  </w:footnote>
  <w:footnote w:id="118">
    <w:p w14:paraId="73D42ADC" w14:textId="77777777" w:rsidR="006B16F4" w:rsidRPr="00D0385C" w:rsidRDefault="006B16F4" w:rsidP="005D3C86">
      <w:pPr>
        <w:pStyle w:val="FootnoteText"/>
        <w:jc w:val="both"/>
        <w:rPr>
          <w:szCs w:val="16"/>
          <w:lang w:val="es-ES_tradnl"/>
        </w:rPr>
      </w:pPr>
      <w:r w:rsidRPr="00D0385C">
        <w:rPr>
          <w:rStyle w:val="FootnoteReference"/>
          <w:szCs w:val="16"/>
        </w:rPr>
        <w:footnoteRef/>
      </w:r>
      <w:r w:rsidRPr="00D0385C">
        <w:rPr>
          <w:szCs w:val="16"/>
          <w:lang w:val="es-CO"/>
        </w:rPr>
        <w:t xml:space="preserve"> Corte IDH. </w:t>
      </w:r>
      <w:r w:rsidRPr="00D0385C">
        <w:rPr>
          <w:szCs w:val="16"/>
          <w:lang w:val="es-ES"/>
        </w:rPr>
        <w:t xml:space="preserve">Caso Cantoral </w:t>
      </w:r>
      <w:proofErr w:type="spellStart"/>
      <w:r w:rsidRPr="00D0385C">
        <w:rPr>
          <w:szCs w:val="16"/>
          <w:lang w:val="es-ES"/>
        </w:rPr>
        <w:t>Huamaní</w:t>
      </w:r>
      <w:proofErr w:type="spellEnd"/>
      <w:r w:rsidRPr="00D0385C">
        <w:rPr>
          <w:szCs w:val="16"/>
          <w:lang w:val="es-ES"/>
        </w:rPr>
        <w:t xml:space="preserve"> y García Santa Cruz. Excepción preliminar, fondo, reparaciones y costas. Sentencia de 10 de julio de 2007. </w:t>
      </w:r>
      <w:r w:rsidRPr="00D0385C">
        <w:rPr>
          <w:bCs/>
          <w:szCs w:val="16"/>
          <w:lang w:val="es-ES_tradnl"/>
        </w:rPr>
        <w:t>Serie C No. 167.</w:t>
      </w:r>
      <w:r w:rsidRPr="00D0385C">
        <w:rPr>
          <w:szCs w:val="16"/>
          <w:lang w:val="es-ES_tradnl"/>
        </w:rPr>
        <w:t xml:space="preserve"> Párr. 99. </w:t>
      </w:r>
    </w:p>
  </w:footnote>
  <w:footnote w:id="119">
    <w:p w14:paraId="2D7D37CE" w14:textId="77777777" w:rsidR="006B16F4" w:rsidRPr="00D0385C" w:rsidRDefault="006B16F4">
      <w:pPr>
        <w:pStyle w:val="FootnoteText"/>
        <w:rPr>
          <w:lang w:val="es-ES"/>
        </w:rPr>
      </w:pPr>
      <w:r w:rsidRPr="00D0385C">
        <w:rPr>
          <w:rStyle w:val="FootnoteReference"/>
        </w:rPr>
        <w:footnoteRef/>
      </w:r>
      <w:r w:rsidRPr="00D0385C">
        <w:rPr>
          <w:lang w:val="es-ES"/>
        </w:rPr>
        <w:t xml:space="preserve"> CIDH. Informe No. 63/01. Caso 11.710. Carlos Manuel Prada González y Evelio Bolaño Castro. Colombia. 6 de abril de 2001, párr. 34.</w:t>
      </w:r>
    </w:p>
  </w:footnote>
  <w:footnote w:id="120">
    <w:p w14:paraId="37D2934F" w14:textId="77777777" w:rsidR="006B16F4" w:rsidRPr="00D0385C" w:rsidRDefault="006B16F4" w:rsidP="005D3C86">
      <w:pPr>
        <w:pStyle w:val="FootnoteText"/>
        <w:jc w:val="both"/>
        <w:rPr>
          <w:szCs w:val="16"/>
          <w:lang w:val="es-US"/>
        </w:rPr>
      </w:pPr>
      <w:r w:rsidRPr="00D0385C">
        <w:rPr>
          <w:rStyle w:val="FootnoteReference"/>
          <w:szCs w:val="16"/>
        </w:rPr>
        <w:footnoteRef/>
      </w:r>
      <w:r w:rsidRPr="00D0385C">
        <w:rPr>
          <w:szCs w:val="16"/>
          <w:lang w:val="es-US"/>
        </w:rPr>
        <w:t xml:space="preserve"> El artículo 8 de la Convención Americana consagra en lo pertinente: </w:t>
      </w:r>
      <w:r w:rsidRPr="00D0385C">
        <w:rPr>
          <w:szCs w:val="16"/>
          <w:lang w:val="es-US" w:bidi="en-US"/>
        </w:rPr>
        <w:t>1.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r w:rsidRPr="00D0385C">
        <w:rPr>
          <w:szCs w:val="16"/>
          <w:lang w:val="es-US"/>
        </w:rPr>
        <w:t xml:space="preserve"> </w:t>
      </w:r>
    </w:p>
  </w:footnote>
  <w:footnote w:id="121">
    <w:p w14:paraId="2469FD64" w14:textId="77777777" w:rsidR="006B16F4" w:rsidRPr="00D0385C" w:rsidRDefault="006B16F4" w:rsidP="005D3C86">
      <w:pPr>
        <w:pStyle w:val="FootnoteText"/>
        <w:jc w:val="both"/>
        <w:rPr>
          <w:szCs w:val="16"/>
          <w:lang w:val="es-ES"/>
        </w:rPr>
      </w:pPr>
      <w:r w:rsidRPr="00D0385C">
        <w:rPr>
          <w:rStyle w:val="FootnoteReference"/>
          <w:szCs w:val="16"/>
        </w:rPr>
        <w:footnoteRef/>
      </w:r>
      <w:r w:rsidRPr="00D0385C">
        <w:rPr>
          <w:szCs w:val="16"/>
          <w:lang w:val="es-ES"/>
        </w:rPr>
        <w:t xml:space="preserve"> El artículo 25 de la Convención Americana señala en lo pertinente que: 1. 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p>
  </w:footnote>
  <w:footnote w:id="122">
    <w:p w14:paraId="112AA7F1" w14:textId="4889A324" w:rsidR="006B16F4" w:rsidRPr="00D0385C" w:rsidRDefault="006B16F4" w:rsidP="005D3C86">
      <w:pPr>
        <w:pStyle w:val="FootnoteText"/>
        <w:jc w:val="both"/>
        <w:rPr>
          <w:szCs w:val="16"/>
          <w:lang w:val="es-CO"/>
        </w:rPr>
      </w:pPr>
      <w:r w:rsidRPr="00D0385C">
        <w:rPr>
          <w:rStyle w:val="FootnoteReference"/>
          <w:szCs w:val="16"/>
        </w:rPr>
        <w:footnoteRef/>
      </w:r>
      <w:r w:rsidRPr="00D0385C">
        <w:rPr>
          <w:rStyle w:val="FootnoteReference"/>
          <w:szCs w:val="16"/>
          <w:lang w:val="es-US"/>
        </w:rPr>
        <w:t xml:space="preserve"> </w:t>
      </w:r>
      <w:r w:rsidRPr="00D0385C">
        <w:rPr>
          <w:szCs w:val="16"/>
          <w:lang w:val="es-US"/>
        </w:rPr>
        <w:t>CIDH</w:t>
      </w:r>
      <w:r>
        <w:rPr>
          <w:szCs w:val="16"/>
          <w:lang w:val="es-US"/>
        </w:rPr>
        <w:t xml:space="preserve">. </w:t>
      </w:r>
      <w:r w:rsidRPr="00D0385C">
        <w:rPr>
          <w:szCs w:val="16"/>
          <w:lang w:val="es-US"/>
        </w:rPr>
        <w:t xml:space="preserve">Informe No. 41/15, Casos 12.335, 12. 336, 12. 757, 12.711. Fondo. Gustavo Giraldo Villamizar Durán y otros. Colombia. 28 de julio de 2015, párr. 195; y </w:t>
      </w:r>
      <w:r w:rsidRPr="00D0385C">
        <w:rPr>
          <w:szCs w:val="16"/>
          <w:lang w:val="es-CO"/>
        </w:rPr>
        <w:t>Corte IDH. Caso de la Masacre de Mapiripán Vs. Colombia. Sentencia de 15 de septiembre de 2005. Serie C No. 122, párr. 219.</w:t>
      </w:r>
    </w:p>
  </w:footnote>
  <w:footnote w:id="123">
    <w:p w14:paraId="2C798E63" w14:textId="77777777" w:rsidR="006B16F4" w:rsidRPr="00D0385C" w:rsidRDefault="006B16F4" w:rsidP="005D3C86">
      <w:pPr>
        <w:pStyle w:val="FootnoteText"/>
        <w:jc w:val="both"/>
        <w:rPr>
          <w:szCs w:val="16"/>
          <w:lang w:val="es-CO"/>
        </w:rPr>
      </w:pPr>
      <w:r w:rsidRPr="00D0385C">
        <w:rPr>
          <w:rStyle w:val="FootnoteReference"/>
          <w:szCs w:val="16"/>
        </w:rPr>
        <w:footnoteRef/>
      </w:r>
      <w:r w:rsidRPr="00D0385C">
        <w:rPr>
          <w:rStyle w:val="FootnoteReference"/>
          <w:szCs w:val="16"/>
          <w:lang w:val="es-ES"/>
        </w:rPr>
        <w:t xml:space="preserve"> </w:t>
      </w:r>
      <w:r w:rsidRPr="00D0385C">
        <w:rPr>
          <w:szCs w:val="16"/>
          <w:lang w:val="es-CO"/>
        </w:rPr>
        <w:t>Corte IDH. Caso Mendoza y otros Vs. Argentina. Excepciones Preliminares, Fondo y Reparaciones. Sentencia de 14 de mayo de 2013. Serie C No. 260. Párr. 218. Ver también: Cfr. Caso Velásquez Rodríguez Vs. Honduras. Fondo, párr. 177, y Caso Masacre de Santo Domingo Vs. Colombia, párr. 157.</w:t>
      </w:r>
    </w:p>
  </w:footnote>
  <w:footnote w:id="124">
    <w:p w14:paraId="4E582A88" w14:textId="77777777" w:rsidR="006B16F4" w:rsidRPr="00D0385C" w:rsidRDefault="006B16F4" w:rsidP="005D3C86">
      <w:pPr>
        <w:pStyle w:val="FootnoteText"/>
        <w:jc w:val="both"/>
        <w:rPr>
          <w:szCs w:val="16"/>
          <w:lang w:val="es-CO"/>
        </w:rPr>
      </w:pPr>
      <w:r w:rsidRPr="00D0385C">
        <w:rPr>
          <w:rStyle w:val="FootnoteReference"/>
          <w:szCs w:val="16"/>
        </w:rPr>
        <w:footnoteRef/>
      </w:r>
      <w:r w:rsidRPr="00D0385C">
        <w:rPr>
          <w:rStyle w:val="FootnoteReference"/>
          <w:szCs w:val="16"/>
          <w:lang w:val="es-ES"/>
        </w:rPr>
        <w:t xml:space="preserve"> </w:t>
      </w:r>
      <w:r w:rsidRPr="00D0385C">
        <w:rPr>
          <w:szCs w:val="16"/>
          <w:lang w:val="es-CO"/>
        </w:rPr>
        <w:t>Corte IDH. Velásquez Rodríguez Vs. Honduras. Fondo. Sentencia del 29 de julio de 1988. Serie C, No. 6, párr. 177.</w:t>
      </w:r>
    </w:p>
  </w:footnote>
  <w:footnote w:id="125">
    <w:p w14:paraId="27647096" w14:textId="0636EA7E" w:rsidR="006B16F4" w:rsidRPr="005D3C86" w:rsidRDefault="006B16F4" w:rsidP="005D3C86">
      <w:pPr>
        <w:pStyle w:val="FootnoteText"/>
        <w:jc w:val="both"/>
        <w:rPr>
          <w:szCs w:val="16"/>
          <w:lang w:val="es-CO"/>
        </w:rPr>
      </w:pPr>
      <w:r w:rsidRPr="00D0385C">
        <w:rPr>
          <w:rStyle w:val="FootnoteReference"/>
          <w:szCs w:val="16"/>
        </w:rPr>
        <w:footnoteRef/>
      </w:r>
      <w:r w:rsidRPr="00D0385C">
        <w:rPr>
          <w:rStyle w:val="FootnoteReference"/>
          <w:szCs w:val="16"/>
          <w:lang w:val="es-ES"/>
        </w:rPr>
        <w:t xml:space="preserve"> </w:t>
      </w:r>
      <w:r w:rsidRPr="00D0385C">
        <w:rPr>
          <w:rStyle w:val="FootnoteTextChar"/>
          <w:szCs w:val="16"/>
          <w:lang w:val="es-CO"/>
        </w:rPr>
        <w:t xml:space="preserve">CIDH. Informe sobre la Situación de las Defensoras y Defensores de los Derechos Humanos en las Américas OEA/Ser.L/V/II.124. Doc. 5 rev.1, </w:t>
      </w:r>
      <w:r>
        <w:rPr>
          <w:rStyle w:val="FootnoteTextChar"/>
          <w:szCs w:val="16"/>
          <w:lang w:val="es-CO"/>
        </w:rPr>
        <w:t xml:space="preserve">7 de marzo de 2006, párr. 109. También: Corte IDH. </w:t>
      </w:r>
      <w:r w:rsidRPr="00D0385C">
        <w:rPr>
          <w:rStyle w:val="FootnoteTextChar"/>
          <w:szCs w:val="16"/>
          <w:lang w:val="es-CO"/>
        </w:rPr>
        <w:t>Caso del Tribunal Constitucional Vs. Perú, sentencia del 29 de septiembre de 1999. Serie</w:t>
      </w:r>
      <w:r>
        <w:rPr>
          <w:rStyle w:val="FootnoteTextChar"/>
          <w:szCs w:val="16"/>
          <w:lang w:val="es-CO"/>
        </w:rPr>
        <w:t xml:space="preserve"> C Nº 71, párr. 123, Corte IDH. </w:t>
      </w:r>
      <w:r w:rsidRPr="00D0385C">
        <w:rPr>
          <w:rStyle w:val="FootnoteTextChar"/>
          <w:szCs w:val="16"/>
          <w:lang w:val="es-CO"/>
        </w:rPr>
        <w:t>Caso Blake Vs. Guatemala, Reparaciones, Sentencia de 22 de enero de 1999, Serie C Nº 48, párr. 65.</w:t>
      </w:r>
    </w:p>
  </w:footnote>
  <w:footnote w:id="126">
    <w:p w14:paraId="533FE16A" w14:textId="77777777" w:rsidR="006B16F4" w:rsidRPr="00D0385C" w:rsidRDefault="006B16F4" w:rsidP="005D3C86">
      <w:pPr>
        <w:pStyle w:val="FootnoteText"/>
        <w:jc w:val="both"/>
        <w:rPr>
          <w:szCs w:val="16"/>
          <w:lang w:val="es-CO"/>
        </w:rPr>
      </w:pPr>
      <w:r w:rsidRPr="00D0385C">
        <w:rPr>
          <w:rStyle w:val="FootnoteReference"/>
          <w:szCs w:val="16"/>
        </w:rPr>
        <w:footnoteRef/>
      </w:r>
      <w:r w:rsidRPr="00D0385C">
        <w:rPr>
          <w:rStyle w:val="FootnoteReference"/>
          <w:szCs w:val="16"/>
          <w:lang w:val="es-ES"/>
        </w:rPr>
        <w:t xml:space="preserve"> </w:t>
      </w:r>
      <w:r w:rsidRPr="00D0385C">
        <w:rPr>
          <w:szCs w:val="16"/>
          <w:lang w:val="es-CO"/>
        </w:rPr>
        <w:t xml:space="preserve">Corte IDH. Caso García Ibarra y otros vs. Ecuador. Excepciones preliminares, Fondo, Reparaciones y Costas. Sentencia de 17 de noviembre de 2015. Serie S No. 306, párr. 143. </w:t>
      </w:r>
    </w:p>
  </w:footnote>
  <w:footnote w:id="127">
    <w:p w14:paraId="54B77ED1" w14:textId="77777777" w:rsidR="006B16F4" w:rsidRPr="00D0385C" w:rsidRDefault="006B16F4" w:rsidP="005D3C86">
      <w:pPr>
        <w:pStyle w:val="FootnoteText"/>
        <w:jc w:val="both"/>
        <w:rPr>
          <w:szCs w:val="16"/>
        </w:rPr>
      </w:pPr>
      <w:r w:rsidRPr="00D0385C">
        <w:rPr>
          <w:rStyle w:val="FootnoteReference"/>
          <w:szCs w:val="16"/>
        </w:rPr>
        <w:footnoteRef/>
      </w:r>
      <w:r w:rsidRPr="00D0385C">
        <w:rPr>
          <w:szCs w:val="16"/>
          <w:lang w:val="es-CO"/>
        </w:rPr>
        <w:t xml:space="preserve"> Corte IDH. Caso Ortiz Hernández y otros Vs. Venezuela. Fondo, Reparaciones y Costas. Sentencia de 22 de agosto de 2017. </w:t>
      </w:r>
      <w:proofErr w:type="spellStart"/>
      <w:r w:rsidRPr="00D0385C">
        <w:rPr>
          <w:szCs w:val="16"/>
        </w:rPr>
        <w:t>Serie</w:t>
      </w:r>
      <w:proofErr w:type="spellEnd"/>
      <w:r w:rsidRPr="00D0385C">
        <w:rPr>
          <w:szCs w:val="16"/>
        </w:rPr>
        <w:t xml:space="preserve"> C No. 338. </w:t>
      </w:r>
      <w:proofErr w:type="spellStart"/>
      <w:proofErr w:type="gramStart"/>
      <w:r w:rsidRPr="00D0385C">
        <w:rPr>
          <w:szCs w:val="16"/>
        </w:rPr>
        <w:t>Párr</w:t>
      </w:r>
      <w:proofErr w:type="spellEnd"/>
      <w:r w:rsidRPr="00D0385C">
        <w:rPr>
          <w:szCs w:val="16"/>
        </w:rPr>
        <w:t>.</w:t>
      </w:r>
      <w:proofErr w:type="gramEnd"/>
      <w:r w:rsidRPr="00D0385C">
        <w:rPr>
          <w:szCs w:val="16"/>
        </w:rPr>
        <w:t xml:space="preserve"> 161. </w:t>
      </w:r>
    </w:p>
  </w:footnote>
  <w:footnote w:id="128">
    <w:p w14:paraId="1E88F391" w14:textId="42C64FAE" w:rsidR="006B16F4" w:rsidRPr="00DD4BFB" w:rsidRDefault="006B16F4" w:rsidP="005D3C86">
      <w:pPr>
        <w:pStyle w:val="FootnoteText"/>
        <w:jc w:val="both"/>
        <w:rPr>
          <w:szCs w:val="16"/>
          <w:lang w:val="pt-BR"/>
        </w:rPr>
      </w:pPr>
      <w:r w:rsidRPr="00D0385C">
        <w:rPr>
          <w:rStyle w:val="FootnoteReference"/>
          <w:szCs w:val="16"/>
        </w:rPr>
        <w:footnoteRef/>
      </w:r>
      <w:r w:rsidRPr="00D0385C">
        <w:rPr>
          <w:rStyle w:val="FootnoteReference"/>
          <w:szCs w:val="16"/>
        </w:rPr>
        <w:t xml:space="preserve"> </w:t>
      </w:r>
      <w:proofErr w:type="gramStart"/>
      <w:r w:rsidRPr="00D0385C">
        <w:rPr>
          <w:szCs w:val="16"/>
        </w:rPr>
        <w:t>UN.</w:t>
      </w:r>
      <w:proofErr w:type="gramEnd"/>
      <w:r w:rsidRPr="00D0385C">
        <w:rPr>
          <w:szCs w:val="16"/>
        </w:rPr>
        <w:t xml:space="preserve"> The Minnesota Protocol on the Investigation of Potentially Unlawful Death (2016), Office of the United Nations High Commissioner for Human Rights, New York/Geneva, 2017.</w:t>
      </w:r>
      <w:r>
        <w:rPr>
          <w:szCs w:val="16"/>
        </w:rPr>
        <w:t xml:space="preserve"> </w:t>
      </w:r>
      <w:r w:rsidRPr="00DD4BFB">
        <w:rPr>
          <w:szCs w:val="16"/>
          <w:lang w:val="pt-BR"/>
        </w:rPr>
        <w:t>(Protocolo de Minnesota) Párr. 86</w:t>
      </w:r>
    </w:p>
  </w:footnote>
  <w:footnote w:id="129">
    <w:p w14:paraId="06F4BAC6" w14:textId="7B341297" w:rsidR="006B16F4" w:rsidRPr="00DD4BFB" w:rsidRDefault="006B16F4" w:rsidP="005D3C86">
      <w:pPr>
        <w:pStyle w:val="FootnoteText"/>
        <w:jc w:val="both"/>
        <w:rPr>
          <w:szCs w:val="16"/>
          <w:lang w:val="pt-BR"/>
        </w:rPr>
      </w:pPr>
      <w:r w:rsidRPr="00D0385C">
        <w:rPr>
          <w:rStyle w:val="FootnoteReference"/>
          <w:szCs w:val="16"/>
        </w:rPr>
        <w:footnoteRef/>
      </w:r>
      <w:r w:rsidRPr="00DD4BFB">
        <w:rPr>
          <w:szCs w:val="16"/>
          <w:lang w:val="pt-BR"/>
        </w:rPr>
        <w:t xml:space="preserve"> Protocolo de Minnesota, párrs. 148-182 y 255, 264 266.</w:t>
      </w:r>
    </w:p>
  </w:footnote>
  <w:footnote w:id="130">
    <w:p w14:paraId="75AE0123" w14:textId="77777777" w:rsidR="006B16F4" w:rsidRPr="00D0385C" w:rsidRDefault="006B16F4" w:rsidP="005D3C86">
      <w:pPr>
        <w:pStyle w:val="FootnoteText"/>
        <w:jc w:val="both"/>
        <w:rPr>
          <w:szCs w:val="16"/>
          <w:lang w:val="es-ES"/>
        </w:rPr>
      </w:pPr>
      <w:r w:rsidRPr="00D0385C">
        <w:rPr>
          <w:rStyle w:val="FootnoteReference"/>
          <w:szCs w:val="16"/>
        </w:rPr>
        <w:footnoteRef/>
      </w:r>
      <w:r w:rsidRPr="00DD4BFB">
        <w:rPr>
          <w:szCs w:val="16"/>
          <w:lang w:val="pt-BR"/>
        </w:rPr>
        <w:t xml:space="preserve"> </w:t>
      </w:r>
      <w:r w:rsidR="00747C92">
        <w:fldChar w:fldCharType="begin"/>
      </w:r>
      <w:r w:rsidR="00747C92" w:rsidRPr="00A34BBD">
        <w:rPr>
          <w:lang w:val="pt-BR"/>
        </w:rPr>
        <w:instrText xml:space="preserve"> HYPERLINK "http://joomla.corteidh.or.cr:8080/joomla/es/jurisprudencia-oc-2/38-jurisprudencia/741-corte-idh-caso-vargas-areco-vs-paraguay-sentencia-de-26-de-sept</w:instrText>
      </w:r>
      <w:r w:rsidR="00747C92" w:rsidRPr="00A34BBD">
        <w:rPr>
          <w:lang w:val="pt-BR"/>
        </w:rPr>
        <w:instrText xml:space="preserve">iembre-de-2006-serie-c-no-155" </w:instrText>
      </w:r>
      <w:r w:rsidR="00747C92">
        <w:fldChar w:fldCharType="separate"/>
      </w:r>
      <w:r w:rsidRPr="00DD4BFB">
        <w:rPr>
          <w:rStyle w:val="FootnoteTextChar"/>
          <w:szCs w:val="16"/>
          <w:lang w:val="pt-BR"/>
        </w:rPr>
        <w:t xml:space="preserve">Corte IDH. </w:t>
      </w:r>
      <w:r w:rsidRPr="00A34BBD">
        <w:rPr>
          <w:rStyle w:val="FootnoteTextChar"/>
          <w:szCs w:val="16"/>
          <w:lang w:val="pt-BR"/>
        </w:rPr>
        <w:t>Caso Vargas Areco Vs. Paraguay. Sentencia de 26 de septiembre de 2006. Serie C No. 155</w:t>
      </w:r>
      <w:r w:rsidR="00747C92">
        <w:rPr>
          <w:rStyle w:val="FootnoteTextChar"/>
          <w:szCs w:val="16"/>
          <w:lang w:val="es-PE"/>
        </w:rPr>
        <w:fldChar w:fldCharType="end"/>
      </w:r>
      <w:r w:rsidRPr="00A34BBD">
        <w:rPr>
          <w:rStyle w:val="FootnoteTextChar"/>
          <w:szCs w:val="16"/>
          <w:lang w:val="pt-BR"/>
        </w:rPr>
        <w:t xml:space="preserve">, párr. 196; </w:t>
      </w:r>
      <w:r w:rsidR="00747C92">
        <w:fldChar w:fldCharType="begin"/>
      </w:r>
      <w:r w:rsidR="00747C92" w:rsidRPr="00A34BBD">
        <w:rPr>
          <w:lang w:val="pt-BR"/>
        </w:rPr>
        <w:instrText xml:space="preserve"> HYPERLINK "http://joomla.corteidh.or.cr:8080/joomla/es/jurisprudencia-oc-2/38-jurisprudencia/731-corte-idh-caso</w:instrText>
      </w:r>
      <w:r w:rsidR="00747C92" w:rsidRPr="00A34BBD">
        <w:rPr>
          <w:lang w:val="pt-BR"/>
        </w:rPr>
        <w:instrText xml:space="preserve">-de-las-masacres-de-ituango-vs-colombia-sentencia-de-1-de-julio-de-2006-serie-c-no-148" </w:instrText>
      </w:r>
      <w:r w:rsidR="00747C92">
        <w:fldChar w:fldCharType="separate"/>
      </w:r>
      <w:r w:rsidRPr="00A34BBD">
        <w:rPr>
          <w:rStyle w:val="FootnoteTextChar"/>
          <w:szCs w:val="16"/>
          <w:lang w:val="pt-BR"/>
        </w:rPr>
        <w:t xml:space="preserve">Caso de las Masacres de Ituango Vs. </w:t>
      </w:r>
      <w:r w:rsidRPr="00D0385C">
        <w:rPr>
          <w:rStyle w:val="FootnoteTextChar"/>
          <w:szCs w:val="16"/>
          <w:lang w:val="es-ES"/>
        </w:rPr>
        <w:t>Colombia. Sentencia de 1 de julio de 2006 Serie C No. 148</w:t>
      </w:r>
      <w:r w:rsidR="00747C92">
        <w:rPr>
          <w:rStyle w:val="FootnoteTextChar"/>
          <w:szCs w:val="16"/>
          <w:lang w:val="es-ES"/>
        </w:rPr>
        <w:fldChar w:fldCharType="end"/>
      </w:r>
      <w:r w:rsidRPr="00D0385C">
        <w:rPr>
          <w:rStyle w:val="FootnoteTextChar"/>
          <w:szCs w:val="16"/>
          <w:lang w:val="es-ES"/>
        </w:rPr>
        <w:t xml:space="preserve">, párr. 289; y </w:t>
      </w:r>
      <w:r w:rsidR="00747C92">
        <w:fldChar w:fldCharType="begin"/>
      </w:r>
      <w:r w:rsidR="00747C92" w:rsidRPr="00A34BBD">
        <w:rPr>
          <w:lang w:val="es-UY"/>
        </w:rPr>
        <w:instrText xml:space="preserve"> HYPERLINK "http://joomla.corteidh.or.cr:8080/joomla/es/j</w:instrText>
      </w:r>
      <w:r w:rsidR="00747C92" w:rsidRPr="00A34BBD">
        <w:rPr>
          <w:lang w:val="es-UY"/>
        </w:rPr>
        <w:instrText xml:space="preserve">urisprudencia-oc-2/38-jurisprudencia/728-corte-idh-caso-baldeon-garcia-vs-peru-fondo-reparaciones-y-costas-sentencia-de-6-de-abril-de-2006-serie-c-no-147" </w:instrText>
      </w:r>
      <w:r w:rsidR="00747C92">
        <w:fldChar w:fldCharType="separate"/>
      </w:r>
      <w:r w:rsidRPr="00D0385C">
        <w:rPr>
          <w:rStyle w:val="FootnoteTextChar"/>
          <w:szCs w:val="16"/>
          <w:lang w:val="es-ES"/>
        </w:rPr>
        <w:t xml:space="preserve">Corte IDH. Caso </w:t>
      </w:r>
      <w:proofErr w:type="spellStart"/>
      <w:r w:rsidRPr="00D0385C">
        <w:rPr>
          <w:rStyle w:val="FootnoteTextChar"/>
          <w:szCs w:val="16"/>
          <w:lang w:val="es-ES"/>
        </w:rPr>
        <w:t>Baldeón</w:t>
      </w:r>
      <w:proofErr w:type="spellEnd"/>
      <w:r w:rsidRPr="00D0385C">
        <w:rPr>
          <w:rStyle w:val="FootnoteTextChar"/>
          <w:szCs w:val="16"/>
          <w:lang w:val="es-ES"/>
        </w:rPr>
        <w:t xml:space="preserve"> García Vs. Perú. Fondo, Reparaciones y Costas. Sentencia de 6 de abril de 2006. Serie C No. 147</w:t>
      </w:r>
      <w:r w:rsidR="00747C92">
        <w:rPr>
          <w:rStyle w:val="FootnoteTextChar"/>
          <w:szCs w:val="16"/>
          <w:lang w:val="es-ES"/>
        </w:rPr>
        <w:fldChar w:fldCharType="end"/>
      </w:r>
      <w:r w:rsidRPr="00D0385C">
        <w:rPr>
          <w:rStyle w:val="FootnoteTextChar"/>
          <w:szCs w:val="16"/>
          <w:lang w:val="es-ES"/>
        </w:rPr>
        <w:t>, párr. 151.</w:t>
      </w:r>
    </w:p>
  </w:footnote>
  <w:footnote w:id="131">
    <w:p w14:paraId="2F6E994C" w14:textId="77777777" w:rsidR="006B16F4" w:rsidRPr="00511E75" w:rsidRDefault="006B16F4" w:rsidP="005D3C86">
      <w:pPr>
        <w:pStyle w:val="FootnoteText"/>
        <w:jc w:val="both"/>
        <w:rPr>
          <w:szCs w:val="16"/>
          <w:lang w:val="es-ES"/>
        </w:rPr>
      </w:pPr>
      <w:r w:rsidRPr="00D0385C">
        <w:rPr>
          <w:rStyle w:val="FootnoteReference"/>
          <w:szCs w:val="16"/>
        </w:rPr>
        <w:footnoteRef/>
      </w:r>
      <w:r w:rsidRPr="00D0385C">
        <w:rPr>
          <w:szCs w:val="16"/>
          <w:lang w:val="es-ES"/>
        </w:rPr>
        <w:t xml:space="preserve"> </w:t>
      </w:r>
      <w:r w:rsidRPr="00D0385C">
        <w:rPr>
          <w:noProof/>
          <w:szCs w:val="16"/>
          <w:lang w:val="es-ES"/>
        </w:rPr>
        <w:t>Corte IDH. Caso Valle Jaramillo y otros Vs. Colombia. Fondo, Reparaciones y Costas. Sentencia de 27 de noviembre de 2008. Serie C No. 192, párr. 155.</w:t>
      </w:r>
    </w:p>
  </w:footnote>
  <w:footnote w:id="132">
    <w:p w14:paraId="40FBBC92" w14:textId="77777777" w:rsidR="006B16F4" w:rsidRPr="00D0385C" w:rsidRDefault="006B16F4" w:rsidP="00C8292F">
      <w:pPr>
        <w:tabs>
          <w:tab w:val="left" w:pos="900"/>
          <w:tab w:val="left" w:pos="1080"/>
        </w:tabs>
        <w:jc w:val="both"/>
        <w:rPr>
          <w:rFonts w:ascii="Cambria" w:hAnsi="Cambria"/>
          <w:sz w:val="16"/>
          <w:szCs w:val="16"/>
          <w:lang w:val="es-ES_tradnl"/>
        </w:rPr>
      </w:pPr>
      <w:r w:rsidRPr="00D0385C">
        <w:rPr>
          <w:rStyle w:val="FootnoteReference"/>
          <w:rFonts w:ascii="Cambria" w:hAnsi="Cambria" w:cs="Arial"/>
          <w:sz w:val="16"/>
          <w:szCs w:val="16"/>
          <w:lang w:val="es-SV"/>
        </w:rPr>
        <w:footnoteRef/>
      </w:r>
      <w:r w:rsidRPr="00D0385C">
        <w:rPr>
          <w:rFonts w:ascii="Cambria" w:hAnsi="Cambria" w:cs="Arial"/>
          <w:sz w:val="16"/>
          <w:szCs w:val="16"/>
          <w:lang w:val="es-CL"/>
        </w:rPr>
        <w:t xml:space="preserve"> </w:t>
      </w:r>
      <w:r w:rsidRPr="00D0385C">
        <w:rPr>
          <w:rFonts w:ascii="Cambria" w:hAnsi="Cambria" w:cs="Arial"/>
          <w:sz w:val="16"/>
          <w:szCs w:val="16"/>
          <w:lang w:val="es-ES_tradnl"/>
        </w:rPr>
        <w:t xml:space="preserve">Corte IDH. </w:t>
      </w:r>
      <w:r w:rsidRPr="00D0385C">
        <w:rPr>
          <w:rFonts w:ascii="Cambria" w:hAnsi="Cambria" w:cs="Arial"/>
          <w:bCs/>
          <w:sz w:val="16"/>
          <w:szCs w:val="16"/>
          <w:lang w:val="es-ES_tradnl"/>
        </w:rPr>
        <w:t xml:space="preserve">Caso Cantoral </w:t>
      </w:r>
      <w:proofErr w:type="spellStart"/>
      <w:r w:rsidRPr="00D0385C">
        <w:rPr>
          <w:rFonts w:ascii="Cambria" w:hAnsi="Cambria" w:cs="Arial"/>
          <w:bCs/>
          <w:sz w:val="16"/>
          <w:szCs w:val="16"/>
          <w:lang w:val="es-ES_tradnl"/>
        </w:rPr>
        <w:t>Huamaní</w:t>
      </w:r>
      <w:proofErr w:type="spellEnd"/>
      <w:r w:rsidRPr="00D0385C">
        <w:rPr>
          <w:rFonts w:ascii="Cambria" w:hAnsi="Cambria" w:cs="Arial"/>
          <w:bCs/>
          <w:sz w:val="16"/>
          <w:szCs w:val="16"/>
          <w:lang w:val="es-ES_tradnl"/>
        </w:rPr>
        <w:t xml:space="preserve"> y García Santa Cruz Vs. Perú. </w:t>
      </w:r>
      <w:r w:rsidRPr="00D0385C">
        <w:rPr>
          <w:rFonts w:ascii="Cambria" w:hAnsi="Cambria" w:cs="Arial"/>
          <w:sz w:val="16"/>
          <w:szCs w:val="16"/>
          <w:lang w:val="es-ES_tradnl"/>
        </w:rPr>
        <w:t xml:space="preserve">Excepción Preliminar, Fondo, Reparaciones y Costas. Sentencia de 10 de julio de 2007. Serie C No. 167. </w:t>
      </w:r>
      <w:r w:rsidRPr="00D0385C">
        <w:rPr>
          <w:rFonts w:ascii="Cambria" w:hAnsi="Cambria" w:cs="Arial"/>
          <w:sz w:val="16"/>
          <w:szCs w:val="16"/>
          <w:lang w:val="es-CL"/>
        </w:rPr>
        <w:t xml:space="preserve">párr. 112; </w:t>
      </w:r>
      <w:r w:rsidRPr="00D0385C">
        <w:rPr>
          <w:rFonts w:ascii="Cambria" w:hAnsi="Cambria" w:cs="Arial"/>
          <w:sz w:val="16"/>
          <w:szCs w:val="16"/>
          <w:lang w:val="es-ES_tradnl"/>
        </w:rPr>
        <w:t xml:space="preserve">y Caso Bueno Alves Vs. Argentina. Fondo, Reparaciones y Costas. </w:t>
      </w:r>
      <w:r w:rsidRPr="00D0385C">
        <w:rPr>
          <w:rFonts w:ascii="Cambria" w:hAnsi="Cambria" w:cs="Arial"/>
          <w:sz w:val="16"/>
          <w:szCs w:val="16"/>
          <w:lang w:val="es-ES"/>
        </w:rPr>
        <w:t xml:space="preserve">Sentencia de 11 de mayo de 2007. Serie C. No. 164. </w:t>
      </w:r>
      <w:r w:rsidRPr="00D0385C">
        <w:rPr>
          <w:rFonts w:ascii="Cambria" w:hAnsi="Cambria" w:cs="Arial"/>
          <w:sz w:val="16"/>
          <w:szCs w:val="16"/>
          <w:lang w:val="es-ES_tradnl"/>
        </w:rPr>
        <w:t>párr. 102.</w:t>
      </w:r>
      <w:r w:rsidRPr="00D0385C">
        <w:rPr>
          <w:rFonts w:ascii="Cambria" w:hAnsi="Cambria" w:cs="Arial"/>
          <w:sz w:val="16"/>
          <w:szCs w:val="16"/>
          <w:lang w:val="es-CL"/>
        </w:rPr>
        <w:t xml:space="preserve"> Ver también: </w:t>
      </w:r>
      <w:r w:rsidRPr="00D0385C">
        <w:rPr>
          <w:rFonts w:ascii="Cambria" w:hAnsi="Cambria"/>
          <w:sz w:val="16"/>
          <w:szCs w:val="16"/>
          <w:lang w:val="es-US"/>
        </w:rPr>
        <w:t xml:space="preserve">CIDH. Informe No. 58/12. Caso 12.606. Fondo. Hermanos Landaeta Mejías. Venezuela. 21 de marzo de 2012, párr. </w:t>
      </w:r>
      <w:r w:rsidRPr="00D0385C">
        <w:rPr>
          <w:rFonts w:ascii="Cambria" w:hAnsi="Cambria" w:cs="Arial"/>
          <w:sz w:val="16"/>
          <w:szCs w:val="16"/>
          <w:lang w:val="es-CL"/>
        </w:rPr>
        <w:t xml:space="preserve">256. </w:t>
      </w:r>
    </w:p>
  </w:footnote>
  <w:footnote w:id="133">
    <w:p w14:paraId="147DFD37" w14:textId="77777777" w:rsidR="006B16F4" w:rsidRPr="00D0385C" w:rsidRDefault="006B16F4" w:rsidP="00C8292F">
      <w:pPr>
        <w:tabs>
          <w:tab w:val="left" w:pos="900"/>
          <w:tab w:val="left" w:pos="1080"/>
        </w:tabs>
        <w:jc w:val="both"/>
        <w:rPr>
          <w:rFonts w:ascii="Cambria" w:hAnsi="Cambria"/>
          <w:sz w:val="16"/>
          <w:szCs w:val="16"/>
          <w:lang w:val="es-ES_tradnl"/>
        </w:rPr>
      </w:pPr>
      <w:r w:rsidRPr="00D0385C">
        <w:rPr>
          <w:rStyle w:val="FootnoteReference"/>
          <w:rFonts w:ascii="Cambria" w:hAnsi="Cambria" w:cs="Arial"/>
          <w:sz w:val="16"/>
          <w:szCs w:val="16"/>
          <w:lang w:val="es-SV"/>
        </w:rPr>
        <w:footnoteRef/>
      </w:r>
      <w:r w:rsidRPr="00D0385C">
        <w:rPr>
          <w:rFonts w:ascii="Cambria" w:hAnsi="Cambria" w:cs="Arial"/>
          <w:sz w:val="16"/>
          <w:szCs w:val="16"/>
          <w:lang w:val="es-ES"/>
        </w:rPr>
        <w:t xml:space="preserve"> </w:t>
      </w:r>
      <w:r w:rsidRPr="00D0385C">
        <w:rPr>
          <w:rFonts w:ascii="Cambria" w:hAnsi="Cambria" w:cs="Arial"/>
          <w:sz w:val="16"/>
          <w:szCs w:val="16"/>
          <w:lang w:val="es-ES_tradnl"/>
        </w:rPr>
        <w:t xml:space="preserve">Corte IDH. </w:t>
      </w:r>
      <w:r w:rsidRPr="00D0385C">
        <w:rPr>
          <w:rFonts w:ascii="Cambria" w:hAnsi="Cambria" w:cs="Arial"/>
          <w:bCs/>
          <w:sz w:val="16"/>
          <w:szCs w:val="16"/>
          <w:lang w:val="es-ES_tradnl"/>
        </w:rPr>
        <w:t xml:space="preserve">Caso Cantoral </w:t>
      </w:r>
      <w:proofErr w:type="spellStart"/>
      <w:r w:rsidRPr="00D0385C">
        <w:rPr>
          <w:rFonts w:ascii="Cambria" w:hAnsi="Cambria" w:cs="Arial"/>
          <w:bCs/>
          <w:sz w:val="16"/>
          <w:szCs w:val="16"/>
          <w:lang w:val="es-ES_tradnl"/>
        </w:rPr>
        <w:t>Huamaní</w:t>
      </w:r>
      <w:proofErr w:type="spellEnd"/>
      <w:r w:rsidRPr="00D0385C">
        <w:rPr>
          <w:rFonts w:ascii="Cambria" w:hAnsi="Cambria" w:cs="Arial"/>
          <w:bCs/>
          <w:sz w:val="16"/>
          <w:szCs w:val="16"/>
          <w:lang w:val="es-ES_tradnl"/>
        </w:rPr>
        <w:t xml:space="preserve"> y García Santa Cruz Vs. Perú. </w:t>
      </w:r>
      <w:r w:rsidRPr="00D0385C">
        <w:rPr>
          <w:rFonts w:ascii="Cambria" w:hAnsi="Cambria" w:cs="Arial"/>
          <w:sz w:val="16"/>
          <w:szCs w:val="16"/>
          <w:lang w:val="es-ES_tradnl"/>
        </w:rPr>
        <w:t xml:space="preserve">Excepción Preliminar, Fondo, Reparaciones y Costas. Sentencia de 10 de julio de 2007. Serie C No. 167. </w:t>
      </w:r>
      <w:r w:rsidRPr="00D0385C">
        <w:rPr>
          <w:rFonts w:ascii="Cambria" w:hAnsi="Cambria" w:cs="Arial"/>
          <w:sz w:val="16"/>
          <w:szCs w:val="16"/>
          <w:lang w:val="es-CL"/>
        </w:rPr>
        <w:t>párr.</w:t>
      </w:r>
      <w:r w:rsidRPr="00D0385C">
        <w:rPr>
          <w:rFonts w:ascii="Cambria" w:hAnsi="Cambria" w:cs="Arial"/>
          <w:sz w:val="16"/>
          <w:szCs w:val="16"/>
          <w:lang w:val="es-ES"/>
        </w:rPr>
        <w:t xml:space="preserve"> 112; </w:t>
      </w:r>
      <w:r w:rsidRPr="00D0385C">
        <w:rPr>
          <w:rFonts w:ascii="Cambria" w:hAnsi="Cambria" w:cs="Arial"/>
          <w:sz w:val="16"/>
          <w:szCs w:val="16"/>
          <w:lang w:val="es-ES_tradnl"/>
        </w:rPr>
        <w:t xml:space="preserve">y Caso Vargas </w:t>
      </w:r>
      <w:proofErr w:type="spellStart"/>
      <w:r w:rsidRPr="00D0385C">
        <w:rPr>
          <w:rFonts w:ascii="Cambria" w:hAnsi="Cambria" w:cs="Arial"/>
          <w:sz w:val="16"/>
          <w:szCs w:val="16"/>
          <w:lang w:val="es-ES_tradnl"/>
        </w:rPr>
        <w:t>Areco</w:t>
      </w:r>
      <w:proofErr w:type="spellEnd"/>
      <w:r w:rsidRPr="00D0385C">
        <w:rPr>
          <w:rFonts w:ascii="Cambria" w:hAnsi="Cambria" w:cs="Arial"/>
          <w:sz w:val="16"/>
          <w:szCs w:val="16"/>
          <w:lang w:val="es-ES_tradnl"/>
        </w:rPr>
        <w:t xml:space="preserve"> Vs. Paraguay. Sentencia de 26 de septiembre de 2006. Serie C No. 155. párr. </w:t>
      </w:r>
      <w:r w:rsidRPr="00D0385C">
        <w:rPr>
          <w:rFonts w:ascii="Cambria" w:hAnsi="Cambria" w:cs="Arial"/>
          <w:sz w:val="16"/>
          <w:szCs w:val="16"/>
          <w:lang w:val="es-ES"/>
        </w:rPr>
        <w:t>96.</w:t>
      </w:r>
    </w:p>
  </w:footnote>
  <w:footnote w:id="134">
    <w:p w14:paraId="4067E818" w14:textId="77777777" w:rsidR="006B16F4" w:rsidRPr="00361C78" w:rsidRDefault="006B16F4" w:rsidP="0055403B">
      <w:pPr>
        <w:pStyle w:val="FootnoteText"/>
        <w:tabs>
          <w:tab w:val="left" w:pos="720"/>
          <w:tab w:val="left" w:pos="900"/>
          <w:tab w:val="left" w:pos="1080"/>
        </w:tabs>
        <w:jc w:val="both"/>
        <w:rPr>
          <w:szCs w:val="16"/>
          <w:lang w:val="es-CO"/>
        </w:rPr>
      </w:pPr>
      <w:r w:rsidRPr="00D0385C">
        <w:rPr>
          <w:rStyle w:val="FootnoteReference"/>
          <w:szCs w:val="16"/>
        </w:rPr>
        <w:footnoteRef/>
      </w:r>
      <w:r w:rsidRPr="00D0385C">
        <w:rPr>
          <w:szCs w:val="16"/>
          <w:lang w:val="es-ES_tradnl"/>
        </w:rPr>
        <w:t xml:space="preserve"> </w:t>
      </w:r>
      <w:r w:rsidRPr="00D0385C">
        <w:rPr>
          <w:noProof/>
          <w:szCs w:val="16"/>
          <w:lang w:val="es-ES"/>
        </w:rPr>
        <w:t>Corte IDH. Caso Valle Jaramillo y otros Vs. Colombia. Fondo, Reparaciones y Costas. Sentencia de 27 de noviembre de 2008. Serie C No. 192</w:t>
      </w:r>
      <w:r w:rsidRPr="00D0385C">
        <w:rPr>
          <w:szCs w:val="16"/>
          <w:lang w:val="es-ES_tradnl"/>
        </w:rPr>
        <w:t xml:space="preserve">, párr. 102; Caso de la Masacre de la Rochela Vs. Colombia. Fondo, Reparaciones y Costas. Sentencia de 11 de mayo de 2007, Serie C No. 163, párr. 195; y Caso Heliodoro Portugal Vs. Panamá. </w:t>
      </w:r>
      <w:r w:rsidR="00747C92">
        <w:fldChar w:fldCharType="begin"/>
      </w:r>
      <w:r w:rsidR="00747C92" w:rsidRPr="00A34BBD">
        <w:rPr>
          <w:lang w:val="es-UY"/>
        </w:rPr>
        <w:instrText xml:space="preserve"> HYPERLINK "http://joomla.corteidh.or.cr:8080/joomla/es/casos-contenciosos/38-jurisprudencia/772-corte-idh-caso-heliodoro-portugal-vs-panama-excepciones-preliminares-fondo-reparaciones-y-costas-sentencia-de-12-de-agosto-de-2008-serie-c-no-186" </w:instrText>
      </w:r>
      <w:r w:rsidR="00747C92">
        <w:fldChar w:fldCharType="separate"/>
      </w:r>
      <w:r w:rsidRPr="00D0385C">
        <w:rPr>
          <w:noProof/>
          <w:szCs w:val="16"/>
          <w:lang w:val="es-ES"/>
        </w:rPr>
        <w:t>Excepciones Preliminares, Fondo, Reparaciones y Costas. Sentencia de 12 de agosto de 2008. Serie C No. 186</w:t>
      </w:r>
      <w:r w:rsidR="00747C92">
        <w:rPr>
          <w:noProof/>
          <w:szCs w:val="16"/>
          <w:lang w:val="es-ES"/>
        </w:rPr>
        <w:fldChar w:fldCharType="end"/>
      </w:r>
      <w:r w:rsidRPr="00D0385C">
        <w:rPr>
          <w:noProof/>
          <w:szCs w:val="16"/>
          <w:lang w:val="es-ES"/>
        </w:rPr>
        <w:t>, párr. 146</w:t>
      </w:r>
      <w:r w:rsidRPr="00D0385C">
        <w:rPr>
          <w:szCs w:val="16"/>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AB1E2" w14:textId="77777777" w:rsidR="006B16F4" w:rsidRDefault="006B16F4" w:rsidP="00637216">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63D6CE9E" w14:textId="77777777" w:rsidR="006B16F4" w:rsidRDefault="006B16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283D5" w14:textId="77777777" w:rsidR="006B16F4" w:rsidRDefault="006B16F4" w:rsidP="00A50FCF">
    <w:pPr>
      <w:pStyle w:val="Header"/>
      <w:tabs>
        <w:tab w:val="clear" w:pos="4320"/>
        <w:tab w:val="clear" w:pos="8640"/>
      </w:tabs>
      <w:jc w:val="center"/>
      <w:rPr>
        <w:sz w:val="22"/>
        <w:szCs w:val="22"/>
      </w:rPr>
    </w:pPr>
    <w:r>
      <w:rPr>
        <w:noProof/>
        <w:sz w:val="22"/>
        <w:szCs w:val="22"/>
        <w:lang w:val="es-UY" w:eastAsia="es-UY"/>
      </w:rPr>
      <w:drawing>
        <wp:inline distT="0" distB="0" distL="0" distR="0" wp14:anchorId="130F2F49" wp14:editId="4895BF16">
          <wp:extent cx="1972237" cy="104775"/>
          <wp:effectExtent l="0" t="0" r="9525" b="0"/>
          <wp:docPr id="13" name="Picture 1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4E784584" w14:textId="77777777" w:rsidR="006B16F4" w:rsidRPr="00EC7D62" w:rsidRDefault="00747C92" w:rsidP="00A50FCF">
    <w:pPr>
      <w:pStyle w:val="Header"/>
      <w:tabs>
        <w:tab w:val="clear" w:pos="4320"/>
        <w:tab w:val="clear" w:pos="8640"/>
      </w:tabs>
      <w:jc w:val="center"/>
      <w:rPr>
        <w:sz w:val="22"/>
        <w:szCs w:val="22"/>
      </w:rPr>
    </w:pPr>
    <w:r>
      <w:rPr>
        <w:noProof/>
        <w:sz w:val="22"/>
        <w:szCs w:val="22"/>
      </w:rPr>
      <w:pict w14:anchorId="33D09858">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156902EA"/>
    <w:multiLevelType w:val="hybridMultilevel"/>
    <w:tmpl w:val="C128A8D0"/>
    <w:lvl w:ilvl="0" w:tplc="C34A81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35758D"/>
    <w:multiLevelType w:val="hybridMultilevel"/>
    <w:tmpl w:val="0BDC4E72"/>
    <w:lvl w:ilvl="0" w:tplc="D644842C">
      <w:start w:val="1"/>
      <w:numFmt w:val="upperLetter"/>
      <w:pStyle w:val="Heading2"/>
      <w:lvlText w:val="%1."/>
      <w:lvlJc w:val="left"/>
      <w:pPr>
        <w:ind w:left="360" w:hanging="36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B1B68F9"/>
    <w:multiLevelType w:val="hybridMultilevel"/>
    <w:tmpl w:val="3CE0E556"/>
    <w:lvl w:ilvl="0" w:tplc="18921EF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B66050"/>
    <w:multiLevelType w:val="hybridMultilevel"/>
    <w:tmpl w:val="7C8A1B20"/>
    <w:lvl w:ilvl="0" w:tplc="DEF87F42">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6422FBC"/>
    <w:multiLevelType w:val="hybridMultilevel"/>
    <w:tmpl w:val="9F283D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72A0BA1"/>
    <w:multiLevelType w:val="hybridMultilevel"/>
    <w:tmpl w:val="6B8E9E86"/>
    <w:lvl w:ilvl="0" w:tplc="B21693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nsid w:val="3E36549A"/>
    <w:multiLevelType w:val="hybridMultilevel"/>
    <w:tmpl w:val="0784D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A681F10"/>
    <w:multiLevelType w:val="hybridMultilevel"/>
    <w:tmpl w:val="0D70D25A"/>
    <w:lvl w:ilvl="0" w:tplc="41AE073E">
      <w:start w:val="1"/>
      <w:numFmt w:val="decimal"/>
      <w:lvlText w:val="%1."/>
      <w:lvlJc w:val="left"/>
      <w:pPr>
        <w:ind w:left="1425" w:hanging="705"/>
      </w:pPr>
      <w:rPr>
        <w:rFonts w:hint="default"/>
        <w:color w:val="auto"/>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5D7D4B9D"/>
    <w:multiLevelType w:val="hybridMultilevel"/>
    <w:tmpl w:val="798EC63E"/>
    <w:lvl w:ilvl="0" w:tplc="F38E5724">
      <w:start w:val="1"/>
      <w:numFmt w:val="decimal"/>
      <w:lvlText w:val="%1."/>
      <w:lvlJc w:val="left"/>
      <w:pPr>
        <w:ind w:left="0" w:firstLine="0"/>
      </w:pPr>
      <w:rPr>
        <w:rFonts w:ascii="Cambria" w:hAnsi="Cambria"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0786ED7"/>
    <w:multiLevelType w:val="hybridMultilevel"/>
    <w:tmpl w:val="9BDA8C50"/>
    <w:lvl w:ilvl="0" w:tplc="7242A958">
      <w:start w:val="1"/>
      <w:numFmt w:val="upperRoman"/>
      <w:pStyle w:val="Heading1"/>
      <w:lvlText w:val="%1."/>
      <w:lvlJc w:val="left"/>
      <w:pPr>
        <w:ind w:left="9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5">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67C3C15"/>
    <w:multiLevelType w:val="hybridMultilevel"/>
    <w:tmpl w:val="27761DD8"/>
    <w:lvl w:ilvl="0" w:tplc="6DD615BE">
      <w:start w:val="1"/>
      <w:numFmt w:val="decimal"/>
      <w:pStyle w:val="Heading3"/>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8"/>
  </w:num>
  <w:num w:numId="4">
    <w:abstractNumId w:val="23"/>
  </w:num>
  <w:num w:numId="5">
    <w:abstractNumId w:val="51"/>
  </w:num>
  <w:num w:numId="6">
    <w:abstractNumId w:val="30"/>
  </w:num>
  <w:num w:numId="7">
    <w:abstractNumId w:val="7"/>
  </w:num>
  <w:num w:numId="8">
    <w:abstractNumId w:val="18"/>
  </w:num>
  <w:num w:numId="9">
    <w:abstractNumId w:val="45"/>
  </w:num>
  <w:num w:numId="10">
    <w:abstractNumId w:val="0"/>
  </w:num>
  <w:num w:numId="11">
    <w:abstractNumId w:val="40"/>
  </w:num>
  <w:num w:numId="12">
    <w:abstractNumId w:val="41"/>
  </w:num>
  <w:num w:numId="13">
    <w:abstractNumId w:val="47"/>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9"/>
  </w:num>
  <w:num w:numId="26">
    <w:abstractNumId w:val="20"/>
  </w:num>
  <w:num w:numId="27">
    <w:abstractNumId w:val="24"/>
  </w:num>
  <w:num w:numId="28">
    <w:abstractNumId w:val="25"/>
  </w:num>
  <w:num w:numId="29">
    <w:abstractNumId w:val="26"/>
  </w:num>
  <w:num w:numId="30">
    <w:abstractNumId w:val="29"/>
  </w:num>
  <w:num w:numId="31">
    <w:abstractNumId w:val="31"/>
  </w:num>
  <w:num w:numId="32">
    <w:abstractNumId w:val="33"/>
  </w:num>
  <w:num w:numId="33">
    <w:abstractNumId w:val="34"/>
  </w:num>
  <w:num w:numId="34">
    <w:abstractNumId w:val="35"/>
  </w:num>
  <w:num w:numId="35">
    <w:abstractNumId w:val="36"/>
  </w:num>
  <w:num w:numId="36">
    <w:abstractNumId w:val="37"/>
  </w:num>
  <w:num w:numId="37">
    <w:abstractNumId w:val="38"/>
  </w:num>
  <w:num w:numId="38">
    <w:abstractNumId w:val="39"/>
  </w:num>
  <w:num w:numId="39">
    <w:abstractNumId w:val="42"/>
  </w:num>
  <w:num w:numId="40">
    <w:abstractNumId w:val="43"/>
  </w:num>
  <w:num w:numId="41">
    <w:abstractNumId w:val="50"/>
  </w:num>
  <w:num w:numId="42">
    <w:abstractNumId w:val="52"/>
  </w:num>
  <w:num w:numId="43">
    <w:abstractNumId w:val="53"/>
  </w:num>
  <w:num w:numId="44">
    <w:abstractNumId w:val="55"/>
  </w:num>
  <w:num w:numId="45">
    <w:abstractNumId w:val="57"/>
  </w:num>
  <w:num w:numId="46">
    <w:abstractNumId w:val="59"/>
  </w:num>
  <w:num w:numId="47">
    <w:abstractNumId w:val="60"/>
  </w:num>
  <w:num w:numId="48">
    <w:abstractNumId w:val="61"/>
  </w:num>
  <w:num w:numId="49">
    <w:abstractNumId w:val="62"/>
  </w:num>
  <w:num w:numId="50">
    <w:abstractNumId w:val="63"/>
  </w:num>
  <w:num w:numId="51">
    <w:abstractNumId w:val="22"/>
  </w:num>
  <w:num w:numId="52">
    <w:abstractNumId w:val="44"/>
  </w:num>
  <w:num w:numId="53">
    <w:abstractNumId w:val="54"/>
  </w:num>
  <w:num w:numId="54">
    <w:abstractNumId w:val="48"/>
  </w:num>
  <w:num w:numId="55">
    <w:abstractNumId w:val="28"/>
  </w:num>
  <w:num w:numId="56">
    <w:abstractNumId w:val="17"/>
  </w:num>
  <w:num w:numId="57">
    <w:abstractNumId w:val="49"/>
  </w:num>
  <w:num w:numId="58">
    <w:abstractNumId w:val="21"/>
  </w:num>
  <w:num w:numId="59">
    <w:abstractNumId w:val="27"/>
  </w:num>
  <w:num w:numId="60">
    <w:abstractNumId w:val="32"/>
  </w:num>
  <w:num w:numId="61">
    <w:abstractNumId w:val="5"/>
  </w:num>
  <w:num w:numId="62">
    <w:abstractNumId w:val="46"/>
  </w:num>
  <w:num w:numId="63">
    <w:abstractNumId w:val="6"/>
  </w:num>
  <w:num w:numId="64">
    <w:abstractNumId w:val="6"/>
    <w:lvlOverride w:ilvl="0">
      <w:startOverride w:val="1"/>
    </w:lvlOverride>
  </w:num>
  <w:num w:numId="65">
    <w:abstractNumId w:val="6"/>
    <w:lvlOverride w:ilvl="0">
      <w:startOverride w:val="1"/>
    </w:lvlOverride>
  </w:num>
  <w:num w:numId="66">
    <w:abstractNumId w:val="6"/>
  </w:num>
  <w:num w:numId="67">
    <w:abstractNumId w:val="6"/>
  </w:num>
  <w:num w:numId="68">
    <w:abstractNumId w:val="6"/>
  </w:num>
  <w:num w:numId="69">
    <w:abstractNumId w:val="6"/>
    <w:lvlOverride w:ilvl="0">
      <w:startOverride w:val="1"/>
    </w:lvlOverride>
  </w:num>
  <w:num w:numId="70">
    <w:abstractNumId w:val="56"/>
  </w:num>
  <w:num w:numId="71">
    <w:abstractNumId w:val="56"/>
    <w:lvlOverride w:ilvl="0">
      <w:startOverride w:val="1"/>
    </w:lvlOverride>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ilvia Serrano">
    <w15:presenceInfo w15:providerId="Windows Live" w15:userId="54b24af38b9fab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013"/>
    <w:rsid w:val="0000036F"/>
    <w:rsid w:val="00000CDA"/>
    <w:rsid w:val="00001461"/>
    <w:rsid w:val="00003C04"/>
    <w:rsid w:val="00006896"/>
    <w:rsid w:val="00006E1F"/>
    <w:rsid w:val="000070D7"/>
    <w:rsid w:val="0001036E"/>
    <w:rsid w:val="00014FC1"/>
    <w:rsid w:val="00014FEE"/>
    <w:rsid w:val="000158FD"/>
    <w:rsid w:val="0001645E"/>
    <w:rsid w:val="0001788C"/>
    <w:rsid w:val="0002248E"/>
    <w:rsid w:val="00022795"/>
    <w:rsid w:val="00022BA7"/>
    <w:rsid w:val="00026A9D"/>
    <w:rsid w:val="00030ED5"/>
    <w:rsid w:val="00031EE9"/>
    <w:rsid w:val="000321AD"/>
    <w:rsid w:val="00033429"/>
    <w:rsid w:val="00035965"/>
    <w:rsid w:val="00035AAC"/>
    <w:rsid w:val="0003656F"/>
    <w:rsid w:val="00036BB6"/>
    <w:rsid w:val="00036F07"/>
    <w:rsid w:val="00036FAF"/>
    <w:rsid w:val="00040504"/>
    <w:rsid w:val="00040C3A"/>
    <w:rsid w:val="00043266"/>
    <w:rsid w:val="00044253"/>
    <w:rsid w:val="00045612"/>
    <w:rsid w:val="00045B6A"/>
    <w:rsid w:val="0005259C"/>
    <w:rsid w:val="0005355C"/>
    <w:rsid w:val="00055701"/>
    <w:rsid w:val="00056EFA"/>
    <w:rsid w:val="000610F3"/>
    <w:rsid w:val="000614EA"/>
    <w:rsid w:val="00061825"/>
    <w:rsid w:val="00063914"/>
    <w:rsid w:val="00063FAC"/>
    <w:rsid w:val="000672F7"/>
    <w:rsid w:val="00067A5D"/>
    <w:rsid w:val="000703A2"/>
    <w:rsid w:val="00070E72"/>
    <w:rsid w:val="000716C5"/>
    <w:rsid w:val="0007309F"/>
    <w:rsid w:val="0007340B"/>
    <w:rsid w:val="00073697"/>
    <w:rsid w:val="000741AD"/>
    <w:rsid w:val="00074A2C"/>
    <w:rsid w:val="00075324"/>
    <w:rsid w:val="00075E23"/>
    <w:rsid w:val="00077469"/>
    <w:rsid w:val="000804FD"/>
    <w:rsid w:val="00083478"/>
    <w:rsid w:val="00085019"/>
    <w:rsid w:val="0008768F"/>
    <w:rsid w:val="00090B65"/>
    <w:rsid w:val="00090C6D"/>
    <w:rsid w:val="00091437"/>
    <w:rsid w:val="000917B4"/>
    <w:rsid w:val="00091D01"/>
    <w:rsid w:val="0009211B"/>
    <w:rsid w:val="000925CD"/>
    <w:rsid w:val="0009344A"/>
    <w:rsid w:val="00094820"/>
    <w:rsid w:val="00095221"/>
    <w:rsid w:val="000A392E"/>
    <w:rsid w:val="000A3B23"/>
    <w:rsid w:val="000A42C6"/>
    <w:rsid w:val="000A4FCF"/>
    <w:rsid w:val="000A575F"/>
    <w:rsid w:val="000A576A"/>
    <w:rsid w:val="000A69BA"/>
    <w:rsid w:val="000A7157"/>
    <w:rsid w:val="000A75B8"/>
    <w:rsid w:val="000A7D60"/>
    <w:rsid w:val="000B100A"/>
    <w:rsid w:val="000B1788"/>
    <w:rsid w:val="000B31E6"/>
    <w:rsid w:val="000B4020"/>
    <w:rsid w:val="000B4130"/>
    <w:rsid w:val="000B5C68"/>
    <w:rsid w:val="000B66E9"/>
    <w:rsid w:val="000B76A6"/>
    <w:rsid w:val="000C07DF"/>
    <w:rsid w:val="000C1DA4"/>
    <w:rsid w:val="000C21E0"/>
    <w:rsid w:val="000C27C0"/>
    <w:rsid w:val="000C3351"/>
    <w:rsid w:val="000C3C3C"/>
    <w:rsid w:val="000C3D5B"/>
    <w:rsid w:val="000C3EFA"/>
    <w:rsid w:val="000C5365"/>
    <w:rsid w:val="000C555B"/>
    <w:rsid w:val="000C699E"/>
    <w:rsid w:val="000C6B8C"/>
    <w:rsid w:val="000C6DD6"/>
    <w:rsid w:val="000D065E"/>
    <w:rsid w:val="000D09F8"/>
    <w:rsid w:val="000D10DB"/>
    <w:rsid w:val="000D1E64"/>
    <w:rsid w:val="000D3E27"/>
    <w:rsid w:val="000D3FA3"/>
    <w:rsid w:val="000D40A7"/>
    <w:rsid w:val="000D436F"/>
    <w:rsid w:val="000D46BC"/>
    <w:rsid w:val="000D7864"/>
    <w:rsid w:val="000E0154"/>
    <w:rsid w:val="000E032A"/>
    <w:rsid w:val="000E0E1C"/>
    <w:rsid w:val="000E13EB"/>
    <w:rsid w:val="000E381D"/>
    <w:rsid w:val="000E3F80"/>
    <w:rsid w:val="000E4B8B"/>
    <w:rsid w:val="000E5EB5"/>
    <w:rsid w:val="000E62DE"/>
    <w:rsid w:val="000F0139"/>
    <w:rsid w:val="000F1252"/>
    <w:rsid w:val="000F35ED"/>
    <w:rsid w:val="000F5C79"/>
    <w:rsid w:val="00100015"/>
    <w:rsid w:val="001007AE"/>
    <w:rsid w:val="00101D9C"/>
    <w:rsid w:val="00102F10"/>
    <w:rsid w:val="001056B5"/>
    <w:rsid w:val="00105C5B"/>
    <w:rsid w:val="001060D5"/>
    <w:rsid w:val="00107131"/>
    <w:rsid w:val="0010736F"/>
    <w:rsid w:val="001074B2"/>
    <w:rsid w:val="0010770F"/>
    <w:rsid w:val="0011131D"/>
    <w:rsid w:val="00112851"/>
    <w:rsid w:val="00113F73"/>
    <w:rsid w:val="00115531"/>
    <w:rsid w:val="00121171"/>
    <w:rsid w:val="00121CC2"/>
    <w:rsid w:val="00121E57"/>
    <w:rsid w:val="00124C4B"/>
    <w:rsid w:val="0012584E"/>
    <w:rsid w:val="00125BB1"/>
    <w:rsid w:val="00127576"/>
    <w:rsid w:val="00130120"/>
    <w:rsid w:val="00130E72"/>
    <w:rsid w:val="00130FEF"/>
    <w:rsid w:val="001319A4"/>
    <w:rsid w:val="00132B8D"/>
    <w:rsid w:val="00132D3E"/>
    <w:rsid w:val="00133EE5"/>
    <w:rsid w:val="001341CB"/>
    <w:rsid w:val="001352C6"/>
    <w:rsid w:val="001422A3"/>
    <w:rsid w:val="00142FF8"/>
    <w:rsid w:val="00144C87"/>
    <w:rsid w:val="00145373"/>
    <w:rsid w:val="00147011"/>
    <w:rsid w:val="0014710C"/>
    <w:rsid w:val="00151D8F"/>
    <w:rsid w:val="001524A0"/>
    <w:rsid w:val="00152A92"/>
    <w:rsid w:val="00155244"/>
    <w:rsid w:val="001553F9"/>
    <w:rsid w:val="001557D9"/>
    <w:rsid w:val="00156FB3"/>
    <w:rsid w:val="0016009C"/>
    <w:rsid w:val="001624CD"/>
    <w:rsid w:val="00162FD8"/>
    <w:rsid w:val="0016333F"/>
    <w:rsid w:val="0016369F"/>
    <w:rsid w:val="00164B11"/>
    <w:rsid w:val="00166189"/>
    <w:rsid w:val="0016632F"/>
    <w:rsid w:val="00167998"/>
    <w:rsid w:val="00167A34"/>
    <w:rsid w:val="00173483"/>
    <w:rsid w:val="001746B5"/>
    <w:rsid w:val="00176383"/>
    <w:rsid w:val="001771BE"/>
    <w:rsid w:val="001774DF"/>
    <w:rsid w:val="00177A2A"/>
    <w:rsid w:val="0018057B"/>
    <w:rsid w:val="00181F34"/>
    <w:rsid w:val="00182CC8"/>
    <w:rsid w:val="0018374C"/>
    <w:rsid w:val="00183B07"/>
    <w:rsid w:val="001841B2"/>
    <w:rsid w:val="00185373"/>
    <w:rsid w:val="0018563A"/>
    <w:rsid w:val="00185AFE"/>
    <w:rsid w:val="001860B3"/>
    <w:rsid w:val="0018617F"/>
    <w:rsid w:val="001908B6"/>
    <w:rsid w:val="00190D38"/>
    <w:rsid w:val="0019123B"/>
    <w:rsid w:val="001922CF"/>
    <w:rsid w:val="00192BEA"/>
    <w:rsid w:val="00194B69"/>
    <w:rsid w:val="00196BBC"/>
    <w:rsid w:val="00196BDC"/>
    <w:rsid w:val="00197262"/>
    <w:rsid w:val="001A0DDA"/>
    <w:rsid w:val="001A15E6"/>
    <w:rsid w:val="001A30EE"/>
    <w:rsid w:val="001A3B06"/>
    <w:rsid w:val="001A5916"/>
    <w:rsid w:val="001A7870"/>
    <w:rsid w:val="001B02F6"/>
    <w:rsid w:val="001B03AF"/>
    <w:rsid w:val="001B073E"/>
    <w:rsid w:val="001B1056"/>
    <w:rsid w:val="001B149F"/>
    <w:rsid w:val="001B48A8"/>
    <w:rsid w:val="001B6087"/>
    <w:rsid w:val="001B6C54"/>
    <w:rsid w:val="001C0C4B"/>
    <w:rsid w:val="001C103F"/>
    <w:rsid w:val="001C13E5"/>
    <w:rsid w:val="001C1B41"/>
    <w:rsid w:val="001C26A3"/>
    <w:rsid w:val="001C31B7"/>
    <w:rsid w:val="001C7A86"/>
    <w:rsid w:val="001D1536"/>
    <w:rsid w:val="001D18C7"/>
    <w:rsid w:val="001D201F"/>
    <w:rsid w:val="001D27AB"/>
    <w:rsid w:val="001D3D7C"/>
    <w:rsid w:val="001D4117"/>
    <w:rsid w:val="001D4413"/>
    <w:rsid w:val="001D65EF"/>
    <w:rsid w:val="001D7DE7"/>
    <w:rsid w:val="001E15B6"/>
    <w:rsid w:val="001E17CE"/>
    <w:rsid w:val="001E27B6"/>
    <w:rsid w:val="001E5B78"/>
    <w:rsid w:val="001E60FE"/>
    <w:rsid w:val="001F02A9"/>
    <w:rsid w:val="001F08EF"/>
    <w:rsid w:val="001F5C7C"/>
    <w:rsid w:val="00200564"/>
    <w:rsid w:val="00201448"/>
    <w:rsid w:val="0020192C"/>
    <w:rsid w:val="002025D1"/>
    <w:rsid w:val="00203A2A"/>
    <w:rsid w:val="00204027"/>
    <w:rsid w:val="0020410C"/>
    <w:rsid w:val="00204B61"/>
    <w:rsid w:val="00207237"/>
    <w:rsid w:val="002077A4"/>
    <w:rsid w:val="00211674"/>
    <w:rsid w:val="00211EB3"/>
    <w:rsid w:val="0021236A"/>
    <w:rsid w:val="00212615"/>
    <w:rsid w:val="00212F6A"/>
    <w:rsid w:val="00216194"/>
    <w:rsid w:val="002174A7"/>
    <w:rsid w:val="0022017C"/>
    <w:rsid w:val="00220468"/>
    <w:rsid w:val="00220557"/>
    <w:rsid w:val="00221B8A"/>
    <w:rsid w:val="00222C19"/>
    <w:rsid w:val="00222D64"/>
    <w:rsid w:val="002250A3"/>
    <w:rsid w:val="00226023"/>
    <w:rsid w:val="00227035"/>
    <w:rsid w:val="00231006"/>
    <w:rsid w:val="00232769"/>
    <w:rsid w:val="00235217"/>
    <w:rsid w:val="002361DD"/>
    <w:rsid w:val="00237A59"/>
    <w:rsid w:val="00237F30"/>
    <w:rsid w:val="00240388"/>
    <w:rsid w:val="00242E74"/>
    <w:rsid w:val="002434AB"/>
    <w:rsid w:val="00243CAC"/>
    <w:rsid w:val="00244B73"/>
    <w:rsid w:val="00244BB3"/>
    <w:rsid w:val="0024521E"/>
    <w:rsid w:val="00245221"/>
    <w:rsid w:val="002461A8"/>
    <w:rsid w:val="0024644E"/>
    <w:rsid w:val="0024675E"/>
    <w:rsid w:val="00246D1F"/>
    <w:rsid w:val="00247403"/>
    <w:rsid w:val="00247542"/>
    <w:rsid w:val="00250725"/>
    <w:rsid w:val="00251744"/>
    <w:rsid w:val="00251A97"/>
    <w:rsid w:val="00251BC0"/>
    <w:rsid w:val="00252512"/>
    <w:rsid w:val="00253617"/>
    <w:rsid w:val="00253EA5"/>
    <w:rsid w:val="002541DE"/>
    <w:rsid w:val="00254607"/>
    <w:rsid w:val="00254BF8"/>
    <w:rsid w:val="002571B2"/>
    <w:rsid w:val="00257573"/>
    <w:rsid w:val="002602B4"/>
    <w:rsid w:val="00263725"/>
    <w:rsid w:val="0026495E"/>
    <w:rsid w:val="00265320"/>
    <w:rsid w:val="00266A75"/>
    <w:rsid w:val="00266B61"/>
    <w:rsid w:val="00267006"/>
    <w:rsid w:val="002670D5"/>
    <w:rsid w:val="0026712A"/>
    <w:rsid w:val="002675C0"/>
    <w:rsid w:val="00267666"/>
    <w:rsid w:val="00267CAE"/>
    <w:rsid w:val="002704DB"/>
    <w:rsid w:val="00270570"/>
    <w:rsid w:val="00273A63"/>
    <w:rsid w:val="00273B5B"/>
    <w:rsid w:val="00275DE3"/>
    <w:rsid w:val="00276DF8"/>
    <w:rsid w:val="00277670"/>
    <w:rsid w:val="00277EF9"/>
    <w:rsid w:val="00281609"/>
    <w:rsid w:val="00281CCC"/>
    <w:rsid w:val="002827DD"/>
    <w:rsid w:val="0028521E"/>
    <w:rsid w:val="002854B3"/>
    <w:rsid w:val="00285676"/>
    <w:rsid w:val="00285BE3"/>
    <w:rsid w:val="002864A9"/>
    <w:rsid w:val="00290231"/>
    <w:rsid w:val="00293C12"/>
    <w:rsid w:val="00293CB2"/>
    <w:rsid w:val="002940A2"/>
    <w:rsid w:val="00294267"/>
    <w:rsid w:val="00294CA2"/>
    <w:rsid w:val="00297F95"/>
    <w:rsid w:val="002A0AAE"/>
    <w:rsid w:val="002A0C84"/>
    <w:rsid w:val="002A17F4"/>
    <w:rsid w:val="002A25B6"/>
    <w:rsid w:val="002A3577"/>
    <w:rsid w:val="002A4072"/>
    <w:rsid w:val="002A4089"/>
    <w:rsid w:val="002A47E7"/>
    <w:rsid w:val="002A4B97"/>
    <w:rsid w:val="002A5820"/>
    <w:rsid w:val="002A59A9"/>
    <w:rsid w:val="002A666C"/>
    <w:rsid w:val="002A6B12"/>
    <w:rsid w:val="002B08DA"/>
    <w:rsid w:val="002B0B4D"/>
    <w:rsid w:val="002B1979"/>
    <w:rsid w:val="002B2F31"/>
    <w:rsid w:val="002B339A"/>
    <w:rsid w:val="002B35E7"/>
    <w:rsid w:val="002B3D45"/>
    <w:rsid w:val="002B47DA"/>
    <w:rsid w:val="002B5D78"/>
    <w:rsid w:val="002B7835"/>
    <w:rsid w:val="002B7BCC"/>
    <w:rsid w:val="002B7EC4"/>
    <w:rsid w:val="002C0113"/>
    <w:rsid w:val="002C0712"/>
    <w:rsid w:val="002C1A86"/>
    <w:rsid w:val="002C347B"/>
    <w:rsid w:val="002C54B5"/>
    <w:rsid w:val="002C5CCF"/>
    <w:rsid w:val="002D193D"/>
    <w:rsid w:val="002D23CF"/>
    <w:rsid w:val="002D2B26"/>
    <w:rsid w:val="002D3814"/>
    <w:rsid w:val="002D44F1"/>
    <w:rsid w:val="002D52DA"/>
    <w:rsid w:val="002D6C65"/>
    <w:rsid w:val="002D7EA2"/>
    <w:rsid w:val="002E0D29"/>
    <w:rsid w:val="002E187C"/>
    <w:rsid w:val="002E19C4"/>
    <w:rsid w:val="002E2472"/>
    <w:rsid w:val="002E3D4D"/>
    <w:rsid w:val="002E4AEA"/>
    <w:rsid w:val="002E59D3"/>
    <w:rsid w:val="002E5C5F"/>
    <w:rsid w:val="002E6252"/>
    <w:rsid w:val="002E66CC"/>
    <w:rsid w:val="002E7304"/>
    <w:rsid w:val="002E749B"/>
    <w:rsid w:val="002E7BDC"/>
    <w:rsid w:val="002F08FD"/>
    <w:rsid w:val="002F0FDE"/>
    <w:rsid w:val="002F291B"/>
    <w:rsid w:val="002F3DB4"/>
    <w:rsid w:val="002F4557"/>
    <w:rsid w:val="002F51A8"/>
    <w:rsid w:val="002F7114"/>
    <w:rsid w:val="003010E0"/>
    <w:rsid w:val="00302146"/>
    <w:rsid w:val="00302733"/>
    <w:rsid w:val="003028A4"/>
    <w:rsid w:val="00303349"/>
    <w:rsid w:val="00303D52"/>
    <w:rsid w:val="00304F59"/>
    <w:rsid w:val="0030514D"/>
    <w:rsid w:val="00307ABC"/>
    <w:rsid w:val="0031132E"/>
    <w:rsid w:val="00311512"/>
    <w:rsid w:val="00311B1A"/>
    <w:rsid w:val="00312A70"/>
    <w:rsid w:val="0031356F"/>
    <w:rsid w:val="00314078"/>
    <w:rsid w:val="00314083"/>
    <w:rsid w:val="003142C2"/>
    <w:rsid w:val="0031535D"/>
    <w:rsid w:val="00316589"/>
    <w:rsid w:val="003221C5"/>
    <w:rsid w:val="003221DA"/>
    <w:rsid w:val="00322CE9"/>
    <w:rsid w:val="003241DA"/>
    <w:rsid w:val="0032521F"/>
    <w:rsid w:val="003252E1"/>
    <w:rsid w:val="00325A78"/>
    <w:rsid w:val="0033028D"/>
    <w:rsid w:val="0033169F"/>
    <w:rsid w:val="00333066"/>
    <w:rsid w:val="0033594A"/>
    <w:rsid w:val="00335C95"/>
    <w:rsid w:val="00336051"/>
    <w:rsid w:val="00337D41"/>
    <w:rsid w:val="00340BC9"/>
    <w:rsid w:val="00342263"/>
    <w:rsid w:val="00342D28"/>
    <w:rsid w:val="003437DB"/>
    <w:rsid w:val="00343E91"/>
    <w:rsid w:val="00344D40"/>
    <w:rsid w:val="00346C95"/>
    <w:rsid w:val="00347798"/>
    <w:rsid w:val="00347947"/>
    <w:rsid w:val="00350773"/>
    <w:rsid w:val="00350F74"/>
    <w:rsid w:val="00353C76"/>
    <w:rsid w:val="00354F56"/>
    <w:rsid w:val="00356185"/>
    <w:rsid w:val="00360380"/>
    <w:rsid w:val="00360F73"/>
    <w:rsid w:val="00361415"/>
    <w:rsid w:val="00361BF2"/>
    <w:rsid w:val="00362D1A"/>
    <w:rsid w:val="003640E3"/>
    <w:rsid w:val="00364578"/>
    <w:rsid w:val="00365872"/>
    <w:rsid w:val="0037055F"/>
    <w:rsid w:val="00370E71"/>
    <w:rsid w:val="003721DE"/>
    <w:rsid w:val="00373877"/>
    <w:rsid w:val="00373C01"/>
    <w:rsid w:val="00374466"/>
    <w:rsid w:val="0037519E"/>
    <w:rsid w:val="00377F5E"/>
    <w:rsid w:val="00381266"/>
    <w:rsid w:val="003826CC"/>
    <w:rsid w:val="0038345F"/>
    <w:rsid w:val="00383AF5"/>
    <w:rsid w:val="00386CF0"/>
    <w:rsid w:val="00387B3E"/>
    <w:rsid w:val="00390877"/>
    <w:rsid w:val="00391896"/>
    <w:rsid w:val="00391927"/>
    <w:rsid w:val="00392EC4"/>
    <w:rsid w:val="00396597"/>
    <w:rsid w:val="003A0956"/>
    <w:rsid w:val="003A12EF"/>
    <w:rsid w:val="003A1B34"/>
    <w:rsid w:val="003A1D19"/>
    <w:rsid w:val="003A2FE2"/>
    <w:rsid w:val="003A3A7C"/>
    <w:rsid w:val="003B05BE"/>
    <w:rsid w:val="003B12D8"/>
    <w:rsid w:val="003B4F8E"/>
    <w:rsid w:val="003B5D68"/>
    <w:rsid w:val="003B7149"/>
    <w:rsid w:val="003B752C"/>
    <w:rsid w:val="003C0B0E"/>
    <w:rsid w:val="003C2A40"/>
    <w:rsid w:val="003C676B"/>
    <w:rsid w:val="003C6934"/>
    <w:rsid w:val="003C76F7"/>
    <w:rsid w:val="003D0266"/>
    <w:rsid w:val="003D0394"/>
    <w:rsid w:val="003D0EBE"/>
    <w:rsid w:val="003D1484"/>
    <w:rsid w:val="003D220B"/>
    <w:rsid w:val="003D3BC2"/>
    <w:rsid w:val="003D3EDA"/>
    <w:rsid w:val="003D4BE6"/>
    <w:rsid w:val="003D58C7"/>
    <w:rsid w:val="003D5B48"/>
    <w:rsid w:val="003D67C7"/>
    <w:rsid w:val="003D6804"/>
    <w:rsid w:val="003D7842"/>
    <w:rsid w:val="003D7C03"/>
    <w:rsid w:val="003E1027"/>
    <w:rsid w:val="003E110E"/>
    <w:rsid w:val="003E2420"/>
    <w:rsid w:val="003E432F"/>
    <w:rsid w:val="003E667C"/>
    <w:rsid w:val="003E67A8"/>
    <w:rsid w:val="003E6CA1"/>
    <w:rsid w:val="003F087B"/>
    <w:rsid w:val="003F151C"/>
    <w:rsid w:val="003F3A13"/>
    <w:rsid w:val="003F5717"/>
    <w:rsid w:val="004004D7"/>
    <w:rsid w:val="0040105B"/>
    <w:rsid w:val="0040181A"/>
    <w:rsid w:val="00402C43"/>
    <w:rsid w:val="004033D2"/>
    <w:rsid w:val="00404861"/>
    <w:rsid w:val="00405D10"/>
    <w:rsid w:val="004073CF"/>
    <w:rsid w:val="00407646"/>
    <w:rsid w:val="004105AB"/>
    <w:rsid w:val="004120DC"/>
    <w:rsid w:val="00412A05"/>
    <w:rsid w:val="00415385"/>
    <w:rsid w:val="004159D3"/>
    <w:rsid w:val="004165C2"/>
    <w:rsid w:val="0041682D"/>
    <w:rsid w:val="004173C1"/>
    <w:rsid w:val="00420BBB"/>
    <w:rsid w:val="00421A8C"/>
    <w:rsid w:val="00421CDE"/>
    <w:rsid w:val="004220FD"/>
    <w:rsid w:val="00423E05"/>
    <w:rsid w:val="0042477C"/>
    <w:rsid w:val="00425014"/>
    <w:rsid w:val="00425034"/>
    <w:rsid w:val="00425581"/>
    <w:rsid w:val="004255D1"/>
    <w:rsid w:val="00425854"/>
    <w:rsid w:val="00426114"/>
    <w:rsid w:val="0042611D"/>
    <w:rsid w:val="00426CB3"/>
    <w:rsid w:val="00427EB0"/>
    <w:rsid w:val="004306CC"/>
    <w:rsid w:val="004310AE"/>
    <w:rsid w:val="004334A1"/>
    <w:rsid w:val="00433B8C"/>
    <w:rsid w:val="00434DA4"/>
    <w:rsid w:val="00437655"/>
    <w:rsid w:val="00437DFE"/>
    <w:rsid w:val="0044007D"/>
    <w:rsid w:val="0044058D"/>
    <w:rsid w:val="00440642"/>
    <w:rsid w:val="00440B63"/>
    <w:rsid w:val="00441ECB"/>
    <w:rsid w:val="004429AB"/>
    <w:rsid w:val="00444E59"/>
    <w:rsid w:val="00446F00"/>
    <w:rsid w:val="00451258"/>
    <w:rsid w:val="004553D8"/>
    <w:rsid w:val="00456BD3"/>
    <w:rsid w:val="00456C08"/>
    <w:rsid w:val="00460ABB"/>
    <w:rsid w:val="00460CB3"/>
    <w:rsid w:val="00461924"/>
    <w:rsid w:val="0046232F"/>
    <w:rsid w:val="00462366"/>
    <w:rsid w:val="004635AB"/>
    <w:rsid w:val="004643B0"/>
    <w:rsid w:val="0046619A"/>
    <w:rsid w:val="0046744F"/>
    <w:rsid w:val="00467B7E"/>
    <w:rsid w:val="004748A2"/>
    <w:rsid w:val="0047504B"/>
    <w:rsid w:val="0047510B"/>
    <w:rsid w:val="00477592"/>
    <w:rsid w:val="00482C05"/>
    <w:rsid w:val="00482EC8"/>
    <w:rsid w:val="0048374E"/>
    <w:rsid w:val="00483EAF"/>
    <w:rsid w:val="004844B9"/>
    <w:rsid w:val="00486F1C"/>
    <w:rsid w:val="00491D05"/>
    <w:rsid w:val="00491D77"/>
    <w:rsid w:val="004928F4"/>
    <w:rsid w:val="00492CBD"/>
    <w:rsid w:val="0049419D"/>
    <w:rsid w:val="00496623"/>
    <w:rsid w:val="004A0E49"/>
    <w:rsid w:val="004A1F52"/>
    <w:rsid w:val="004A24DE"/>
    <w:rsid w:val="004A373E"/>
    <w:rsid w:val="004A3C7F"/>
    <w:rsid w:val="004A559E"/>
    <w:rsid w:val="004A6886"/>
    <w:rsid w:val="004A6BD2"/>
    <w:rsid w:val="004A7549"/>
    <w:rsid w:val="004A77A9"/>
    <w:rsid w:val="004A7F25"/>
    <w:rsid w:val="004B0C29"/>
    <w:rsid w:val="004B12AC"/>
    <w:rsid w:val="004B1AEE"/>
    <w:rsid w:val="004B688E"/>
    <w:rsid w:val="004B6CF3"/>
    <w:rsid w:val="004C20D2"/>
    <w:rsid w:val="004C3519"/>
    <w:rsid w:val="004C35D8"/>
    <w:rsid w:val="004C4309"/>
    <w:rsid w:val="004C4820"/>
    <w:rsid w:val="004C4B62"/>
    <w:rsid w:val="004C54C9"/>
    <w:rsid w:val="004C5939"/>
    <w:rsid w:val="004C5CAE"/>
    <w:rsid w:val="004C61C2"/>
    <w:rsid w:val="004C6C7B"/>
    <w:rsid w:val="004C790D"/>
    <w:rsid w:val="004C7D13"/>
    <w:rsid w:val="004D026D"/>
    <w:rsid w:val="004D120D"/>
    <w:rsid w:val="004D1846"/>
    <w:rsid w:val="004D195F"/>
    <w:rsid w:val="004D21FE"/>
    <w:rsid w:val="004D2474"/>
    <w:rsid w:val="004D2720"/>
    <w:rsid w:val="004D30F4"/>
    <w:rsid w:val="004D4B30"/>
    <w:rsid w:val="004D6025"/>
    <w:rsid w:val="004D6618"/>
    <w:rsid w:val="004E00A5"/>
    <w:rsid w:val="004E146B"/>
    <w:rsid w:val="004E1641"/>
    <w:rsid w:val="004E1C71"/>
    <w:rsid w:val="004E2649"/>
    <w:rsid w:val="004E408E"/>
    <w:rsid w:val="004E4542"/>
    <w:rsid w:val="004E4643"/>
    <w:rsid w:val="004E585D"/>
    <w:rsid w:val="004F0990"/>
    <w:rsid w:val="004F0C83"/>
    <w:rsid w:val="004F1A1F"/>
    <w:rsid w:val="004F2B95"/>
    <w:rsid w:val="004F4268"/>
    <w:rsid w:val="004F47A6"/>
    <w:rsid w:val="004F627D"/>
    <w:rsid w:val="004F6D3C"/>
    <w:rsid w:val="00500066"/>
    <w:rsid w:val="00501399"/>
    <w:rsid w:val="00502AD3"/>
    <w:rsid w:val="00503BC0"/>
    <w:rsid w:val="00504C23"/>
    <w:rsid w:val="00505D7B"/>
    <w:rsid w:val="0050633D"/>
    <w:rsid w:val="00507BC4"/>
    <w:rsid w:val="00507F6C"/>
    <w:rsid w:val="00510EB2"/>
    <w:rsid w:val="005112D6"/>
    <w:rsid w:val="00511FE0"/>
    <w:rsid w:val="00512011"/>
    <w:rsid w:val="005128E4"/>
    <w:rsid w:val="00512B27"/>
    <w:rsid w:val="005133DB"/>
    <w:rsid w:val="005140F1"/>
    <w:rsid w:val="0051474F"/>
    <w:rsid w:val="00514D84"/>
    <w:rsid w:val="00515075"/>
    <w:rsid w:val="005214BF"/>
    <w:rsid w:val="005246C5"/>
    <w:rsid w:val="005254FD"/>
    <w:rsid w:val="00525560"/>
    <w:rsid w:val="0052557D"/>
    <w:rsid w:val="00526F80"/>
    <w:rsid w:val="00527C17"/>
    <w:rsid w:val="00530874"/>
    <w:rsid w:val="005330B0"/>
    <w:rsid w:val="00534EC6"/>
    <w:rsid w:val="005354F3"/>
    <w:rsid w:val="00536923"/>
    <w:rsid w:val="00537CC4"/>
    <w:rsid w:val="0054168D"/>
    <w:rsid w:val="00541A5E"/>
    <w:rsid w:val="00542864"/>
    <w:rsid w:val="005430CE"/>
    <w:rsid w:val="00543A00"/>
    <w:rsid w:val="00544C49"/>
    <w:rsid w:val="00544EAD"/>
    <w:rsid w:val="0054512E"/>
    <w:rsid w:val="005454FA"/>
    <w:rsid w:val="00545B6B"/>
    <w:rsid w:val="0054707B"/>
    <w:rsid w:val="005471B6"/>
    <w:rsid w:val="00547300"/>
    <w:rsid w:val="00550166"/>
    <w:rsid w:val="005516A1"/>
    <w:rsid w:val="00551E9C"/>
    <w:rsid w:val="005533AA"/>
    <w:rsid w:val="0055403B"/>
    <w:rsid w:val="00555DA6"/>
    <w:rsid w:val="00555E36"/>
    <w:rsid w:val="00556102"/>
    <w:rsid w:val="00556F47"/>
    <w:rsid w:val="00557117"/>
    <w:rsid w:val="00561AC1"/>
    <w:rsid w:val="00565134"/>
    <w:rsid w:val="00565744"/>
    <w:rsid w:val="00566B63"/>
    <w:rsid w:val="00567179"/>
    <w:rsid w:val="00571AAD"/>
    <w:rsid w:val="0057402A"/>
    <w:rsid w:val="00576723"/>
    <w:rsid w:val="00576B27"/>
    <w:rsid w:val="00576BAC"/>
    <w:rsid w:val="00576EE9"/>
    <w:rsid w:val="005771D0"/>
    <w:rsid w:val="00580167"/>
    <w:rsid w:val="00580411"/>
    <w:rsid w:val="005814D3"/>
    <w:rsid w:val="00582607"/>
    <w:rsid w:val="0058511B"/>
    <w:rsid w:val="005872A8"/>
    <w:rsid w:val="005872D8"/>
    <w:rsid w:val="00587C3F"/>
    <w:rsid w:val="005904DE"/>
    <w:rsid w:val="0059191A"/>
    <w:rsid w:val="0059209D"/>
    <w:rsid w:val="005921FF"/>
    <w:rsid w:val="00592FAB"/>
    <w:rsid w:val="005937F1"/>
    <w:rsid w:val="00593BBB"/>
    <w:rsid w:val="00594333"/>
    <w:rsid w:val="005948F1"/>
    <w:rsid w:val="00595C1D"/>
    <w:rsid w:val="00596439"/>
    <w:rsid w:val="00596591"/>
    <w:rsid w:val="005A020B"/>
    <w:rsid w:val="005A06ED"/>
    <w:rsid w:val="005A07BD"/>
    <w:rsid w:val="005A3155"/>
    <w:rsid w:val="005A4E4C"/>
    <w:rsid w:val="005A50B2"/>
    <w:rsid w:val="005A59AE"/>
    <w:rsid w:val="005A6AD7"/>
    <w:rsid w:val="005A6D0E"/>
    <w:rsid w:val="005A7300"/>
    <w:rsid w:val="005A7397"/>
    <w:rsid w:val="005B3936"/>
    <w:rsid w:val="005B4769"/>
    <w:rsid w:val="005B52B0"/>
    <w:rsid w:val="005B6806"/>
    <w:rsid w:val="005B6DAD"/>
    <w:rsid w:val="005C01E1"/>
    <w:rsid w:val="005C1BC2"/>
    <w:rsid w:val="005C3697"/>
    <w:rsid w:val="005C3C78"/>
    <w:rsid w:val="005C4225"/>
    <w:rsid w:val="005C4CA5"/>
    <w:rsid w:val="005C4E3F"/>
    <w:rsid w:val="005C5454"/>
    <w:rsid w:val="005C7377"/>
    <w:rsid w:val="005C7395"/>
    <w:rsid w:val="005C7A0D"/>
    <w:rsid w:val="005D0AAB"/>
    <w:rsid w:val="005D0DB1"/>
    <w:rsid w:val="005D3281"/>
    <w:rsid w:val="005D3C86"/>
    <w:rsid w:val="005D449A"/>
    <w:rsid w:val="005D6FD2"/>
    <w:rsid w:val="005E04EC"/>
    <w:rsid w:val="005E06C6"/>
    <w:rsid w:val="005E0B64"/>
    <w:rsid w:val="005E34F4"/>
    <w:rsid w:val="005E3DA2"/>
    <w:rsid w:val="005E645A"/>
    <w:rsid w:val="005E6FC0"/>
    <w:rsid w:val="005E77EA"/>
    <w:rsid w:val="005E7C76"/>
    <w:rsid w:val="005F05A5"/>
    <w:rsid w:val="005F0DAD"/>
    <w:rsid w:val="005F0F33"/>
    <w:rsid w:val="005F1298"/>
    <w:rsid w:val="005F309E"/>
    <w:rsid w:val="005F37BA"/>
    <w:rsid w:val="005F53E3"/>
    <w:rsid w:val="005F667C"/>
    <w:rsid w:val="005F7EE3"/>
    <w:rsid w:val="00600DEB"/>
    <w:rsid w:val="006018A7"/>
    <w:rsid w:val="006027B9"/>
    <w:rsid w:val="006044DA"/>
    <w:rsid w:val="006049BA"/>
    <w:rsid w:val="00605D60"/>
    <w:rsid w:val="006061D2"/>
    <w:rsid w:val="0060701C"/>
    <w:rsid w:val="0060742F"/>
    <w:rsid w:val="006075FC"/>
    <w:rsid w:val="00607E30"/>
    <w:rsid w:val="006125C3"/>
    <w:rsid w:val="00612AFD"/>
    <w:rsid w:val="00613A59"/>
    <w:rsid w:val="00614FEB"/>
    <w:rsid w:val="0061588C"/>
    <w:rsid w:val="00615C95"/>
    <w:rsid w:val="00616AB8"/>
    <w:rsid w:val="00621184"/>
    <w:rsid w:val="00621E14"/>
    <w:rsid w:val="00621EEC"/>
    <w:rsid w:val="0062220B"/>
    <w:rsid w:val="006231AC"/>
    <w:rsid w:val="00624A7E"/>
    <w:rsid w:val="006265FB"/>
    <w:rsid w:val="00627748"/>
    <w:rsid w:val="00627B6B"/>
    <w:rsid w:val="00627C9F"/>
    <w:rsid w:val="0063092D"/>
    <w:rsid w:val="006311E9"/>
    <w:rsid w:val="00631D3B"/>
    <w:rsid w:val="00632354"/>
    <w:rsid w:val="00632DE1"/>
    <w:rsid w:val="00633F54"/>
    <w:rsid w:val="0063486B"/>
    <w:rsid w:val="00634BE7"/>
    <w:rsid w:val="006369DD"/>
    <w:rsid w:val="00636A48"/>
    <w:rsid w:val="00636D54"/>
    <w:rsid w:val="00637216"/>
    <w:rsid w:val="00640B6D"/>
    <w:rsid w:val="00641B5E"/>
    <w:rsid w:val="00642810"/>
    <w:rsid w:val="006440BE"/>
    <w:rsid w:val="00644476"/>
    <w:rsid w:val="00644A55"/>
    <w:rsid w:val="006479D6"/>
    <w:rsid w:val="00647F6E"/>
    <w:rsid w:val="00650476"/>
    <w:rsid w:val="0065050A"/>
    <w:rsid w:val="00650EE6"/>
    <w:rsid w:val="006519A4"/>
    <w:rsid w:val="00651E7A"/>
    <w:rsid w:val="00651FFC"/>
    <w:rsid w:val="00652333"/>
    <w:rsid w:val="00652DC8"/>
    <w:rsid w:val="006532AF"/>
    <w:rsid w:val="00653E7A"/>
    <w:rsid w:val="0065779A"/>
    <w:rsid w:val="00657C97"/>
    <w:rsid w:val="006638DD"/>
    <w:rsid w:val="006654C5"/>
    <w:rsid w:val="00665FA9"/>
    <w:rsid w:val="00666A27"/>
    <w:rsid w:val="006674CC"/>
    <w:rsid w:val="00667606"/>
    <w:rsid w:val="00667B2E"/>
    <w:rsid w:val="00667C66"/>
    <w:rsid w:val="00670836"/>
    <w:rsid w:val="00671C31"/>
    <w:rsid w:val="00675EDD"/>
    <w:rsid w:val="00677D25"/>
    <w:rsid w:val="0068009E"/>
    <w:rsid w:val="006820F0"/>
    <w:rsid w:val="006828ED"/>
    <w:rsid w:val="006837A8"/>
    <w:rsid w:val="0068433D"/>
    <w:rsid w:val="006848EB"/>
    <w:rsid w:val="00684E29"/>
    <w:rsid w:val="00684EDB"/>
    <w:rsid w:val="006857BD"/>
    <w:rsid w:val="00685E3A"/>
    <w:rsid w:val="00686471"/>
    <w:rsid w:val="006868EF"/>
    <w:rsid w:val="00686AE2"/>
    <w:rsid w:val="00687277"/>
    <w:rsid w:val="006873E8"/>
    <w:rsid w:val="0069032F"/>
    <w:rsid w:val="00691C44"/>
    <w:rsid w:val="00692219"/>
    <w:rsid w:val="00694A4D"/>
    <w:rsid w:val="006A17D2"/>
    <w:rsid w:val="006A288A"/>
    <w:rsid w:val="006A2FA3"/>
    <w:rsid w:val="006A4B39"/>
    <w:rsid w:val="006A73E6"/>
    <w:rsid w:val="006A7F62"/>
    <w:rsid w:val="006B0A0A"/>
    <w:rsid w:val="006B138B"/>
    <w:rsid w:val="006B16F4"/>
    <w:rsid w:val="006B2BE8"/>
    <w:rsid w:val="006B2D5C"/>
    <w:rsid w:val="006B30DB"/>
    <w:rsid w:val="006B366A"/>
    <w:rsid w:val="006B4311"/>
    <w:rsid w:val="006B4728"/>
    <w:rsid w:val="006B4D40"/>
    <w:rsid w:val="006B4FEE"/>
    <w:rsid w:val="006B65FA"/>
    <w:rsid w:val="006B7511"/>
    <w:rsid w:val="006C1A20"/>
    <w:rsid w:val="006C1C04"/>
    <w:rsid w:val="006C308E"/>
    <w:rsid w:val="006C4EB1"/>
    <w:rsid w:val="006C4FF0"/>
    <w:rsid w:val="006D0B08"/>
    <w:rsid w:val="006D2445"/>
    <w:rsid w:val="006D2A9B"/>
    <w:rsid w:val="006E0166"/>
    <w:rsid w:val="006E12A0"/>
    <w:rsid w:val="006E2C57"/>
    <w:rsid w:val="006E4186"/>
    <w:rsid w:val="006E44CF"/>
    <w:rsid w:val="006E4E94"/>
    <w:rsid w:val="006E7B34"/>
    <w:rsid w:val="006E7B50"/>
    <w:rsid w:val="006F085B"/>
    <w:rsid w:val="006F0FC4"/>
    <w:rsid w:val="006F1640"/>
    <w:rsid w:val="006F2353"/>
    <w:rsid w:val="006F2F5E"/>
    <w:rsid w:val="006F4D06"/>
    <w:rsid w:val="006F5140"/>
    <w:rsid w:val="006F54CB"/>
    <w:rsid w:val="006F756F"/>
    <w:rsid w:val="007032B1"/>
    <w:rsid w:val="00704330"/>
    <w:rsid w:val="00704F4F"/>
    <w:rsid w:val="00705E90"/>
    <w:rsid w:val="007062F6"/>
    <w:rsid w:val="0070697F"/>
    <w:rsid w:val="00710376"/>
    <w:rsid w:val="007111E5"/>
    <w:rsid w:val="00711768"/>
    <w:rsid w:val="00717266"/>
    <w:rsid w:val="00717968"/>
    <w:rsid w:val="00721130"/>
    <w:rsid w:val="00721506"/>
    <w:rsid w:val="0072199C"/>
    <w:rsid w:val="00721AD7"/>
    <w:rsid w:val="007226F3"/>
    <w:rsid w:val="00722C9F"/>
    <w:rsid w:val="00722FC9"/>
    <w:rsid w:val="007253B8"/>
    <w:rsid w:val="00726365"/>
    <w:rsid w:val="00726AFE"/>
    <w:rsid w:val="00727450"/>
    <w:rsid w:val="007274B3"/>
    <w:rsid w:val="00730955"/>
    <w:rsid w:val="0073167B"/>
    <w:rsid w:val="00731F9C"/>
    <w:rsid w:val="0073270A"/>
    <w:rsid w:val="0073631B"/>
    <w:rsid w:val="007369EC"/>
    <w:rsid w:val="0073741F"/>
    <w:rsid w:val="00740B94"/>
    <w:rsid w:val="00740CB5"/>
    <w:rsid w:val="00743184"/>
    <w:rsid w:val="007449F3"/>
    <w:rsid w:val="00745751"/>
    <w:rsid w:val="00745949"/>
    <w:rsid w:val="00745FF6"/>
    <w:rsid w:val="0074617E"/>
    <w:rsid w:val="0074687E"/>
    <w:rsid w:val="00747BB4"/>
    <w:rsid w:val="00747C92"/>
    <w:rsid w:val="007517A2"/>
    <w:rsid w:val="0075241B"/>
    <w:rsid w:val="00756258"/>
    <w:rsid w:val="00757297"/>
    <w:rsid w:val="007607D3"/>
    <w:rsid w:val="007608B0"/>
    <w:rsid w:val="007618AE"/>
    <w:rsid w:val="007642E1"/>
    <w:rsid w:val="00764944"/>
    <w:rsid w:val="00764D50"/>
    <w:rsid w:val="00765992"/>
    <w:rsid w:val="0076643F"/>
    <w:rsid w:val="00771124"/>
    <w:rsid w:val="007741A0"/>
    <w:rsid w:val="00774716"/>
    <w:rsid w:val="00775326"/>
    <w:rsid w:val="00775B9E"/>
    <w:rsid w:val="00775BC9"/>
    <w:rsid w:val="007767EC"/>
    <w:rsid w:val="00776826"/>
    <w:rsid w:val="0077687D"/>
    <w:rsid w:val="00777AAA"/>
    <w:rsid w:val="00777F63"/>
    <w:rsid w:val="0078101F"/>
    <w:rsid w:val="00782755"/>
    <w:rsid w:val="00782BDF"/>
    <w:rsid w:val="00783271"/>
    <w:rsid w:val="00783E8E"/>
    <w:rsid w:val="00784171"/>
    <w:rsid w:val="007846B3"/>
    <w:rsid w:val="00784880"/>
    <w:rsid w:val="00784CAB"/>
    <w:rsid w:val="007854F1"/>
    <w:rsid w:val="007856C2"/>
    <w:rsid w:val="00785C60"/>
    <w:rsid w:val="007907E6"/>
    <w:rsid w:val="00791849"/>
    <w:rsid w:val="007936A0"/>
    <w:rsid w:val="00794DD6"/>
    <w:rsid w:val="0079513F"/>
    <w:rsid w:val="007A0445"/>
    <w:rsid w:val="007A0D54"/>
    <w:rsid w:val="007A0E36"/>
    <w:rsid w:val="007A124C"/>
    <w:rsid w:val="007A2670"/>
    <w:rsid w:val="007A3DB3"/>
    <w:rsid w:val="007A4674"/>
    <w:rsid w:val="007A4C9C"/>
    <w:rsid w:val="007A4CC8"/>
    <w:rsid w:val="007A5817"/>
    <w:rsid w:val="007A61F4"/>
    <w:rsid w:val="007A66FC"/>
    <w:rsid w:val="007A6DBC"/>
    <w:rsid w:val="007A7A40"/>
    <w:rsid w:val="007B0C13"/>
    <w:rsid w:val="007B2E9E"/>
    <w:rsid w:val="007B40ED"/>
    <w:rsid w:val="007B60E9"/>
    <w:rsid w:val="007B651C"/>
    <w:rsid w:val="007B6CC3"/>
    <w:rsid w:val="007C0A7F"/>
    <w:rsid w:val="007C16E9"/>
    <w:rsid w:val="007C3334"/>
    <w:rsid w:val="007C37C7"/>
    <w:rsid w:val="007C3AB2"/>
    <w:rsid w:val="007C3F12"/>
    <w:rsid w:val="007C42C4"/>
    <w:rsid w:val="007C4F1A"/>
    <w:rsid w:val="007C7351"/>
    <w:rsid w:val="007C756A"/>
    <w:rsid w:val="007D13C4"/>
    <w:rsid w:val="007D2B98"/>
    <w:rsid w:val="007D443F"/>
    <w:rsid w:val="007D4650"/>
    <w:rsid w:val="007E004C"/>
    <w:rsid w:val="007E012F"/>
    <w:rsid w:val="007E21BC"/>
    <w:rsid w:val="007E225A"/>
    <w:rsid w:val="007E55BE"/>
    <w:rsid w:val="007E5D77"/>
    <w:rsid w:val="007E6504"/>
    <w:rsid w:val="007E75DF"/>
    <w:rsid w:val="007E761E"/>
    <w:rsid w:val="007E7A65"/>
    <w:rsid w:val="007F0A68"/>
    <w:rsid w:val="007F1559"/>
    <w:rsid w:val="007F1CF2"/>
    <w:rsid w:val="007F3FE4"/>
    <w:rsid w:val="007F5F4F"/>
    <w:rsid w:val="007F7228"/>
    <w:rsid w:val="007F77A1"/>
    <w:rsid w:val="007F7E9A"/>
    <w:rsid w:val="0080178B"/>
    <w:rsid w:val="008018C2"/>
    <w:rsid w:val="00803F1C"/>
    <w:rsid w:val="0080564E"/>
    <w:rsid w:val="008058C6"/>
    <w:rsid w:val="0080600E"/>
    <w:rsid w:val="00806704"/>
    <w:rsid w:val="008068EE"/>
    <w:rsid w:val="00806995"/>
    <w:rsid w:val="00806AC0"/>
    <w:rsid w:val="008072C0"/>
    <w:rsid w:val="00807632"/>
    <w:rsid w:val="00811B2E"/>
    <w:rsid w:val="00814231"/>
    <w:rsid w:val="0081458C"/>
    <w:rsid w:val="00815021"/>
    <w:rsid w:val="0081619A"/>
    <w:rsid w:val="00816510"/>
    <w:rsid w:val="008175FA"/>
    <w:rsid w:val="00817612"/>
    <w:rsid w:val="00820E0D"/>
    <w:rsid w:val="008217E6"/>
    <w:rsid w:val="0082201A"/>
    <w:rsid w:val="008237A6"/>
    <w:rsid w:val="00823979"/>
    <w:rsid w:val="00826570"/>
    <w:rsid w:val="008266A7"/>
    <w:rsid w:val="00826C49"/>
    <w:rsid w:val="00826D5B"/>
    <w:rsid w:val="00827992"/>
    <w:rsid w:val="0083217C"/>
    <w:rsid w:val="0083340F"/>
    <w:rsid w:val="008338A4"/>
    <w:rsid w:val="0083514A"/>
    <w:rsid w:val="008365DC"/>
    <w:rsid w:val="00837264"/>
    <w:rsid w:val="00837C45"/>
    <w:rsid w:val="00837C73"/>
    <w:rsid w:val="00841192"/>
    <w:rsid w:val="00843162"/>
    <w:rsid w:val="00844680"/>
    <w:rsid w:val="00844730"/>
    <w:rsid w:val="00844BBF"/>
    <w:rsid w:val="0084568A"/>
    <w:rsid w:val="008456A1"/>
    <w:rsid w:val="008457C2"/>
    <w:rsid w:val="00846C0B"/>
    <w:rsid w:val="008472D6"/>
    <w:rsid w:val="00847F03"/>
    <w:rsid w:val="0085047F"/>
    <w:rsid w:val="00850B87"/>
    <w:rsid w:val="00852893"/>
    <w:rsid w:val="00853CF4"/>
    <w:rsid w:val="008556A5"/>
    <w:rsid w:val="00857A82"/>
    <w:rsid w:val="0086312A"/>
    <w:rsid w:val="00864917"/>
    <w:rsid w:val="00864CF3"/>
    <w:rsid w:val="00867CF9"/>
    <w:rsid w:val="00871A46"/>
    <w:rsid w:val="008728DC"/>
    <w:rsid w:val="00873836"/>
    <w:rsid w:val="008741B3"/>
    <w:rsid w:val="00875DE1"/>
    <w:rsid w:val="00876F76"/>
    <w:rsid w:val="008822B7"/>
    <w:rsid w:val="008828A1"/>
    <w:rsid w:val="0088538C"/>
    <w:rsid w:val="00885737"/>
    <w:rsid w:val="00887AC9"/>
    <w:rsid w:val="00890650"/>
    <w:rsid w:val="00891B6C"/>
    <w:rsid w:val="00892AD9"/>
    <w:rsid w:val="00894B50"/>
    <w:rsid w:val="00895133"/>
    <w:rsid w:val="008970BF"/>
    <w:rsid w:val="00897687"/>
    <w:rsid w:val="00897E12"/>
    <w:rsid w:val="008A0A2D"/>
    <w:rsid w:val="008A5EFF"/>
    <w:rsid w:val="008A6868"/>
    <w:rsid w:val="008A6B24"/>
    <w:rsid w:val="008A7ACC"/>
    <w:rsid w:val="008A7CD5"/>
    <w:rsid w:val="008A7E0F"/>
    <w:rsid w:val="008B0861"/>
    <w:rsid w:val="008B12F5"/>
    <w:rsid w:val="008B4215"/>
    <w:rsid w:val="008B448C"/>
    <w:rsid w:val="008B533E"/>
    <w:rsid w:val="008B5FA9"/>
    <w:rsid w:val="008C23F9"/>
    <w:rsid w:val="008C3098"/>
    <w:rsid w:val="008C4912"/>
    <w:rsid w:val="008C510C"/>
    <w:rsid w:val="008C58DD"/>
    <w:rsid w:val="008C5BB3"/>
    <w:rsid w:val="008C6434"/>
    <w:rsid w:val="008D23AD"/>
    <w:rsid w:val="008D2852"/>
    <w:rsid w:val="008D335D"/>
    <w:rsid w:val="008D497E"/>
    <w:rsid w:val="008D5FD9"/>
    <w:rsid w:val="008D74BA"/>
    <w:rsid w:val="008D768D"/>
    <w:rsid w:val="008E3759"/>
    <w:rsid w:val="008E4A4C"/>
    <w:rsid w:val="008E4EC5"/>
    <w:rsid w:val="008E515E"/>
    <w:rsid w:val="008E6940"/>
    <w:rsid w:val="008E7E5D"/>
    <w:rsid w:val="008F1218"/>
    <w:rsid w:val="008F1912"/>
    <w:rsid w:val="008F1B28"/>
    <w:rsid w:val="008F49A5"/>
    <w:rsid w:val="008F604B"/>
    <w:rsid w:val="008F72E6"/>
    <w:rsid w:val="00900349"/>
    <w:rsid w:val="009006C6"/>
    <w:rsid w:val="009014A4"/>
    <w:rsid w:val="00901916"/>
    <w:rsid w:val="00901935"/>
    <w:rsid w:val="00902699"/>
    <w:rsid w:val="0090270B"/>
    <w:rsid w:val="00902DF7"/>
    <w:rsid w:val="009039D9"/>
    <w:rsid w:val="00903A5C"/>
    <w:rsid w:val="009041DC"/>
    <w:rsid w:val="00906004"/>
    <w:rsid w:val="00906500"/>
    <w:rsid w:val="009065E0"/>
    <w:rsid w:val="0090696B"/>
    <w:rsid w:val="009113E4"/>
    <w:rsid w:val="0091164B"/>
    <w:rsid w:val="00913E33"/>
    <w:rsid w:val="00914ACD"/>
    <w:rsid w:val="009167ED"/>
    <w:rsid w:val="00917B5A"/>
    <w:rsid w:val="009206F7"/>
    <w:rsid w:val="00920A58"/>
    <w:rsid w:val="00920A8C"/>
    <w:rsid w:val="00920B92"/>
    <w:rsid w:val="00921104"/>
    <w:rsid w:val="0092111F"/>
    <w:rsid w:val="009211D5"/>
    <w:rsid w:val="00921A60"/>
    <w:rsid w:val="00925AE6"/>
    <w:rsid w:val="009272EF"/>
    <w:rsid w:val="00927734"/>
    <w:rsid w:val="009322D3"/>
    <w:rsid w:val="00932355"/>
    <w:rsid w:val="009333C7"/>
    <w:rsid w:val="00934A2C"/>
    <w:rsid w:val="009358AA"/>
    <w:rsid w:val="00935CF9"/>
    <w:rsid w:val="00935E43"/>
    <w:rsid w:val="0093670A"/>
    <w:rsid w:val="009411F4"/>
    <w:rsid w:val="00942A3C"/>
    <w:rsid w:val="00944839"/>
    <w:rsid w:val="00945222"/>
    <w:rsid w:val="00947458"/>
    <w:rsid w:val="00950314"/>
    <w:rsid w:val="009515BA"/>
    <w:rsid w:val="0095199A"/>
    <w:rsid w:val="00951CBC"/>
    <w:rsid w:val="00951D74"/>
    <w:rsid w:val="00952B63"/>
    <w:rsid w:val="009548B3"/>
    <w:rsid w:val="0095526E"/>
    <w:rsid w:val="00955E8F"/>
    <w:rsid w:val="00956A5D"/>
    <w:rsid w:val="0095729C"/>
    <w:rsid w:val="009577DB"/>
    <w:rsid w:val="00957E6E"/>
    <w:rsid w:val="00957F33"/>
    <w:rsid w:val="0096212A"/>
    <w:rsid w:val="00962628"/>
    <w:rsid w:val="0096342F"/>
    <w:rsid w:val="00965FBD"/>
    <w:rsid w:val="0096706E"/>
    <w:rsid w:val="009705DF"/>
    <w:rsid w:val="00971339"/>
    <w:rsid w:val="00971AFC"/>
    <w:rsid w:val="009722C8"/>
    <w:rsid w:val="00972682"/>
    <w:rsid w:val="00972726"/>
    <w:rsid w:val="00973CBA"/>
    <w:rsid w:val="0097476A"/>
    <w:rsid w:val="0097497C"/>
    <w:rsid w:val="00974CFC"/>
    <w:rsid w:val="00975C4E"/>
    <w:rsid w:val="00976AFA"/>
    <w:rsid w:val="00977043"/>
    <w:rsid w:val="009800CB"/>
    <w:rsid w:val="00981837"/>
    <w:rsid w:val="00981FBA"/>
    <w:rsid w:val="00983299"/>
    <w:rsid w:val="00983B90"/>
    <w:rsid w:val="00984419"/>
    <w:rsid w:val="00984E9F"/>
    <w:rsid w:val="00986583"/>
    <w:rsid w:val="00986D5F"/>
    <w:rsid w:val="00986F0B"/>
    <w:rsid w:val="00987B88"/>
    <w:rsid w:val="009902DF"/>
    <w:rsid w:val="0099103B"/>
    <w:rsid w:val="00997BC5"/>
    <w:rsid w:val="00997FAA"/>
    <w:rsid w:val="009A014B"/>
    <w:rsid w:val="009A02FF"/>
    <w:rsid w:val="009A0BE3"/>
    <w:rsid w:val="009A240E"/>
    <w:rsid w:val="009A2FD9"/>
    <w:rsid w:val="009A4F41"/>
    <w:rsid w:val="009A5186"/>
    <w:rsid w:val="009A5745"/>
    <w:rsid w:val="009A717B"/>
    <w:rsid w:val="009A719F"/>
    <w:rsid w:val="009A79B6"/>
    <w:rsid w:val="009B20BA"/>
    <w:rsid w:val="009B35E6"/>
    <w:rsid w:val="009B36A2"/>
    <w:rsid w:val="009B381B"/>
    <w:rsid w:val="009B4827"/>
    <w:rsid w:val="009B488E"/>
    <w:rsid w:val="009B4898"/>
    <w:rsid w:val="009B4F60"/>
    <w:rsid w:val="009C08CF"/>
    <w:rsid w:val="009C0AFD"/>
    <w:rsid w:val="009C2485"/>
    <w:rsid w:val="009C3624"/>
    <w:rsid w:val="009C4EAA"/>
    <w:rsid w:val="009C4F34"/>
    <w:rsid w:val="009C605D"/>
    <w:rsid w:val="009C64A9"/>
    <w:rsid w:val="009C712C"/>
    <w:rsid w:val="009C7646"/>
    <w:rsid w:val="009D0C3F"/>
    <w:rsid w:val="009D1203"/>
    <w:rsid w:val="009D1753"/>
    <w:rsid w:val="009D179B"/>
    <w:rsid w:val="009D1F0E"/>
    <w:rsid w:val="009D34EB"/>
    <w:rsid w:val="009D5606"/>
    <w:rsid w:val="009D5733"/>
    <w:rsid w:val="009D5D85"/>
    <w:rsid w:val="009D67D6"/>
    <w:rsid w:val="009D7611"/>
    <w:rsid w:val="009D7A58"/>
    <w:rsid w:val="009E0B61"/>
    <w:rsid w:val="009E16BF"/>
    <w:rsid w:val="009E1788"/>
    <w:rsid w:val="009E39FD"/>
    <w:rsid w:val="009E53DE"/>
    <w:rsid w:val="009E6C74"/>
    <w:rsid w:val="009E773A"/>
    <w:rsid w:val="009F03AC"/>
    <w:rsid w:val="009F2B16"/>
    <w:rsid w:val="009F30D5"/>
    <w:rsid w:val="009F571E"/>
    <w:rsid w:val="009F6DFE"/>
    <w:rsid w:val="009F708C"/>
    <w:rsid w:val="009F7144"/>
    <w:rsid w:val="00A00AC7"/>
    <w:rsid w:val="00A00FFB"/>
    <w:rsid w:val="00A034B7"/>
    <w:rsid w:val="00A04D90"/>
    <w:rsid w:val="00A05E83"/>
    <w:rsid w:val="00A0650D"/>
    <w:rsid w:val="00A1095D"/>
    <w:rsid w:val="00A1237A"/>
    <w:rsid w:val="00A12478"/>
    <w:rsid w:val="00A14765"/>
    <w:rsid w:val="00A14FC5"/>
    <w:rsid w:val="00A16EE6"/>
    <w:rsid w:val="00A23561"/>
    <w:rsid w:val="00A24AD5"/>
    <w:rsid w:val="00A2598E"/>
    <w:rsid w:val="00A26924"/>
    <w:rsid w:val="00A328B3"/>
    <w:rsid w:val="00A32E31"/>
    <w:rsid w:val="00A33B1E"/>
    <w:rsid w:val="00A34BBD"/>
    <w:rsid w:val="00A3546E"/>
    <w:rsid w:val="00A360E9"/>
    <w:rsid w:val="00A41E99"/>
    <w:rsid w:val="00A42AFD"/>
    <w:rsid w:val="00A43F13"/>
    <w:rsid w:val="00A461D7"/>
    <w:rsid w:val="00A47BA1"/>
    <w:rsid w:val="00A50FCF"/>
    <w:rsid w:val="00A510E2"/>
    <w:rsid w:val="00A524A2"/>
    <w:rsid w:val="00A528D1"/>
    <w:rsid w:val="00A530F4"/>
    <w:rsid w:val="00A54EF3"/>
    <w:rsid w:val="00A55BB7"/>
    <w:rsid w:val="00A55D02"/>
    <w:rsid w:val="00A561C6"/>
    <w:rsid w:val="00A567EE"/>
    <w:rsid w:val="00A60964"/>
    <w:rsid w:val="00A610CD"/>
    <w:rsid w:val="00A6159D"/>
    <w:rsid w:val="00A623CD"/>
    <w:rsid w:val="00A638CD"/>
    <w:rsid w:val="00A6392E"/>
    <w:rsid w:val="00A64CE2"/>
    <w:rsid w:val="00A67632"/>
    <w:rsid w:val="00A71244"/>
    <w:rsid w:val="00A7237C"/>
    <w:rsid w:val="00A73A2E"/>
    <w:rsid w:val="00A74DE9"/>
    <w:rsid w:val="00A75E63"/>
    <w:rsid w:val="00A761A7"/>
    <w:rsid w:val="00A7729A"/>
    <w:rsid w:val="00A80BDE"/>
    <w:rsid w:val="00A814FA"/>
    <w:rsid w:val="00A81CB9"/>
    <w:rsid w:val="00A81F01"/>
    <w:rsid w:val="00A87C1E"/>
    <w:rsid w:val="00A87CC8"/>
    <w:rsid w:val="00A91634"/>
    <w:rsid w:val="00A92A43"/>
    <w:rsid w:val="00A935AD"/>
    <w:rsid w:val="00A9504C"/>
    <w:rsid w:val="00A95AD7"/>
    <w:rsid w:val="00A95C2E"/>
    <w:rsid w:val="00A963F7"/>
    <w:rsid w:val="00A967F9"/>
    <w:rsid w:val="00A97FD5"/>
    <w:rsid w:val="00AA0287"/>
    <w:rsid w:val="00AA09A2"/>
    <w:rsid w:val="00AA0FC0"/>
    <w:rsid w:val="00AA235A"/>
    <w:rsid w:val="00AA27DA"/>
    <w:rsid w:val="00AA2C11"/>
    <w:rsid w:val="00AA35FC"/>
    <w:rsid w:val="00AA382F"/>
    <w:rsid w:val="00AA3CFA"/>
    <w:rsid w:val="00AA7996"/>
    <w:rsid w:val="00AB03E4"/>
    <w:rsid w:val="00AB1159"/>
    <w:rsid w:val="00AB1F66"/>
    <w:rsid w:val="00AB2FB5"/>
    <w:rsid w:val="00AB325E"/>
    <w:rsid w:val="00AB533F"/>
    <w:rsid w:val="00AB6BE5"/>
    <w:rsid w:val="00AB7955"/>
    <w:rsid w:val="00AC1400"/>
    <w:rsid w:val="00AC19CB"/>
    <w:rsid w:val="00AC1AAB"/>
    <w:rsid w:val="00AC3E37"/>
    <w:rsid w:val="00AC475B"/>
    <w:rsid w:val="00AC55D4"/>
    <w:rsid w:val="00AD087F"/>
    <w:rsid w:val="00AD0EC4"/>
    <w:rsid w:val="00AD23A2"/>
    <w:rsid w:val="00AD25D0"/>
    <w:rsid w:val="00AD4033"/>
    <w:rsid w:val="00AD5479"/>
    <w:rsid w:val="00AD5731"/>
    <w:rsid w:val="00AD6978"/>
    <w:rsid w:val="00AD74A5"/>
    <w:rsid w:val="00AE067E"/>
    <w:rsid w:val="00AE0ED2"/>
    <w:rsid w:val="00AE27ED"/>
    <w:rsid w:val="00AE31B7"/>
    <w:rsid w:val="00AE3D17"/>
    <w:rsid w:val="00AE5488"/>
    <w:rsid w:val="00AE645D"/>
    <w:rsid w:val="00AE6F91"/>
    <w:rsid w:val="00AE74DD"/>
    <w:rsid w:val="00AF0711"/>
    <w:rsid w:val="00AF22C5"/>
    <w:rsid w:val="00AF4830"/>
    <w:rsid w:val="00AF511F"/>
    <w:rsid w:val="00AF5571"/>
    <w:rsid w:val="00AF6EEC"/>
    <w:rsid w:val="00AF7988"/>
    <w:rsid w:val="00AF7D33"/>
    <w:rsid w:val="00AF7DA0"/>
    <w:rsid w:val="00B010AE"/>
    <w:rsid w:val="00B0169E"/>
    <w:rsid w:val="00B020BB"/>
    <w:rsid w:val="00B02A4A"/>
    <w:rsid w:val="00B056F7"/>
    <w:rsid w:val="00B05F2E"/>
    <w:rsid w:val="00B07184"/>
    <w:rsid w:val="00B07341"/>
    <w:rsid w:val="00B07EE9"/>
    <w:rsid w:val="00B10373"/>
    <w:rsid w:val="00B10A15"/>
    <w:rsid w:val="00B10D0D"/>
    <w:rsid w:val="00B11096"/>
    <w:rsid w:val="00B11DB9"/>
    <w:rsid w:val="00B11E17"/>
    <w:rsid w:val="00B12234"/>
    <w:rsid w:val="00B125B7"/>
    <w:rsid w:val="00B15710"/>
    <w:rsid w:val="00B15C9D"/>
    <w:rsid w:val="00B15CE2"/>
    <w:rsid w:val="00B15F62"/>
    <w:rsid w:val="00B1617F"/>
    <w:rsid w:val="00B16D85"/>
    <w:rsid w:val="00B221AD"/>
    <w:rsid w:val="00B22CD7"/>
    <w:rsid w:val="00B22DB3"/>
    <w:rsid w:val="00B25221"/>
    <w:rsid w:val="00B301F2"/>
    <w:rsid w:val="00B30539"/>
    <w:rsid w:val="00B30F61"/>
    <w:rsid w:val="00B314DB"/>
    <w:rsid w:val="00B31A7F"/>
    <w:rsid w:val="00B33269"/>
    <w:rsid w:val="00B338F7"/>
    <w:rsid w:val="00B34CE7"/>
    <w:rsid w:val="00B34E10"/>
    <w:rsid w:val="00B3598E"/>
    <w:rsid w:val="00B361F2"/>
    <w:rsid w:val="00B3718B"/>
    <w:rsid w:val="00B405AB"/>
    <w:rsid w:val="00B426D2"/>
    <w:rsid w:val="00B430B0"/>
    <w:rsid w:val="00B43131"/>
    <w:rsid w:val="00B4632A"/>
    <w:rsid w:val="00B513B1"/>
    <w:rsid w:val="00B52A81"/>
    <w:rsid w:val="00B530F1"/>
    <w:rsid w:val="00B54A0C"/>
    <w:rsid w:val="00B56CA6"/>
    <w:rsid w:val="00B579E5"/>
    <w:rsid w:val="00B60A85"/>
    <w:rsid w:val="00B60D76"/>
    <w:rsid w:val="00B62579"/>
    <w:rsid w:val="00B6324E"/>
    <w:rsid w:val="00B632D6"/>
    <w:rsid w:val="00B6396F"/>
    <w:rsid w:val="00B677C9"/>
    <w:rsid w:val="00B679E7"/>
    <w:rsid w:val="00B67B3A"/>
    <w:rsid w:val="00B67DDA"/>
    <w:rsid w:val="00B7039E"/>
    <w:rsid w:val="00B778DF"/>
    <w:rsid w:val="00B81699"/>
    <w:rsid w:val="00B81AFC"/>
    <w:rsid w:val="00B825D9"/>
    <w:rsid w:val="00B84C02"/>
    <w:rsid w:val="00B84C95"/>
    <w:rsid w:val="00B859FF"/>
    <w:rsid w:val="00B85ED9"/>
    <w:rsid w:val="00B86D49"/>
    <w:rsid w:val="00B87B9B"/>
    <w:rsid w:val="00B9269C"/>
    <w:rsid w:val="00B9341A"/>
    <w:rsid w:val="00B94144"/>
    <w:rsid w:val="00B9442E"/>
    <w:rsid w:val="00B9565C"/>
    <w:rsid w:val="00B95793"/>
    <w:rsid w:val="00B97551"/>
    <w:rsid w:val="00BA276C"/>
    <w:rsid w:val="00BA461E"/>
    <w:rsid w:val="00BA46DA"/>
    <w:rsid w:val="00BA4EFE"/>
    <w:rsid w:val="00BA647B"/>
    <w:rsid w:val="00BA67C1"/>
    <w:rsid w:val="00BA7BB9"/>
    <w:rsid w:val="00BA7F02"/>
    <w:rsid w:val="00BB2C0F"/>
    <w:rsid w:val="00BB306F"/>
    <w:rsid w:val="00BB36BA"/>
    <w:rsid w:val="00BB46FF"/>
    <w:rsid w:val="00BB5038"/>
    <w:rsid w:val="00BC1180"/>
    <w:rsid w:val="00BC1231"/>
    <w:rsid w:val="00BC2E3D"/>
    <w:rsid w:val="00BC5290"/>
    <w:rsid w:val="00BD0A41"/>
    <w:rsid w:val="00BD0F6F"/>
    <w:rsid w:val="00BD1940"/>
    <w:rsid w:val="00BD252E"/>
    <w:rsid w:val="00BD37D0"/>
    <w:rsid w:val="00BD4B7E"/>
    <w:rsid w:val="00BD4B89"/>
    <w:rsid w:val="00BD679B"/>
    <w:rsid w:val="00BD70B1"/>
    <w:rsid w:val="00BE0C0E"/>
    <w:rsid w:val="00BE1DA0"/>
    <w:rsid w:val="00BE30B2"/>
    <w:rsid w:val="00BE3449"/>
    <w:rsid w:val="00BE3EE2"/>
    <w:rsid w:val="00BE414C"/>
    <w:rsid w:val="00BE4FB2"/>
    <w:rsid w:val="00BE532C"/>
    <w:rsid w:val="00BE6192"/>
    <w:rsid w:val="00BE78F0"/>
    <w:rsid w:val="00BE7E6E"/>
    <w:rsid w:val="00BF02CB"/>
    <w:rsid w:val="00BF11D3"/>
    <w:rsid w:val="00BF1E2E"/>
    <w:rsid w:val="00BF1EAD"/>
    <w:rsid w:val="00BF399B"/>
    <w:rsid w:val="00BF39B9"/>
    <w:rsid w:val="00BF4691"/>
    <w:rsid w:val="00BF69AD"/>
    <w:rsid w:val="00BF6FD8"/>
    <w:rsid w:val="00C017EE"/>
    <w:rsid w:val="00C02D26"/>
    <w:rsid w:val="00C031E3"/>
    <w:rsid w:val="00C0343C"/>
    <w:rsid w:val="00C03680"/>
    <w:rsid w:val="00C03938"/>
    <w:rsid w:val="00C04ACA"/>
    <w:rsid w:val="00C054DF"/>
    <w:rsid w:val="00C065CA"/>
    <w:rsid w:val="00C11237"/>
    <w:rsid w:val="00C11B24"/>
    <w:rsid w:val="00C12106"/>
    <w:rsid w:val="00C13953"/>
    <w:rsid w:val="00C1483C"/>
    <w:rsid w:val="00C21762"/>
    <w:rsid w:val="00C24543"/>
    <w:rsid w:val="00C24DEA"/>
    <w:rsid w:val="00C24F6C"/>
    <w:rsid w:val="00C24F75"/>
    <w:rsid w:val="00C25324"/>
    <w:rsid w:val="00C256A2"/>
    <w:rsid w:val="00C27D31"/>
    <w:rsid w:val="00C27E26"/>
    <w:rsid w:val="00C27EAE"/>
    <w:rsid w:val="00C32F5F"/>
    <w:rsid w:val="00C34451"/>
    <w:rsid w:val="00C35DA5"/>
    <w:rsid w:val="00C40789"/>
    <w:rsid w:val="00C40AE8"/>
    <w:rsid w:val="00C41F58"/>
    <w:rsid w:val="00C434F3"/>
    <w:rsid w:val="00C44149"/>
    <w:rsid w:val="00C44B7C"/>
    <w:rsid w:val="00C44BAF"/>
    <w:rsid w:val="00C45EC3"/>
    <w:rsid w:val="00C46EE5"/>
    <w:rsid w:val="00C473F3"/>
    <w:rsid w:val="00C51106"/>
    <w:rsid w:val="00C51515"/>
    <w:rsid w:val="00C522ED"/>
    <w:rsid w:val="00C52B96"/>
    <w:rsid w:val="00C537D4"/>
    <w:rsid w:val="00C55194"/>
    <w:rsid w:val="00C5602B"/>
    <w:rsid w:val="00C5660B"/>
    <w:rsid w:val="00C5760F"/>
    <w:rsid w:val="00C60697"/>
    <w:rsid w:val="00C60A69"/>
    <w:rsid w:val="00C618C4"/>
    <w:rsid w:val="00C620E8"/>
    <w:rsid w:val="00C62A75"/>
    <w:rsid w:val="00C639F4"/>
    <w:rsid w:val="00C64567"/>
    <w:rsid w:val="00C6601E"/>
    <w:rsid w:val="00C66341"/>
    <w:rsid w:val="00C66B72"/>
    <w:rsid w:val="00C67C37"/>
    <w:rsid w:val="00C71937"/>
    <w:rsid w:val="00C72E16"/>
    <w:rsid w:val="00C7313D"/>
    <w:rsid w:val="00C73697"/>
    <w:rsid w:val="00C7371F"/>
    <w:rsid w:val="00C74155"/>
    <w:rsid w:val="00C7496A"/>
    <w:rsid w:val="00C769E6"/>
    <w:rsid w:val="00C76AE4"/>
    <w:rsid w:val="00C77482"/>
    <w:rsid w:val="00C7798A"/>
    <w:rsid w:val="00C807A3"/>
    <w:rsid w:val="00C807B3"/>
    <w:rsid w:val="00C810D8"/>
    <w:rsid w:val="00C823B7"/>
    <w:rsid w:val="00C8292F"/>
    <w:rsid w:val="00C84962"/>
    <w:rsid w:val="00C84BFE"/>
    <w:rsid w:val="00C85803"/>
    <w:rsid w:val="00C869FE"/>
    <w:rsid w:val="00C90BA6"/>
    <w:rsid w:val="00C910CF"/>
    <w:rsid w:val="00C9142C"/>
    <w:rsid w:val="00C91895"/>
    <w:rsid w:val="00C93060"/>
    <w:rsid w:val="00C934AF"/>
    <w:rsid w:val="00C942CE"/>
    <w:rsid w:val="00C9567A"/>
    <w:rsid w:val="00C95C0C"/>
    <w:rsid w:val="00C9675C"/>
    <w:rsid w:val="00C9690E"/>
    <w:rsid w:val="00C97129"/>
    <w:rsid w:val="00CA08FD"/>
    <w:rsid w:val="00CA0B47"/>
    <w:rsid w:val="00CA2215"/>
    <w:rsid w:val="00CA3EB1"/>
    <w:rsid w:val="00CA4536"/>
    <w:rsid w:val="00CA714C"/>
    <w:rsid w:val="00CB0589"/>
    <w:rsid w:val="00CB064D"/>
    <w:rsid w:val="00CB0919"/>
    <w:rsid w:val="00CB1F61"/>
    <w:rsid w:val="00CB1FF7"/>
    <w:rsid w:val="00CB212D"/>
    <w:rsid w:val="00CB2583"/>
    <w:rsid w:val="00CB2660"/>
    <w:rsid w:val="00CB4552"/>
    <w:rsid w:val="00CB74C0"/>
    <w:rsid w:val="00CB7AB0"/>
    <w:rsid w:val="00CC2B8C"/>
    <w:rsid w:val="00CC4477"/>
    <w:rsid w:val="00CC5E90"/>
    <w:rsid w:val="00CC60B0"/>
    <w:rsid w:val="00CC63CF"/>
    <w:rsid w:val="00CD046C"/>
    <w:rsid w:val="00CD0C57"/>
    <w:rsid w:val="00CD1335"/>
    <w:rsid w:val="00CD1488"/>
    <w:rsid w:val="00CD5CBA"/>
    <w:rsid w:val="00CE053E"/>
    <w:rsid w:val="00CE076C"/>
    <w:rsid w:val="00CE1D3F"/>
    <w:rsid w:val="00CE37F1"/>
    <w:rsid w:val="00CE4F64"/>
    <w:rsid w:val="00CE5199"/>
    <w:rsid w:val="00CE54AE"/>
    <w:rsid w:val="00CE66D5"/>
    <w:rsid w:val="00CE7C18"/>
    <w:rsid w:val="00CF03D6"/>
    <w:rsid w:val="00CF0CAB"/>
    <w:rsid w:val="00CF1381"/>
    <w:rsid w:val="00CF1DEF"/>
    <w:rsid w:val="00CF301B"/>
    <w:rsid w:val="00CF5429"/>
    <w:rsid w:val="00CF637A"/>
    <w:rsid w:val="00CF6EC7"/>
    <w:rsid w:val="00CF7017"/>
    <w:rsid w:val="00D00784"/>
    <w:rsid w:val="00D00BF5"/>
    <w:rsid w:val="00D02002"/>
    <w:rsid w:val="00D0385C"/>
    <w:rsid w:val="00D0443A"/>
    <w:rsid w:val="00D0453A"/>
    <w:rsid w:val="00D04DC7"/>
    <w:rsid w:val="00D059DE"/>
    <w:rsid w:val="00D06372"/>
    <w:rsid w:val="00D0780F"/>
    <w:rsid w:val="00D109AD"/>
    <w:rsid w:val="00D11359"/>
    <w:rsid w:val="00D11B83"/>
    <w:rsid w:val="00D12193"/>
    <w:rsid w:val="00D123DB"/>
    <w:rsid w:val="00D12DD0"/>
    <w:rsid w:val="00D139A8"/>
    <w:rsid w:val="00D13C4A"/>
    <w:rsid w:val="00D13FCE"/>
    <w:rsid w:val="00D144AE"/>
    <w:rsid w:val="00D146B4"/>
    <w:rsid w:val="00D157EF"/>
    <w:rsid w:val="00D17688"/>
    <w:rsid w:val="00D2012A"/>
    <w:rsid w:val="00D20BF8"/>
    <w:rsid w:val="00D21C74"/>
    <w:rsid w:val="00D24D9B"/>
    <w:rsid w:val="00D26BD7"/>
    <w:rsid w:val="00D2740F"/>
    <w:rsid w:val="00D27622"/>
    <w:rsid w:val="00D306D1"/>
    <w:rsid w:val="00D32411"/>
    <w:rsid w:val="00D32E6D"/>
    <w:rsid w:val="00D337AC"/>
    <w:rsid w:val="00D33AAF"/>
    <w:rsid w:val="00D33B17"/>
    <w:rsid w:val="00D34786"/>
    <w:rsid w:val="00D36848"/>
    <w:rsid w:val="00D37092"/>
    <w:rsid w:val="00D37BFC"/>
    <w:rsid w:val="00D4054A"/>
    <w:rsid w:val="00D41671"/>
    <w:rsid w:val="00D435AE"/>
    <w:rsid w:val="00D43DE1"/>
    <w:rsid w:val="00D44046"/>
    <w:rsid w:val="00D45ED5"/>
    <w:rsid w:val="00D46A2C"/>
    <w:rsid w:val="00D479A9"/>
    <w:rsid w:val="00D47A8E"/>
    <w:rsid w:val="00D50C4C"/>
    <w:rsid w:val="00D51516"/>
    <w:rsid w:val="00D528C8"/>
    <w:rsid w:val="00D52D14"/>
    <w:rsid w:val="00D53AE7"/>
    <w:rsid w:val="00D56424"/>
    <w:rsid w:val="00D57DED"/>
    <w:rsid w:val="00D6053C"/>
    <w:rsid w:val="00D60C2C"/>
    <w:rsid w:val="00D611D8"/>
    <w:rsid w:val="00D63EDB"/>
    <w:rsid w:val="00D6553F"/>
    <w:rsid w:val="00D65D4A"/>
    <w:rsid w:val="00D6691D"/>
    <w:rsid w:val="00D66A38"/>
    <w:rsid w:val="00D67259"/>
    <w:rsid w:val="00D70ACC"/>
    <w:rsid w:val="00D712D3"/>
    <w:rsid w:val="00D71422"/>
    <w:rsid w:val="00D7172B"/>
    <w:rsid w:val="00D71A2C"/>
    <w:rsid w:val="00D727C6"/>
    <w:rsid w:val="00D72DC6"/>
    <w:rsid w:val="00D73ABA"/>
    <w:rsid w:val="00D73DD6"/>
    <w:rsid w:val="00D74988"/>
    <w:rsid w:val="00D74D03"/>
    <w:rsid w:val="00D7558D"/>
    <w:rsid w:val="00D773DE"/>
    <w:rsid w:val="00D8100F"/>
    <w:rsid w:val="00D8194C"/>
    <w:rsid w:val="00D81D92"/>
    <w:rsid w:val="00D82B28"/>
    <w:rsid w:val="00D83D73"/>
    <w:rsid w:val="00D845CE"/>
    <w:rsid w:val="00D8511F"/>
    <w:rsid w:val="00D85AE3"/>
    <w:rsid w:val="00D85D24"/>
    <w:rsid w:val="00D85E79"/>
    <w:rsid w:val="00D861FC"/>
    <w:rsid w:val="00D910BA"/>
    <w:rsid w:val="00D91DB5"/>
    <w:rsid w:val="00D92174"/>
    <w:rsid w:val="00D95884"/>
    <w:rsid w:val="00D96E66"/>
    <w:rsid w:val="00D97D82"/>
    <w:rsid w:val="00DA060D"/>
    <w:rsid w:val="00DA2A90"/>
    <w:rsid w:val="00DA6889"/>
    <w:rsid w:val="00DA7B5F"/>
    <w:rsid w:val="00DB034F"/>
    <w:rsid w:val="00DB1BAD"/>
    <w:rsid w:val="00DB283E"/>
    <w:rsid w:val="00DB3427"/>
    <w:rsid w:val="00DB38BC"/>
    <w:rsid w:val="00DB595E"/>
    <w:rsid w:val="00DC11E7"/>
    <w:rsid w:val="00DC2292"/>
    <w:rsid w:val="00DC638A"/>
    <w:rsid w:val="00DC7023"/>
    <w:rsid w:val="00DC769A"/>
    <w:rsid w:val="00DD0FC8"/>
    <w:rsid w:val="00DD14B3"/>
    <w:rsid w:val="00DD20D2"/>
    <w:rsid w:val="00DD2F9B"/>
    <w:rsid w:val="00DD3D86"/>
    <w:rsid w:val="00DD4BFB"/>
    <w:rsid w:val="00DE0151"/>
    <w:rsid w:val="00DE0A20"/>
    <w:rsid w:val="00DE1474"/>
    <w:rsid w:val="00DE26FB"/>
    <w:rsid w:val="00DE3193"/>
    <w:rsid w:val="00DE4587"/>
    <w:rsid w:val="00DE45BF"/>
    <w:rsid w:val="00DE5734"/>
    <w:rsid w:val="00DE7C6E"/>
    <w:rsid w:val="00DF1EC4"/>
    <w:rsid w:val="00DF1F32"/>
    <w:rsid w:val="00DF42B7"/>
    <w:rsid w:val="00E01FFD"/>
    <w:rsid w:val="00E0272E"/>
    <w:rsid w:val="00E02D24"/>
    <w:rsid w:val="00E0340B"/>
    <w:rsid w:val="00E03489"/>
    <w:rsid w:val="00E03E97"/>
    <w:rsid w:val="00E04A90"/>
    <w:rsid w:val="00E06DEC"/>
    <w:rsid w:val="00E07379"/>
    <w:rsid w:val="00E10D4A"/>
    <w:rsid w:val="00E113DD"/>
    <w:rsid w:val="00E1170B"/>
    <w:rsid w:val="00E12950"/>
    <w:rsid w:val="00E12D33"/>
    <w:rsid w:val="00E15096"/>
    <w:rsid w:val="00E15346"/>
    <w:rsid w:val="00E168F0"/>
    <w:rsid w:val="00E170B3"/>
    <w:rsid w:val="00E2094F"/>
    <w:rsid w:val="00E219C7"/>
    <w:rsid w:val="00E220F0"/>
    <w:rsid w:val="00E23EF7"/>
    <w:rsid w:val="00E254E9"/>
    <w:rsid w:val="00E25634"/>
    <w:rsid w:val="00E260C6"/>
    <w:rsid w:val="00E30597"/>
    <w:rsid w:val="00E30D68"/>
    <w:rsid w:val="00E32682"/>
    <w:rsid w:val="00E33127"/>
    <w:rsid w:val="00E33EAB"/>
    <w:rsid w:val="00E3553D"/>
    <w:rsid w:val="00E35D39"/>
    <w:rsid w:val="00E35E50"/>
    <w:rsid w:val="00E41891"/>
    <w:rsid w:val="00E426E9"/>
    <w:rsid w:val="00E4298A"/>
    <w:rsid w:val="00E43157"/>
    <w:rsid w:val="00E448C4"/>
    <w:rsid w:val="00E4496E"/>
    <w:rsid w:val="00E461CE"/>
    <w:rsid w:val="00E462F3"/>
    <w:rsid w:val="00E46EB4"/>
    <w:rsid w:val="00E47370"/>
    <w:rsid w:val="00E47F45"/>
    <w:rsid w:val="00E51120"/>
    <w:rsid w:val="00E531D1"/>
    <w:rsid w:val="00E533EA"/>
    <w:rsid w:val="00E536C9"/>
    <w:rsid w:val="00E54F65"/>
    <w:rsid w:val="00E55A23"/>
    <w:rsid w:val="00E560A0"/>
    <w:rsid w:val="00E56B1C"/>
    <w:rsid w:val="00E56F35"/>
    <w:rsid w:val="00E604E8"/>
    <w:rsid w:val="00E60FE8"/>
    <w:rsid w:val="00E62D84"/>
    <w:rsid w:val="00E641FE"/>
    <w:rsid w:val="00E66781"/>
    <w:rsid w:val="00E66A6D"/>
    <w:rsid w:val="00E71D91"/>
    <w:rsid w:val="00E71F37"/>
    <w:rsid w:val="00E720CA"/>
    <w:rsid w:val="00E73B8E"/>
    <w:rsid w:val="00E76BDE"/>
    <w:rsid w:val="00E7746E"/>
    <w:rsid w:val="00E7759B"/>
    <w:rsid w:val="00E779C8"/>
    <w:rsid w:val="00E80F40"/>
    <w:rsid w:val="00E810C3"/>
    <w:rsid w:val="00E811AB"/>
    <w:rsid w:val="00E81675"/>
    <w:rsid w:val="00E819A6"/>
    <w:rsid w:val="00E84EB5"/>
    <w:rsid w:val="00E85662"/>
    <w:rsid w:val="00E8789F"/>
    <w:rsid w:val="00E87DE1"/>
    <w:rsid w:val="00E87DE2"/>
    <w:rsid w:val="00E909AA"/>
    <w:rsid w:val="00E91D54"/>
    <w:rsid w:val="00E94B86"/>
    <w:rsid w:val="00E954FA"/>
    <w:rsid w:val="00E97A03"/>
    <w:rsid w:val="00E97B71"/>
    <w:rsid w:val="00EA10CA"/>
    <w:rsid w:val="00EA2330"/>
    <w:rsid w:val="00EA235D"/>
    <w:rsid w:val="00EA3D34"/>
    <w:rsid w:val="00EA4041"/>
    <w:rsid w:val="00EA4498"/>
    <w:rsid w:val="00EB0A4F"/>
    <w:rsid w:val="00EB0F7F"/>
    <w:rsid w:val="00EB100E"/>
    <w:rsid w:val="00EB1D49"/>
    <w:rsid w:val="00EB2BEF"/>
    <w:rsid w:val="00EB454D"/>
    <w:rsid w:val="00EB4CF4"/>
    <w:rsid w:val="00EB51E4"/>
    <w:rsid w:val="00EB5667"/>
    <w:rsid w:val="00EB657F"/>
    <w:rsid w:val="00EC0397"/>
    <w:rsid w:val="00EC0881"/>
    <w:rsid w:val="00EC2D58"/>
    <w:rsid w:val="00EC3640"/>
    <w:rsid w:val="00EC3809"/>
    <w:rsid w:val="00EC46A0"/>
    <w:rsid w:val="00ED3B32"/>
    <w:rsid w:val="00ED51CA"/>
    <w:rsid w:val="00ED62E7"/>
    <w:rsid w:val="00ED6C64"/>
    <w:rsid w:val="00ED6CCE"/>
    <w:rsid w:val="00ED72EC"/>
    <w:rsid w:val="00ED76BE"/>
    <w:rsid w:val="00EE119E"/>
    <w:rsid w:val="00EE1C3F"/>
    <w:rsid w:val="00EE3A42"/>
    <w:rsid w:val="00EE41DD"/>
    <w:rsid w:val="00EE447A"/>
    <w:rsid w:val="00EE5A66"/>
    <w:rsid w:val="00EE632A"/>
    <w:rsid w:val="00EE6A70"/>
    <w:rsid w:val="00EE723E"/>
    <w:rsid w:val="00EE72E5"/>
    <w:rsid w:val="00EE73E6"/>
    <w:rsid w:val="00EF0D3C"/>
    <w:rsid w:val="00EF42D2"/>
    <w:rsid w:val="00EF5682"/>
    <w:rsid w:val="00EF596C"/>
    <w:rsid w:val="00EF619B"/>
    <w:rsid w:val="00EF65B8"/>
    <w:rsid w:val="00F00B55"/>
    <w:rsid w:val="00F0159E"/>
    <w:rsid w:val="00F01FB8"/>
    <w:rsid w:val="00F027D2"/>
    <w:rsid w:val="00F02AD1"/>
    <w:rsid w:val="00F03CAA"/>
    <w:rsid w:val="00F0506D"/>
    <w:rsid w:val="00F054B0"/>
    <w:rsid w:val="00F058FE"/>
    <w:rsid w:val="00F072A0"/>
    <w:rsid w:val="00F113D0"/>
    <w:rsid w:val="00F118D7"/>
    <w:rsid w:val="00F11E52"/>
    <w:rsid w:val="00F159EF"/>
    <w:rsid w:val="00F16894"/>
    <w:rsid w:val="00F1706E"/>
    <w:rsid w:val="00F20BA3"/>
    <w:rsid w:val="00F21C69"/>
    <w:rsid w:val="00F21E9F"/>
    <w:rsid w:val="00F232DA"/>
    <w:rsid w:val="00F247FE"/>
    <w:rsid w:val="00F249F9"/>
    <w:rsid w:val="00F25310"/>
    <w:rsid w:val="00F253CC"/>
    <w:rsid w:val="00F265B0"/>
    <w:rsid w:val="00F26656"/>
    <w:rsid w:val="00F27191"/>
    <w:rsid w:val="00F274CE"/>
    <w:rsid w:val="00F31594"/>
    <w:rsid w:val="00F31E86"/>
    <w:rsid w:val="00F34C40"/>
    <w:rsid w:val="00F35A15"/>
    <w:rsid w:val="00F35BC4"/>
    <w:rsid w:val="00F37106"/>
    <w:rsid w:val="00F37478"/>
    <w:rsid w:val="00F37AD8"/>
    <w:rsid w:val="00F42D31"/>
    <w:rsid w:val="00F42EDF"/>
    <w:rsid w:val="00F519CF"/>
    <w:rsid w:val="00F525D2"/>
    <w:rsid w:val="00F55954"/>
    <w:rsid w:val="00F56B8E"/>
    <w:rsid w:val="00F56BA5"/>
    <w:rsid w:val="00F602D3"/>
    <w:rsid w:val="00F60389"/>
    <w:rsid w:val="00F60692"/>
    <w:rsid w:val="00F60864"/>
    <w:rsid w:val="00F60E22"/>
    <w:rsid w:val="00F655D6"/>
    <w:rsid w:val="00F674E7"/>
    <w:rsid w:val="00F67A0F"/>
    <w:rsid w:val="00F67C97"/>
    <w:rsid w:val="00F71557"/>
    <w:rsid w:val="00F72E5B"/>
    <w:rsid w:val="00F73104"/>
    <w:rsid w:val="00F73BD3"/>
    <w:rsid w:val="00F74072"/>
    <w:rsid w:val="00F74C85"/>
    <w:rsid w:val="00F77D85"/>
    <w:rsid w:val="00F805FB"/>
    <w:rsid w:val="00F81123"/>
    <w:rsid w:val="00F81395"/>
    <w:rsid w:val="00F81576"/>
    <w:rsid w:val="00F8324E"/>
    <w:rsid w:val="00F83263"/>
    <w:rsid w:val="00F852A0"/>
    <w:rsid w:val="00F86022"/>
    <w:rsid w:val="00F902EB"/>
    <w:rsid w:val="00F917D1"/>
    <w:rsid w:val="00F93943"/>
    <w:rsid w:val="00F95138"/>
    <w:rsid w:val="00F9516F"/>
    <w:rsid w:val="00F964D8"/>
    <w:rsid w:val="00F9653B"/>
    <w:rsid w:val="00FA0C4F"/>
    <w:rsid w:val="00FA16B9"/>
    <w:rsid w:val="00FA4FBE"/>
    <w:rsid w:val="00FA7D4B"/>
    <w:rsid w:val="00FB3099"/>
    <w:rsid w:val="00FB62CF"/>
    <w:rsid w:val="00FB6445"/>
    <w:rsid w:val="00FB706F"/>
    <w:rsid w:val="00FC3195"/>
    <w:rsid w:val="00FC4BE5"/>
    <w:rsid w:val="00FC5E2A"/>
    <w:rsid w:val="00FC67A3"/>
    <w:rsid w:val="00FC693F"/>
    <w:rsid w:val="00FC6D2E"/>
    <w:rsid w:val="00FC7D8E"/>
    <w:rsid w:val="00FD05A3"/>
    <w:rsid w:val="00FD3C3B"/>
    <w:rsid w:val="00FD453A"/>
    <w:rsid w:val="00FD505D"/>
    <w:rsid w:val="00FD5A99"/>
    <w:rsid w:val="00FE051D"/>
    <w:rsid w:val="00FE07DD"/>
    <w:rsid w:val="00FE27D0"/>
    <w:rsid w:val="00FE2D65"/>
    <w:rsid w:val="00FE36F3"/>
    <w:rsid w:val="00FE3F9B"/>
    <w:rsid w:val="00FE40CA"/>
    <w:rsid w:val="00FE41F5"/>
    <w:rsid w:val="00FE446E"/>
    <w:rsid w:val="00FE4977"/>
    <w:rsid w:val="00FE49E2"/>
    <w:rsid w:val="00FE6B45"/>
    <w:rsid w:val="00FF155F"/>
    <w:rsid w:val="00FF2FB2"/>
    <w:rsid w:val="00FF482E"/>
    <w:rsid w:val="00FF50AF"/>
    <w:rsid w:val="00FF55F3"/>
    <w:rsid w:val="00FF5851"/>
    <w:rsid w:val="00FF6916"/>
    <w:rsid w:val="00FF71DB"/>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89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s-CO" w:eastAsia="en-US"/>
    </w:rPr>
  </w:style>
  <w:style w:type="paragraph" w:styleId="Heading1">
    <w:name w:val="heading 1"/>
    <w:basedOn w:val="Normal"/>
    <w:next w:val="Normal"/>
    <w:link w:val="Heading1Char"/>
    <w:uiPriority w:val="9"/>
    <w:qFormat/>
    <w:rsid w:val="00537CC4"/>
    <w:pPr>
      <w:keepNext/>
      <w:keepLines/>
      <w:numPr>
        <w:numId w:val="53"/>
      </w:numPr>
      <w:outlineLvl w:val="0"/>
    </w:pPr>
    <w:rPr>
      <w:rFonts w:asciiTheme="majorHAnsi" w:eastAsiaTheme="majorEastAsia" w:hAnsiTheme="majorHAnsi" w:cstheme="majorBidi"/>
      <w:b/>
      <w:bCs/>
      <w:sz w:val="20"/>
      <w:szCs w:val="28"/>
    </w:rPr>
  </w:style>
  <w:style w:type="paragraph" w:styleId="Heading2">
    <w:name w:val="heading 2"/>
    <w:basedOn w:val="Normal"/>
    <w:next w:val="Normal"/>
    <w:link w:val="Heading2Char"/>
    <w:qFormat/>
    <w:rsid w:val="00392EC4"/>
    <w:pPr>
      <w:keepNext/>
      <w:numPr>
        <w:numId w:val="63"/>
      </w:numPr>
      <w:pBdr>
        <w:top w:val="none" w:sz="0" w:space="0" w:color="auto"/>
        <w:left w:val="none" w:sz="0" w:space="0" w:color="auto"/>
        <w:bottom w:val="none" w:sz="0" w:space="0" w:color="auto"/>
        <w:right w:val="none" w:sz="0" w:space="0" w:color="auto"/>
        <w:between w:val="none" w:sz="0" w:space="0" w:color="auto"/>
        <w:bar w:val="none" w:sz="0" w:color="auto"/>
      </w:pBdr>
      <w:outlineLvl w:val="1"/>
    </w:pPr>
    <w:rPr>
      <w:rFonts w:ascii="Cambria" w:eastAsia="Times New Roman" w:hAnsi="Cambria" w:cs="Arial"/>
      <w:b/>
      <w:bCs/>
      <w:iCs/>
      <w:sz w:val="20"/>
      <w:szCs w:val="28"/>
      <w:bdr w:val="none" w:sz="0" w:space="0" w:color="auto"/>
    </w:rPr>
  </w:style>
  <w:style w:type="paragraph" w:styleId="Heading3">
    <w:name w:val="heading 3"/>
    <w:basedOn w:val="Normal"/>
    <w:next w:val="Normal"/>
    <w:link w:val="Heading3Char"/>
    <w:qFormat/>
    <w:rsid w:val="00392EC4"/>
    <w:pPr>
      <w:keepNext/>
      <w:numPr>
        <w:numId w:val="70"/>
      </w:numPr>
      <w:pBdr>
        <w:top w:val="none" w:sz="0" w:space="0" w:color="auto"/>
        <w:left w:val="none" w:sz="0" w:space="0" w:color="auto"/>
        <w:bottom w:val="none" w:sz="0" w:space="0" w:color="auto"/>
        <w:right w:val="none" w:sz="0" w:space="0" w:color="auto"/>
        <w:between w:val="none" w:sz="0" w:space="0" w:color="auto"/>
        <w:bar w:val="none" w:sz="0" w:color="auto"/>
      </w:pBdr>
      <w:ind w:left="0" w:firstLine="0"/>
      <w:outlineLvl w:val="2"/>
    </w:pPr>
    <w:rPr>
      <w:rFonts w:ascii="Cambria" w:eastAsia="Times New Roman" w:hAnsi="Cambria" w:cs="Arial"/>
      <w:b/>
      <w:bCs/>
      <w:sz w:val="20"/>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
    <w:link w:val="ListParagraphChar"/>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sid w:val="00965FBD"/>
    <w:rPr>
      <w:rFonts w:asciiTheme="majorHAnsi" w:eastAsia="Calibri" w:hAnsiTheme="majorHAnsi" w:cs="Calibri"/>
      <w:color w:val="000000"/>
      <w:sz w:val="16"/>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537CC4"/>
    <w:rPr>
      <w:rFonts w:asciiTheme="majorHAnsi" w:eastAsiaTheme="majorEastAsia" w:hAnsiTheme="majorHAnsi" w:cstheme="majorBidi"/>
      <w:b/>
      <w:bCs/>
      <w:szCs w:val="28"/>
      <w:lang w:val="es-CO"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qFormat/>
    <w:rsid w:val="00FC5E2A"/>
    <w:pPr>
      <w:tabs>
        <w:tab w:val="left" w:pos="360"/>
        <w:tab w:val="right" w:leader="dot" w:pos="9540"/>
      </w:tabs>
      <w:spacing w:after="100"/>
      <w:ind w:left="360" w:hanging="360"/>
    </w:pPr>
  </w:style>
  <w:style w:type="paragraph" w:styleId="TOC1">
    <w:name w:val="toc 1"/>
    <w:basedOn w:val="Normal"/>
    <w:next w:val="Normal"/>
    <w:autoRedefine/>
    <w:uiPriority w:val="39"/>
    <w:unhideWhenUsed/>
    <w:qFormat/>
    <w:rsid w:val="00D773DE"/>
    <w:pPr>
      <w:tabs>
        <w:tab w:val="left" w:pos="360"/>
        <w:tab w:val="right" w:leader="dot" w:pos="9514"/>
      </w:tabs>
      <w:spacing w:after="100"/>
    </w:pPr>
    <w:rPr>
      <w:rFonts w:asciiTheme="majorHAnsi" w:hAnsiTheme="majorHAnsi"/>
      <w:b/>
      <w:noProof/>
      <w:sz w:val="20"/>
      <w:szCs w:val="20"/>
    </w:rPr>
  </w:style>
  <w:style w:type="paragraph" w:styleId="TOC3">
    <w:name w:val="toc 3"/>
    <w:basedOn w:val="Normal"/>
    <w:next w:val="Normal"/>
    <w:autoRedefine/>
    <w:uiPriority w:val="39"/>
    <w:unhideWhenUsed/>
    <w:qFormat/>
    <w:rsid w:val="00D773DE"/>
    <w:pPr>
      <w:tabs>
        <w:tab w:val="left" w:pos="360"/>
        <w:tab w:val="left" w:pos="880"/>
        <w:tab w:val="right" w:leader="dot" w:pos="9350"/>
      </w:tabs>
      <w:spacing w:after="100"/>
      <w:ind w:left="360" w:hanging="36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Footnote Reference Cha"/>
    <w:basedOn w:val="DefaultParagraphFont"/>
    <w:link w:val="FootnotesrefssChar1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965FBD"/>
    <w:rPr>
      <w:rFonts w:asciiTheme="majorHAnsi" w:eastAsia="Calibri" w:hAnsiTheme="majorHAnsi" w:cs="Calibri"/>
      <w:color w:val="000000"/>
      <w:sz w:val="16"/>
      <w:u w:color="000000"/>
      <w:lang w:val="en-US"/>
    </w:rPr>
  </w:style>
  <w:style w:type="character" w:customStyle="1" w:styleId="Heading2Char">
    <w:name w:val="Heading 2 Char"/>
    <w:basedOn w:val="DefaultParagraphFont"/>
    <w:link w:val="Heading2"/>
    <w:rsid w:val="00392EC4"/>
    <w:rPr>
      <w:rFonts w:ascii="Cambria" w:eastAsia="Times New Roman" w:hAnsi="Cambria" w:cs="Arial"/>
      <w:b/>
      <w:bCs/>
      <w:iCs/>
      <w:szCs w:val="28"/>
      <w:bdr w:val="none" w:sz="0" w:space="0" w:color="auto"/>
      <w:lang w:val="es-CO" w:eastAsia="en-US"/>
    </w:rPr>
  </w:style>
  <w:style w:type="character" w:customStyle="1" w:styleId="Heading3Char">
    <w:name w:val="Heading 3 Char"/>
    <w:basedOn w:val="DefaultParagraphFont"/>
    <w:link w:val="Heading3"/>
    <w:rsid w:val="00392EC4"/>
    <w:rPr>
      <w:rFonts w:ascii="Cambria" w:eastAsia="Times New Roman" w:hAnsi="Cambria" w:cs="Arial"/>
      <w:b/>
      <w:bCs/>
      <w:szCs w:val="26"/>
      <w:bdr w:val="none" w:sz="0" w:space="0" w:color="auto"/>
      <w:lang w:val="es-CO"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qFormat/>
    <w:rsid w:val="009014A4"/>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4D6618"/>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Verdana" w:hAnsi="Verdana"/>
      <w:sz w:val="22"/>
      <w:szCs w:val="20"/>
      <w:bdr w:val="none" w:sz="0" w:space="0" w:color="auto"/>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
    <w:link w:val="ListParagraph"/>
    <w:uiPriority w:val="34"/>
    <w:locked/>
    <w:rsid w:val="002E4AEA"/>
    <w:rPr>
      <w:rFonts w:ascii="Cambria" w:eastAsia="Cambria" w:hAnsi="Cambria" w:cs="Cambria"/>
      <w:color w:val="000000"/>
      <w:sz w:val="24"/>
      <w:szCs w:val="24"/>
      <w:u w:color="000000"/>
      <w:lang w:val="en-US"/>
    </w:rPr>
  </w:style>
  <w:style w:type="character" w:styleId="CommentReference">
    <w:name w:val="annotation reference"/>
    <w:basedOn w:val="DefaultParagraphFont"/>
    <w:uiPriority w:val="99"/>
    <w:semiHidden/>
    <w:unhideWhenUsed/>
    <w:rsid w:val="008456A1"/>
    <w:rPr>
      <w:sz w:val="16"/>
      <w:szCs w:val="16"/>
    </w:rPr>
  </w:style>
  <w:style w:type="paragraph" w:styleId="CommentText">
    <w:name w:val="annotation text"/>
    <w:basedOn w:val="Normal"/>
    <w:link w:val="CommentTextChar"/>
    <w:uiPriority w:val="99"/>
    <w:unhideWhenUsed/>
    <w:rsid w:val="008456A1"/>
    <w:rPr>
      <w:sz w:val="20"/>
      <w:szCs w:val="20"/>
    </w:rPr>
  </w:style>
  <w:style w:type="character" w:customStyle="1" w:styleId="CommentTextChar">
    <w:name w:val="Comment Text Char"/>
    <w:basedOn w:val="DefaultParagraphFont"/>
    <w:link w:val="CommentText"/>
    <w:uiPriority w:val="99"/>
    <w:rsid w:val="008456A1"/>
    <w:rPr>
      <w:lang w:val="en-US" w:eastAsia="en-US"/>
    </w:rPr>
  </w:style>
  <w:style w:type="paragraph" w:styleId="CommentSubject">
    <w:name w:val="annotation subject"/>
    <w:basedOn w:val="CommentText"/>
    <w:next w:val="CommentText"/>
    <w:link w:val="CommentSubjectChar"/>
    <w:uiPriority w:val="99"/>
    <w:semiHidden/>
    <w:unhideWhenUsed/>
    <w:rsid w:val="008456A1"/>
    <w:rPr>
      <w:b/>
      <w:bCs/>
    </w:rPr>
  </w:style>
  <w:style w:type="character" w:customStyle="1" w:styleId="CommentSubjectChar">
    <w:name w:val="Comment Subject Char"/>
    <w:basedOn w:val="CommentTextChar"/>
    <w:link w:val="CommentSubject"/>
    <w:uiPriority w:val="99"/>
    <w:semiHidden/>
    <w:rsid w:val="008456A1"/>
    <w:rPr>
      <w:b/>
      <w:bCs/>
      <w:lang w:val="en-US" w:eastAsia="en-US"/>
    </w:rPr>
  </w:style>
  <w:style w:type="paragraph" w:styleId="NormalWeb">
    <w:name w:val="Normal (Web)"/>
    <w:aliases w:val="Normal (Web) Char1,Normal (Web) Char Char,Normal (Web) Char1 Char,Normal (Web) Char Char Char"/>
    <w:basedOn w:val="Normal"/>
    <w:uiPriority w:val="99"/>
    <w:unhideWhenUsed/>
    <w:rsid w:val="007F155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US" w:eastAsia="es-US"/>
    </w:rPr>
  </w:style>
  <w:style w:type="character" w:styleId="FollowedHyperlink">
    <w:name w:val="FollowedHyperlink"/>
    <w:basedOn w:val="DefaultParagraphFont"/>
    <w:uiPriority w:val="99"/>
    <w:semiHidden/>
    <w:unhideWhenUsed/>
    <w:rsid w:val="003028A4"/>
    <w:rPr>
      <w:color w:val="800080" w:themeColor="followedHyperlink"/>
      <w:u w:val="single"/>
    </w:rPr>
  </w:style>
  <w:style w:type="character" w:styleId="Strong">
    <w:name w:val="Strong"/>
    <w:basedOn w:val="DefaultParagraphFont"/>
    <w:uiPriority w:val="22"/>
    <w:qFormat/>
    <w:rsid w:val="004A24DE"/>
    <w:rPr>
      <w:b/>
      <w:bCs/>
    </w:rPr>
  </w:style>
  <w:style w:type="paragraph" w:styleId="TOCHeading">
    <w:name w:val="TOC Heading"/>
    <w:basedOn w:val="Heading1"/>
    <w:next w:val="Normal"/>
    <w:uiPriority w:val="39"/>
    <w:unhideWhenUsed/>
    <w:qFormat/>
    <w:rsid w:val="009D5D85"/>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s-CO" w:eastAsia="en-US"/>
    </w:rPr>
  </w:style>
  <w:style w:type="paragraph" w:styleId="Heading1">
    <w:name w:val="heading 1"/>
    <w:basedOn w:val="Normal"/>
    <w:next w:val="Normal"/>
    <w:link w:val="Heading1Char"/>
    <w:uiPriority w:val="9"/>
    <w:qFormat/>
    <w:rsid w:val="00537CC4"/>
    <w:pPr>
      <w:keepNext/>
      <w:keepLines/>
      <w:numPr>
        <w:numId w:val="53"/>
      </w:numPr>
      <w:outlineLvl w:val="0"/>
    </w:pPr>
    <w:rPr>
      <w:rFonts w:asciiTheme="majorHAnsi" w:eastAsiaTheme="majorEastAsia" w:hAnsiTheme="majorHAnsi" w:cstheme="majorBidi"/>
      <w:b/>
      <w:bCs/>
      <w:sz w:val="20"/>
      <w:szCs w:val="28"/>
    </w:rPr>
  </w:style>
  <w:style w:type="paragraph" w:styleId="Heading2">
    <w:name w:val="heading 2"/>
    <w:basedOn w:val="Normal"/>
    <w:next w:val="Normal"/>
    <w:link w:val="Heading2Char"/>
    <w:qFormat/>
    <w:rsid w:val="00392EC4"/>
    <w:pPr>
      <w:keepNext/>
      <w:numPr>
        <w:numId w:val="63"/>
      </w:numPr>
      <w:pBdr>
        <w:top w:val="none" w:sz="0" w:space="0" w:color="auto"/>
        <w:left w:val="none" w:sz="0" w:space="0" w:color="auto"/>
        <w:bottom w:val="none" w:sz="0" w:space="0" w:color="auto"/>
        <w:right w:val="none" w:sz="0" w:space="0" w:color="auto"/>
        <w:between w:val="none" w:sz="0" w:space="0" w:color="auto"/>
        <w:bar w:val="none" w:sz="0" w:color="auto"/>
      </w:pBdr>
      <w:outlineLvl w:val="1"/>
    </w:pPr>
    <w:rPr>
      <w:rFonts w:ascii="Cambria" w:eastAsia="Times New Roman" w:hAnsi="Cambria" w:cs="Arial"/>
      <w:b/>
      <w:bCs/>
      <w:iCs/>
      <w:sz w:val="20"/>
      <w:szCs w:val="28"/>
      <w:bdr w:val="none" w:sz="0" w:space="0" w:color="auto"/>
    </w:rPr>
  </w:style>
  <w:style w:type="paragraph" w:styleId="Heading3">
    <w:name w:val="heading 3"/>
    <w:basedOn w:val="Normal"/>
    <w:next w:val="Normal"/>
    <w:link w:val="Heading3Char"/>
    <w:qFormat/>
    <w:rsid w:val="00392EC4"/>
    <w:pPr>
      <w:keepNext/>
      <w:numPr>
        <w:numId w:val="70"/>
      </w:numPr>
      <w:pBdr>
        <w:top w:val="none" w:sz="0" w:space="0" w:color="auto"/>
        <w:left w:val="none" w:sz="0" w:space="0" w:color="auto"/>
        <w:bottom w:val="none" w:sz="0" w:space="0" w:color="auto"/>
        <w:right w:val="none" w:sz="0" w:space="0" w:color="auto"/>
        <w:between w:val="none" w:sz="0" w:space="0" w:color="auto"/>
        <w:bar w:val="none" w:sz="0" w:color="auto"/>
      </w:pBdr>
      <w:ind w:left="0" w:firstLine="0"/>
      <w:outlineLvl w:val="2"/>
    </w:pPr>
    <w:rPr>
      <w:rFonts w:ascii="Cambria" w:eastAsia="Times New Roman" w:hAnsi="Cambria" w:cs="Arial"/>
      <w:b/>
      <w:bCs/>
      <w:sz w:val="20"/>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
    <w:link w:val="ListParagraphChar"/>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sid w:val="00965FBD"/>
    <w:rPr>
      <w:rFonts w:asciiTheme="majorHAnsi" w:eastAsia="Calibri" w:hAnsiTheme="majorHAnsi" w:cs="Calibri"/>
      <w:color w:val="000000"/>
      <w:sz w:val="16"/>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537CC4"/>
    <w:rPr>
      <w:rFonts w:asciiTheme="majorHAnsi" w:eastAsiaTheme="majorEastAsia" w:hAnsiTheme="majorHAnsi" w:cstheme="majorBidi"/>
      <w:b/>
      <w:bCs/>
      <w:szCs w:val="28"/>
      <w:lang w:val="es-CO"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qFormat/>
    <w:rsid w:val="00FC5E2A"/>
    <w:pPr>
      <w:tabs>
        <w:tab w:val="left" w:pos="360"/>
        <w:tab w:val="right" w:leader="dot" w:pos="9540"/>
      </w:tabs>
      <w:spacing w:after="100"/>
      <w:ind w:left="360" w:hanging="360"/>
    </w:pPr>
  </w:style>
  <w:style w:type="paragraph" w:styleId="TOC1">
    <w:name w:val="toc 1"/>
    <w:basedOn w:val="Normal"/>
    <w:next w:val="Normal"/>
    <w:autoRedefine/>
    <w:uiPriority w:val="39"/>
    <w:unhideWhenUsed/>
    <w:qFormat/>
    <w:rsid w:val="00D773DE"/>
    <w:pPr>
      <w:tabs>
        <w:tab w:val="left" w:pos="360"/>
        <w:tab w:val="right" w:leader="dot" w:pos="9514"/>
      </w:tabs>
      <w:spacing w:after="100"/>
    </w:pPr>
    <w:rPr>
      <w:rFonts w:asciiTheme="majorHAnsi" w:hAnsiTheme="majorHAnsi"/>
      <w:b/>
      <w:noProof/>
      <w:sz w:val="20"/>
      <w:szCs w:val="20"/>
    </w:rPr>
  </w:style>
  <w:style w:type="paragraph" w:styleId="TOC3">
    <w:name w:val="toc 3"/>
    <w:basedOn w:val="Normal"/>
    <w:next w:val="Normal"/>
    <w:autoRedefine/>
    <w:uiPriority w:val="39"/>
    <w:unhideWhenUsed/>
    <w:qFormat/>
    <w:rsid w:val="00D773DE"/>
    <w:pPr>
      <w:tabs>
        <w:tab w:val="left" w:pos="360"/>
        <w:tab w:val="left" w:pos="880"/>
        <w:tab w:val="right" w:leader="dot" w:pos="9350"/>
      </w:tabs>
      <w:spacing w:after="100"/>
      <w:ind w:left="360" w:hanging="36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Footnote Reference Cha"/>
    <w:basedOn w:val="DefaultParagraphFont"/>
    <w:link w:val="FootnotesrefssChar1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965FBD"/>
    <w:rPr>
      <w:rFonts w:asciiTheme="majorHAnsi" w:eastAsia="Calibri" w:hAnsiTheme="majorHAnsi" w:cs="Calibri"/>
      <w:color w:val="000000"/>
      <w:sz w:val="16"/>
      <w:u w:color="000000"/>
      <w:lang w:val="en-US"/>
    </w:rPr>
  </w:style>
  <w:style w:type="character" w:customStyle="1" w:styleId="Heading2Char">
    <w:name w:val="Heading 2 Char"/>
    <w:basedOn w:val="DefaultParagraphFont"/>
    <w:link w:val="Heading2"/>
    <w:rsid w:val="00392EC4"/>
    <w:rPr>
      <w:rFonts w:ascii="Cambria" w:eastAsia="Times New Roman" w:hAnsi="Cambria" w:cs="Arial"/>
      <w:b/>
      <w:bCs/>
      <w:iCs/>
      <w:szCs w:val="28"/>
      <w:bdr w:val="none" w:sz="0" w:space="0" w:color="auto"/>
      <w:lang w:val="es-CO" w:eastAsia="en-US"/>
    </w:rPr>
  </w:style>
  <w:style w:type="character" w:customStyle="1" w:styleId="Heading3Char">
    <w:name w:val="Heading 3 Char"/>
    <w:basedOn w:val="DefaultParagraphFont"/>
    <w:link w:val="Heading3"/>
    <w:rsid w:val="00392EC4"/>
    <w:rPr>
      <w:rFonts w:ascii="Cambria" w:eastAsia="Times New Roman" w:hAnsi="Cambria" w:cs="Arial"/>
      <w:b/>
      <w:bCs/>
      <w:szCs w:val="26"/>
      <w:bdr w:val="none" w:sz="0" w:space="0" w:color="auto"/>
      <w:lang w:val="es-CO"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qFormat/>
    <w:rsid w:val="009014A4"/>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4D6618"/>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Verdana" w:hAnsi="Verdana"/>
      <w:sz w:val="22"/>
      <w:szCs w:val="20"/>
      <w:bdr w:val="none" w:sz="0" w:space="0" w:color="auto"/>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
    <w:link w:val="ListParagraph"/>
    <w:uiPriority w:val="34"/>
    <w:locked/>
    <w:rsid w:val="002E4AEA"/>
    <w:rPr>
      <w:rFonts w:ascii="Cambria" w:eastAsia="Cambria" w:hAnsi="Cambria" w:cs="Cambria"/>
      <w:color w:val="000000"/>
      <w:sz w:val="24"/>
      <w:szCs w:val="24"/>
      <w:u w:color="000000"/>
      <w:lang w:val="en-US"/>
    </w:rPr>
  </w:style>
  <w:style w:type="character" w:styleId="CommentReference">
    <w:name w:val="annotation reference"/>
    <w:basedOn w:val="DefaultParagraphFont"/>
    <w:uiPriority w:val="99"/>
    <w:semiHidden/>
    <w:unhideWhenUsed/>
    <w:rsid w:val="008456A1"/>
    <w:rPr>
      <w:sz w:val="16"/>
      <w:szCs w:val="16"/>
    </w:rPr>
  </w:style>
  <w:style w:type="paragraph" w:styleId="CommentText">
    <w:name w:val="annotation text"/>
    <w:basedOn w:val="Normal"/>
    <w:link w:val="CommentTextChar"/>
    <w:uiPriority w:val="99"/>
    <w:unhideWhenUsed/>
    <w:rsid w:val="008456A1"/>
    <w:rPr>
      <w:sz w:val="20"/>
      <w:szCs w:val="20"/>
    </w:rPr>
  </w:style>
  <w:style w:type="character" w:customStyle="1" w:styleId="CommentTextChar">
    <w:name w:val="Comment Text Char"/>
    <w:basedOn w:val="DefaultParagraphFont"/>
    <w:link w:val="CommentText"/>
    <w:uiPriority w:val="99"/>
    <w:rsid w:val="008456A1"/>
    <w:rPr>
      <w:lang w:val="en-US" w:eastAsia="en-US"/>
    </w:rPr>
  </w:style>
  <w:style w:type="paragraph" w:styleId="CommentSubject">
    <w:name w:val="annotation subject"/>
    <w:basedOn w:val="CommentText"/>
    <w:next w:val="CommentText"/>
    <w:link w:val="CommentSubjectChar"/>
    <w:uiPriority w:val="99"/>
    <w:semiHidden/>
    <w:unhideWhenUsed/>
    <w:rsid w:val="008456A1"/>
    <w:rPr>
      <w:b/>
      <w:bCs/>
    </w:rPr>
  </w:style>
  <w:style w:type="character" w:customStyle="1" w:styleId="CommentSubjectChar">
    <w:name w:val="Comment Subject Char"/>
    <w:basedOn w:val="CommentTextChar"/>
    <w:link w:val="CommentSubject"/>
    <w:uiPriority w:val="99"/>
    <w:semiHidden/>
    <w:rsid w:val="008456A1"/>
    <w:rPr>
      <w:b/>
      <w:bCs/>
      <w:lang w:val="en-US" w:eastAsia="en-US"/>
    </w:rPr>
  </w:style>
  <w:style w:type="paragraph" w:styleId="NormalWeb">
    <w:name w:val="Normal (Web)"/>
    <w:aliases w:val="Normal (Web) Char1,Normal (Web) Char Char,Normal (Web) Char1 Char,Normal (Web) Char Char Char"/>
    <w:basedOn w:val="Normal"/>
    <w:uiPriority w:val="99"/>
    <w:unhideWhenUsed/>
    <w:rsid w:val="007F155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US" w:eastAsia="es-US"/>
    </w:rPr>
  </w:style>
  <w:style w:type="character" w:styleId="FollowedHyperlink">
    <w:name w:val="FollowedHyperlink"/>
    <w:basedOn w:val="DefaultParagraphFont"/>
    <w:uiPriority w:val="99"/>
    <w:semiHidden/>
    <w:unhideWhenUsed/>
    <w:rsid w:val="003028A4"/>
    <w:rPr>
      <w:color w:val="800080" w:themeColor="followedHyperlink"/>
      <w:u w:val="single"/>
    </w:rPr>
  </w:style>
  <w:style w:type="character" w:styleId="Strong">
    <w:name w:val="Strong"/>
    <w:basedOn w:val="DefaultParagraphFont"/>
    <w:uiPriority w:val="22"/>
    <w:qFormat/>
    <w:rsid w:val="004A24DE"/>
    <w:rPr>
      <w:b/>
      <w:bCs/>
    </w:rPr>
  </w:style>
  <w:style w:type="paragraph" w:styleId="TOCHeading">
    <w:name w:val="TOC Heading"/>
    <w:basedOn w:val="Heading1"/>
    <w:next w:val="Normal"/>
    <w:uiPriority w:val="39"/>
    <w:unhideWhenUsed/>
    <w:qFormat/>
    <w:rsid w:val="009D5D85"/>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8816">
      <w:bodyDiv w:val="1"/>
      <w:marLeft w:val="0"/>
      <w:marRight w:val="0"/>
      <w:marTop w:val="0"/>
      <w:marBottom w:val="0"/>
      <w:divBdr>
        <w:top w:val="none" w:sz="0" w:space="0" w:color="auto"/>
        <w:left w:val="none" w:sz="0" w:space="0" w:color="auto"/>
        <w:bottom w:val="none" w:sz="0" w:space="0" w:color="auto"/>
        <w:right w:val="none" w:sz="0" w:space="0" w:color="auto"/>
      </w:divBdr>
    </w:div>
    <w:div w:id="133375114">
      <w:bodyDiv w:val="1"/>
      <w:marLeft w:val="0"/>
      <w:marRight w:val="0"/>
      <w:marTop w:val="0"/>
      <w:marBottom w:val="0"/>
      <w:divBdr>
        <w:top w:val="none" w:sz="0" w:space="0" w:color="auto"/>
        <w:left w:val="none" w:sz="0" w:space="0" w:color="auto"/>
        <w:bottom w:val="none" w:sz="0" w:space="0" w:color="auto"/>
        <w:right w:val="none" w:sz="0" w:space="0" w:color="auto"/>
      </w:divBdr>
    </w:div>
    <w:div w:id="164246536">
      <w:bodyDiv w:val="1"/>
      <w:marLeft w:val="0"/>
      <w:marRight w:val="0"/>
      <w:marTop w:val="0"/>
      <w:marBottom w:val="0"/>
      <w:divBdr>
        <w:top w:val="none" w:sz="0" w:space="0" w:color="auto"/>
        <w:left w:val="none" w:sz="0" w:space="0" w:color="auto"/>
        <w:bottom w:val="none" w:sz="0" w:space="0" w:color="auto"/>
        <w:right w:val="none" w:sz="0" w:space="0" w:color="auto"/>
      </w:divBdr>
    </w:div>
    <w:div w:id="165439557">
      <w:bodyDiv w:val="1"/>
      <w:marLeft w:val="0"/>
      <w:marRight w:val="0"/>
      <w:marTop w:val="0"/>
      <w:marBottom w:val="0"/>
      <w:divBdr>
        <w:top w:val="none" w:sz="0" w:space="0" w:color="auto"/>
        <w:left w:val="none" w:sz="0" w:space="0" w:color="auto"/>
        <w:bottom w:val="none" w:sz="0" w:space="0" w:color="auto"/>
        <w:right w:val="none" w:sz="0" w:space="0" w:color="auto"/>
      </w:divBdr>
    </w:div>
    <w:div w:id="168301694">
      <w:bodyDiv w:val="1"/>
      <w:marLeft w:val="0"/>
      <w:marRight w:val="0"/>
      <w:marTop w:val="0"/>
      <w:marBottom w:val="0"/>
      <w:divBdr>
        <w:top w:val="none" w:sz="0" w:space="0" w:color="auto"/>
        <w:left w:val="none" w:sz="0" w:space="0" w:color="auto"/>
        <w:bottom w:val="none" w:sz="0" w:space="0" w:color="auto"/>
        <w:right w:val="none" w:sz="0" w:space="0" w:color="auto"/>
      </w:divBdr>
    </w:div>
    <w:div w:id="191190711">
      <w:bodyDiv w:val="1"/>
      <w:marLeft w:val="0"/>
      <w:marRight w:val="0"/>
      <w:marTop w:val="0"/>
      <w:marBottom w:val="0"/>
      <w:divBdr>
        <w:top w:val="none" w:sz="0" w:space="0" w:color="auto"/>
        <w:left w:val="none" w:sz="0" w:space="0" w:color="auto"/>
        <w:bottom w:val="none" w:sz="0" w:space="0" w:color="auto"/>
        <w:right w:val="none" w:sz="0" w:space="0" w:color="auto"/>
      </w:divBdr>
    </w:div>
    <w:div w:id="283585330">
      <w:bodyDiv w:val="1"/>
      <w:marLeft w:val="0"/>
      <w:marRight w:val="0"/>
      <w:marTop w:val="0"/>
      <w:marBottom w:val="0"/>
      <w:divBdr>
        <w:top w:val="none" w:sz="0" w:space="0" w:color="auto"/>
        <w:left w:val="none" w:sz="0" w:space="0" w:color="auto"/>
        <w:bottom w:val="none" w:sz="0" w:space="0" w:color="auto"/>
        <w:right w:val="none" w:sz="0" w:space="0" w:color="auto"/>
      </w:divBdr>
    </w:div>
    <w:div w:id="332219104">
      <w:bodyDiv w:val="1"/>
      <w:marLeft w:val="0"/>
      <w:marRight w:val="0"/>
      <w:marTop w:val="0"/>
      <w:marBottom w:val="0"/>
      <w:divBdr>
        <w:top w:val="none" w:sz="0" w:space="0" w:color="auto"/>
        <w:left w:val="none" w:sz="0" w:space="0" w:color="auto"/>
        <w:bottom w:val="none" w:sz="0" w:space="0" w:color="auto"/>
        <w:right w:val="none" w:sz="0" w:space="0" w:color="auto"/>
      </w:divBdr>
    </w:div>
    <w:div w:id="350038357">
      <w:bodyDiv w:val="1"/>
      <w:marLeft w:val="0"/>
      <w:marRight w:val="0"/>
      <w:marTop w:val="0"/>
      <w:marBottom w:val="0"/>
      <w:divBdr>
        <w:top w:val="none" w:sz="0" w:space="0" w:color="auto"/>
        <w:left w:val="none" w:sz="0" w:space="0" w:color="auto"/>
        <w:bottom w:val="none" w:sz="0" w:space="0" w:color="auto"/>
        <w:right w:val="none" w:sz="0" w:space="0" w:color="auto"/>
      </w:divBdr>
    </w:div>
    <w:div w:id="364408936">
      <w:bodyDiv w:val="1"/>
      <w:marLeft w:val="0"/>
      <w:marRight w:val="0"/>
      <w:marTop w:val="0"/>
      <w:marBottom w:val="0"/>
      <w:divBdr>
        <w:top w:val="none" w:sz="0" w:space="0" w:color="auto"/>
        <w:left w:val="none" w:sz="0" w:space="0" w:color="auto"/>
        <w:bottom w:val="none" w:sz="0" w:space="0" w:color="auto"/>
        <w:right w:val="none" w:sz="0" w:space="0" w:color="auto"/>
      </w:divBdr>
    </w:div>
    <w:div w:id="391268173">
      <w:bodyDiv w:val="1"/>
      <w:marLeft w:val="0"/>
      <w:marRight w:val="0"/>
      <w:marTop w:val="0"/>
      <w:marBottom w:val="0"/>
      <w:divBdr>
        <w:top w:val="none" w:sz="0" w:space="0" w:color="auto"/>
        <w:left w:val="none" w:sz="0" w:space="0" w:color="auto"/>
        <w:bottom w:val="none" w:sz="0" w:space="0" w:color="auto"/>
        <w:right w:val="none" w:sz="0" w:space="0" w:color="auto"/>
      </w:divBdr>
    </w:div>
    <w:div w:id="442575674">
      <w:bodyDiv w:val="1"/>
      <w:marLeft w:val="0"/>
      <w:marRight w:val="0"/>
      <w:marTop w:val="0"/>
      <w:marBottom w:val="0"/>
      <w:divBdr>
        <w:top w:val="none" w:sz="0" w:space="0" w:color="auto"/>
        <w:left w:val="none" w:sz="0" w:space="0" w:color="auto"/>
        <w:bottom w:val="none" w:sz="0" w:space="0" w:color="auto"/>
        <w:right w:val="none" w:sz="0" w:space="0" w:color="auto"/>
      </w:divBdr>
    </w:div>
    <w:div w:id="487602329">
      <w:bodyDiv w:val="1"/>
      <w:marLeft w:val="0"/>
      <w:marRight w:val="0"/>
      <w:marTop w:val="0"/>
      <w:marBottom w:val="0"/>
      <w:divBdr>
        <w:top w:val="none" w:sz="0" w:space="0" w:color="auto"/>
        <w:left w:val="none" w:sz="0" w:space="0" w:color="auto"/>
        <w:bottom w:val="none" w:sz="0" w:space="0" w:color="auto"/>
        <w:right w:val="none" w:sz="0" w:space="0" w:color="auto"/>
      </w:divBdr>
    </w:div>
    <w:div w:id="573049038">
      <w:bodyDiv w:val="1"/>
      <w:marLeft w:val="0"/>
      <w:marRight w:val="0"/>
      <w:marTop w:val="0"/>
      <w:marBottom w:val="0"/>
      <w:divBdr>
        <w:top w:val="none" w:sz="0" w:space="0" w:color="auto"/>
        <w:left w:val="none" w:sz="0" w:space="0" w:color="auto"/>
        <w:bottom w:val="none" w:sz="0" w:space="0" w:color="auto"/>
        <w:right w:val="none" w:sz="0" w:space="0" w:color="auto"/>
      </w:divBdr>
    </w:div>
    <w:div w:id="585727413">
      <w:bodyDiv w:val="1"/>
      <w:marLeft w:val="0"/>
      <w:marRight w:val="0"/>
      <w:marTop w:val="0"/>
      <w:marBottom w:val="0"/>
      <w:divBdr>
        <w:top w:val="none" w:sz="0" w:space="0" w:color="auto"/>
        <w:left w:val="none" w:sz="0" w:space="0" w:color="auto"/>
        <w:bottom w:val="none" w:sz="0" w:space="0" w:color="auto"/>
        <w:right w:val="none" w:sz="0" w:space="0" w:color="auto"/>
      </w:divBdr>
    </w:div>
    <w:div w:id="730346176">
      <w:bodyDiv w:val="1"/>
      <w:marLeft w:val="0"/>
      <w:marRight w:val="0"/>
      <w:marTop w:val="0"/>
      <w:marBottom w:val="0"/>
      <w:divBdr>
        <w:top w:val="none" w:sz="0" w:space="0" w:color="auto"/>
        <w:left w:val="none" w:sz="0" w:space="0" w:color="auto"/>
        <w:bottom w:val="none" w:sz="0" w:space="0" w:color="auto"/>
        <w:right w:val="none" w:sz="0" w:space="0" w:color="auto"/>
      </w:divBdr>
    </w:div>
    <w:div w:id="736977399">
      <w:bodyDiv w:val="1"/>
      <w:marLeft w:val="0"/>
      <w:marRight w:val="0"/>
      <w:marTop w:val="0"/>
      <w:marBottom w:val="0"/>
      <w:divBdr>
        <w:top w:val="none" w:sz="0" w:space="0" w:color="auto"/>
        <w:left w:val="none" w:sz="0" w:space="0" w:color="auto"/>
        <w:bottom w:val="none" w:sz="0" w:space="0" w:color="auto"/>
        <w:right w:val="none" w:sz="0" w:space="0" w:color="auto"/>
      </w:divBdr>
      <w:divsChild>
        <w:div w:id="268316460">
          <w:marLeft w:val="0"/>
          <w:marRight w:val="0"/>
          <w:marTop w:val="0"/>
          <w:marBottom w:val="0"/>
          <w:divBdr>
            <w:top w:val="none" w:sz="0" w:space="0" w:color="auto"/>
            <w:left w:val="none" w:sz="0" w:space="0" w:color="auto"/>
            <w:bottom w:val="none" w:sz="0" w:space="0" w:color="auto"/>
            <w:right w:val="none" w:sz="0" w:space="0" w:color="auto"/>
          </w:divBdr>
        </w:div>
        <w:div w:id="1405058889">
          <w:marLeft w:val="0"/>
          <w:marRight w:val="0"/>
          <w:marTop w:val="0"/>
          <w:marBottom w:val="0"/>
          <w:divBdr>
            <w:top w:val="none" w:sz="0" w:space="0" w:color="auto"/>
            <w:left w:val="none" w:sz="0" w:space="0" w:color="auto"/>
            <w:bottom w:val="none" w:sz="0" w:space="0" w:color="auto"/>
            <w:right w:val="none" w:sz="0" w:space="0" w:color="auto"/>
          </w:divBdr>
        </w:div>
        <w:div w:id="1200509053">
          <w:marLeft w:val="0"/>
          <w:marRight w:val="0"/>
          <w:marTop w:val="0"/>
          <w:marBottom w:val="0"/>
          <w:divBdr>
            <w:top w:val="none" w:sz="0" w:space="0" w:color="auto"/>
            <w:left w:val="none" w:sz="0" w:space="0" w:color="auto"/>
            <w:bottom w:val="none" w:sz="0" w:space="0" w:color="auto"/>
            <w:right w:val="none" w:sz="0" w:space="0" w:color="auto"/>
          </w:divBdr>
        </w:div>
        <w:div w:id="1689284625">
          <w:marLeft w:val="0"/>
          <w:marRight w:val="0"/>
          <w:marTop w:val="0"/>
          <w:marBottom w:val="0"/>
          <w:divBdr>
            <w:top w:val="none" w:sz="0" w:space="0" w:color="auto"/>
            <w:left w:val="none" w:sz="0" w:space="0" w:color="auto"/>
            <w:bottom w:val="none" w:sz="0" w:space="0" w:color="auto"/>
            <w:right w:val="none" w:sz="0" w:space="0" w:color="auto"/>
          </w:divBdr>
        </w:div>
        <w:div w:id="2011329543">
          <w:marLeft w:val="0"/>
          <w:marRight w:val="0"/>
          <w:marTop w:val="0"/>
          <w:marBottom w:val="0"/>
          <w:divBdr>
            <w:top w:val="none" w:sz="0" w:space="0" w:color="auto"/>
            <w:left w:val="none" w:sz="0" w:space="0" w:color="auto"/>
            <w:bottom w:val="none" w:sz="0" w:space="0" w:color="auto"/>
            <w:right w:val="none" w:sz="0" w:space="0" w:color="auto"/>
          </w:divBdr>
        </w:div>
        <w:div w:id="1456875876">
          <w:marLeft w:val="0"/>
          <w:marRight w:val="0"/>
          <w:marTop w:val="0"/>
          <w:marBottom w:val="0"/>
          <w:divBdr>
            <w:top w:val="none" w:sz="0" w:space="0" w:color="auto"/>
            <w:left w:val="none" w:sz="0" w:space="0" w:color="auto"/>
            <w:bottom w:val="none" w:sz="0" w:space="0" w:color="auto"/>
            <w:right w:val="none" w:sz="0" w:space="0" w:color="auto"/>
          </w:divBdr>
        </w:div>
        <w:div w:id="2010910916">
          <w:marLeft w:val="0"/>
          <w:marRight w:val="0"/>
          <w:marTop w:val="0"/>
          <w:marBottom w:val="0"/>
          <w:divBdr>
            <w:top w:val="none" w:sz="0" w:space="0" w:color="auto"/>
            <w:left w:val="none" w:sz="0" w:space="0" w:color="auto"/>
            <w:bottom w:val="none" w:sz="0" w:space="0" w:color="auto"/>
            <w:right w:val="none" w:sz="0" w:space="0" w:color="auto"/>
          </w:divBdr>
        </w:div>
      </w:divsChild>
    </w:div>
    <w:div w:id="791703756">
      <w:bodyDiv w:val="1"/>
      <w:marLeft w:val="0"/>
      <w:marRight w:val="0"/>
      <w:marTop w:val="0"/>
      <w:marBottom w:val="0"/>
      <w:divBdr>
        <w:top w:val="none" w:sz="0" w:space="0" w:color="auto"/>
        <w:left w:val="none" w:sz="0" w:space="0" w:color="auto"/>
        <w:bottom w:val="none" w:sz="0" w:space="0" w:color="auto"/>
        <w:right w:val="none" w:sz="0" w:space="0" w:color="auto"/>
      </w:divBdr>
    </w:div>
    <w:div w:id="817455027">
      <w:bodyDiv w:val="1"/>
      <w:marLeft w:val="0"/>
      <w:marRight w:val="0"/>
      <w:marTop w:val="0"/>
      <w:marBottom w:val="0"/>
      <w:divBdr>
        <w:top w:val="none" w:sz="0" w:space="0" w:color="auto"/>
        <w:left w:val="none" w:sz="0" w:space="0" w:color="auto"/>
        <w:bottom w:val="none" w:sz="0" w:space="0" w:color="auto"/>
        <w:right w:val="none" w:sz="0" w:space="0" w:color="auto"/>
      </w:divBdr>
    </w:div>
    <w:div w:id="820929608">
      <w:bodyDiv w:val="1"/>
      <w:marLeft w:val="0"/>
      <w:marRight w:val="0"/>
      <w:marTop w:val="0"/>
      <w:marBottom w:val="0"/>
      <w:divBdr>
        <w:top w:val="none" w:sz="0" w:space="0" w:color="auto"/>
        <w:left w:val="none" w:sz="0" w:space="0" w:color="auto"/>
        <w:bottom w:val="none" w:sz="0" w:space="0" w:color="auto"/>
        <w:right w:val="none" w:sz="0" w:space="0" w:color="auto"/>
      </w:divBdr>
    </w:div>
    <w:div w:id="971593421">
      <w:bodyDiv w:val="1"/>
      <w:marLeft w:val="0"/>
      <w:marRight w:val="0"/>
      <w:marTop w:val="0"/>
      <w:marBottom w:val="0"/>
      <w:divBdr>
        <w:top w:val="none" w:sz="0" w:space="0" w:color="auto"/>
        <w:left w:val="none" w:sz="0" w:space="0" w:color="auto"/>
        <w:bottom w:val="none" w:sz="0" w:space="0" w:color="auto"/>
        <w:right w:val="none" w:sz="0" w:space="0" w:color="auto"/>
      </w:divBdr>
    </w:div>
    <w:div w:id="977876036">
      <w:bodyDiv w:val="1"/>
      <w:marLeft w:val="0"/>
      <w:marRight w:val="0"/>
      <w:marTop w:val="0"/>
      <w:marBottom w:val="0"/>
      <w:divBdr>
        <w:top w:val="none" w:sz="0" w:space="0" w:color="auto"/>
        <w:left w:val="none" w:sz="0" w:space="0" w:color="auto"/>
        <w:bottom w:val="none" w:sz="0" w:space="0" w:color="auto"/>
        <w:right w:val="none" w:sz="0" w:space="0" w:color="auto"/>
      </w:divBdr>
    </w:div>
    <w:div w:id="1036199982">
      <w:bodyDiv w:val="1"/>
      <w:marLeft w:val="0"/>
      <w:marRight w:val="0"/>
      <w:marTop w:val="0"/>
      <w:marBottom w:val="0"/>
      <w:divBdr>
        <w:top w:val="none" w:sz="0" w:space="0" w:color="auto"/>
        <w:left w:val="none" w:sz="0" w:space="0" w:color="auto"/>
        <w:bottom w:val="none" w:sz="0" w:space="0" w:color="auto"/>
        <w:right w:val="none" w:sz="0" w:space="0" w:color="auto"/>
      </w:divBdr>
    </w:div>
    <w:div w:id="1078526141">
      <w:bodyDiv w:val="1"/>
      <w:marLeft w:val="0"/>
      <w:marRight w:val="0"/>
      <w:marTop w:val="0"/>
      <w:marBottom w:val="0"/>
      <w:divBdr>
        <w:top w:val="none" w:sz="0" w:space="0" w:color="auto"/>
        <w:left w:val="none" w:sz="0" w:space="0" w:color="auto"/>
        <w:bottom w:val="none" w:sz="0" w:space="0" w:color="auto"/>
        <w:right w:val="none" w:sz="0" w:space="0" w:color="auto"/>
      </w:divBdr>
    </w:div>
    <w:div w:id="1109858917">
      <w:bodyDiv w:val="1"/>
      <w:marLeft w:val="0"/>
      <w:marRight w:val="0"/>
      <w:marTop w:val="0"/>
      <w:marBottom w:val="0"/>
      <w:divBdr>
        <w:top w:val="none" w:sz="0" w:space="0" w:color="auto"/>
        <w:left w:val="none" w:sz="0" w:space="0" w:color="auto"/>
        <w:bottom w:val="none" w:sz="0" w:space="0" w:color="auto"/>
        <w:right w:val="none" w:sz="0" w:space="0" w:color="auto"/>
      </w:divBdr>
    </w:div>
    <w:div w:id="1155956308">
      <w:bodyDiv w:val="1"/>
      <w:marLeft w:val="0"/>
      <w:marRight w:val="0"/>
      <w:marTop w:val="0"/>
      <w:marBottom w:val="0"/>
      <w:divBdr>
        <w:top w:val="none" w:sz="0" w:space="0" w:color="auto"/>
        <w:left w:val="none" w:sz="0" w:space="0" w:color="auto"/>
        <w:bottom w:val="none" w:sz="0" w:space="0" w:color="auto"/>
        <w:right w:val="none" w:sz="0" w:space="0" w:color="auto"/>
      </w:divBdr>
    </w:div>
    <w:div w:id="1159736033">
      <w:bodyDiv w:val="1"/>
      <w:marLeft w:val="0"/>
      <w:marRight w:val="0"/>
      <w:marTop w:val="0"/>
      <w:marBottom w:val="0"/>
      <w:divBdr>
        <w:top w:val="none" w:sz="0" w:space="0" w:color="auto"/>
        <w:left w:val="none" w:sz="0" w:space="0" w:color="auto"/>
        <w:bottom w:val="none" w:sz="0" w:space="0" w:color="auto"/>
        <w:right w:val="none" w:sz="0" w:space="0" w:color="auto"/>
      </w:divBdr>
      <w:divsChild>
        <w:div w:id="1813979034">
          <w:marLeft w:val="0"/>
          <w:marRight w:val="0"/>
          <w:marTop w:val="0"/>
          <w:marBottom w:val="0"/>
          <w:divBdr>
            <w:top w:val="none" w:sz="0" w:space="0" w:color="auto"/>
            <w:left w:val="none" w:sz="0" w:space="0" w:color="auto"/>
            <w:bottom w:val="none" w:sz="0" w:space="0" w:color="auto"/>
            <w:right w:val="none" w:sz="0" w:space="0" w:color="auto"/>
          </w:divBdr>
        </w:div>
        <w:div w:id="2057509826">
          <w:marLeft w:val="0"/>
          <w:marRight w:val="0"/>
          <w:marTop w:val="0"/>
          <w:marBottom w:val="0"/>
          <w:divBdr>
            <w:top w:val="none" w:sz="0" w:space="0" w:color="auto"/>
            <w:left w:val="none" w:sz="0" w:space="0" w:color="auto"/>
            <w:bottom w:val="none" w:sz="0" w:space="0" w:color="auto"/>
            <w:right w:val="none" w:sz="0" w:space="0" w:color="auto"/>
          </w:divBdr>
        </w:div>
        <w:div w:id="2098595511">
          <w:marLeft w:val="0"/>
          <w:marRight w:val="0"/>
          <w:marTop w:val="0"/>
          <w:marBottom w:val="0"/>
          <w:divBdr>
            <w:top w:val="none" w:sz="0" w:space="0" w:color="auto"/>
            <w:left w:val="none" w:sz="0" w:space="0" w:color="auto"/>
            <w:bottom w:val="none" w:sz="0" w:space="0" w:color="auto"/>
            <w:right w:val="none" w:sz="0" w:space="0" w:color="auto"/>
          </w:divBdr>
        </w:div>
        <w:div w:id="470707635">
          <w:marLeft w:val="0"/>
          <w:marRight w:val="0"/>
          <w:marTop w:val="0"/>
          <w:marBottom w:val="0"/>
          <w:divBdr>
            <w:top w:val="none" w:sz="0" w:space="0" w:color="auto"/>
            <w:left w:val="none" w:sz="0" w:space="0" w:color="auto"/>
            <w:bottom w:val="none" w:sz="0" w:space="0" w:color="auto"/>
            <w:right w:val="none" w:sz="0" w:space="0" w:color="auto"/>
          </w:divBdr>
        </w:div>
        <w:div w:id="565384856">
          <w:marLeft w:val="0"/>
          <w:marRight w:val="0"/>
          <w:marTop w:val="0"/>
          <w:marBottom w:val="0"/>
          <w:divBdr>
            <w:top w:val="none" w:sz="0" w:space="0" w:color="auto"/>
            <w:left w:val="none" w:sz="0" w:space="0" w:color="auto"/>
            <w:bottom w:val="none" w:sz="0" w:space="0" w:color="auto"/>
            <w:right w:val="none" w:sz="0" w:space="0" w:color="auto"/>
          </w:divBdr>
        </w:div>
        <w:div w:id="1291590871">
          <w:marLeft w:val="0"/>
          <w:marRight w:val="0"/>
          <w:marTop w:val="0"/>
          <w:marBottom w:val="0"/>
          <w:divBdr>
            <w:top w:val="none" w:sz="0" w:space="0" w:color="auto"/>
            <w:left w:val="none" w:sz="0" w:space="0" w:color="auto"/>
            <w:bottom w:val="none" w:sz="0" w:space="0" w:color="auto"/>
            <w:right w:val="none" w:sz="0" w:space="0" w:color="auto"/>
          </w:divBdr>
        </w:div>
        <w:div w:id="2092193299">
          <w:marLeft w:val="0"/>
          <w:marRight w:val="0"/>
          <w:marTop w:val="0"/>
          <w:marBottom w:val="0"/>
          <w:divBdr>
            <w:top w:val="none" w:sz="0" w:space="0" w:color="auto"/>
            <w:left w:val="none" w:sz="0" w:space="0" w:color="auto"/>
            <w:bottom w:val="none" w:sz="0" w:space="0" w:color="auto"/>
            <w:right w:val="none" w:sz="0" w:space="0" w:color="auto"/>
          </w:divBdr>
        </w:div>
      </w:divsChild>
    </w:div>
    <w:div w:id="1161890677">
      <w:bodyDiv w:val="1"/>
      <w:marLeft w:val="0"/>
      <w:marRight w:val="0"/>
      <w:marTop w:val="0"/>
      <w:marBottom w:val="0"/>
      <w:divBdr>
        <w:top w:val="none" w:sz="0" w:space="0" w:color="auto"/>
        <w:left w:val="none" w:sz="0" w:space="0" w:color="auto"/>
        <w:bottom w:val="none" w:sz="0" w:space="0" w:color="auto"/>
        <w:right w:val="none" w:sz="0" w:space="0" w:color="auto"/>
      </w:divBdr>
    </w:div>
    <w:div w:id="1185360457">
      <w:bodyDiv w:val="1"/>
      <w:marLeft w:val="0"/>
      <w:marRight w:val="0"/>
      <w:marTop w:val="0"/>
      <w:marBottom w:val="0"/>
      <w:divBdr>
        <w:top w:val="none" w:sz="0" w:space="0" w:color="auto"/>
        <w:left w:val="none" w:sz="0" w:space="0" w:color="auto"/>
        <w:bottom w:val="none" w:sz="0" w:space="0" w:color="auto"/>
        <w:right w:val="none" w:sz="0" w:space="0" w:color="auto"/>
      </w:divBdr>
    </w:div>
    <w:div w:id="1190608399">
      <w:bodyDiv w:val="1"/>
      <w:marLeft w:val="0"/>
      <w:marRight w:val="0"/>
      <w:marTop w:val="0"/>
      <w:marBottom w:val="0"/>
      <w:divBdr>
        <w:top w:val="none" w:sz="0" w:space="0" w:color="auto"/>
        <w:left w:val="none" w:sz="0" w:space="0" w:color="auto"/>
        <w:bottom w:val="none" w:sz="0" w:space="0" w:color="auto"/>
        <w:right w:val="none" w:sz="0" w:space="0" w:color="auto"/>
      </w:divBdr>
    </w:div>
    <w:div w:id="1239249013">
      <w:bodyDiv w:val="1"/>
      <w:marLeft w:val="0"/>
      <w:marRight w:val="0"/>
      <w:marTop w:val="0"/>
      <w:marBottom w:val="0"/>
      <w:divBdr>
        <w:top w:val="none" w:sz="0" w:space="0" w:color="auto"/>
        <w:left w:val="none" w:sz="0" w:space="0" w:color="auto"/>
        <w:bottom w:val="none" w:sz="0" w:space="0" w:color="auto"/>
        <w:right w:val="none" w:sz="0" w:space="0" w:color="auto"/>
      </w:divBdr>
    </w:div>
    <w:div w:id="1303150261">
      <w:bodyDiv w:val="1"/>
      <w:marLeft w:val="0"/>
      <w:marRight w:val="0"/>
      <w:marTop w:val="0"/>
      <w:marBottom w:val="0"/>
      <w:divBdr>
        <w:top w:val="none" w:sz="0" w:space="0" w:color="auto"/>
        <w:left w:val="none" w:sz="0" w:space="0" w:color="auto"/>
        <w:bottom w:val="none" w:sz="0" w:space="0" w:color="auto"/>
        <w:right w:val="none" w:sz="0" w:space="0" w:color="auto"/>
      </w:divBdr>
    </w:div>
    <w:div w:id="1315796811">
      <w:bodyDiv w:val="1"/>
      <w:marLeft w:val="0"/>
      <w:marRight w:val="0"/>
      <w:marTop w:val="0"/>
      <w:marBottom w:val="0"/>
      <w:divBdr>
        <w:top w:val="none" w:sz="0" w:space="0" w:color="auto"/>
        <w:left w:val="none" w:sz="0" w:space="0" w:color="auto"/>
        <w:bottom w:val="none" w:sz="0" w:space="0" w:color="auto"/>
        <w:right w:val="none" w:sz="0" w:space="0" w:color="auto"/>
      </w:divBdr>
    </w:div>
    <w:div w:id="1332567276">
      <w:bodyDiv w:val="1"/>
      <w:marLeft w:val="0"/>
      <w:marRight w:val="0"/>
      <w:marTop w:val="0"/>
      <w:marBottom w:val="0"/>
      <w:divBdr>
        <w:top w:val="none" w:sz="0" w:space="0" w:color="auto"/>
        <w:left w:val="none" w:sz="0" w:space="0" w:color="auto"/>
        <w:bottom w:val="none" w:sz="0" w:space="0" w:color="auto"/>
        <w:right w:val="none" w:sz="0" w:space="0" w:color="auto"/>
      </w:divBdr>
    </w:div>
    <w:div w:id="1358040669">
      <w:bodyDiv w:val="1"/>
      <w:marLeft w:val="0"/>
      <w:marRight w:val="0"/>
      <w:marTop w:val="0"/>
      <w:marBottom w:val="0"/>
      <w:divBdr>
        <w:top w:val="none" w:sz="0" w:space="0" w:color="auto"/>
        <w:left w:val="none" w:sz="0" w:space="0" w:color="auto"/>
        <w:bottom w:val="none" w:sz="0" w:space="0" w:color="auto"/>
        <w:right w:val="none" w:sz="0" w:space="0" w:color="auto"/>
      </w:divBdr>
    </w:div>
    <w:div w:id="1376000331">
      <w:bodyDiv w:val="1"/>
      <w:marLeft w:val="0"/>
      <w:marRight w:val="0"/>
      <w:marTop w:val="0"/>
      <w:marBottom w:val="0"/>
      <w:divBdr>
        <w:top w:val="none" w:sz="0" w:space="0" w:color="auto"/>
        <w:left w:val="none" w:sz="0" w:space="0" w:color="auto"/>
        <w:bottom w:val="none" w:sz="0" w:space="0" w:color="auto"/>
        <w:right w:val="none" w:sz="0" w:space="0" w:color="auto"/>
      </w:divBdr>
    </w:div>
    <w:div w:id="1396930419">
      <w:bodyDiv w:val="1"/>
      <w:marLeft w:val="0"/>
      <w:marRight w:val="0"/>
      <w:marTop w:val="0"/>
      <w:marBottom w:val="0"/>
      <w:divBdr>
        <w:top w:val="none" w:sz="0" w:space="0" w:color="auto"/>
        <w:left w:val="none" w:sz="0" w:space="0" w:color="auto"/>
        <w:bottom w:val="none" w:sz="0" w:space="0" w:color="auto"/>
        <w:right w:val="none" w:sz="0" w:space="0" w:color="auto"/>
      </w:divBdr>
    </w:div>
    <w:div w:id="1424185110">
      <w:bodyDiv w:val="1"/>
      <w:marLeft w:val="0"/>
      <w:marRight w:val="0"/>
      <w:marTop w:val="0"/>
      <w:marBottom w:val="0"/>
      <w:divBdr>
        <w:top w:val="none" w:sz="0" w:space="0" w:color="auto"/>
        <w:left w:val="none" w:sz="0" w:space="0" w:color="auto"/>
        <w:bottom w:val="none" w:sz="0" w:space="0" w:color="auto"/>
        <w:right w:val="none" w:sz="0" w:space="0" w:color="auto"/>
      </w:divBdr>
    </w:div>
    <w:div w:id="1552039826">
      <w:bodyDiv w:val="1"/>
      <w:marLeft w:val="0"/>
      <w:marRight w:val="0"/>
      <w:marTop w:val="0"/>
      <w:marBottom w:val="0"/>
      <w:divBdr>
        <w:top w:val="none" w:sz="0" w:space="0" w:color="auto"/>
        <w:left w:val="none" w:sz="0" w:space="0" w:color="auto"/>
        <w:bottom w:val="none" w:sz="0" w:space="0" w:color="auto"/>
        <w:right w:val="none" w:sz="0" w:space="0" w:color="auto"/>
      </w:divBdr>
    </w:div>
    <w:div w:id="1576471575">
      <w:bodyDiv w:val="1"/>
      <w:marLeft w:val="0"/>
      <w:marRight w:val="0"/>
      <w:marTop w:val="0"/>
      <w:marBottom w:val="0"/>
      <w:divBdr>
        <w:top w:val="none" w:sz="0" w:space="0" w:color="auto"/>
        <w:left w:val="none" w:sz="0" w:space="0" w:color="auto"/>
        <w:bottom w:val="none" w:sz="0" w:space="0" w:color="auto"/>
        <w:right w:val="none" w:sz="0" w:space="0" w:color="auto"/>
      </w:divBdr>
    </w:div>
    <w:div w:id="1641421870">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87444858">
      <w:bodyDiv w:val="1"/>
      <w:marLeft w:val="0"/>
      <w:marRight w:val="0"/>
      <w:marTop w:val="0"/>
      <w:marBottom w:val="0"/>
      <w:divBdr>
        <w:top w:val="none" w:sz="0" w:space="0" w:color="auto"/>
        <w:left w:val="none" w:sz="0" w:space="0" w:color="auto"/>
        <w:bottom w:val="none" w:sz="0" w:space="0" w:color="auto"/>
        <w:right w:val="none" w:sz="0" w:space="0" w:color="auto"/>
      </w:divBdr>
    </w:div>
    <w:div w:id="1991671702">
      <w:bodyDiv w:val="1"/>
      <w:marLeft w:val="0"/>
      <w:marRight w:val="0"/>
      <w:marTop w:val="0"/>
      <w:marBottom w:val="0"/>
      <w:divBdr>
        <w:top w:val="none" w:sz="0" w:space="0" w:color="auto"/>
        <w:left w:val="none" w:sz="0" w:space="0" w:color="auto"/>
        <w:bottom w:val="none" w:sz="0" w:space="0" w:color="auto"/>
        <w:right w:val="none" w:sz="0" w:space="0" w:color="auto"/>
      </w:divBdr>
    </w:div>
    <w:div w:id="2012175836">
      <w:bodyDiv w:val="1"/>
      <w:marLeft w:val="0"/>
      <w:marRight w:val="0"/>
      <w:marTop w:val="0"/>
      <w:marBottom w:val="0"/>
      <w:divBdr>
        <w:top w:val="none" w:sz="0" w:space="0" w:color="auto"/>
        <w:left w:val="none" w:sz="0" w:space="0" w:color="auto"/>
        <w:bottom w:val="none" w:sz="0" w:space="0" w:color="auto"/>
        <w:right w:val="none" w:sz="0" w:space="0" w:color="auto"/>
      </w:divBdr>
    </w:div>
    <w:div w:id="2083484008">
      <w:bodyDiv w:val="1"/>
      <w:marLeft w:val="0"/>
      <w:marRight w:val="0"/>
      <w:marTop w:val="0"/>
      <w:marBottom w:val="0"/>
      <w:divBdr>
        <w:top w:val="none" w:sz="0" w:space="0" w:color="auto"/>
        <w:left w:val="none" w:sz="0" w:space="0" w:color="auto"/>
        <w:bottom w:val="none" w:sz="0" w:space="0" w:color="auto"/>
        <w:right w:val="none" w:sz="0" w:space="0" w:color="auto"/>
      </w:divBdr>
    </w:div>
    <w:div w:id="20868293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UoSV8cqCSyk&amp;t=2795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BED65-0DCD-4145-A182-BA3D4D287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22</Pages>
  <Words>12228</Words>
  <Characters>66032</Characters>
  <Application>Microsoft Office Word</Application>
  <DocSecurity>0</DocSecurity>
  <Lines>1294</Lines>
  <Paragraphs>374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CIDH</dc:creator>
  <cp:lastModifiedBy>Fontana, Maria Eva</cp:lastModifiedBy>
  <cp:revision>6</cp:revision>
  <cp:lastPrinted>2019-02-27T20:12:00Z</cp:lastPrinted>
  <dcterms:created xsi:type="dcterms:W3CDTF">2019-02-27T18:38:00Z</dcterms:created>
  <dcterms:modified xsi:type="dcterms:W3CDTF">2019-07-12T13:30:00Z</dcterms:modified>
</cp:coreProperties>
</file>