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E27F" w14:textId="779ADC32" w:rsidR="00EC310A" w:rsidRPr="006E763F" w:rsidRDefault="00FE642E" w:rsidP="00E923BB">
      <w:pPr>
        <w:pStyle w:val="Body"/>
        <w:ind w:firstLine="249"/>
        <w:jc w:val="left"/>
        <w:rPr>
          <w:b/>
          <w:bCs/>
          <w:lang w:val="es-ES"/>
        </w:rPr>
      </w:pPr>
      <w:r>
        <w:rPr>
          <w:noProof/>
          <w:lang w:val="en-US" w:eastAsia="en-US"/>
        </w:rPr>
        <w:drawing>
          <wp:anchor distT="0" distB="0" distL="114300" distR="114300" simplePos="0" relativeHeight="251669504" behindDoc="0" locked="0" layoutInCell="1" allowOverlap="1" wp14:anchorId="402E38A1" wp14:editId="5B2231EC">
            <wp:simplePos x="0" y="0"/>
            <wp:positionH relativeFrom="margin">
              <wp:posOffset>1400175</wp:posOffset>
            </wp:positionH>
            <wp:positionV relativeFrom="margin">
              <wp:posOffset>-285750</wp:posOffset>
            </wp:positionV>
            <wp:extent cx="2647315" cy="509270"/>
            <wp:effectExtent l="0" t="0" r="635" b="5080"/>
            <wp:wrapSquare wrapText="bothSides"/>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509270"/>
                    </a:xfrm>
                    <a:prstGeom prst="rect">
                      <a:avLst/>
                    </a:prstGeom>
                    <a:noFill/>
                    <a:ln>
                      <a:noFill/>
                    </a:ln>
                  </pic:spPr>
                </pic:pic>
              </a:graphicData>
            </a:graphic>
          </wp:anchor>
        </w:drawing>
      </w:r>
      <w:r w:rsidR="009E7E98" w:rsidRPr="006E763F">
        <w:rPr>
          <w:noProof/>
          <w:lang w:val="en-US" w:eastAsia="en-US"/>
        </w:rPr>
        <mc:AlternateContent>
          <mc:Choice Requires="wps">
            <w:drawing>
              <wp:anchor distT="0" distB="0" distL="0" distR="0" simplePos="0" relativeHeight="251646976" behindDoc="0" locked="0" layoutInCell="1" allowOverlap="1" wp14:anchorId="2AF1BAA4" wp14:editId="0AFE5F95">
                <wp:simplePos x="0" y="0"/>
                <wp:positionH relativeFrom="column">
                  <wp:posOffset>-416115</wp:posOffset>
                </wp:positionH>
                <wp:positionV relativeFrom="line">
                  <wp:posOffset>-439420</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w:pict>
              <v:rect w14:anchorId="3E6523CB" id="officeArt object" o:spid="_x0000_s1026" style="position:absolute;margin-left:-32.75pt;margin-top:-34.6pt;width:121.5pt;height:716.25pt;z-index:2516469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" fillcolor="#4a7194" stroked="f" strokeweight="1pt">
                <v:stroke miterlimit="4"/>
                <w10:wrap anchory="line"/>
              </v:rect>
            </w:pict>
          </mc:Fallback>
        </mc:AlternateContent>
      </w:r>
    </w:p>
    <w:p w14:paraId="1A190844" w14:textId="687C9F13" w:rsidR="00EC310A" w:rsidRPr="006E763F" w:rsidRDefault="00EC310A" w:rsidP="00E923BB">
      <w:pPr>
        <w:pStyle w:val="Body"/>
        <w:suppressAutoHyphens/>
        <w:ind w:firstLine="249"/>
        <w:rPr>
          <w:lang w:val="es-ES"/>
        </w:rPr>
      </w:pPr>
    </w:p>
    <w:p w14:paraId="4D5EE248" w14:textId="77777777" w:rsidR="00EC310A" w:rsidRPr="006E763F" w:rsidRDefault="00EC310A" w:rsidP="00E923BB">
      <w:pPr>
        <w:pStyle w:val="Body"/>
        <w:suppressAutoHyphens/>
        <w:ind w:firstLine="249"/>
        <w:rPr>
          <w:lang w:val="es-ES"/>
        </w:rPr>
      </w:pPr>
    </w:p>
    <w:p w14:paraId="4C1BCC3B" w14:textId="77777777" w:rsidR="00EC310A" w:rsidRPr="006E763F" w:rsidRDefault="00EC310A" w:rsidP="00E923BB">
      <w:pPr>
        <w:pStyle w:val="Body"/>
        <w:suppressAutoHyphens/>
        <w:ind w:firstLine="249"/>
        <w:rPr>
          <w:lang w:val="es-ES"/>
        </w:rPr>
      </w:pPr>
    </w:p>
    <w:p w14:paraId="6176D8BC" w14:textId="77777777" w:rsidR="00EC310A" w:rsidRPr="006E763F" w:rsidRDefault="00EC310A" w:rsidP="00E923BB">
      <w:pPr>
        <w:pStyle w:val="Body"/>
        <w:suppressAutoHyphens/>
        <w:ind w:firstLine="249"/>
        <w:rPr>
          <w:lang w:val="es-ES"/>
        </w:rPr>
      </w:pPr>
    </w:p>
    <w:p w14:paraId="27659451" w14:textId="77777777" w:rsidR="00EC310A" w:rsidRPr="006E763F" w:rsidRDefault="00EC310A" w:rsidP="00E923BB">
      <w:pPr>
        <w:pStyle w:val="Body"/>
        <w:suppressAutoHyphens/>
        <w:ind w:firstLine="249"/>
        <w:rPr>
          <w:lang w:val="es-ES"/>
        </w:rPr>
      </w:pPr>
    </w:p>
    <w:p w14:paraId="7EF7B01A" w14:textId="77777777" w:rsidR="00EC310A" w:rsidRPr="006E763F" w:rsidRDefault="00EC310A" w:rsidP="00E923BB">
      <w:pPr>
        <w:pStyle w:val="Body"/>
        <w:suppressAutoHyphens/>
        <w:ind w:firstLine="249"/>
        <w:rPr>
          <w:lang w:val="es-ES"/>
        </w:rPr>
      </w:pPr>
    </w:p>
    <w:p w14:paraId="7F2BDCFD" w14:textId="34920CB4" w:rsidR="00EC310A" w:rsidRPr="006E763F" w:rsidRDefault="00EC310A" w:rsidP="00E923BB">
      <w:pPr>
        <w:pStyle w:val="Body"/>
        <w:suppressAutoHyphens/>
        <w:ind w:firstLine="249"/>
        <w:rPr>
          <w:lang w:val="es-ES"/>
        </w:rPr>
      </w:pPr>
    </w:p>
    <w:p w14:paraId="50C9C660" w14:textId="77777777" w:rsidR="00EC310A" w:rsidRPr="006E763F" w:rsidRDefault="00EC310A" w:rsidP="00E923BB">
      <w:pPr>
        <w:pStyle w:val="Body"/>
        <w:suppressAutoHyphens/>
        <w:ind w:firstLine="249"/>
        <w:rPr>
          <w:lang w:val="es-ES"/>
        </w:rPr>
      </w:pPr>
    </w:p>
    <w:p w14:paraId="67CC4370" w14:textId="77777777" w:rsidR="00EC310A" w:rsidRPr="006E763F" w:rsidRDefault="00EC310A" w:rsidP="00E923BB">
      <w:pPr>
        <w:pStyle w:val="Body"/>
        <w:suppressAutoHyphens/>
        <w:ind w:firstLine="249"/>
        <w:rPr>
          <w:lang w:val="es-ES"/>
        </w:rPr>
      </w:pPr>
    </w:p>
    <w:p w14:paraId="2244157A" w14:textId="77777777" w:rsidR="00EC310A" w:rsidRPr="006E763F" w:rsidRDefault="00EC310A" w:rsidP="00E923BB">
      <w:pPr>
        <w:pStyle w:val="Body"/>
        <w:suppressAutoHyphens/>
        <w:ind w:firstLine="249"/>
        <w:rPr>
          <w:lang w:val="es-ES"/>
        </w:rPr>
      </w:pPr>
    </w:p>
    <w:p w14:paraId="28F8B17A" w14:textId="77777777" w:rsidR="00EC310A" w:rsidRPr="006E763F" w:rsidRDefault="00EC310A" w:rsidP="00E923BB">
      <w:pPr>
        <w:pStyle w:val="Body"/>
        <w:suppressAutoHyphens/>
        <w:ind w:firstLine="249"/>
        <w:rPr>
          <w:lang w:val="es-ES"/>
        </w:rPr>
      </w:pPr>
    </w:p>
    <w:p w14:paraId="67BD6C16" w14:textId="77777777" w:rsidR="00EC310A" w:rsidRPr="006E763F" w:rsidRDefault="00EC310A" w:rsidP="00E923BB">
      <w:pPr>
        <w:pStyle w:val="Body"/>
        <w:suppressAutoHyphens/>
        <w:ind w:firstLine="249"/>
        <w:rPr>
          <w:lang w:val="es-ES"/>
        </w:rPr>
      </w:pPr>
    </w:p>
    <w:p w14:paraId="68E86EDE" w14:textId="1C98C484" w:rsidR="00EC310A" w:rsidRPr="006E763F" w:rsidRDefault="009E7E98" w:rsidP="00E923BB">
      <w:pPr>
        <w:pStyle w:val="Body"/>
        <w:suppressAutoHyphens/>
        <w:ind w:firstLine="249"/>
        <w:rPr>
          <w:lang w:val="es-ES"/>
        </w:rPr>
      </w:pPr>
      <w:r w:rsidRPr="006E763F">
        <w:rPr>
          <w:noProof/>
          <w:lang w:val="en-US" w:eastAsia="en-US"/>
        </w:rPr>
        <mc:AlternateContent>
          <mc:Choice Requires="wps">
            <w:drawing>
              <wp:anchor distT="0" distB="0" distL="0" distR="0" simplePos="0" relativeHeight="251650048" behindDoc="0" locked="0" layoutInCell="1" allowOverlap="1" wp14:anchorId="60640899" wp14:editId="424D4F90">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14:paraId="4DF69361" w14:textId="7983C531" w:rsidR="00B934ED" w:rsidRPr="00014A33" w:rsidRDefault="00B934ED">
                            <w:pPr>
                              <w:pStyle w:val="Body"/>
                              <w:spacing w:line="276" w:lineRule="auto"/>
                              <w:rPr>
                                <w:b/>
                                <w:bCs/>
                                <w:color w:val="0D0D0D"/>
                                <w:sz w:val="36"/>
                                <w:szCs w:val="36"/>
                                <w:u w:color="0D0D0D"/>
                                <w:lang w:val="es-CO"/>
                              </w:rPr>
                            </w:pPr>
                            <w:r>
                              <w:rPr>
                                <w:b/>
                                <w:bCs/>
                                <w:color w:val="0D0D0D"/>
                                <w:sz w:val="36"/>
                                <w:szCs w:val="36"/>
                                <w:u w:color="0D0D0D"/>
                                <w:lang w:val="es-CO"/>
                              </w:rPr>
                              <w:t>INFORME No. 149/18</w:t>
                            </w:r>
                          </w:p>
                          <w:p w14:paraId="0780C822" w14:textId="77777777" w:rsidR="00B934ED" w:rsidRDefault="00B934ED">
                            <w:pPr>
                              <w:pStyle w:val="Body"/>
                              <w:spacing w:line="276" w:lineRule="auto"/>
                              <w:rPr>
                                <w:b/>
                                <w:bCs/>
                                <w:color w:val="0D0D0D"/>
                                <w:sz w:val="36"/>
                                <w:szCs w:val="36"/>
                                <w:u w:color="0D0D0D"/>
                                <w:lang w:val="es-ES_tradnl"/>
                              </w:rPr>
                            </w:pPr>
                            <w:r>
                              <w:rPr>
                                <w:b/>
                                <w:bCs/>
                                <w:color w:val="0D0D0D"/>
                                <w:sz w:val="36"/>
                                <w:szCs w:val="36"/>
                                <w:u w:color="0D0D0D"/>
                                <w:lang w:val="es-ES_tradnl"/>
                              </w:rPr>
                              <w:t>CASO 11.641</w:t>
                            </w:r>
                          </w:p>
                          <w:p w14:paraId="728A764C" w14:textId="77777777" w:rsidR="00B934ED" w:rsidRPr="00CE18CC" w:rsidRDefault="00B934ED">
                            <w:pPr>
                              <w:pStyle w:val="Body"/>
                              <w:spacing w:line="276" w:lineRule="auto"/>
                              <w:rPr>
                                <w:color w:val="0D0D0D"/>
                                <w:sz w:val="24"/>
                                <w:u w:color="0D0D0D"/>
                                <w:lang w:val="es-ES_tradnl"/>
                              </w:rPr>
                            </w:pPr>
                            <w:r w:rsidRPr="00CE18CC">
                              <w:rPr>
                                <w:color w:val="0D0D0D"/>
                                <w:sz w:val="24"/>
                                <w:u w:color="0D0D0D"/>
                                <w:lang w:val="es-ES_tradnl"/>
                              </w:rPr>
                              <w:t xml:space="preserve">INFORME DE FONDO </w:t>
                            </w:r>
                          </w:p>
                          <w:p w14:paraId="44E9396B" w14:textId="77777777" w:rsidR="00B934ED" w:rsidRDefault="00B934ED">
                            <w:pPr>
                              <w:pStyle w:val="Body"/>
                              <w:spacing w:line="276" w:lineRule="auto"/>
                              <w:rPr>
                                <w:color w:val="0D0D0D"/>
                                <w:u w:color="0D0D0D"/>
                                <w:lang w:val="es-ES_tradnl"/>
                              </w:rPr>
                            </w:pPr>
                          </w:p>
                          <w:p w14:paraId="424CA8CB" w14:textId="5F802641" w:rsidR="00B934ED" w:rsidRPr="00CE18CC" w:rsidRDefault="00B934ED">
                            <w:pPr>
                              <w:pStyle w:val="Body"/>
                              <w:spacing w:line="276" w:lineRule="auto"/>
                              <w:rPr>
                                <w:color w:val="0D0D0D"/>
                                <w:sz w:val="24"/>
                                <w:u w:color="0D0D0D"/>
                                <w:lang w:val="es-ES_tradnl"/>
                              </w:rPr>
                            </w:pPr>
                            <w:r>
                              <w:rPr>
                                <w:color w:val="0D0D0D"/>
                                <w:sz w:val="24"/>
                                <w:u w:color="0D0D0D"/>
                                <w:lang w:val="es-ES_tradnl"/>
                              </w:rPr>
                              <w:t>PEDRO JULIO MOVILLA GALARCIO Y FAMILIARES</w:t>
                            </w:r>
                          </w:p>
                          <w:p w14:paraId="11F4554E" w14:textId="77777777" w:rsidR="00B934ED" w:rsidRPr="00CE18CC" w:rsidRDefault="00B934ED">
                            <w:pPr>
                              <w:pStyle w:val="Body"/>
                              <w:spacing w:line="276" w:lineRule="auto"/>
                              <w:rPr>
                                <w:sz w:val="24"/>
                              </w:rPr>
                            </w:pPr>
                            <w:r w:rsidRPr="00CE18CC">
                              <w:rPr>
                                <w:color w:val="0D0D0D"/>
                                <w:sz w:val="24"/>
                                <w:u w:color="0D0D0D"/>
                                <w:lang w:val="es-ES_tradnl"/>
                              </w:rPr>
                              <w:t>COLOMBIA</w:t>
                            </w:r>
                          </w:p>
                        </w:txbxContent>
                      </wps:txbx>
                      <wps:bodyPr wrap="square" lIns="45719" tIns="45719" rIns="45719" bIns="45719" numCol="1" anchor="t">
                        <a:noAutofit/>
                      </wps:bodyPr>
                    </wps:wsp>
                  </a:graphicData>
                </a:graphic>
              </wp:anchor>
            </w:drawing>
          </mc:Choice>
          <mc:Fallback>
            <w:pict>
              <v:rect w14:anchorId="60640899" id="officeArt object" o:spid="_x0000_s1026" style="position:absolute;left:0;text-align:left;margin-left:106.5pt;margin-top:8.45pt;width:349.7pt;height:171.75pt;z-index:2516500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" filled="f" stroked="f" strokeweight="1pt">
                <v:stroke miterlimit="4"/>
                <v:textbox inset="1.27mm,1.27mm,1.27mm,1.27mm">
                  <w:txbxContent>
                    <w:p w14:paraId="4DF69361" w14:textId="7983C531" w:rsidR="00B934ED" w:rsidRPr="00014A33" w:rsidRDefault="00B934ED">
                      <w:pPr>
                        <w:pStyle w:val="Body"/>
                        <w:spacing w:line="276" w:lineRule="auto"/>
                        <w:rPr>
                          <w:b/>
                          <w:bCs/>
                          <w:color w:val="0D0D0D"/>
                          <w:sz w:val="36"/>
                          <w:szCs w:val="36"/>
                          <w:u w:color="0D0D0D"/>
                          <w:lang w:val="es-CO"/>
                        </w:rPr>
                      </w:pPr>
                      <w:r>
                        <w:rPr>
                          <w:b/>
                          <w:bCs/>
                          <w:color w:val="0D0D0D"/>
                          <w:sz w:val="36"/>
                          <w:szCs w:val="36"/>
                          <w:u w:color="0D0D0D"/>
                          <w:lang w:val="es-CO"/>
                        </w:rPr>
                        <w:t>INFORME No. 149/18</w:t>
                      </w:r>
                    </w:p>
                    <w:p w14:paraId="0780C822" w14:textId="77777777" w:rsidR="00B934ED" w:rsidRDefault="00B934ED">
                      <w:pPr>
                        <w:pStyle w:val="Body"/>
                        <w:spacing w:line="276" w:lineRule="auto"/>
                        <w:rPr>
                          <w:b/>
                          <w:bCs/>
                          <w:color w:val="0D0D0D"/>
                          <w:sz w:val="36"/>
                          <w:szCs w:val="36"/>
                          <w:u w:color="0D0D0D"/>
                          <w:lang w:val="es-ES_tradnl"/>
                        </w:rPr>
                      </w:pPr>
                      <w:r>
                        <w:rPr>
                          <w:b/>
                          <w:bCs/>
                          <w:color w:val="0D0D0D"/>
                          <w:sz w:val="36"/>
                          <w:szCs w:val="36"/>
                          <w:u w:color="0D0D0D"/>
                          <w:lang w:val="es-ES_tradnl"/>
                        </w:rPr>
                        <w:t>CASO 11.641</w:t>
                      </w:r>
                    </w:p>
                    <w:p w14:paraId="728A764C" w14:textId="77777777" w:rsidR="00B934ED" w:rsidRPr="00CE18CC" w:rsidRDefault="00B934ED">
                      <w:pPr>
                        <w:pStyle w:val="Body"/>
                        <w:spacing w:line="276" w:lineRule="auto"/>
                        <w:rPr>
                          <w:color w:val="0D0D0D"/>
                          <w:sz w:val="24"/>
                          <w:u w:color="0D0D0D"/>
                          <w:lang w:val="es-ES_tradnl"/>
                        </w:rPr>
                      </w:pPr>
                      <w:r w:rsidRPr="00CE18CC">
                        <w:rPr>
                          <w:color w:val="0D0D0D"/>
                          <w:sz w:val="24"/>
                          <w:u w:color="0D0D0D"/>
                          <w:lang w:val="es-ES_tradnl"/>
                        </w:rPr>
                        <w:t xml:space="preserve">INFORME DE FONDO </w:t>
                      </w:r>
                    </w:p>
                    <w:p w14:paraId="44E9396B" w14:textId="77777777" w:rsidR="00B934ED" w:rsidRDefault="00B934ED">
                      <w:pPr>
                        <w:pStyle w:val="Body"/>
                        <w:spacing w:line="276" w:lineRule="auto"/>
                        <w:rPr>
                          <w:color w:val="0D0D0D"/>
                          <w:u w:color="0D0D0D"/>
                          <w:lang w:val="es-ES_tradnl"/>
                        </w:rPr>
                      </w:pPr>
                    </w:p>
                    <w:p w14:paraId="424CA8CB" w14:textId="5F802641" w:rsidR="00B934ED" w:rsidRPr="00CE18CC" w:rsidRDefault="00B934ED">
                      <w:pPr>
                        <w:pStyle w:val="Body"/>
                        <w:spacing w:line="276" w:lineRule="auto"/>
                        <w:rPr>
                          <w:color w:val="0D0D0D"/>
                          <w:sz w:val="24"/>
                          <w:u w:color="0D0D0D"/>
                          <w:lang w:val="es-ES_tradnl"/>
                        </w:rPr>
                      </w:pPr>
                      <w:r>
                        <w:rPr>
                          <w:color w:val="0D0D0D"/>
                          <w:sz w:val="24"/>
                          <w:u w:color="0D0D0D"/>
                          <w:lang w:val="es-ES_tradnl"/>
                        </w:rPr>
                        <w:t>PEDRO JULIO MOVILLA GALARCIO Y FAMILIARES</w:t>
                      </w:r>
                    </w:p>
                    <w:p w14:paraId="11F4554E" w14:textId="77777777" w:rsidR="00B934ED" w:rsidRPr="00CE18CC" w:rsidRDefault="00B934ED">
                      <w:pPr>
                        <w:pStyle w:val="Body"/>
                        <w:spacing w:line="276" w:lineRule="auto"/>
                        <w:rPr>
                          <w:sz w:val="24"/>
                        </w:rPr>
                      </w:pPr>
                      <w:r w:rsidRPr="00CE18CC">
                        <w:rPr>
                          <w:color w:val="0D0D0D"/>
                          <w:sz w:val="24"/>
                          <w:u w:color="0D0D0D"/>
                          <w:lang w:val="es-ES_tradnl"/>
                        </w:rPr>
                        <w:t>COLOMBIA</w:t>
                      </w:r>
                    </w:p>
                  </w:txbxContent>
                </v:textbox>
                <w10:wrap anchory="line"/>
              </v:rect>
            </w:pict>
          </mc:Fallback>
        </mc:AlternateContent>
      </w:r>
    </w:p>
    <w:p w14:paraId="37F2238D" w14:textId="2FFE920A" w:rsidR="00EC310A" w:rsidRPr="006E763F" w:rsidRDefault="000D2D54" w:rsidP="00E923BB">
      <w:pPr>
        <w:pStyle w:val="Body"/>
        <w:suppressAutoHyphens/>
        <w:ind w:firstLine="249"/>
        <w:rPr>
          <w:lang w:val="es-ES"/>
        </w:rPr>
      </w:pPr>
      <w:r w:rsidRPr="006E763F">
        <w:rPr>
          <w:noProof/>
          <w:lang w:val="en-US" w:eastAsia="en-US"/>
        </w:rPr>
        <mc:AlternateContent>
          <mc:Choice Requires="wps">
            <w:drawing>
              <wp:anchor distT="0" distB="0" distL="0" distR="0" simplePos="0" relativeHeight="251656192" behindDoc="0" locked="0" layoutInCell="1" allowOverlap="1" wp14:anchorId="4766306A" wp14:editId="0E56D842">
                <wp:simplePos x="0" y="0"/>
                <wp:positionH relativeFrom="column">
                  <wp:posOffset>-482930</wp:posOffset>
                </wp:positionH>
                <wp:positionV relativeFrom="line">
                  <wp:posOffset>73127</wp:posOffset>
                </wp:positionV>
                <wp:extent cx="1601470" cy="13747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601470" cy="1374775"/>
                        </a:xfrm>
                        <a:prstGeom prst="rect">
                          <a:avLst/>
                        </a:prstGeom>
                        <a:noFill/>
                        <a:ln w="12700" cap="flat">
                          <a:noFill/>
                          <a:miter lim="400000"/>
                        </a:ln>
                        <a:effectLst/>
                      </wps:spPr>
                      <wps:txbx>
                        <w:txbxContent>
                          <w:p w14:paraId="7B2BD062" w14:textId="4623CD78" w:rsidR="00B934ED" w:rsidRPr="001B27ED" w:rsidRDefault="00B934ED">
                            <w:pPr>
                              <w:pStyle w:val="Body"/>
                              <w:spacing w:line="276" w:lineRule="auto"/>
                              <w:jc w:val="right"/>
                              <w:rPr>
                                <w:rFonts w:ascii="Calibri" w:eastAsia="Calibri" w:hAnsi="Calibri" w:cs="Calibri"/>
                                <w:color w:val="FFFFFF"/>
                                <w:szCs w:val="22"/>
                                <w:u w:color="FFFFFF"/>
                                <w:lang w:val="pt-BR"/>
                              </w:rPr>
                            </w:pPr>
                            <w:r w:rsidRPr="001B27ED">
                              <w:rPr>
                                <w:rFonts w:ascii="Calibri" w:eastAsia="Calibri" w:hAnsi="Calibri" w:cs="Calibri"/>
                                <w:color w:val="FFFFFF"/>
                                <w:szCs w:val="22"/>
                                <w:u w:color="FFFFFF"/>
                                <w:lang w:val="pt-BR"/>
                              </w:rPr>
                              <w:t>OEA/Ser.L/V/II.170</w:t>
                            </w:r>
                          </w:p>
                          <w:p w14:paraId="5AE6346A" w14:textId="267605FB" w:rsidR="00B934ED" w:rsidRPr="001B27ED" w:rsidRDefault="00B934ED">
                            <w:pPr>
                              <w:pStyle w:val="Body"/>
                              <w:spacing w:line="276" w:lineRule="auto"/>
                              <w:jc w:val="right"/>
                              <w:rPr>
                                <w:rFonts w:ascii="Calibri" w:eastAsia="Calibri" w:hAnsi="Calibri" w:cs="Calibri"/>
                                <w:color w:val="FFFFFF"/>
                                <w:szCs w:val="22"/>
                                <w:u w:color="FFFFFF"/>
                                <w:lang w:val="pt-BR"/>
                              </w:rPr>
                            </w:pPr>
                            <w:r w:rsidRPr="001B27ED">
                              <w:rPr>
                                <w:rFonts w:ascii="Calibri" w:eastAsia="Calibri" w:hAnsi="Calibri" w:cs="Calibri"/>
                                <w:color w:val="FFFFFF"/>
                                <w:szCs w:val="22"/>
                                <w:u w:color="FFFFFF"/>
                                <w:lang w:val="pt-BR"/>
                              </w:rPr>
                              <w:t>Doc. 171</w:t>
                            </w:r>
                          </w:p>
                          <w:p w14:paraId="4C75A73D" w14:textId="4C06CE9F" w:rsidR="00B934ED" w:rsidRPr="00E923BB" w:rsidRDefault="00B934ED">
                            <w:pPr>
                              <w:pStyle w:val="Body"/>
                              <w:spacing w:line="276" w:lineRule="auto"/>
                              <w:jc w:val="right"/>
                              <w:rPr>
                                <w:rFonts w:ascii="Calibri" w:eastAsia="Calibri" w:hAnsi="Calibri" w:cs="Calibri"/>
                                <w:color w:val="FFFFFF"/>
                                <w:szCs w:val="22"/>
                                <w:u w:color="FFFFFF"/>
                                <w:lang w:val="es-ES_tradnl"/>
                              </w:rPr>
                            </w:pPr>
                            <w:r>
                              <w:rPr>
                                <w:rFonts w:ascii="Calibri" w:eastAsia="Calibri" w:hAnsi="Calibri" w:cs="Calibri"/>
                                <w:color w:val="FFFFFF"/>
                                <w:szCs w:val="22"/>
                                <w:u w:color="FFFFFF"/>
                                <w:lang w:val="es-ES_tradnl"/>
                              </w:rPr>
                              <w:t>7 diciembre 2018</w:t>
                            </w:r>
                          </w:p>
                          <w:p w14:paraId="589DBC1B" w14:textId="77777777" w:rsidR="00B934ED" w:rsidRPr="00E923BB" w:rsidRDefault="00B934ED">
                            <w:pPr>
                              <w:pStyle w:val="Body"/>
                              <w:spacing w:line="276" w:lineRule="auto"/>
                              <w:jc w:val="right"/>
                              <w:rPr>
                                <w:sz w:val="18"/>
                              </w:rPr>
                            </w:pPr>
                            <w:r w:rsidRPr="00E923BB">
                              <w:rPr>
                                <w:rFonts w:ascii="Calibri" w:eastAsia="Calibri" w:hAnsi="Calibri" w:cs="Calibri"/>
                                <w:color w:val="FFFFFF"/>
                                <w:szCs w:val="22"/>
                                <w:u w:color="FFFFFF"/>
                                <w:lang w:val="es-ES_tradnl"/>
                              </w:rPr>
                              <w:t>Original: español</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766306A" id="_x0000_s1027" style="position:absolute;left:0;text-align:left;margin-left:-38.05pt;margin-top:5.75pt;width:126.1pt;height:108.25pt;z-index:251656192;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" filled="f" stroked="f" strokeweight="1pt">
                <v:stroke miterlimit="4"/>
                <v:textbox inset="1.27mm,1.27mm,1.27mm,1.27mm">
                  <w:txbxContent>
                    <w:p w14:paraId="7B2BD062" w14:textId="4623CD78" w:rsidR="00B934ED" w:rsidRPr="001B27ED" w:rsidRDefault="00B934ED">
                      <w:pPr>
                        <w:pStyle w:val="Body"/>
                        <w:spacing w:line="276" w:lineRule="auto"/>
                        <w:jc w:val="right"/>
                        <w:rPr>
                          <w:rFonts w:ascii="Calibri" w:eastAsia="Calibri" w:hAnsi="Calibri" w:cs="Calibri"/>
                          <w:color w:val="FFFFFF"/>
                          <w:szCs w:val="22"/>
                          <w:u w:color="FFFFFF"/>
                          <w:lang w:val="pt-BR"/>
                        </w:rPr>
                      </w:pPr>
                      <w:r w:rsidRPr="001B27ED">
                        <w:rPr>
                          <w:rFonts w:ascii="Calibri" w:eastAsia="Calibri" w:hAnsi="Calibri" w:cs="Calibri"/>
                          <w:color w:val="FFFFFF"/>
                          <w:szCs w:val="22"/>
                          <w:u w:color="FFFFFF"/>
                          <w:lang w:val="pt-BR"/>
                        </w:rPr>
                        <w:t>OEA/Ser.L/V/II.170</w:t>
                      </w:r>
                    </w:p>
                    <w:p w14:paraId="5AE6346A" w14:textId="267605FB" w:rsidR="00B934ED" w:rsidRPr="001B27ED" w:rsidRDefault="00B934ED">
                      <w:pPr>
                        <w:pStyle w:val="Body"/>
                        <w:spacing w:line="276" w:lineRule="auto"/>
                        <w:jc w:val="right"/>
                        <w:rPr>
                          <w:rFonts w:ascii="Calibri" w:eastAsia="Calibri" w:hAnsi="Calibri" w:cs="Calibri"/>
                          <w:color w:val="FFFFFF"/>
                          <w:szCs w:val="22"/>
                          <w:u w:color="FFFFFF"/>
                          <w:lang w:val="pt-BR"/>
                        </w:rPr>
                      </w:pPr>
                      <w:r w:rsidRPr="001B27ED">
                        <w:rPr>
                          <w:rFonts w:ascii="Calibri" w:eastAsia="Calibri" w:hAnsi="Calibri" w:cs="Calibri"/>
                          <w:color w:val="FFFFFF"/>
                          <w:szCs w:val="22"/>
                          <w:u w:color="FFFFFF"/>
                          <w:lang w:val="pt-BR"/>
                        </w:rPr>
                        <w:t>Doc. 171</w:t>
                      </w:r>
                    </w:p>
                    <w:p w14:paraId="4C75A73D" w14:textId="4C06CE9F" w:rsidR="00B934ED" w:rsidRPr="00E923BB" w:rsidRDefault="00B934ED">
                      <w:pPr>
                        <w:pStyle w:val="Body"/>
                        <w:spacing w:line="276" w:lineRule="auto"/>
                        <w:jc w:val="right"/>
                        <w:rPr>
                          <w:rFonts w:ascii="Calibri" w:eastAsia="Calibri" w:hAnsi="Calibri" w:cs="Calibri"/>
                          <w:color w:val="FFFFFF"/>
                          <w:szCs w:val="22"/>
                          <w:u w:color="FFFFFF"/>
                          <w:lang w:val="es-ES_tradnl"/>
                        </w:rPr>
                      </w:pPr>
                      <w:r>
                        <w:rPr>
                          <w:rFonts w:ascii="Calibri" w:eastAsia="Calibri" w:hAnsi="Calibri" w:cs="Calibri"/>
                          <w:color w:val="FFFFFF"/>
                          <w:szCs w:val="22"/>
                          <w:u w:color="FFFFFF"/>
                          <w:lang w:val="es-ES_tradnl"/>
                        </w:rPr>
                        <w:t>7 diciembre 2018</w:t>
                      </w:r>
                    </w:p>
                    <w:p w14:paraId="589DBC1B" w14:textId="77777777" w:rsidR="00B934ED" w:rsidRPr="00E923BB" w:rsidRDefault="00B934ED">
                      <w:pPr>
                        <w:pStyle w:val="Body"/>
                        <w:spacing w:line="276" w:lineRule="auto"/>
                        <w:jc w:val="right"/>
                        <w:rPr>
                          <w:sz w:val="18"/>
                        </w:rPr>
                      </w:pPr>
                      <w:r w:rsidRPr="00E923BB">
                        <w:rPr>
                          <w:rFonts w:ascii="Calibri" w:eastAsia="Calibri" w:hAnsi="Calibri" w:cs="Calibri"/>
                          <w:color w:val="FFFFFF"/>
                          <w:szCs w:val="22"/>
                          <w:u w:color="FFFFFF"/>
                          <w:lang w:val="es-ES_tradnl"/>
                        </w:rPr>
                        <w:t>Original: español</w:t>
                      </w:r>
                    </w:p>
                  </w:txbxContent>
                </v:textbox>
                <w10:wrap anchory="line"/>
              </v:rect>
            </w:pict>
          </mc:Fallback>
        </mc:AlternateContent>
      </w:r>
    </w:p>
    <w:p w14:paraId="5F4A9716" w14:textId="16AAC2C4" w:rsidR="00EC310A" w:rsidRPr="006E763F" w:rsidRDefault="00EC310A" w:rsidP="00E923BB">
      <w:pPr>
        <w:pStyle w:val="Body"/>
        <w:suppressAutoHyphens/>
        <w:ind w:firstLine="249"/>
        <w:rPr>
          <w:lang w:val="es-ES"/>
        </w:rPr>
      </w:pPr>
    </w:p>
    <w:p w14:paraId="4B93100B" w14:textId="77777777" w:rsidR="00EC310A" w:rsidRPr="006E763F" w:rsidRDefault="00EC310A" w:rsidP="00E923BB">
      <w:pPr>
        <w:pStyle w:val="Body"/>
        <w:suppressAutoHyphens/>
        <w:ind w:firstLine="249"/>
        <w:rPr>
          <w:lang w:val="es-ES"/>
        </w:rPr>
      </w:pPr>
    </w:p>
    <w:p w14:paraId="63DB42CC" w14:textId="77777777" w:rsidR="00EC310A" w:rsidRPr="006E763F" w:rsidRDefault="00EC310A" w:rsidP="00E923BB">
      <w:pPr>
        <w:pStyle w:val="Body"/>
        <w:suppressAutoHyphens/>
        <w:ind w:firstLine="249"/>
        <w:rPr>
          <w:lang w:val="es-ES"/>
        </w:rPr>
      </w:pPr>
    </w:p>
    <w:p w14:paraId="6D9E6CEA" w14:textId="77777777" w:rsidR="00EC310A" w:rsidRPr="006E763F" w:rsidRDefault="00EC310A" w:rsidP="00E923BB">
      <w:pPr>
        <w:pStyle w:val="Body"/>
        <w:suppressAutoHyphens/>
        <w:ind w:firstLine="249"/>
        <w:rPr>
          <w:lang w:val="es-ES"/>
        </w:rPr>
      </w:pPr>
    </w:p>
    <w:p w14:paraId="71C540EB" w14:textId="77777777" w:rsidR="00EC310A" w:rsidRPr="006E763F" w:rsidRDefault="00EC310A" w:rsidP="00E923BB">
      <w:pPr>
        <w:pStyle w:val="Body"/>
        <w:suppressAutoHyphens/>
        <w:ind w:firstLine="249"/>
        <w:rPr>
          <w:lang w:val="es-ES"/>
        </w:rPr>
      </w:pPr>
    </w:p>
    <w:p w14:paraId="37587793" w14:textId="77777777" w:rsidR="00EC310A" w:rsidRPr="006E763F" w:rsidRDefault="00EC310A" w:rsidP="00E923BB">
      <w:pPr>
        <w:pStyle w:val="Body"/>
        <w:suppressAutoHyphens/>
        <w:ind w:firstLine="249"/>
        <w:rPr>
          <w:lang w:val="es-ES"/>
        </w:rPr>
      </w:pPr>
    </w:p>
    <w:p w14:paraId="57F01426" w14:textId="77777777" w:rsidR="00EC310A" w:rsidRPr="006E763F" w:rsidRDefault="00EC310A" w:rsidP="00E923BB">
      <w:pPr>
        <w:pStyle w:val="Body"/>
        <w:suppressAutoHyphens/>
        <w:ind w:firstLine="249"/>
        <w:rPr>
          <w:lang w:val="es-ES"/>
        </w:rPr>
      </w:pPr>
    </w:p>
    <w:p w14:paraId="3041D62A" w14:textId="77777777" w:rsidR="00EC310A" w:rsidRPr="006E763F" w:rsidRDefault="00EC310A" w:rsidP="00E923BB">
      <w:pPr>
        <w:pStyle w:val="Body"/>
        <w:suppressAutoHyphens/>
        <w:ind w:firstLine="249"/>
        <w:rPr>
          <w:lang w:val="es-ES"/>
        </w:rPr>
      </w:pPr>
    </w:p>
    <w:p w14:paraId="68C1D35C" w14:textId="77777777" w:rsidR="00EC310A" w:rsidRPr="006E763F" w:rsidRDefault="00EC310A" w:rsidP="00E923BB">
      <w:pPr>
        <w:pStyle w:val="Body"/>
        <w:suppressAutoHyphens/>
        <w:ind w:firstLine="249"/>
        <w:rPr>
          <w:lang w:val="es-ES"/>
        </w:rPr>
      </w:pPr>
    </w:p>
    <w:p w14:paraId="6ED662E9" w14:textId="77777777" w:rsidR="00EC310A" w:rsidRPr="006E763F" w:rsidRDefault="00EC310A" w:rsidP="00E923BB">
      <w:pPr>
        <w:pStyle w:val="Body"/>
        <w:suppressAutoHyphens/>
        <w:ind w:firstLine="249"/>
        <w:rPr>
          <w:lang w:val="es-ES"/>
        </w:rPr>
      </w:pPr>
    </w:p>
    <w:p w14:paraId="319D7377" w14:textId="77777777" w:rsidR="00EC310A" w:rsidRPr="006E763F" w:rsidRDefault="00EC310A" w:rsidP="00E923BB">
      <w:pPr>
        <w:pStyle w:val="Body"/>
        <w:suppressAutoHyphens/>
        <w:ind w:firstLine="249"/>
        <w:rPr>
          <w:lang w:val="es-ES"/>
        </w:rPr>
      </w:pPr>
    </w:p>
    <w:p w14:paraId="00636896" w14:textId="77777777" w:rsidR="00EC310A" w:rsidRPr="006E763F" w:rsidRDefault="00EC310A" w:rsidP="00E923BB">
      <w:pPr>
        <w:pStyle w:val="Body"/>
        <w:suppressAutoHyphens/>
        <w:ind w:firstLine="249"/>
        <w:rPr>
          <w:lang w:val="es-ES"/>
        </w:rPr>
      </w:pPr>
    </w:p>
    <w:p w14:paraId="00AFF97E" w14:textId="77777777" w:rsidR="00EC310A" w:rsidRPr="006E763F" w:rsidRDefault="00EC310A" w:rsidP="00E923BB">
      <w:pPr>
        <w:pStyle w:val="Body"/>
        <w:suppressAutoHyphens/>
        <w:ind w:firstLine="249"/>
        <w:rPr>
          <w:lang w:val="es-ES"/>
        </w:rPr>
      </w:pPr>
    </w:p>
    <w:p w14:paraId="7A0316AF" w14:textId="77777777" w:rsidR="00EC310A" w:rsidRPr="006E763F" w:rsidRDefault="00EC310A" w:rsidP="00E923BB">
      <w:pPr>
        <w:pStyle w:val="Body"/>
        <w:suppressAutoHyphens/>
        <w:ind w:firstLine="249"/>
        <w:rPr>
          <w:lang w:val="es-ES"/>
        </w:rPr>
      </w:pPr>
    </w:p>
    <w:p w14:paraId="638A43D3" w14:textId="77777777" w:rsidR="00EC310A" w:rsidRPr="006E763F" w:rsidRDefault="00EC310A" w:rsidP="00E923BB">
      <w:pPr>
        <w:pStyle w:val="Body"/>
        <w:suppressAutoHyphens/>
        <w:ind w:firstLine="249"/>
        <w:rPr>
          <w:lang w:val="es-ES"/>
        </w:rPr>
      </w:pPr>
    </w:p>
    <w:p w14:paraId="4A58EBD0" w14:textId="77777777" w:rsidR="00EC310A" w:rsidRPr="006E763F" w:rsidRDefault="00EC310A" w:rsidP="00E923BB">
      <w:pPr>
        <w:pStyle w:val="Body"/>
        <w:suppressAutoHyphens/>
        <w:ind w:firstLine="249"/>
        <w:rPr>
          <w:lang w:val="es-ES"/>
        </w:rPr>
      </w:pPr>
    </w:p>
    <w:p w14:paraId="505B758F" w14:textId="77777777" w:rsidR="00EC310A" w:rsidRPr="006E763F" w:rsidRDefault="00EC310A" w:rsidP="00E923BB">
      <w:pPr>
        <w:pStyle w:val="Body"/>
        <w:suppressAutoHyphens/>
        <w:ind w:firstLine="249"/>
        <w:rPr>
          <w:lang w:val="es-ES"/>
        </w:rPr>
      </w:pPr>
    </w:p>
    <w:p w14:paraId="5FB9D779" w14:textId="77777777" w:rsidR="00EC310A" w:rsidRPr="006E763F" w:rsidRDefault="00EC310A" w:rsidP="00E923BB">
      <w:pPr>
        <w:pStyle w:val="Body"/>
        <w:suppressAutoHyphens/>
        <w:ind w:firstLine="249"/>
        <w:rPr>
          <w:lang w:val="es-ES"/>
        </w:rPr>
      </w:pPr>
    </w:p>
    <w:p w14:paraId="778C25B4" w14:textId="77777777" w:rsidR="00EC310A" w:rsidRPr="006E763F" w:rsidRDefault="00EC310A" w:rsidP="00E923BB">
      <w:pPr>
        <w:pStyle w:val="Body"/>
        <w:suppressAutoHyphens/>
        <w:ind w:firstLine="249"/>
        <w:rPr>
          <w:lang w:val="es-ES"/>
        </w:rPr>
      </w:pPr>
    </w:p>
    <w:p w14:paraId="568F680B" w14:textId="77777777" w:rsidR="00EC310A" w:rsidRPr="006E763F" w:rsidRDefault="00EC310A" w:rsidP="00E923BB">
      <w:pPr>
        <w:pStyle w:val="Body"/>
        <w:suppressAutoHyphens/>
        <w:ind w:firstLine="249"/>
        <w:rPr>
          <w:lang w:val="es-ES"/>
        </w:rPr>
      </w:pPr>
    </w:p>
    <w:p w14:paraId="56975F5D" w14:textId="77777777" w:rsidR="00EC310A" w:rsidRPr="006E763F" w:rsidRDefault="00EC310A" w:rsidP="00E923BB">
      <w:pPr>
        <w:pStyle w:val="Body"/>
        <w:suppressAutoHyphens/>
        <w:ind w:firstLine="249"/>
        <w:rPr>
          <w:lang w:val="es-ES"/>
        </w:rPr>
      </w:pPr>
    </w:p>
    <w:p w14:paraId="083245CF" w14:textId="77777777" w:rsidR="00EC310A" w:rsidRPr="006E763F" w:rsidRDefault="00EC310A" w:rsidP="00E923BB">
      <w:pPr>
        <w:pStyle w:val="Body"/>
        <w:suppressAutoHyphens/>
        <w:ind w:firstLine="249"/>
        <w:rPr>
          <w:lang w:val="es-ES"/>
        </w:rPr>
      </w:pPr>
    </w:p>
    <w:p w14:paraId="0BACD392" w14:textId="77777777" w:rsidR="00EC310A" w:rsidRPr="006E763F" w:rsidRDefault="00EC310A" w:rsidP="00E923BB">
      <w:pPr>
        <w:pStyle w:val="Body"/>
        <w:suppressAutoHyphens/>
        <w:ind w:firstLine="249"/>
        <w:rPr>
          <w:lang w:val="es-ES"/>
        </w:rPr>
      </w:pPr>
    </w:p>
    <w:p w14:paraId="003D3274" w14:textId="77777777" w:rsidR="00EC310A" w:rsidRPr="006E763F" w:rsidRDefault="00EC310A" w:rsidP="00E923BB">
      <w:pPr>
        <w:pStyle w:val="Body"/>
        <w:suppressAutoHyphens/>
        <w:ind w:firstLine="249"/>
        <w:rPr>
          <w:lang w:val="es-ES"/>
        </w:rPr>
      </w:pPr>
    </w:p>
    <w:p w14:paraId="46C53846" w14:textId="77777777" w:rsidR="00EC310A" w:rsidRPr="006E763F" w:rsidRDefault="00EC310A" w:rsidP="00E923BB">
      <w:pPr>
        <w:pStyle w:val="Body"/>
        <w:suppressAutoHyphens/>
        <w:ind w:firstLine="249"/>
        <w:rPr>
          <w:lang w:val="es-ES"/>
        </w:rPr>
      </w:pPr>
    </w:p>
    <w:p w14:paraId="170CAEC0" w14:textId="77777777" w:rsidR="00EC310A" w:rsidRPr="006E763F" w:rsidRDefault="00EC310A" w:rsidP="00E923BB">
      <w:pPr>
        <w:pStyle w:val="Body"/>
        <w:suppressAutoHyphens/>
        <w:ind w:firstLine="249"/>
        <w:rPr>
          <w:lang w:val="es-ES"/>
        </w:rPr>
      </w:pPr>
    </w:p>
    <w:p w14:paraId="5C98AB07" w14:textId="77777777" w:rsidR="00EC310A" w:rsidRPr="006E763F" w:rsidRDefault="00EC310A" w:rsidP="00E923BB">
      <w:pPr>
        <w:pStyle w:val="Body"/>
        <w:suppressAutoHyphens/>
        <w:ind w:firstLine="249"/>
        <w:rPr>
          <w:lang w:val="es-ES"/>
        </w:rPr>
      </w:pPr>
    </w:p>
    <w:p w14:paraId="67E61CFB" w14:textId="77777777" w:rsidR="00EC310A" w:rsidRPr="006E763F" w:rsidRDefault="009E7E98" w:rsidP="00E923BB">
      <w:pPr>
        <w:pStyle w:val="Body"/>
        <w:suppressAutoHyphens/>
        <w:ind w:firstLine="249"/>
        <w:rPr>
          <w:lang w:val="es-ES"/>
        </w:rPr>
      </w:pPr>
      <w:r w:rsidRPr="006E763F">
        <w:rPr>
          <w:noProof/>
          <w:lang w:val="en-US" w:eastAsia="en-US"/>
        </w:rPr>
        <mc:AlternateContent>
          <mc:Choice Requires="wps">
            <w:drawing>
              <wp:anchor distT="0" distB="0" distL="0" distR="0" simplePos="0" relativeHeight="251653120" behindDoc="0" locked="0" layoutInCell="1" allowOverlap="1" wp14:anchorId="09A25E0F" wp14:editId="00976EC6">
                <wp:simplePos x="0" y="0"/>
                <wp:positionH relativeFrom="column">
                  <wp:posOffset>1152630</wp:posOffset>
                </wp:positionH>
                <wp:positionV relativeFrom="line">
                  <wp:posOffset>22225</wp:posOffset>
                </wp:positionV>
                <wp:extent cx="4933950" cy="664846"/>
                <wp:effectExtent l="0" t="0" r="0" b="1905"/>
                <wp:wrapNone/>
                <wp:docPr id="1073741831"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14:paraId="3E86B7FE" w14:textId="50EDAED1" w:rsidR="00B934ED" w:rsidRPr="00122FA8" w:rsidRDefault="00B934ED" w:rsidP="00593752">
                            <w:pPr>
                              <w:pStyle w:val="Body"/>
                              <w:tabs>
                                <w:tab w:val="center" w:pos="5400"/>
                              </w:tabs>
                              <w:ind w:firstLine="0"/>
                              <w:rPr>
                                <w:color w:val="0D0D0D"/>
                                <w:sz w:val="18"/>
                                <w:szCs w:val="18"/>
                                <w:u w:color="0D0D0D"/>
                                <w:lang w:val="es-ES_tradnl"/>
                              </w:rPr>
                            </w:pPr>
                            <w:r w:rsidRPr="00CE18CC">
                              <w:rPr>
                                <w:color w:val="0D0D0D"/>
                                <w:sz w:val="18"/>
                                <w:szCs w:val="18"/>
                                <w:u w:color="0D0D0D"/>
                                <w:lang w:val="es-ES_tradnl"/>
                              </w:rPr>
                              <w:t>Aprobado por la Comisi</w:t>
                            </w:r>
                            <w:r w:rsidRPr="00CE18CC">
                              <w:rPr>
                                <w:color w:val="0D0D0D"/>
                                <w:sz w:val="18"/>
                                <w:szCs w:val="18"/>
                                <w:u w:color="0D0D0D"/>
                              </w:rPr>
                              <w:t>ó</w:t>
                            </w:r>
                            <w:r>
                              <w:rPr>
                                <w:color w:val="0D0D0D"/>
                                <w:sz w:val="18"/>
                                <w:szCs w:val="18"/>
                                <w:u w:color="0D0D0D"/>
                                <w:lang w:val="es-ES_tradnl"/>
                              </w:rPr>
                              <w:t>n en su S</w:t>
                            </w:r>
                            <w:r w:rsidRPr="00CE18CC">
                              <w:rPr>
                                <w:color w:val="0D0D0D"/>
                                <w:sz w:val="18"/>
                                <w:szCs w:val="18"/>
                                <w:u w:color="0D0D0D"/>
                                <w:lang w:val="es-ES_tradnl"/>
                              </w:rPr>
                              <w:t>esi</w:t>
                            </w:r>
                            <w:r w:rsidRPr="00CE18CC">
                              <w:rPr>
                                <w:color w:val="0D0D0D"/>
                                <w:sz w:val="18"/>
                                <w:szCs w:val="18"/>
                                <w:u w:color="0D0D0D"/>
                              </w:rPr>
                              <w:t>ó</w:t>
                            </w:r>
                            <w:r>
                              <w:rPr>
                                <w:color w:val="0D0D0D"/>
                                <w:sz w:val="18"/>
                                <w:szCs w:val="18"/>
                                <w:u w:color="0D0D0D"/>
                                <w:lang w:val="es-ES_tradnl"/>
                              </w:rPr>
                              <w:t>n No. 2142</w:t>
                            </w:r>
                            <w:r w:rsidRPr="00CE18CC">
                              <w:rPr>
                                <w:color w:val="0D0D0D"/>
                                <w:sz w:val="18"/>
                                <w:szCs w:val="18"/>
                                <w:u w:color="0D0D0D"/>
                                <w:lang w:val="es-ES_tradnl"/>
                              </w:rPr>
                              <w:t xml:space="preserve"> celebrada el </w:t>
                            </w:r>
                            <w:r>
                              <w:rPr>
                                <w:color w:val="0D0D0D"/>
                                <w:sz w:val="18"/>
                                <w:szCs w:val="18"/>
                                <w:u w:color="0D0D0D"/>
                                <w:lang w:val="es-ES_tradnl"/>
                              </w:rPr>
                              <w:t>7</w:t>
                            </w:r>
                            <w:r w:rsidRPr="00CE18CC">
                              <w:rPr>
                                <w:color w:val="0D0D0D"/>
                                <w:sz w:val="18"/>
                                <w:szCs w:val="18"/>
                                <w:u w:color="0D0D0D"/>
                                <w:lang w:val="es-ES_tradnl"/>
                              </w:rPr>
                              <w:t xml:space="preserve"> de </w:t>
                            </w:r>
                            <w:r>
                              <w:rPr>
                                <w:color w:val="0D0D0D"/>
                                <w:sz w:val="18"/>
                                <w:szCs w:val="18"/>
                                <w:u w:color="0D0D0D"/>
                                <w:lang w:val="es-ES_tradnl"/>
                              </w:rPr>
                              <w:t>diciembre</w:t>
                            </w:r>
                            <w:r w:rsidRPr="00CE18CC">
                              <w:rPr>
                                <w:color w:val="0D0D0D"/>
                                <w:sz w:val="18"/>
                                <w:szCs w:val="18"/>
                                <w:u w:color="0D0D0D"/>
                                <w:lang w:val="es-ES_tradnl"/>
                              </w:rPr>
                              <w:t xml:space="preserve"> de 2018</w:t>
                            </w:r>
                            <w:r>
                              <w:rPr>
                                <w:color w:val="0D0D0D"/>
                                <w:sz w:val="18"/>
                                <w:szCs w:val="18"/>
                                <w:u w:color="0D0D0D"/>
                              </w:rPr>
                              <w:br/>
                              <w:t xml:space="preserve">170 </w:t>
                            </w:r>
                            <w:r>
                              <w:rPr>
                                <w:color w:val="0D0D0D"/>
                                <w:sz w:val="18"/>
                                <w:szCs w:val="18"/>
                                <w:u w:color="0D0D0D"/>
                                <w:lang w:val="es-ES_tradnl"/>
                              </w:rPr>
                              <w:t>Período Ordinario de S</w:t>
                            </w:r>
                            <w:r w:rsidRPr="00CE18CC">
                              <w:rPr>
                                <w:color w:val="0D0D0D"/>
                                <w:sz w:val="18"/>
                                <w:szCs w:val="18"/>
                                <w:u w:color="0D0D0D"/>
                                <w:lang w:val="es-ES_tradnl"/>
                              </w:rPr>
                              <w:t>esiones</w:t>
                            </w:r>
                          </w:p>
                        </w:txbxContent>
                      </wps:txbx>
                      <wps:bodyPr wrap="square" lIns="45719" tIns="45719" rIns="45719" bIns="45719" numCol="1" anchor="t">
                        <a:noAutofit/>
                      </wps:bodyPr>
                    </wps:wsp>
                  </a:graphicData>
                </a:graphic>
              </wp:anchor>
            </w:drawing>
          </mc:Choice>
          <mc:Fallback>
            <w:pict>
              <v:rect w14:anchorId="09A25E0F" id="_x0000_s1028" style="position:absolute;left:0;text-align:left;margin-left:90.75pt;margin-top:1.75pt;width:388.5pt;height:52.35pt;z-index:2516531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" filled="f" stroked="f" strokeweight="1pt">
                <v:stroke miterlimit="4"/>
                <v:textbox inset="1.27mm,1.27mm,1.27mm,1.27mm">
                  <w:txbxContent>
                    <w:p w14:paraId="3E86B7FE" w14:textId="50EDAED1" w:rsidR="00B934ED" w:rsidRPr="00122FA8" w:rsidRDefault="00B934ED" w:rsidP="00593752">
                      <w:pPr>
                        <w:pStyle w:val="Body"/>
                        <w:tabs>
                          <w:tab w:val="center" w:pos="5400"/>
                        </w:tabs>
                        <w:ind w:firstLine="0"/>
                        <w:rPr>
                          <w:color w:val="0D0D0D"/>
                          <w:sz w:val="18"/>
                          <w:szCs w:val="18"/>
                          <w:u w:color="0D0D0D"/>
                          <w:lang w:val="es-ES_tradnl"/>
                        </w:rPr>
                      </w:pPr>
                      <w:r w:rsidRPr="00CE18CC">
                        <w:rPr>
                          <w:color w:val="0D0D0D"/>
                          <w:sz w:val="18"/>
                          <w:szCs w:val="18"/>
                          <w:u w:color="0D0D0D"/>
                          <w:lang w:val="es-ES_tradnl"/>
                        </w:rPr>
                        <w:t>Aprobado por la Comisi</w:t>
                      </w:r>
                      <w:r w:rsidRPr="00CE18CC">
                        <w:rPr>
                          <w:color w:val="0D0D0D"/>
                          <w:sz w:val="18"/>
                          <w:szCs w:val="18"/>
                          <w:u w:color="0D0D0D"/>
                        </w:rPr>
                        <w:t>ó</w:t>
                      </w:r>
                      <w:r>
                        <w:rPr>
                          <w:color w:val="0D0D0D"/>
                          <w:sz w:val="18"/>
                          <w:szCs w:val="18"/>
                          <w:u w:color="0D0D0D"/>
                          <w:lang w:val="es-ES_tradnl"/>
                        </w:rPr>
                        <w:t>n en su S</w:t>
                      </w:r>
                      <w:r w:rsidRPr="00CE18CC">
                        <w:rPr>
                          <w:color w:val="0D0D0D"/>
                          <w:sz w:val="18"/>
                          <w:szCs w:val="18"/>
                          <w:u w:color="0D0D0D"/>
                          <w:lang w:val="es-ES_tradnl"/>
                        </w:rPr>
                        <w:t>esi</w:t>
                      </w:r>
                      <w:r w:rsidRPr="00CE18CC">
                        <w:rPr>
                          <w:color w:val="0D0D0D"/>
                          <w:sz w:val="18"/>
                          <w:szCs w:val="18"/>
                          <w:u w:color="0D0D0D"/>
                        </w:rPr>
                        <w:t>ó</w:t>
                      </w:r>
                      <w:r>
                        <w:rPr>
                          <w:color w:val="0D0D0D"/>
                          <w:sz w:val="18"/>
                          <w:szCs w:val="18"/>
                          <w:u w:color="0D0D0D"/>
                          <w:lang w:val="es-ES_tradnl"/>
                        </w:rPr>
                        <w:t>n No. 2142</w:t>
                      </w:r>
                      <w:r w:rsidRPr="00CE18CC">
                        <w:rPr>
                          <w:color w:val="0D0D0D"/>
                          <w:sz w:val="18"/>
                          <w:szCs w:val="18"/>
                          <w:u w:color="0D0D0D"/>
                          <w:lang w:val="es-ES_tradnl"/>
                        </w:rPr>
                        <w:t xml:space="preserve"> celebrada el </w:t>
                      </w:r>
                      <w:r>
                        <w:rPr>
                          <w:color w:val="0D0D0D"/>
                          <w:sz w:val="18"/>
                          <w:szCs w:val="18"/>
                          <w:u w:color="0D0D0D"/>
                          <w:lang w:val="es-ES_tradnl"/>
                        </w:rPr>
                        <w:t>7</w:t>
                      </w:r>
                      <w:r w:rsidRPr="00CE18CC">
                        <w:rPr>
                          <w:color w:val="0D0D0D"/>
                          <w:sz w:val="18"/>
                          <w:szCs w:val="18"/>
                          <w:u w:color="0D0D0D"/>
                          <w:lang w:val="es-ES_tradnl"/>
                        </w:rPr>
                        <w:t xml:space="preserve"> de </w:t>
                      </w:r>
                      <w:r>
                        <w:rPr>
                          <w:color w:val="0D0D0D"/>
                          <w:sz w:val="18"/>
                          <w:szCs w:val="18"/>
                          <w:u w:color="0D0D0D"/>
                          <w:lang w:val="es-ES_tradnl"/>
                        </w:rPr>
                        <w:t>diciembre</w:t>
                      </w:r>
                      <w:r w:rsidRPr="00CE18CC">
                        <w:rPr>
                          <w:color w:val="0D0D0D"/>
                          <w:sz w:val="18"/>
                          <w:szCs w:val="18"/>
                          <w:u w:color="0D0D0D"/>
                          <w:lang w:val="es-ES_tradnl"/>
                        </w:rPr>
                        <w:t xml:space="preserve"> de 2018</w:t>
                      </w:r>
                      <w:r>
                        <w:rPr>
                          <w:color w:val="0D0D0D"/>
                          <w:sz w:val="18"/>
                          <w:szCs w:val="18"/>
                          <w:u w:color="0D0D0D"/>
                        </w:rPr>
                        <w:br/>
                        <w:t xml:space="preserve">170 </w:t>
                      </w:r>
                      <w:r>
                        <w:rPr>
                          <w:color w:val="0D0D0D"/>
                          <w:sz w:val="18"/>
                          <w:szCs w:val="18"/>
                          <w:u w:color="0D0D0D"/>
                          <w:lang w:val="es-ES_tradnl"/>
                        </w:rPr>
                        <w:t>Período Ordinario de S</w:t>
                      </w:r>
                      <w:r w:rsidRPr="00CE18CC">
                        <w:rPr>
                          <w:color w:val="0D0D0D"/>
                          <w:sz w:val="18"/>
                          <w:szCs w:val="18"/>
                          <w:u w:color="0D0D0D"/>
                          <w:lang w:val="es-ES_tradnl"/>
                        </w:rPr>
                        <w:t>esiones</w:t>
                      </w:r>
                    </w:p>
                  </w:txbxContent>
                </v:textbox>
                <w10:wrap anchory="line"/>
              </v:rect>
            </w:pict>
          </mc:Fallback>
        </mc:AlternateContent>
      </w:r>
    </w:p>
    <w:p w14:paraId="01F2C98A" w14:textId="77777777" w:rsidR="00EC310A" w:rsidRPr="006E763F" w:rsidRDefault="00EC310A" w:rsidP="00E923BB">
      <w:pPr>
        <w:pStyle w:val="Body"/>
        <w:suppressAutoHyphens/>
        <w:ind w:firstLine="249"/>
        <w:rPr>
          <w:lang w:val="es-ES"/>
        </w:rPr>
      </w:pPr>
    </w:p>
    <w:p w14:paraId="5A2A6C60" w14:textId="77777777" w:rsidR="00EC310A" w:rsidRPr="006E763F" w:rsidRDefault="00EC310A" w:rsidP="00E923BB">
      <w:pPr>
        <w:pStyle w:val="Body"/>
        <w:suppressAutoHyphens/>
        <w:ind w:firstLine="249"/>
        <w:rPr>
          <w:lang w:val="es-ES"/>
        </w:rPr>
      </w:pPr>
    </w:p>
    <w:p w14:paraId="288C9664" w14:textId="77777777" w:rsidR="00EC310A" w:rsidRPr="006E763F" w:rsidRDefault="00EC310A" w:rsidP="00E923BB">
      <w:pPr>
        <w:pStyle w:val="Body"/>
        <w:suppressAutoHyphens/>
        <w:ind w:firstLine="249"/>
        <w:rPr>
          <w:lang w:val="es-ES"/>
        </w:rPr>
      </w:pPr>
    </w:p>
    <w:p w14:paraId="347239F1" w14:textId="0D3645CB" w:rsidR="00EC310A" w:rsidRPr="006E763F" w:rsidRDefault="00EC310A" w:rsidP="00E923BB">
      <w:pPr>
        <w:pStyle w:val="Body"/>
        <w:suppressAutoHyphens/>
        <w:ind w:firstLine="249"/>
        <w:rPr>
          <w:lang w:val="es-ES"/>
        </w:rPr>
      </w:pPr>
    </w:p>
    <w:p w14:paraId="1D25B48F" w14:textId="762043C7" w:rsidR="00EC310A" w:rsidRPr="006E763F" w:rsidRDefault="00E923BB" w:rsidP="00E923BB">
      <w:pPr>
        <w:pStyle w:val="Body"/>
        <w:suppressAutoHyphens/>
        <w:ind w:firstLine="249"/>
        <w:rPr>
          <w:lang w:val="es-ES"/>
        </w:rPr>
      </w:pPr>
      <w:r w:rsidRPr="006E763F">
        <w:rPr>
          <w:noProof/>
          <w:lang w:val="en-US" w:eastAsia="en-US"/>
        </w:rPr>
        <mc:AlternateContent>
          <mc:Choice Requires="wps">
            <w:drawing>
              <wp:anchor distT="0" distB="0" distL="0" distR="0" simplePos="0" relativeHeight="251662336" behindDoc="0" locked="0" layoutInCell="1" allowOverlap="1" wp14:anchorId="39B10AAB" wp14:editId="665A78CA">
                <wp:simplePos x="0" y="0"/>
                <wp:positionH relativeFrom="column">
                  <wp:posOffset>1182426</wp:posOffset>
                </wp:positionH>
                <wp:positionV relativeFrom="line">
                  <wp:posOffset>5080</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14:paraId="2240CECB" w14:textId="5F28828F" w:rsidR="00B934ED" w:rsidRDefault="00B934ED" w:rsidP="00593752">
                            <w:pPr>
                              <w:pStyle w:val="Body"/>
                              <w:ind w:firstLine="0"/>
                            </w:pPr>
                            <w:r w:rsidRPr="001B27ED">
                              <w:rPr>
                                <w:b/>
                                <w:bCs/>
                                <w:color w:val="595959"/>
                                <w:sz w:val="18"/>
                                <w:szCs w:val="18"/>
                                <w:u w:color="595959"/>
                                <w:lang w:val="pt-BR"/>
                              </w:rPr>
                              <w:t>Citar como:</w:t>
                            </w:r>
                            <w:r w:rsidRPr="001B27ED">
                              <w:rPr>
                                <w:color w:val="595959"/>
                                <w:sz w:val="18"/>
                                <w:szCs w:val="18"/>
                                <w:u w:color="595959"/>
                                <w:lang w:val="pt-BR"/>
                              </w:rPr>
                              <w:t xml:space="preserve"> CIDH, Informe No. 149/18. </w:t>
                            </w:r>
                            <w:r>
                              <w:rPr>
                                <w:color w:val="595959"/>
                                <w:sz w:val="18"/>
                                <w:szCs w:val="18"/>
                                <w:u w:color="595959"/>
                                <w:lang w:val="es-ES_tradnl"/>
                              </w:rPr>
                              <w:t xml:space="preserve">Caso 11.641. Fondo. Pedro Julio </w:t>
                            </w:r>
                            <w:r w:rsidR="00A56231">
                              <w:rPr>
                                <w:color w:val="595959"/>
                                <w:sz w:val="18"/>
                                <w:szCs w:val="18"/>
                                <w:u w:color="595959"/>
                                <w:lang w:val="es-ES_tradnl"/>
                              </w:rPr>
                              <w:t>Movilla Galarcio y Familiares. Colombia. 7 de diciembre de 2018</w:t>
                            </w:r>
                            <w:r>
                              <w:rPr>
                                <w:color w:val="595959"/>
                                <w:sz w:val="18"/>
                                <w:szCs w:val="18"/>
                                <w:u w:color="595959"/>
                                <w:lang w:val="es-ES_tradnl"/>
                              </w:rPr>
                              <w:t>.</w:t>
                            </w:r>
                          </w:p>
                        </w:txbxContent>
                      </wps:txbx>
                      <wps:bodyPr wrap="square" lIns="45719" tIns="45719" rIns="45719" bIns="45719" numCol="1" anchor="t">
                        <a:noAutofit/>
                      </wps:bodyPr>
                    </wps:wsp>
                  </a:graphicData>
                </a:graphic>
              </wp:anchor>
            </w:drawing>
          </mc:Choice>
          <mc:Fallback>
            <w:pict>
              <v:rect w14:anchorId="39B10AAB" id="_x0000_s1029" style="position:absolute;left:0;text-align:left;margin-left:93.1pt;margin-top:.4pt;width:389.25pt;height:51.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" filled="f" stroked="f" strokeweight="1pt">
                <v:stroke miterlimit="4"/>
                <v:textbox inset="1.27mm,1.27mm,1.27mm,1.27mm">
                  <w:txbxContent>
                    <w:p w14:paraId="2240CECB" w14:textId="5F28828F" w:rsidR="00B934ED" w:rsidRDefault="00B934ED" w:rsidP="00593752">
                      <w:pPr>
                        <w:pStyle w:val="Body"/>
                        <w:ind w:firstLine="0"/>
                      </w:pPr>
                      <w:r w:rsidRPr="001B27ED">
                        <w:rPr>
                          <w:b/>
                          <w:bCs/>
                          <w:color w:val="595959"/>
                          <w:sz w:val="18"/>
                          <w:szCs w:val="18"/>
                          <w:u w:color="595959"/>
                          <w:lang w:val="pt-BR"/>
                        </w:rPr>
                        <w:t>Citar como:</w:t>
                      </w:r>
                      <w:r w:rsidRPr="001B27ED">
                        <w:rPr>
                          <w:color w:val="595959"/>
                          <w:sz w:val="18"/>
                          <w:szCs w:val="18"/>
                          <w:u w:color="595959"/>
                          <w:lang w:val="pt-BR"/>
                        </w:rPr>
                        <w:t xml:space="preserve"> CIDH, Informe No. 149/18. </w:t>
                      </w:r>
                      <w:r>
                        <w:rPr>
                          <w:color w:val="595959"/>
                          <w:sz w:val="18"/>
                          <w:szCs w:val="18"/>
                          <w:u w:color="595959"/>
                          <w:lang w:val="es-ES_tradnl"/>
                        </w:rPr>
                        <w:t xml:space="preserve">Caso 11.641. Fondo. Pedro Julio </w:t>
                      </w:r>
                      <w:r w:rsidR="00A56231">
                        <w:rPr>
                          <w:color w:val="595959"/>
                          <w:sz w:val="18"/>
                          <w:szCs w:val="18"/>
                          <w:u w:color="595959"/>
                          <w:lang w:val="es-ES_tradnl"/>
                        </w:rPr>
                        <w:t>Movilla Galarcio y Familiares. Colombia. 7 de diciembre de 2018</w:t>
                      </w:r>
                      <w:r>
                        <w:rPr>
                          <w:color w:val="595959"/>
                          <w:sz w:val="18"/>
                          <w:szCs w:val="18"/>
                          <w:u w:color="595959"/>
                          <w:lang w:val="es-ES_tradnl"/>
                        </w:rPr>
                        <w:t>.</w:t>
                      </w:r>
                    </w:p>
                  </w:txbxContent>
                </v:textbox>
                <w10:wrap anchory="line"/>
              </v:rect>
            </w:pict>
          </mc:Fallback>
        </mc:AlternateContent>
      </w:r>
    </w:p>
    <w:p w14:paraId="4A8C9BE7" w14:textId="77777777" w:rsidR="00EC310A" w:rsidRPr="006E763F" w:rsidRDefault="00EC310A" w:rsidP="00E923BB">
      <w:pPr>
        <w:pStyle w:val="Body"/>
        <w:suppressAutoHyphens/>
        <w:ind w:firstLine="249"/>
        <w:rPr>
          <w:lang w:val="es-ES"/>
        </w:rPr>
      </w:pPr>
    </w:p>
    <w:p w14:paraId="0F45D17A" w14:textId="7B31A0B4" w:rsidR="00EC310A" w:rsidRPr="006E763F" w:rsidRDefault="005849C0" w:rsidP="00E923BB">
      <w:pPr>
        <w:pStyle w:val="Body"/>
        <w:suppressAutoHyphens/>
        <w:ind w:firstLine="249"/>
        <w:rPr>
          <w:b/>
          <w:bCs/>
          <w:lang w:val="es-ES"/>
        </w:rPr>
      </w:pPr>
      <w:r w:rsidRPr="00D72DC6">
        <w:rPr>
          <w:noProof/>
          <w:color w:val="FFFFFF" w:themeColor="background1"/>
          <w:lang w:val="en-US" w:eastAsia="en-US"/>
          <w14:textFill>
            <w14:noFill/>
          </w14:textFill>
        </w:rPr>
        <w:drawing>
          <wp:anchor distT="0" distB="0" distL="114300" distR="114300" simplePos="0" relativeHeight="251670528" behindDoc="0" locked="0" layoutInCell="1" allowOverlap="1" wp14:anchorId="6FFF51B6" wp14:editId="7984EAD3">
            <wp:simplePos x="0" y="0"/>
            <wp:positionH relativeFrom="margin">
              <wp:posOffset>1223957</wp:posOffset>
            </wp:positionH>
            <wp:positionV relativeFrom="margin">
              <wp:posOffset>8224749</wp:posOffset>
            </wp:positionV>
            <wp:extent cx="1338942" cy="390525"/>
            <wp:effectExtent l="0" t="0" r="0" b="0"/>
            <wp:wrapSquare wrapText="bothSides"/>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942" cy="390525"/>
                    </a:xfrm>
                    <a:prstGeom prst="rect">
                      <a:avLst/>
                    </a:prstGeom>
                    <a:noFill/>
                    <a:ln>
                      <a:noFill/>
                    </a:ln>
                  </pic:spPr>
                </pic:pic>
              </a:graphicData>
            </a:graphic>
          </wp:anchor>
        </w:drawing>
      </w:r>
      <w:r w:rsidRPr="006E763F">
        <w:rPr>
          <w:noProof/>
          <w:lang w:val="en-US" w:eastAsia="en-US"/>
        </w:rPr>
        <mc:AlternateContent>
          <mc:Choice Requires="wps">
            <w:drawing>
              <wp:anchor distT="0" distB="0" distL="0" distR="0" simplePos="0" relativeHeight="251668480" behindDoc="0" locked="0" layoutInCell="1" allowOverlap="1" wp14:anchorId="2B805A2C" wp14:editId="2C27528C">
                <wp:simplePos x="0" y="0"/>
                <wp:positionH relativeFrom="column">
                  <wp:posOffset>-419100</wp:posOffset>
                </wp:positionH>
                <wp:positionV relativeFrom="line">
                  <wp:posOffset>686435</wp:posOffset>
                </wp:positionV>
                <wp:extent cx="1543050" cy="33274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543050" cy="332741"/>
                        </a:xfrm>
                        <a:prstGeom prst="rect">
                          <a:avLst/>
                        </a:prstGeom>
                        <a:noFill/>
                        <a:ln w="12700" cap="flat">
                          <a:noFill/>
                          <a:miter lim="400000"/>
                        </a:ln>
                        <a:effectLst/>
                      </wps:spPr>
                      <wps:txbx>
                        <w:txbxContent>
                          <w:p w14:paraId="5333F0A2" w14:textId="77777777" w:rsidR="00B934ED" w:rsidRPr="005849C0" w:rsidRDefault="00B934ED" w:rsidP="005849C0">
                            <w:pPr>
                              <w:pStyle w:val="Body"/>
                              <w:ind w:firstLine="0"/>
                              <w:jc w:val="center"/>
                            </w:pPr>
                            <w:r w:rsidRPr="005849C0">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2B805A2C" id="_x0000_s1030" style="position:absolute;left:0;text-align:left;margin-left:-33pt;margin-top:54.05pt;width:121.5pt;height:26.2pt;z-index:25166848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" filled="f" stroked="f" strokeweight="1pt">
                <v:stroke miterlimit="4"/>
                <v:textbox inset="1.27mm,1.27mm,1.27mm,1.27mm">
                  <w:txbxContent>
                    <w:p w14:paraId="5333F0A2" w14:textId="77777777" w:rsidR="00B934ED" w:rsidRPr="005849C0" w:rsidRDefault="00B934ED" w:rsidP="005849C0">
                      <w:pPr>
                        <w:pStyle w:val="Body"/>
                        <w:ind w:firstLine="0"/>
                        <w:jc w:val="center"/>
                      </w:pPr>
                      <w:r w:rsidRPr="005849C0">
                        <w:rPr>
                          <w:rFonts w:ascii="Calibri" w:eastAsia="Calibri" w:hAnsi="Calibri" w:cs="Calibri"/>
                          <w:b/>
                          <w:bCs/>
                          <w:color w:val="FFFFFF"/>
                          <w:u w:color="FFFFFF"/>
                          <w:lang w:val="pt-PT"/>
                        </w:rPr>
                        <w:t>www.cidh.org</w:t>
                      </w:r>
                    </w:p>
                  </w:txbxContent>
                </v:textbox>
                <w10:wrap anchory="line"/>
              </v:rect>
            </w:pict>
          </mc:Fallback>
        </mc:AlternateContent>
      </w:r>
    </w:p>
    <w:p w14:paraId="0481DFA9" w14:textId="5CBE05D8" w:rsidR="00EC310A" w:rsidRPr="006E763F" w:rsidRDefault="00EC310A" w:rsidP="00E923BB">
      <w:pPr>
        <w:pStyle w:val="Body"/>
        <w:suppressAutoHyphens/>
        <w:ind w:firstLine="249"/>
        <w:rPr>
          <w:lang w:val="es-ES"/>
        </w:rPr>
        <w:sectPr w:rsidR="00EC310A" w:rsidRPr="006E763F">
          <w:headerReference w:type="default" r:id="rId10"/>
          <w:footerReference w:type="default" r:id="rId11"/>
          <w:type w:val="oddPage"/>
          <w:pgSz w:w="12240" w:h="15840"/>
          <w:pgMar w:top="1440" w:right="1440" w:bottom="1440" w:left="1440" w:header="720" w:footer="720" w:gutter="0"/>
          <w:pgNumType w:start="0"/>
          <w:cols w:space="720"/>
          <w:titlePg/>
        </w:sectPr>
      </w:pPr>
    </w:p>
    <w:p w14:paraId="056DFB90" w14:textId="0939DFDE" w:rsidR="00EC310A" w:rsidRPr="00240DE0" w:rsidRDefault="00A56231" w:rsidP="00E923BB">
      <w:pPr>
        <w:pStyle w:val="Body"/>
        <w:suppressAutoHyphens/>
        <w:spacing w:line="276" w:lineRule="auto"/>
        <w:ind w:firstLine="249"/>
        <w:jc w:val="center"/>
        <w:rPr>
          <w:b/>
          <w:bCs/>
          <w:sz w:val="18"/>
          <w:lang w:val="es-ES"/>
        </w:rPr>
      </w:pPr>
      <w:r>
        <w:rPr>
          <w:b/>
          <w:bCs/>
          <w:sz w:val="18"/>
          <w:lang w:val="es-ES"/>
        </w:rPr>
        <w:lastRenderedPageBreak/>
        <w:t>INFORME No. 149</w:t>
      </w:r>
      <w:r w:rsidR="009E7E98" w:rsidRPr="00240DE0">
        <w:rPr>
          <w:b/>
          <w:bCs/>
          <w:sz w:val="18"/>
          <w:lang w:val="es-ES"/>
        </w:rPr>
        <w:t>/</w:t>
      </w:r>
      <w:r w:rsidR="008C6073" w:rsidRPr="00240DE0">
        <w:rPr>
          <w:b/>
          <w:bCs/>
          <w:sz w:val="18"/>
          <w:lang w:val="es-ES"/>
        </w:rPr>
        <w:t>18</w:t>
      </w:r>
    </w:p>
    <w:p w14:paraId="67587A62" w14:textId="77777777" w:rsidR="00EC310A" w:rsidRPr="00240DE0" w:rsidRDefault="009E7E98" w:rsidP="00E923BB">
      <w:pPr>
        <w:pStyle w:val="Body"/>
        <w:suppressAutoHyphens/>
        <w:spacing w:line="276" w:lineRule="auto"/>
        <w:ind w:firstLine="249"/>
        <w:jc w:val="center"/>
        <w:rPr>
          <w:b/>
          <w:bCs/>
          <w:sz w:val="18"/>
          <w:lang w:val="es-ES"/>
        </w:rPr>
      </w:pPr>
      <w:r w:rsidRPr="00240DE0">
        <w:rPr>
          <w:b/>
          <w:bCs/>
          <w:sz w:val="18"/>
          <w:lang w:val="es-ES"/>
        </w:rPr>
        <w:t>CASO 11.641</w:t>
      </w:r>
    </w:p>
    <w:p w14:paraId="485BEED9" w14:textId="77777777" w:rsidR="00EC310A" w:rsidRPr="00240DE0" w:rsidRDefault="009E7E98" w:rsidP="00E923BB">
      <w:pPr>
        <w:pStyle w:val="Body"/>
        <w:suppressAutoHyphens/>
        <w:spacing w:line="276" w:lineRule="auto"/>
        <w:ind w:firstLine="249"/>
        <w:jc w:val="center"/>
        <w:rPr>
          <w:sz w:val="18"/>
          <w:lang w:val="es-ES"/>
        </w:rPr>
      </w:pPr>
      <w:r w:rsidRPr="00240DE0">
        <w:rPr>
          <w:sz w:val="18"/>
          <w:lang w:val="es-ES"/>
        </w:rPr>
        <w:t>FONDO</w:t>
      </w:r>
    </w:p>
    <w:p w14:paraId="09E6CE3B" w14:textId="74F1F7A2" w:rsidR="00EC310A" w:rsidRPr="00240DE0" w:rsidRDefault="009E7E98" w:rsidP="00E923BB">
      <w:pPr>
        <w:pStyle w:val="Body"/>
        <w:suppressAutoHyphens/>
        <w:spacing w:line="276" w:lineRule="auto"/>
        <w:ind w:firstLine="249"/>
        <w:jc w:val="center"/>
        <w:rPr>
          <w:sz w:val="18"/>
          <w:lang w:val="es-ES"/>
        </w:rPr>
      </w:pPr>
      <w:r w:rsidRPr="00240DE0">
        <w:rPr>
          <w:sz w:val="18"/>
          <w:lang w:val="es-ES"/>
        </w:rPr>
        <w:t>PEDRO JULIO MOVILLA GALARCIO</w:t>
      </w:r>
      <w:r w:rsidR="00A56231">
        <w:rPr>
          <w:sz w:val="18"/>
          <w:lang w:val="es-ES"/>
        </w:rPr>
        <w:t xml:space="preserve"> Y FAMILIARES</w:t>
      </w:r>
    </w:p>
    <w:p w14:paraId="76826746" w14:textId="77777777" w:rsidR="00EC310A" w:rsidRPr="00240DE0" w:rsidRDefault="009E7E98" w:rsidP="00E923BB">
      <w:pPr>
        <w:pStyle w:val="Body"/>
        <w:suppressAutoHyphens/>
        <w:spacing w:line="276" w:lineRule="auto"/>
        <w:ind w:firstLine="249"/>
        <w:jc w:val="center"/>
        <w:rPr>
          <w:sz w:val="18"/>
          <w:lang w:val="es-ES"/>
        </w:rPr>
      </w:pPr>
      <w:r w:rsidRPr="00240DE0">
        <w:rPr>
          <w:sz w:val="18"/>
          <w:lang w:val="es-ES"/>
        </w:rPr>
        <w:t>COLOMBIA</w:t>
      </w:r>
    </w:p>
    <w:p w14:paraId="03C0F154" w14:textId="76C7F997" w:rsidR="00EC310A" w:rsidRPr="00240DE0" w:rsidRDefault="00A56231" w:rsidP="00E923BB">
      <w:pPr>
        <w:pStyle w:val="Body"/>
        <w:suppressAutoHyphens/>
        <w:spacing w:line="276" w:lineRule="auto"/>
        <w:ind w:firstLine="249"/>
        <w:jc w:val="center"/>
        <w:rPr>
          <w:sz w:val="18"/>
          <w:lang w:val="es-ES"/>
        </w:rPr>
      </w:pPr>
      <w:r>
        <w:rPr>
          <w:sz w:val="18"/>
          <w:lang w:val="es-ES"/>
        </w:rPr>
        <w:t>7 DE DICIEMBRE DE 2018</w:t>
      </w:r>
    </w:p>
    <w:p w14:paraId="1BF6D199" w14:textId="77777777" w:rsidR="00EC310A" w:rsidRPr="006E763F" w:rsidRDefault="00EC310A" w:rsidP="00E923BB">
      <w:pPr>
        <w:pStyle w:val="Body"/>
        <w:suppressAutoHyphens/>
        <w:spacing w:line="276" w:lineRule="auto"/>
        <w:ind w:firstLine="249"/>
        <w:jc w:val="center"/>
        <w:rPr>
          <w:lang w:val="es-ES"/>
        </w:rPr>
      </w:pPr>
    </w:p>
    <w:p w14:paraId="66D3A941" w14:textId="77777777" w:rsidR="00EC310A" w:rsidRPr="006E763F" w:rsidRDefault="009E7E98" w:rsidP="00E923BB">
      <w:pPr>
        <w:pStyle w:val="Body"/>
        <w:suppressAutoHyphens/>
        <w:spacing w:line="276" w:lineRule="auto"/>
        <w:ind w:firstLine="249"/>
        <w:jc w:val="center"/>
        <w:rPr>
          <w:b/>
          <w:bCs/>
          <w:lang w:val="es-ES"/>
        </w:rPr>
      </w:pPr>
      <w:r w:rsidRPr="006E763F">
        <w:rPr>
          <w:b/>
          <w:bCs/>
          <w:lang w:val="es-ES"/>
        </w:rPr>
        <w:t>ÍNDICE</w:t>
      </w:r>
    </w:p>
    <w:sdt>
      <w:sdtPr>
        <w:rPr>
          <w:rFonts w:ascii="Cambria" w:eastAsia="Arial Unicode MS" w:hAnsi="Cambria" w:cs="Times New Roman"/>
          <w:b w:val="0"/>
          <w:bCs w:val="0"/>
          <w:color w:val="auto"/>
          <w:sz w:val="20"/>
          <w:szCs w:val="20"/>
          <w:bdr w:val="nil"/>
          <w:lang w:eastAsia="en-US"/>
        </w:rPr>
        <w:id w:val="1843889828"/>
        <w:docPartObj>
          <w:docPartGallery w:val="Table of Contents"/>
          <w:docPartUnique/>
        </w:docPartObj>
      </w:sdtPr>
      <w:sdtEndPr>
        <w:rPr>
          <w:noProof/>
        </w:rPr>
      </w:sdtEndPr>
      <w:sdtContent>
        <w:p w14:paraId="147416FB" w14:textId="0289B7CA" w:rsidR="00A44513" w:rsidRPr="002B4A95" w:rsidRDefault="00A44513">
          <w:pPr>
            <w:pStyle w:val="TOCHeading"/>
            <w:rPr>
              <w:rFonts w:ascii="Cambria" w:hAnsi="Cambria"/>
              <w:sz w:val="20"/>
              <w:szCs w:val="20"/>
            </w:rPr>
          </w:pPr>
        </w:p>
        <w:p w14:paraId="30BC584A" w14:textId="56EFDD0D" w:rsidR="007F1DDE" w:rsidRPr="002B4A95" w:rsidRDefault="00A44513">
          <w:pPr>
            <w:pStyle w:val="TOC1"/>
            <w:rPr>
              <w:rFonts w:eastAsiaTheme="minorEastAsia" w:cstheme="minorBidi"/>
              <w:b w:val="0"/>
              <w:bdr w:val="none" w:sz="0" w:space="0" w:color="auto"/>
              <w:lang w:val="en-US"/>
            </w:rPr>
          </w:pPr>
          <w:r w:rsidRPr="002B4A95">
            <w:fldChar w:fldCharType="begin"/>
          </w:r>
          <w:r w:rsidRPr="002B4A95">
            <w:instrText xml:space="preserve"> TOC \o "1-3" \h \z \u </w:instrText>
          </w:r>
          <w:r w:rsidRPr="002B4A95">
            <w:fldChar w:fldCharType="separate"/>
          </w:r>
          <w:hyperlink w:anchor="_Toc446142" w:history="1">
            <w:r w:rsidR="007F1DDE" w:rsidRPr="002B4A95">
              <w:rPr>
                <w:rStyle w:val="Hyperlink"/>
              </w:rPr>
              <w:t>I.</w:t>
            </w:r>
            <w:r w:rsidR="007F1DDE" w:rsidRPr="002B4A95">
              <w:rPr>
                <w:rFonts w:eastAsiaTheme="minorEastAsia" w:cstheme="minorBidi"/>
                <w:b w:val="0"/>
                <w:bdr w:val="none" w:sz="0" w:space="0" w:color="auto"/>
                <w:lang w:val="en-US"/>
              </w:rPr>
              <w:tab/>
            </w:r>
            <w:r w:rsidR="007F1DDE" w:rsidRPr="002B4A95">
              <w:rPr>
                <w:rStyle w:val="Hyperlink"/>
                <w:rFonts w:eastAsia="Cambria"/>
              </w:rPr>
              <w:t>RESUMEN</w:t>
            </w:r>
            <w:r w:rsidR="007F1DDE" w:rsidRPr="002B4A95">
              <w:rPr>
                <w:webHidden/>
              </w:rPr>
              <w:tab/>
            </w:r>
            <w:r w:rsidR="007F1DDE" w:rsidRPr="002B4A95">
              <w:rPr>
                <w:webHidden/>
              </w:rPr>
              <w:fldChar w:fldCharType="begin"/>
            </w:r>
            <w:r w:rsidR="007F1DDE" w:rsidRPr="002B4A95">
              <w:rPr>
                <w:webHidden/>
              </w:rPr>
              <w:instrText xml:space="preserve"> PAGEREF _Toc446142 \h </w:instrText>
            </w:r>
            <w:r w:rsidR="007F1DDE" w:rsidRPr="002B4A95">
              <w:rPr>
                <w:webHidden/>
              </w:rPr>
            </w:r>
            <w:r w:rsidR="007F1DDE" w:rsidRPr="002B4A95">
              <w:rPr>
                <w:webHidden/>
              </w:rPr>
              <w:fldChar w:fldCharType="separate"/>
            </w:r>
            <w:r w:rsidR="00DA4DA9">
              <w:rPr>
                <w:webHidden/>
              </w:rPr>
              <w:t>2</w:t>
            </w:r>
            <w:r w:rsidR="007F1DDE" w:rsidRPr="002B4A95">
              <w:rPr>
                <w:webHidden/>
              </w:rPr>
              <w:fldChar w:fldCharType="end"/>
            </w:r>
          </w:hyperlink>
        </w:p>
        <w:p w14:paraId="4493CD4C" w14:textId="4B195D7B" w:rsidR="007F1DDE" w:rsidRPr="002B4A95" w:rsidRDefault="00DA4DA9">
          <w:pPr>
            <w:pStyle w:val="TOC1"/>
            <w:rPr>
              <w:rFonts w:eastAsiaTheme="minorEastAsia" w:cstheme="minorBidi"/>
              <w:b w:val="0"/>
              <w:bdr w:val="none" w:sz="0" w:space="0" w:color="auto"/>
              <w:lang w:val="en-US"/>
            </w:rPr>
          </w:pPr>
          <w:hyperlink w:anchor="_Toc446143" w:history="1">
            <w:r w:rsidR="007F1DDE" w:rsidRPr="002B4A95">
              <w:rPr>
                <w:rStyle w:val="Hyperlink"/>
              </w:rPr>
              <w:t>II.</w:t>
            </w:r>
            <w:r w:rsidR="007F1DDE" w:rsidRPr="002B4A95">
              <w:rPr>
                <w:rFonts w:eastAsiaTheme="minorEastAsia" w:cstheme="minorBidi"/>
                <w:b w:val="0"/>
                <w:bdr w:val="none" w:sz="0" w:space="0" w:color="auto"/>
                <w:lang w:val="en-US"/>
              </w:rPr>
              <w:tab/>
            </w:r>
            <w:r w:rsidR="007F1DDE" w:rsidRPr="002B4A95">
              <w:rPr>
                <w:rStyle w:val="Hyperlink"/>
                <w:rFonts w:eastAsia="Cambria"/>
              </w:rPr>
              <w:t>ALEGATOS DE LAS PARTES</w:t>
            </w:r>
            <w:r w:rsidR="007F1DDE" w:rsidRPr="002B4A95">
              <w:rPr>
                <w:webHidden/>
              </w:rPr>
              <w:tab/>
            </w:r>
            <w:r w:rsidR="007F1DDE" w:rsidRPr="002B4A95">
              <w:rPr>
                <w:webHidden/>
              </w:rPr>
              <w:fldChar w:fldCharType="begin"/>
            </w:r>
            <w:r w:rsidR="007F1DDE" w:rsidRPr="002B4A95">
              <w:rPr>
                <w:webHidden/>
              </w:rPr>
              <w:instrText xml:space="preserve"> PAGEREF _Toc446143 \h </w:instrText>
            </w:r>
            <w:r w:rsidR="007F1DDE" w:rsidRPr="002B4A95">
              <w:rPr>
                <w:webHidden/>
              </w:rPr>
            </w:r>
            <w:r w:rsidR="007F1DDE" w:rsidRPr="002B4A95">
              <w:rPr>
                <w:webHidden/>
              </w:rPr>
              <w:fldChar w:fldCharType="separate"/>
            </w:r>
            <w:r>
              <w:rPr>
                <w:webHidden/>
              </w:rPr>
              <w:t>2</w:t>
            </w:r>
            <w:r w:rsidR="007F1DDE" w:rsidRPr="002B4A95">
              <w:rPr>
                <w:webHidden/>
              </w:rPr>
              <w:fldChar w:fldCharType="end"/>
            </w:r>
          </w:hyperlink>
        </w:p>
        <w:p w14:paraId="7537C236" w14:textId="2DFA90C4"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44" w:history="1">
            <w:r w:rsidR="007F1DDE" w:rsidRPr="002B4A95">
              <w:rPr>
                <w:rStyle w:val="Hyperlink"/>
                <w:rFonts w:ascii="Cambria" w:eastAsia="Times New Roman" w:hAnsi="Cambria"/>
                <w:noProof/>
                <w:sz w:val="20"/>
                <w:szCs w:val="20"/>
                <w:lang w:val="es-ES_tradnl"/>
              </w:rPr>
              <w:t>A.</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La parte peticionaria</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_Toc446144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2</w:t>
            </w:r>
            <w:r w:rsidR="007F1DDE" w:rsidRPr="002B4A95">
              <w:rPr>
                <w:rFonts w:ascii="Cambria" w:hAnsi="Cambria"/>
                <w:noProof/>
                <w:webHidden/>
                <w:sz w:val="20"/>
                <w:szCs w:val="20"/>
              </w:rPr>
              <w:fldChar w:fldCharType="end"/>
            </w:r>
          </w:hyperlink>
        </w:p>
        <w:p w14:paraId="77227724" w14:textId="42FA8746"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45" w:history="1">
            <w:r w:rsidR="007F1DDE" w:rsidRPr="002B4A95">
              <w:rPr>
                <w:rStyle w:val="Hyperlink"/>
                <w:rFonts w:ascii="Cambria" w:eastAsia="Times New Roman" w:hAnsi="Cambria"/>
                <w:noProof/>
                <w:sz w:val="20"/>
                <w:szCs w:val="20"/>
                <w:lang w:val="es-ES_tradnl"/>
              </w:rPr>
              <w:t>B.</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El Estado</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_Toc446145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3</w:t>
            </w:r>
            <w:r w:rsidR="007F1DDE" w:rsidRPr="002B4A95">
              <w:rPr>
                <w:rFonts w:ascii="Cambria" w:hAnsi="Cambria"/>
                <w:noProof/>
                <w:webHidden/>
                <w:sz w:val="20"/>
                <w:szCs w:val="20"/>
              </w:rPr>
              <w:fldChar w:fldCharType="end"/>
            </w:r>
          </w:hyperlink>
        </w:p>
        <w:p w14:paraId="0041A514" w14:textId="2DAFDBA7" w:rsidR="007F1DDE" w:rsidRPr="002B4A95" w:rsidRDefault="00DA4DA9">
          <w:pPr>
            <w:pStyle w:val="TOC1"/>
            <w:rPr>
              <w:rFonts w:eastAsiaTheme="minorEastAsia" w:cstheme="minorBidi"/>
              <w:b w:val="0"/>
              <w:bdr w:val="none" w:sz="0" w:space="0" w:color="auto"/>
              <w:lang w:val="en-US"/>
            </w:rPr>
          </w:pPr>
          <w:hyperlink w:anchor="_Toc446146" w:history="1">
            <w:r w:rsidR="007F1DDE" w:rsidRPr="002B4A95">
              <w:rPr>
                <w:rStyle w:val="Hyperlink"/>
              </w:rPr>
              <w:t>III.</w:t>
            </w:r>
            <w:r w:rsidR="007F1DDE" w:rsidRPr="002B4A95">
              <w:rPr>
                <w:rFonts w:eastAsiaTheme="minorEastAsia" w:cstheme="minorBidi"/>
                <w:b w:val="0"/>
                <w:bdr w:val="none" w:sz="0" w:space="0" w:color="auto"/>
                <w:lang w:val="en-US"/>
              </w:rPr>
              <w:tab/>
            </w:r>
            <w:r w:rsidR="007F1DDE" w:rsidRPr="002B4A95">
              <w:rPr>
                <w:rStyle w:val="Hyperlink"/>
                <w:rFonts w:eastAsia="Cambria"/>
              </w:rPr>
              <w:t>DETERMINACIONES DE HECHO</w:t>
            </w:r>
            <w:r w:rsidR="007F1DDE" w:rsidRPr="002B4A95">
              <w:rPr>
                <w:webHidden/>
              </w:rPr>
              <w:tab/>
            </w:r>
            <w:r w:rsidR="007F1DDE" w:rsidRPr="002B4A95">
              <w:rPr>
                <w:webHidden/>
              </w:rPr>
              <w:fldChar w:fldCharType="begin"/>
            </w:r>
            <w:r w:rsidR="007F1DDE" w:rsidRPr="002B4A95">
              <w:rPr>
                <w:webHidden/>
              </w:rPr>
              <w:instrText xml:space="preserve"> PAGEREF _Toc446146 \h </w:instrText>
            </w:r>
            <w:r w:rsidR="007F1DDE" w:rsidRPr="002B4A95">
              <w:rPr>
                <w:webHidden/>
              </w:rPr>
            </w:r>
            <w:r w:rsidR="007F1DDE" w:rsidRPr="002B4A95">
              <w:rPr>
                <w:webHidden/>
              </w:rPr>
              <w:fldChar w:fldCharType="separate"/>
            </w:r>
            <w:r>
              <w:rPr>
                <w:webHidden/>
              </w:rPr>
              <w:t>4</w:t>
            </w:r>
            <w:r w:rsidR="007F1DDE" w:rsidRPr="002B4A95">
              <w:rPr>
                <w:webHidden/>
              </w:rPr>
              <w:fldChar w:fldCharType="end"/>
            </w:r>
          </w:hyperlink>
        </w:p>
        <w:p w14:paraId="7166B3A0" w14:textId="2F9CC322"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47" w:history="1">
            <w:r w:rsidR="007F1DDE" w:rsidRPr="002B4A95">
              <w:rPr>
                <w:rStyle w:val="Hyperlink"/>
                <w:rFonts w:ascii="Cambria" w:eastAsia="Times New Roman" w:hAnsi="Cambria"/>
                <w:noProof/>
                <w:sz w:val="20"/>
                <w:szCs w:val="20"/>
                <w:lang w:val="es-ES_tradnl"/>
              </w:rPr>
              <w:t>A.</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Contexto de violaciones de derechos humanos contra sindicalistas en Colombia y la desaparición forzada en el marco del conflicto armado</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_Toc446147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4</w:t>
            </w:r>
            <w:r w:rsidR="007F1DDE" w:rsidRPr="002B4A95">
              <w:rPr>
                <w:rFonts w:ascii="Cambria" w:hAnsi="Cambria"/>
                <w:noProof/>
                <w:webHidden/>
                <w:sz w:val="20"/>
                <w:szCs w:val="20"/>
              </w:rPr>
              <w:fldChar w:fldCharType="end"/>
            </w:r>
          </w:hyperlink>
        </w:p>
        <w:p w14:paraId="0C05E648" w14:textId="33B12412"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48" w:history="1">
            <w:r w:rsidR="007F1DDE" w:rsidRPr="002B4A95">
              <w:rPr>
                <w:rStyle w:val="Hyperlink"/>
                <w:rFonts w:ascii="Cambria" w:eastAsia="Times New Roman" w:hAnsi="Cambria"/>
                <w:noProof/>
                <w:sz w:val="20"/>
                <w:szCs w:val="20"/>
                <w:lang w:val="es-ES_tradnl"/>
              </w:rPr>
              <w:t>B.</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Contexto sobre la violencia política en Colombia</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_Toc446148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5</w:t>
            </w:r>
            <w:r w:rsidR="007F1DDE" w:rsidRPr="002B4A95">
              <w:rPr>
                <w:rFonts w:ascii="Cambria" w:hAnsi="Cambria"/>
                <w:noProof/>
                <w:webHidden/>
                <w:sz w:val="20"/>
                <w:szCs w:val="20"/>
              </w:rPr>
              <w:fldChar w:fldCharType="end"/>
            </w:r>
          </w:hyperlink>
        </w:p>
        <w:p w14:paraId="59602242" w14:textId="77C81FB1"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49" w:history="1">
            <w:r w:rsidR="007F1DDE" w:rsidRPr="002B4A95">
              <w:rPr>
                <w:rStyle w:val="Hyperlink"/>
                <w:rFonts w:ascii="Cambria" w:eastAsia="Times New Roman" w:hAnsi="Cambria"/>
                <w:noProof/>
                <w:sz w:val="20"/>
                <w:szCs w:val="20"/>
                <w:lang w:val="es-ES_tradnl"/>
              </w:rPr>
              <w:t>C.</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Sobre Pedro Julio Movilla, su familia, actividades y hechos previos a la desaparición</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_Toc446149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7</w:t>
            </w:r>
            <w:r w:rsidR="007F1DDE" w:rsidRPr="002B4A95">
              <w:rPr>
                <w:rFonts w:ascii="Cambria" w:hAnsi="Cambria"/>
                <w:noProof/>
                <w:webHidden/>
                <w:sz w:val="20"/>
                <w:szCs w:val="20"/>
              </w:rPr>
              <w:fldChar w:fldCharType="end"/>
            </w:r>
          </w:hyperlink>
        </w:p>
        <w:p w14:paraId="580F3077" w14:textId="422C8DFE"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50" w:history="1">
            <w:r w:rsidR="007F1DDE" w:rsidRPr="002B4A95">
              <w:rPr>
                <w:rStyle w:val="Hyperlink"/>
                <w:rFonts w:ascii="Cambria" w:eastAsia="Times New Roman" w:hAnsi="Cambria"/>
                <w:noProof/>
                <w:sz w:val="20"/>
                <w:szCs w:val="20"/>
                <w:lang w:val="es-ES_tradnl"/>
              </w:rPr>
              <w:t>D.</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La desaparición de Pedro Julio Movilla Galarcio el 13 de mayo de 1993</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_Toc446150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8</w:t>
            </w:r>
            <w:r w:rsidR="007F1DDE" w:rsidRPr="002B4A95">
              <w:rPr>
                <w:rFonts w:ascii="Cambria" w:hAnsi="Cambria"/>
                <w:noProof/>
                <w:webHidden/>
                <w:sz w:val="20"/>
                <w:szCs w:val="20"/>
              </w:rPr>
              <w:fldChar w:fldCharType="end"/>
            </w:r>
          </w:hyperlink>
        </w:p>
        <w:p w14:paraId="59C3340C" w14:textId="178AFF45"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51" w:history="1">
            <w:r w:rsidR="007F1DDE" w:rsidRPr="002B4A95">
              <w:rPr>
                <w:rStyle w:val="Hyperlink"/>
                <w:rFonts w:ascii="Cambria" w:eastAsia="Times New Roman" w:hAnsi="Cambria"/>
                <w:noProof/>
                <w:sz w:val="20"/>
                <w:szCs w:val="20"/>
                <w:lang w:val="es-ES_tradnl"/>
              </w:rPr>
              <w:t>E.</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Investigación y diligencias respecto de la desaparición de Pedro Julio Movilla Galarcio</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_Toc446151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9</w:t>
            </w:r>
            <w:r w:rsidR="007F1DDE" w:rsidRPr="002B4A95">
              <w:rPr>
                <w:rFonts w:ascii="Cambria" w:hAnsi="Cambria"/>
                <w:noProof/>
                <w:webHidden/>
                <w:sz w:val="20"/>
                <w:szCs w:val="20"/>
              </w:rPr>
              <w:fldChar w:fldCharType="end"/>
            </w:r>
          </w:hyperlink>
        </w:p>
        <w:p w14:paraId="30B0A300" w14:textId="3B8C4635"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52" w:history="1">
            <w:r w:rsidR="007F1DDE" w:rsidRPr="002B4A95">
              <w:rPr>
                <w:rStyle w:val="Hyperlink"/>
                <w:rFonts w:ascii="Cambria" w:hAnsi="Cambria"/>
                <w:noProof/>
                <w:sz w:val="20"/>
                <w:szCs w:val="20"/>
              </w:rPr>
              <w:t>1.</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Proceso disciplinario ante la PGN</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_Toc446152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10</w:t>
            </w:r>
            <w:r w:rsidR="007F1DDE" w:rsidRPr="002B4A95">
              <w:rPr>
                <w:rFonts w:ascii="Cambria" w:hAnsi="Cambria"/>
                <w:noProof/>
                <w:webHidden/>
                <w:sz w:val="20"/>
                <w:szCs w:val="20"/>
              </w:rPr>
              <w:fldChar w:fldCharType="end"/>
            </w:r>
          </w:hyperlink>
        </w:p>
        <w:p w14:paraId="036A0D65" w14:textId="1409AE74"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53" w:history="1">
            <w:r w:rsidR="007F1DDE" w:rsidRPr="002B4A95">
              <w:rPr>
                <w:rStyle w:val="Hyperlink"/>
                <w:rFonts w:ascii="Cambria" w:hAnsi="Cambria"/>
                <w:noProof/>
                <w:sz w:val="20"/>
                <w:szCs w:val="20"/>
              </w:rPr>
              <w:t>2.</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La investigación penal - radicado No. 096 ante la Fiscalía General</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_Toc446153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12</w:t>
            </w:r>
            <w:r w:rsidR="007F1DDE" w:rsidRPr="002B4A95">
              <w:rPr>
                <w:rFonts w:ascii="Cambria" w:hAnsi="Cambria"/>
                <w:noProof/>
                <w:webHidden/>
                <w:sz w:val="20"/>
                <w:szCs w:val="20"/>
              </w:rPr>
              <w:fldChar w:fldCharType="end"/>
            </w:r>
          </w:hyperlink>
        </w:p>
        <w:p w14:paraId="16909FBB" w14:textId="1EC423A2"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54" w:history="1">
            <w:r w:rsidR="007F1DDE" w:rsidRPr="002B4A95">
              <w:rPr>
                <w:rStyle w:val="Hyperlink"/>
                <w:rFonts w:ascii="Cambria" w:hAnsi="Cambria"/>
                <w:noProof/>
                <w:sz w:val="20"/>
                <w:szCs w:val="20"/>
              </w:rPr>
              <w:t>3.</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Acción de reparación directa ante la jurisdicción de lo contencioso administrativo</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_Toc446154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15</w:t>
            </w:r>
            <w:r w:rsidR="007F1DDE" w:rsidRPr="002B4A95">
              <w:rPr>
                <w:rFonts w:ascii="Cambria" w:hAnsi="Cambria"/>
                <w:noProof/>
                <w:webHidden/>
                <w:sz w:val="20"/>
                <w:szCs w:val="20"/>
              </w:rPr>
              <w:fldChar w:fldCharType="end"/>
            </w:r>
          </w:hyperlink>
        </w:p>
        <w:p w14:paraId="454C79B6" w14:textId="0AF8ACF8" w:rsidR="007F1DDE" w:rsidRPr="002B4A95" w:rsidRDefault="00DA4DA9">
          <w:pPr>
            <w:pStyle w:val="TOC1"/>
            <w:rPr>
              <w:rFonts w:eastAsiaTheme="minorEastAsia" w:cstheme="minorBidi"/>
              <w:b w:val="0"/>
              <w:bdr w:val="none" w:sz="0" w:space="0" w:color="auto"/>
              <w:lang w:val="en-US"/>
            </w:rPr>
          </w:pPr>
          <w:hyperlink w:anchor="_Toc446155" w:history="1">
            <w:r w:rsidR="007F1DDE" w:rsidRPr="002B4A95">
              <w:rPr>
                <w:rStyle w:val="Hyperlink"/>
              </w:rPr>
              <w:t>IV.</w:t>
            </w:r>
            <w:r w:rsidR="007F1DDE" w:rsidRPr="002B4A95">
              <w:rPr>
                <w:rFonts w:eastAsiaTheme="minorEastAsia" w:cstheme="minorBidi"/>
                <w:b w:val="0"/>
                <w:bdr w:val="none" w:sz="0" w:space="0" w:color="auto"/>
                <w:lang w:val="en-US"/>
              </w:rPr>
              <w:tab/>
            </w:r>
            <w:r w:rsidR="007F1DDE" w:rsidRPr="002B4A95">
              <w:rPr>
                <w:rStyle w:val="Hyperlink"/>
                <w:rFonts w:eastAsia="Cambria"/>
              </w:rPr>
              <w:t>ANÁLISIS DE DERECHO</w:t>
            </w:r>
            <w:r w:rsidR="007F1DDE" w:rsidRPr="002B4A95">
              <w:rPr>
                <w:webHidden/>
              </w:rPr>
              <w:tab/>
            </w:r>
            <w:r w:rsidR="007F1DDE" w:rsidRPr="002B4A95">
              <w:rPr>
                <w:webHidden/>
              </w:rPr>
              <w:fldChar w:fldCharType="begin"/>
            </w:r>
            <w:r w:rsidR="007F1DDE" w:rsidRPr="002B4A95">
              <w:rPr>
                <w:webHidden/>
              </w:rPr>
              <w:instrText xml:space="preserve"> PAGEREF _Toc446155 \h </w:instrText>
            </w:r>
            <w:r w:rsidR="007F1DDE" w:rsidRPr="002B4A95">
              <w:rPr>
                <w:webHidden/>
              </w:rPr>
            </w:r>
            <w:r w:rsidR="007F1DDE" w:rsidRPr="002B4A95">
              <w:rPr>
                <w:webHidden/>
              </w:rPr>
              <w:fldChar w:fldCharType="separate"/>
            </w:r>
            <w:r>
              <w:rPr>
                <w:webHidden/>
              </w:rPr>
              <w:t>15</w:t>
            </w:r>
            <w:r w:rsidR="007F1DDE" w:rsidRPr="002B4A95">
              <w:rPr>
                <w:webHidden/>
              </w:rPr>
              <w:fldChar w:fldCharType="end"/>
            </w:r>
          </w:hyperlink>
        </w:p>
        <w:p w14:paraId="21E61E79" w14:textId="6E9EC14C"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56" w:history="1">
            <w:r w:rsidR="007F1DDE" w:rsidRPr="002B4A95">
              <w:rPr>
                <w:rStyle w:val="Hyperlink"/>
                <w:rFonts w:ascii="Cambria" w:eastAsia="Times New Roman" w:hAnsi="Cambria"/>
                <w:noProof/>
                <w:sz w:val="20"/>
                <w:szCs w:val="20"/>
                <w:lang w:val="es-ES_tradnl"/>
              </w:rPr>
              <w:t>A.</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Derecho al reconocimiento de la personalidad jurídica, a la libertad personal, a la integridad personal y a la vida (artículos 3, 4, 5, 7, 1.1 y 2 de la Convención Americana y artículo I a) de la CIDFP)</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_Toc446156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15</w:t>
            </w:r>
            <w:r w:rsidR="007F1DDE" w:rsidRPr="002B4A95">
              <w:rPr>
                <w:rFonts w:ascii="Cambria" w:hAnsi="Cambria"/>
                <w:noProof/>
                <w:webHidden/>
                <w:sz w:val="20"/>
                <w:szCs w:val="20"/>
              </w:rPr>
              <w:fldChar w:fldCharType="end"/>
            </w:r>
          </w:hyperlink>
        </w:p>
        <w:p w14:paraId="142BDC41" w14:textId="20582337"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57" w:history="1">
            <w:r w:rsidR="007F1DDE" w:rsidRPr="002B4A95">
              <w:rPr>
                <w:rStyle w:val="Hyperlink"/>
                <w:rFonts w:ascii="Cambria" w:hAnsi="Cambria"/>
                <w:noProof/>
                <w:sz w:val="20"/>
                <w:szCs w:val="20"/>
              </w:rPr>
              <w:t>1.</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Consideraciones generales en materia de desaparición forzada de personas</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_Toc446157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15</w:t>
            </w:r>
            <w:r w:rsidR="007F1DDE" w:rsidRPr="002B4A95">
              <w:rPr>
                <w:rFonts w:ascii="Cambria" w:hAnsi="Cambria"/>
                <w:noProof/>
                <w:webHidden/>
                <w:sz w:val="20"/>
                <w:szCs w:val="20"/>
              </w:rPr>
              <w:fldChar w:fldCharType="end"/>
            </w:r>
          </w:hyperlink>
        </w:p>
        <w:p w14:paraId="71AD6A59" w14:textId="23816B8C"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58" w:history="1">
            <w:r w:rsidR="007F1DDE" w:rsidRPr="002B4A95">
              <w:rPr>
                <w:rStyle w:val="Hyperlink"/>
                <w:rFonts w:ascii="Cambria" w:hAnsi="Cambria"/>
                <w:noProof/>
                <w:sz w:val="20"/>
                <w:szCs w:val="20"/>
              </w:rPr>
              <w:t>2.</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eastAsia="Times New Roman" w:hAnsi="Cambria"/>
                <w:noProof/>
                <w:sz w:val="20"/>
                <w:szCs w:val="20"/>
                <w:lang w:eastAsia="es-ES"/>
              </w:rPr>
              <w:t>Análisis del caso</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_Toc446158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17</w:t>
            </w:r>
            <w:r w:rsidR="007F1DDE" w:rsidRPr="002B4A95">
              <w:rPr>
                <w:rFonts w:ascii="Cambria" w:hAnsi="Cambria"/>
                <w:noProof/>
                <w:webHidden/>
                <w:sz w:val="20"/>
                <w:szCs w:val="20"/>
              </w:rPr>
              <w:fldChar w:fldCharType="end"/>
            </w:r>
          </w:hyperlink>
        </w:p>
        <w:p w14:paraId="3A84D5A8" w14:textId="38DFA13E" w:rsidR="007F1DDE" w:rsidRPr="002B4A95" w:rsidRDefault="00DA4DA9" w:rsidP="002B4A95">
          <w:pPr>
            <w:pStyle w:val="TOC3"/>
            <w:rPr>
              <w:rFonts w:ascii="Cambria" w:eastAsiaTheme="minorEastAsia" w:hAnsi="Cambria" w:cstheme="minorBidi"/>
              <w:noProof/>
              <w:sz w:val="20"/>
              <w:szCs w:val="20"/>
              <w:bdr w:val="none" w:sz="0" w:space="0" w:color="auto"/>
            </w:rPr>
          </w:pPr>
          <w:hyperlink w:anchor="_Toc446160" w:history="1">
            <w:r w:rsidR="007F1DDE" w:rsidRPr="002B4A95">
              <w:rPr>
                <w:rStyle w:val="Hyperlink"/>
                <w:rFonts w:ascii="Cambria" w:hAnsi="Cambria"/>
                <w:noProof/>
                <w:sz w:val="20"/>
                <w:szCs w:val="20"/>
              </w:rPr>
              <w:t>3.</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Conclusión</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_Toc446160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19</w:t>
            </w:r>
            <w:r w:rsidR="007F1DDE" w:rsidRPr="002B4A95">
              <w:rPr>
                <w:rFonts w:ascii="Cambria" w:hAnsi="Cambria"/>
                <w:noProof/>
                <w:webHidden/>
                <w:sz w:val="20"/>
                <w:szCs w:val="20"/>
              </w:rPr>
              <w:fldChar w:fldCharType="end"/>
            </w:r>
          </w:hyperlink>
        </w:p>
        <w:p w14:paraId="150558D0" w14:textId="18D6E227"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61" w:history="1">
            <w:r w:rsidR="007F1DDE" w:rsidRPr="002B4A95">
              <w:rPr>
                <w:rStyle w:val="Hyperlink"/>
                <w:rFonts w:ascii="Cambria" w:eastAsia="Times New Roman" w:hAnsi="Cambria"/>
                <w:noProof/>
                <w:sz w:val="20"/>
                <w:szCs w:val="20"/>
                <w:lang w:val="es-ES_tradnl"/>
              </w:rPr>
              <w:t>B.</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eastAsia="Times New Roman" w:hAnsi="Cambria"/>
                <w:noProof/>
                <w:sz w:val="20"/>
                <w:szCs w:val="20"/>
              </w:rPr>
              <w:t>Derecho a la libertad de asociación (artículos 16.1, 1.1 y 2 de Convención Americana)</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_Toc446161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19</w:t>
            </w:r>
            <w:r w:rsidR="007F1DDE" w:rsidRPr="002B4A95">
              <w:rPr>
                <w:rFonts w:ascii="Cambria" w:hAnsi="Cambria"/>
                <w:noProof/>
                <w:webHidden/>
                <w:sz w:val="20"/>
                <w:szCs w:val="20"/>
              </w:rPr>
              <w:fldChar w:fldCharType="end"/>
            </w:r>
          </w:hyperlink>
        </w:p>
        <w:p w14:paraId="092CE1AF" w14:textId="78C45231"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62" w:history="1">
            <w:r w:rsidR="007F1DDE" w:rsidRPr="002B4A95">
              <w:rPr>
                <w:rStyle w:val="Hyperlink"/>
                <w:rFonts w:ascii="Cambria" w:eastAsia="Times New Roman" w:hAnsi="Cambria"/>
                <w:noProof/>
                <w:sz w:val="20"/>
                <w:szCs w:val="20"/>
                <w:lang w:val="es-ES_tradnl"/>
              </w:rPr>
              <w:t>C.</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El derecho a las garantías judiciales y la protección judicial (artículos 8.1, 25.1 y 1.1 de la Convención Americana y I. b de la CIDFP</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_Toc446162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20</w:t>
            </w:r>
            <w:r w:rsidR="007F1DDE" w:rsidRPr="002B4A95">
              <w:rPr>
                <w:rFonts w:ascii="Cambria" w:hAnsi="Cambria"/>
                <w:noProof/>
                <w:webHidden/>
                <w:sz w:val="20"/>
                <w:szCs w:val="20"/>
              </w:rPr>
              <w:fldChar w:fldCharType="end"/>
            </w:r>
          </w:hyperlink>
        </w:p>
        <w:p w14:paraId="19DA99F1" w14:textId="65C52267" w:rsidR="007F1DDE" w:rsidRPr="002B4A95" w:rsidRDefault="00DA4DA9" w:rsidP="002B4A95">
          <w:pPr>
            <w:pStyle w:val="TOC2"/>
            <w:rPr>
              <w:rFonts w:ascii="Cambria" w:eastAsiaTheme="minorEastAsia" w:hAnsi="Cambria" w:cstheme="minorBidi"/>
              <w:noProof/>
              <w:sz w:val="20"/>
              <w:szCs w:val="20"/>
              <w:bdr w:val="none" w:sz="0" w:space="0" w:color="auto"/>
            </w:rPr>
          </w:pPr>
          <w:hyperlink w:anchor="_Toc446163" w:history="1">
            <w:r w:rsidR="007F1DDE" w:rsidRPr="002B4A95">
              <w:rPr>
                <w:rStyle w:val="Hyperlink"/>
                <w:rFonts w:ascii="Cambria" w:eastAsia="Times New Roman" w:hAnsi="Cambria"/>
                <w:noProof/>
                <w:sz w:val="20"/>
                <w:szCs w:val="20"/>
                <w:lang w:val="es-ES_tradnl"/>
              </w:rPr>
              <w:t>D.</w:t>
            </w:r>
            <w:r w:rsidR="007F1DDE" w:rsidRPr="002B4A95">
              <w:rPr>
                <w:rFonts w:ascii="Cambria" w:eastAsiaTheme="minorEastAsia" w:hAnsi="Cambria" w:cstheme="minorBidi"/>
                <w:noProof/>
                <w:sz w:val="20"/>
                <w:szCs w:val="20"/>
                <w:bdr w:val="none" w:sz="0" w:space="0" w:color="auto"/>
              </w:rPr>
              <w:tab/>
            </w:r>
            <w:r w:rsidR="007F1DDE" w:rsidRPr="002B4A95">
              <w:rPr>
                <w:rStyle w:val="Hyperlink"/>
                <w:rFonts w:ascii="Cambria" w:hAnsi="Cambria"/>
                <w:noProof/>
                <w:sz w:val="20"/>
                <w:szCs w:val="20"/>
              </w:rPr>
              <w:t>El derecho a la integridad personal de los familiares (artículos 5.1 y 1.1 de la Convención)</w:t>
            </w:r>
            <w:r w:rsidR="007F1DDE" w:rsidRPr="002B4A95">
              <w:rPr>
                <w:rFonts w:ascii="Cambria" w:hAnsi="Cambria"/>
                <w:noProof/>
                <w:webHidden/>
                <w:sz w:val="20"/>
                <w:szCs w:val="20"/>
              </w:rPr>
              <w:tab/>
            </w:r>
            <w:r w:rsidR="007F1DDE" w:rsidRPr="002B4A95">
              <w:rPr>
                <w:rFonts w:ascii="Cambria" w:hAnsi="Cambria"/>
                <w:noProof/>
                <w:webHidden/>
                <w:sz w:val="20"/>
                <w:szCs w:val="20"/>
              </w:rPr>
              <w:fldChar w:fldCharType="begin"/>
            </w:r>
            <w:r w:rsidR="007F1DDE" w:rsidRPr="002B4A95">
              <w:rPr>
                <w:rFonts w:ascii="Cambria" w:hAnsi="Cambria"/>
                <w:noProof/>
                <w:webHidden/>
                <w:sz w:val="20"/>
                <w:szCs w:val="20"/>
              </w:rPr>
              <w:instrText xml:space="preserve"> PAGEREF _Toc446163 \h </w:instrText>
            </w:r>
            <w:r w:rsidR="007F1DDE" w:rsidRPr="002B4A95">
              <w:rPr>
                <w:rFonts w:ascii="Cambria" w:hAnsi="Cambria"/>
                <w:noProof/>
                <w:webHidden/>
                <w:sz w:val="20"/>
                <w:szCs w:val="20"/>
              </w:rPr>
            </w:r>
            <w:r w:rsidR="007F1DDE" w:rsidRPr="002B4A95">
              <w:rPr>
                <w:rFonts w:ascii="Cambria" w:hAnsi="Cambria"/>
                <w:noProof/>
                <w:webHidden/>
                <w:sz w:val="20"/>
                <w:szCs w:val="20"/>
              </w:rPr>
              <w:fldChar w:fldCharType="separate"/>
            </w:r>
            <w:r>
              <w:rPr>
                <w:rFonts w:ascii="Cambria" w:hAnsi="Cambria"/>
                <w:noProof/>
                <w:webHidden/>
                <w:sz w:val="20"/>
                <w:szCs w:val="20"/>
              </w:rPr>
              <w:t>23</w:t>
            </w:r>
            <w:r w:rsidR="007F1DDE" w:rsidRPr="002B4A95">
              <w:rPr>
                <w:rFonts w:ascii="Cambria" w:hAnsi="Cambria"/>
                <w:noProof/>
                <w:webHidden/>
                <w:sz w:val="20"/>
                <w:szCs w:val="20"/>
              </w:rPr>
              <w:fldChar w:fldCharType="end"/>
            </w:r>
          </w:hyperlink>
        </w:p>
        <w:p w14:paraId="72508232" w14:textId="7B229DF5" w:rsidR="007F1DDE" w:rsidRPr="002B4A95" w:rsidRDefault="00DA4DA9">
          <w:pPr>
            <w:pStyle w:val="TOC1"/>
            <w:rPr>
              <w:rFonts w:eastAsiaTheme="minorEastAsia" w:cstheme="minorBidi"/>
              <w:b w:val="0"/>
              <w:bdr w:val="none" w:sz="0" w:space="0" w:color="auto"/>
              <w:lang w:val="en-US"/>
            </w:rPr>
          </w:pPr>
          <w:hyperlink w:anchor="_Toc446164" w:history="1">
            <w:r w:rsidR="007F1DDE" w:rsidRPr="002B4A95">
              <w:rPr>
                <w:rStyle w:val="Hyperlink"/>
              </w:rPr>
              <w:t>V.</w:t>
            </w:r>
            <w:r w:rsidR="007F1DDE" w:rsidRPr="002B4A95">
              <w:rPr>
                <w:rFonts w:eastAsiaTheme="minorEastAsia" w:cstheme="minorBidi"/>
                <w:b w:val="0"/>
                <w:bdr w:val="none" w:sz="0" w:space="0" w:color="auto"/>
                <w:lang w:val="en-US"/>
              </w:rPr>
              <w:tab/>
            </w:r>
            <w:r w:rsidR="007F1DDE" w:rsidRPr="002B4A95">
              <w:rPr>
                <w:rStyle w:val="Hyperlink"/>
                <w:rFonts w:eastAsia="Cambria"/>
              </w:rPr>
              <w:t>CONCLUSIONES Y RECOMENDACIONES</w:t>
            </w:r>
            <w:r w:rsidR="007F1DDE" w:rsidRPr="002B4A95">
              <w:rPr>
                <w:webHidden/>
              </w:rPr>
              <w:tab/>
            </w:r>
            <w:r w:rsidR="007F1DDE" w:rsidRPr="002B4A95">
              <w:rPr>
                <w:webHidden/>
              </w:rPr>
              <w:fldChar w:fldCharType="begin"/>
            </w:r>
            <w:r w:rsidR="007F1DDE" w:rsidRPr="002B4A95">
              <w:rPr>
                <w:webHidden/>
              </w:rPr>
              <w:instrText xml:space="preserve"> PAGEREF _Toc446164 \h </w:instrText>
            </w:r>
            <w:r w:rsidR="007F1DDE" w:rsidRPr="002B4A95">
              <w:rPr>
                <w:webHidden/>
              </w:rPr>
            </w:r>
            <w:r w:rsidR="007F1DDE" w:rsidRPr="002B4A95">
              <w:rPr>
                <w:webHidden/>
              </w:rPr>
              <w:fldChar w:fldCharType="separate"/>
            </w:r>
            <w:r>
              <w:rPr>
                <w:webHidden/>
              </w:rPr>
              <w:t>23</w:t>
            </w:r>
            <w:r w:rsidR="007F1DDE" w:rsidRPr="002B4A95">
              <w:rPr>
                <w:webHidden/>
              </w:rPr>
              <w:fldChar w:fldCharType="end"/>
            </w:r>
          </w:hyperlink>
        </w:p>
        <w:p w14:paraId="44A253D4" w14:textId="459C514E" w:rsidR="00A44513" w:rsidRPr="002B4A95" w:rsidRDefault="00A44513">
          <w:pPr>
            <w:rPr>
              <w:rFonts w:ascii="Cambria" w:hAnsi="Cambria"/>
              <w:sz w:val="20"/>
              <w:szCs w:val="20"/>
            </w:rPr>
          </w:pPr>
          <w:r w:rsidRPr="002B4A95">
            <w:rPr>
              <w:rFonts w:ascii="Cambria" w:hAnsi="Cambria"/>
              <w:b/>
              <w:bCs/>
              <w:noProof/>
              <w:sz w:val="20"/>
              <w:szCs w:val="20"/>
            </w:rPr>
            <w:fldChar w:fldCharType="end"/>
          </w:r>
        </w:p>
      </w:sdtContent>
    </w:sdt>
    <w:p w14:paraId="67D94FF6" w14:textId="77777777" w:rsidR="00EC310A" w:rsidRPr="002B4A95" w:rsidRDefault="00EC310A" w:rsidP="00E923BB">
      <w:pPr>
        <w:pStyle w:val="Body"/>
        <w:suppressAutoHyphens/>
        <w:ind w:firstLine="249"/>
        <w:jc w:val="center"/>
        <w:rPr>
          <w:b/>
          <w:bCs/>
          <w:lang w:val="es-ES"/>
        </w:rPr>
      </w:pPr>
    </w:p>
    <w:p w14:paraId="16DD7380" w14:textId="77777777" w:rsidR="00EC310A" w:rsidRPr="002B4A95" w:rsidRDefault="00EC310A" w:rsidP="00E923BB">
      <w:pPr>
        <w:pStyle w:val="Body"/>
        <w:suppressAutoHyphens/>
        <w:spacing w:line="276" w:lineRule="auto"/>
        <w:ind w:firstLine="249"/>
        <w:jc w:val="center"/>
        <w:rPr>
          <w:lang w:val="es-ES"/>
        </w:rPr>
      </w:pPr>
    </w:p>
    <w:p w14:paraId="48A4B4E4" w14:textId="77777777" w:rsidR="00EC310A" w:rsidRPr="006E763F" w:rsidRDefault="009E7E98" w:rsidP="00E923BB">
      <w:pPr>
        <w:pStyle w:val="Body"/>
        <w:ind w:firstLine="249"/>
        <w:jc w:val="center"/>
        <w:rPr>
          <w:lang w:val="es-ES"/>
        </w:rPr>
      </w:pPr>
      <w:r w:rsidRPr="006E763F">
        <w:rPr>
          <w:lang w:val="es-ES"/>
        </w:rPr>
        <w:br w:type="page"/>
      </w:r>
    </w:p>
    <w:p w14:paraId="6AEAAEC2" w14:textId="77777777" w:rsidR="00A56231" w:rsidRPr="00240DE0" w:rsidRDefault="00A56231" w:rsidP="00A56231">
      <w:pPr>
        <w:pStyle w:val="Body"/>
        <w:suppressAutoHyphens/>
        <w:spacing w:line="276" w:lineRule="auto"/>
        <w:ind w:firstLine="249"/>
        <w:jc w:val="center"/>
        <w:rPr>
          <w:b/>
          <w:bCs/>
          <w:sz w:val="18"/>
          <w:lang w:val="es-ES"/>
        </w:rPr>
      </w:pPr>
      <w:r>
        <w:rPr>
          <w:b/>
          <w:bCs/>
          <w:sz w:val="18"/>
          <w:lang w:val="es-ES"/>
        </w:rPr>
        <w:lastRenderedPageBreak/>
        <w:t>INFORME No. 149</w:t>
      </w:r>
      <w:r w:rsidRPr="00240DE0">
        <w:rPr>
          <w:b/>
          <w:bCs/>
          <w:sz w:val="18"/>
          <w:lang w:val="es-ES"/>
        </w:rPr>
        <w:t>/18</w:t>
      </w:r>
    </w:p>
    <w:p w14:paraId="483F325A" w14:textId="77777777" w:rsidR="00A56231" w:rsidRPr="00240DE0" w:rsidRDefault="00A56231" w:rsidP="00A56231">
      <w:pPr>
        <w:pStyle w:val="Body"/>
        <w:suppressAutoHyphens/>
        <w:spacing w:line="276" w:lineRule="auto"/>
        <w:ind w:firstLine="249"/>
        <w:jc w:val="center"/>
        <w:rPr>
          <w:b/>
          <w:bCs/>
          <w:sz w:val="18"/>
          <w:lang w:val="es-ES"/>
        </w:rPr>
      </w:pPr>
      <w:r w:rsidRPr="00240DE0">
        <w:rPr>
          <w:b/>
          <w:bCs/>
          <w:sz w:val="18"/>
          <w:lang w:val="es-ES"/>
        </w:rPr>
        <w:t>CASO 11.641</w:t>
      </w:r>
    </w:p>
    <w:p w14:paraId="3B7B737F" w14:textId="77777777" w:rsidR="00A56231" w:rsidRPr="00240DE0" w:rsidRDefault="00A56231" w:rsidP="00A56231">
      <w:pPr>
        <w:pStyle w:val="Body"/>
        <w:suppressAutoHyphens/>
        <w:spacing w:line="276" w:lineRule="auto"/>
        <w:ind w:firstLine="249"/>
        <w:jc w:val="center"/>
        <w:rPr>
          <w:sz w:val="18"/>
          <w:lang w:val="es-ES"/>
        </w:rPr>
      </w:pPr>
      <w:r w:rsidRPr="00240DE0">
        <w:rPr>
          <w:sz w:val="18"/>
          <w:lang w:val="es-ES"/>
        </w:rPr>
        <w:t>FONDO</w:t>
      </w:r>
    </w:p>
    <w:p w14:paraId="0A0AAFF3" w14:textId="77777777" w:rsidR="00A56231" w:rsidRPr="00240DE0" w:rsidRDefault="00A56231" w:rsidP="00A56231">
      <w:pPr>
        <w:pStyle w:val="Body"/>
        <w:suppressAutoHyphens/>
        <w:spacing w:line="276" w:lineRule="auto"/>
        <w:ind w:firstLine="249"/>
        <w:jc w:val="center"/>
        <w:rPr>
          <w:sz w:val="18"/>
          <w:lang w:val="es-ES"/>
        </w:rPr>
      </w:pPr>
      <w:r w:rsidRPr="00240DE0">
        <w:rPr>
          <w:sz w:val="18"/>
          <w:lang w:val="es-ES"/>
        </w:rPr>
        <w:t>PEDRO JULIO MOVILLA GALARCIO</w:t>
      </w:r>
      <w:r>
        <w:rPr>
          <w:sz w:val="18"/>
          <w:lang w:val="es-ES"/>
        </w:rPr>
        <w:t xml:space="preserve"> Y FAMILIARES</w:t>
      </w:r>
    </w:p>
    <w:p w14:paraId="570CA477" w14:textId="77777777" w:rsidR="00A56231" w:rsidRPr="00240DE0" w:rsidRDefault="00A56231" w:rsidP="00A56231">
      <w:pPr>
        <w:pStyle w:val="Body"/>
        <w:suppressAutoHyphens/>
        <w:spacing w:line="276" w:lineRule="auto"/>
        <w:ind w:firstLine="249"/>
        <w:jc w:val="center"/>
        <w:rPr>
          <w:sz w:val="18"/>
          <w:lang w:val="es-ES"/>
        </w:rPr>
      </w:pPr>
      <w:r w:rsidRPr="00240DE0">
        <w:rPr>
          <w:sz w:val="18"/>
          <w:lang w:val="es-ES"/>
        </w:rPr>
        <w:t>COLOMBIA</w:t>
      </w:r>
    </w:p>
    <w:p w14:paraId="1B0E42FF" w14:textId="77777777" w:rsidR="00A56231" w:rsidRPr="00240DE0" w:rsidRDefault="00A56231" w:rsidP="00A56231">
      <w:pPr>
        <w:pStyle w:val="Body"/>
        <w:suppressAutoHyphens/>
        <w:spacing w:line="276" w:lineRule="auto"/>
        <w:ind w:firstLine="249"/>
        <w:jc w:val="center"/>
        <w:rPr>
          <w:sz w:val="18"/>
          <w:lang w:val="es-ES"/>
        </w:rPr>
      </w:pPr>
      <w:r>
        <w:rPr>
          <w:sz w:val="18"/>
          <w:lang w:val="es-ES"/>
        </w:rPr>
        <w:t>7 DE DICIEMBRE DE 2018</w:t>
      </w:r>
    </w:p>
    <w:p w14:paraId="2FF1630E" w14:textId="77777777" w:rsidR="00CE18CC" w:rsidRPr="006E763F" w:rsidRDefault="00CE18CC" w:rsidP="00A44513">
      <w:pPr>
        <w:pStyle w:val="ListParagraph"/>
        <w:suppressAutoHyphens/>
        <w:ind w:left="0" w:firstLine="249"/>
        <w:rPr>
          <w:b/>
          <w:bCs/>
          <w:sz w:val="20"/>
          <w:szCs w:val="20"/>
          <w:lang w:val="es-ES"/>
        </w:rPr>
      </w:pPr>
    </w:p>
    <w:p w14:paraId="65DD0093" w14:textId="77777777" w:rsidR="00EC310A" w:rsidRPr="006E763F" w:rsidRDefault="00122FA8" w:rsidP="00E923BB">
      <w:pPr>
        <w:pStyle w:val="Heading1"/>
        <w:rPr>
          <w:rFonts w:eastAsia="Times New Roman" w:cs="Times New Roman"/>
        </w:rPr>
      </w:pPr>
      <w:bookmarkStart w:id="0" w:name="_Toc446142"/>
      <w:r w:rsidRPr="006E763F">
        <w:t>RESUMEN</w:t>
      </w:r>
      <w:bookmarkEnd w:id="0"/>
    </w:p>
    <w:p w14:paraId="6A6BF159" w14:textId="77777777" w:rsidR="00EC310A" w:rsidRPr="006E763F" w:rsidRDefault="00EC310A" w:rsidP="00E923BB">
      <w:pPr>
        <w:pStyle w:val="Body"/>
        <w:suppressAutoHyphens/>
        <w:ind w:firstLine="249"/>
        <w:rPr>
          <w:b/>
          <w:bCs/>
          <w:lang w:val="es-ES"/>
        </w:rPr>
      </w:pPr>
    </w:p>
    <w:p w14:paraId="4A16DD64" w14:textId="37FEE830" w:rsidR="00EC310A" w:rsidRPr="006E763F" w:rsidRDefault="009E7E98" w:rsidP="00E923BB">
      <w:pPr>
        <w:pStyle w:val="Body"/>
        <w:numPr>
          <w:ilvl w:val="0"/>
          <w:numId w:val="2"/>
        </w:numPr>
        <w:ind w:firstLine="720"/>
        <w:rPr>
          <w:lang w:val="es-ES"/>
        </w:rPr>
      </w:pPr>
      <w:r w:rsidRPr="006E763F">
        <w:rPr>
          <w:lang w:val="es-ES"/>
        </w:rPr>
        <w:t>El 17 de junio de 1996 la Comisión Interamericana de Derechos Humanos (en adelante “la Comisión Interamericana”, “la Comisión” o “la CIDH”) recibió una petición presentada por la Corporación Colectivo de Abogados “José Alvear Restrepo” (CCAJAR) (en adelante “la parte peticionaria”)</w:t>
      </w:r>
      <w:r w:rsidR="003843DE" w:rsidRPr="006E763F">
        <w:rPr>
          <w:lang w:val="es-ES"/>
        </w:rPr>
        <w:t>,</w:t>
      </w:r>
      <w:r w:rsidRPr="006E763F">
        <w:rPr>
          <w:lang w:val="es-ES"/>
        </w:rPr>
        <w:t xml:space="preserve"> en la cual se alega la responsabilidad internacional de la República de Colombia (en adelante “el Estado colombiano”, “el Estado” o “Colombia”) en perjuicio de Pedro Julio Movilla Galarcio. </w:t>
      </w:r>
    </w:p>
    <w:p w14:paraId="6A381B0B" w14:textId="77777777" w:rsidR="00EC310A" w:rsidRPr="006E763F" w:rsidRDefault="00EC310A" w:rsidP="00E923BB">
      <w:pPr>
        <w:pStyle w:val="Body"/>
        <w:ind w:firstLine="249"/>
        <w:rPr>
          <w:lang w:val="es-ES"/>
        </w:rPr>
      </w:pPr>
    </w:p>
    <w:p w14:paraId="05726D69" w14:textId="55B53F54" w:rsidR="00EC310A" w:rsidRPr="006E763F" w:rsidRDefault="009E7E98" w:rsidP="00E923BB">
      <w:pPr>
        <w:pStyle w:val="Body"/>
        <w:numPr>
          <w:ilvl w:val="0"/>
          <w:numId w:val="2"/>
        </w:numPr>
        <w:ind w:firstLine="720"/>
        <w:rPr>
          <w:lang w:val="es-ES"/>
        </w:rPr>
      </w:pPr>
      <w:r w:rsidRPr="006E763F">
        <w:rPr>
          <w:lang w:val="es-ES"/>
        </w:rPr>
        <w:t>La Comisión aprobó el informe de admisibilidad No. 48/14 el 24 de julio de 2014</w:t>
      </w:r>
      <w:r w:rsidRPr="006E763F">
        <w:rPr>
          <w:vertAlign w:val="superscript"/>
          <w:lang w:val="es-ES"/>
        </w:rPr>
        <w:footnoteReference w:id="2"/>
      </w:r>
      <w:r w:rsidR="008641D9" w:rsidRPr="006E763F">
        <w:rPr>
          <w:lang w:val="es-ES"/>
        </w:rPr>
        <w:t xml:space="preserve">, el cual fue notificado a las partes, poniéndose </w:t>
      </w:r>
      <w:r w:rsidRPr="006E763F">
        <w:rPr>
          <w:lang w:val="es-ES"/>
        </w:rPr>
        <w:t xml:space="preserve">a su disposición a fin de llegar a una solución amistosa. Las partes contaron con los plazos reglamentarios para presentar sus observaciones adicionales sobre el fondo. Toda la información recibida fue debidamente trasladada entre las partes. </w:t>
      </w:r>
    </w:p>
    <w:p w14:paraId="11DC04A7" w14:textId="77777777" w:rsidR="00EC310A" w:rsidRPr="006E763F" w:rsidRDefault="00EC310A" w:rsidP="00E923BB">
      <w:pPr>
        <w:pStyle w:val="Body"/>
        <w:suppressAutoHyphens/>
        <w:ind w:firstLine="249"/>
        <w:rPr>
          <w:lang w:val="es-ES"/>
        </w:rPr>
      </w:pPr>
    </w:p>
    <w:p w14:paraId="40AB344A" w14:textId="63990470" w:rsidR="00EC310A" w:rsidRPr="006E763F" w:rsidRDefault="00097B36" w:rsidP="00E923BB">
      <w:pPr>
        <w:pStyle w:val="Body"/>
        <w:numPr>
          <w:ilvl w:val="0"/>
          <w:numId w:val="2"/>
        </w:numPr>
        <w:ind w:firstLine="720"/>
        <w:rPr>
          <w:shd w:val="clear" w:color="auto" w:fill="FFFF00"/>
          <w:lang w:val="es-ES"/>
        </w:rPr>
      </w:pPr>
      <w:r w:rsidRPr="006E763F">
        <w:rPr>
          <w:lang w:val="es-VE"/>
        </w:rPr>
        <w:t xml:space="preserve">La parte peticionaria alegó que el 13 de mayo de 1993 a las 8.00 a.m., Pedro Julio Movilla Galarcio desapareció luego de dejar a su hija en el colegio. Atribuyó la desaparición al Estado </w:t>
      </w:r>
      <w:r w:rsidR="004411DD" w:rsidRPr="006E763F">
        <w:rPr>
          <w:lang w:val="es-VE"/>
        </w:rPr>
        <w:t xml:space="preserve">e indicó que </w:t>
      </w:r>
      <w:r w:rsidR="006F60C7" w:rsidRPr="006E763F">
        <w:rPr>
          <w:lang w:val="es-VE"/>
        </w:rPr>
        <w:t>estuvo motivada</w:t>
      </w:r>
      <w:r w:rsidR="00157885" w:rsidRPr="006E763F">
        <w:rPr>
          <w:lang w:val="es-VE"/>
        </w:rPr>
        <w:t xml:space="preserve"> en </w:t>
      </w:r>
      <w:r w:rsidRPr="006E763F">
        <w:rPr>
          <w:lang w:val="es-VE"/>
        </w:rPr>
        <w:t>su actividad política y sindical. Indicó que</w:t>
      </w:r>
      <w:r w:rsidR="00A436BC" w:rsidRPr="006E763F">
        <w:rPr>
          <w:lang w:val="es-VE"/>
        </w:rPr>
        <w:t xml:space="preserve"> a</w:t>
      </w:r>
      <w:r w:rsidRPr="006E763F">
        <w:rPr>
          <w:lang w:val="es-VE"/>
        </w:rPr>
        <w:t xml:space="preserve"> la fecha no se conoce el paradero de la presunta víctima y alegó la falta de una investigación efec</w:t>
      </w:r>
      <w:r w:rsidR="004411DD" w:rsidRPr="006E763F">
        <w:rPr>
          <w:lang w:val="es-VE"/>
        </w:rPr>
        <w:t>tiva</w:t>
      </w:r>
      <w:r w:rsidR="001E7DC2" w:rsidRPr="006E763F">
        <w:rPr>
          <w:lang w:val="es-VE"/>
        </w:rPr>
        <w:t>.</w:t>
      </w:r>
      <w:r w:rsidR="004411DD" w:rsidRPr="006E763F">
        <w:rPr>
          <w:lang w:val="es-VE"/>
        </w:rPr>
        <w:t xml:space="preserve"> </w:t>
      </w:r>
    </w:p>
    <w:p w14:paraId="0301C883" w14:textId="77777777" w:rsidR="00EC310A" w:rsidRPr="006E763F" w:rsidRDefault="00EC310A" w:rsidP="00E923BB">
      <w:pPr>
        <w:pStyle w:val="Body"/>
        <w:ind w:firstLine="249"/>
        <w:rPr>
          <w:shd w:val="clear" w:color="auto" w:fill="FFFF00"/>
          <w:lang w:val="es-ES"/>
        </w:rPr>
      </w:pPr>
    </w:p>
    <w:p w14:paraId="767603F5" w14:textId="74A1129F" w:rsidR="000234D5" w:rsidRPr="006E763F" w:rsidRDefault="000234D5" w:rsidP="00E923BB">
      <w:pPr>
        <w:pStyle w:val="Body"/>
        <w:numPr>
          <w:ilvl w:val="0"/>
          <w:numId w:val="2"/>
        </w:numPr>
        <w:ind w:firstLine="720"/>
        <w:rPr>
          <w:lang w:val="es-VE"/>
        </w:rPr>
      </w:pPr>
      <w:r w:rsidRPr="006E763F">
        <w:rPr>
          <w:lang w:val="es-VE"/>
        </w:rPr>
        <w:t xml:space="preserve">El Estado indicó que ha </w:t>
      </w:r>
      <w:r w:rsidR="00D33337" w:rsidRPr="006E763F">
        <w:rPr>
          <w:lang w:val="es-VE"/>
        </w:rPr>
        <w:t xml:space="preserve">llevado a cabo los procesos internos para </w:t>
      </w:r>
      <w:r w:rsidRPr="006E763F">
        <w:rPr>
          <w:lang w:val="es-VE"/>
        </w:rPr>
        <w:t xml:space="preserve">la búsqueda de Pedro Julio Movilla Galarcio así como a la persecución de los responsables. Alegó que no es responsable internacionalmente </w:t>
      </w:r>
      <w:r w:rsidR="00872DC5" w:rsidRPr="006E763F">
        <w:rPr>
          <w:lang w:val="es-VE"/>
        </w:rPr>
        <w:t>por</w:t>
      </w:r>
      <w:r w:rsidRPr="006E763F">
        <w:rPr>
          <w:lang w:val="es-VE"/>
        </w:rPr>
        <w:t xml:space="preserve"> la desaparición al no existir prueba suficiente que demuestre que fue vist</w:t>
      </w:r>
      <w:r w:rsidR="006C6D4B" w:rsidRPr="006E763F">
        <w:rPr>
          <w:lang w:val="es-VE"/>
        </w:rPr>
        <w:t>a</w:t>
      </w:r>
      <w:r w:rsidRPr="006E763F">
        <w:rPr>
          <w:lang w:val="es-VE"/>
        </w:rPr>
        <w:t xml:space="preserve"> por última vez en manos de agentes del </w:t>
      </w:r>
      <w:r w:rsidR="00DA1E62" w:rsidRPr="006E763F">
        <w:rPr>
          <w:lang w:val="es-VE"/>
        </w:rPr>
        <w:t>E</w:t>
      </w:r>
      <w:r w:rsidR="009C3065">
        <w:rPr>
          <w:lang w:val="es-VE"/>
        </w:rPr>
        <w:t>stado</w:t>
      </w:r>
      <w:r w:rsidRPr="006E763F">
        <w:rPr>
          <w:lang w:val="es-VE"/>
        </w:rPr>
        <w:t xml:space="preserve"> ni tampoco lo es respecto </w:t>
      </w:r>
      <w:r w:rsidR="005C6902" w:rsidRPr="006E763F">
        <w:rPr>
          <w:lang w:val="es-VE"/>
        </w:rPr>
        <w:t>de</w:t>
      </w:r>
      <w:r w:rsidRPr="006E763F">
        <w:rPr>
          <w:lang w:val="es-VE"/>
        </w:rPr>
        <w:t xml:space="preserve"> las demás violaciones</w:t>
      </w:r>
      <w:r w:rsidR="005C6902" w:rsidRPr="006E763F">
        <w:rPr>
          <w:lang w:val="es-VE"/>
        </w:rPr>
        <w:t xml:space="preserve"> alegadas</w:t>
      </w:r>
      <w:r w:rsidRPr="006E763F">
        <w:rPr>
          <w:lang w:val="es-VE"/>
        </w:rPr>
        <w:t xml:space="preserve">. </w:t>
      </w:r>
    </w:p>
    <w:p w14:paraId="2882BAF4" w14:textId="77777777" w:rsidR="00EC310A" w:rsidRPr="009C3065" w:rsidRDefault="00EC310A" w:rsidP="00E923BB">
      <w:pPr>
        <w:rPr>
          <w:rFonts w:ascii="Cambria" w:hAnsi="Cambria"/>
          <w:sz w:val="20"/>
          <w:szCs w:val="20"/>
          <w:lang w:val="es-VE"/>
        </w:rPr>
      </w:pPr>
    </w:p>
    <w:p w14:paraId="187B2BCE" w14:textId="0A9BEAD9" w:rsidR="00CF490C" w:rsidRPr="006E763F" w:rsidRDefault="009E7E98" w:rsidP="00E923BB">
      <w:pPr>
        <w:pStyle w:val="Body"/>
        <w:numPr>
          <w:ilvl w:val="0"/>
          <w:numId w:val="2"/>
        </w:numPr>
        <w:ind w:firstLine="720"/>
        <w:rPr>
          <w:lang w:val="es-ES"/>
        </w:rPr>
      </w:pPr>
      <w:r w:rsidRPr="006E763F">
        <w:rPr>
          <w:lang w:val="es-ES"/>
        </w:rPr>
        <w:t xml:space="preserve">Con base en las determinaciones de hecho y de derecho, la Comisión concluyó que </w:t>
      </w:r>
      <w:r w:rsidR="00CF490C" w:rsidRPr="006E763F">
        <w:rPr>
          <w:u w:color="548DD4"/>
          <w:lang w:val="es-ES"/>
        </w:rPr>
        <w:t xml:space="preserve">el Estado colombiano es responsable por la violación de los derechos al reconocimiento de la personalidad jurídica, a la vida, a la integridad personal, a la libertad personal, a las garantías judiciales, a la libertad de asociación y a la protección judicial consagrados en los artículos </w:t>
      </w:r>
      <w:r w:rsidR="00CF490C" w:rsidRPr="006E763F">
        <w:rPr>
          <w:rFonts w:cs="Verdana"/>
          <w:bdr w:val="none" w:sz="0" w:space="0" w:color="auto" w:frame="1"/>
          <w:lang w:val="es-ES"/>
        </w:rPr>
        <w:t>3, 4.1, 5.1, 7.1, 8.1, 16 y 25.1</w:t>
      </w:r>
      <w:r w:rsidR="009C3065">
        <w:rPr>
          <w:rFonts w:cs="Verdana"/>
          <w:bdr w:val="none" w:sz="0" w:space="0" w:color="auto" w:frame="1"/>
          <w:lang w:val="es-ES"/>
        </w:rPr>
        <w:t xml:space="preserve"> de la Convención Americana sobre Derechos Humanos (en adelante “la Convención” o “la Convención Americana”)</w:t>
      </w:r>
      <w:r w:rsidR="00CF490C" w:rsidRPr="006E763F">
        <w:rPr>
          <w:rFonts w:cs="Verdana"/>
          <w:bdr w:val="none" w:sz="0" w:space="0" w:color="auto" w:frame="1"/>
          <w:lang w:val="es-ES"/>
        </w:rPr>
        <w:t xml:space="preserve"> en relación con los </w:t>
      </w:r>
      <w:r w:rsidR="00CF490C" w:rsidRPr="006E763F">
        <w:rPr>
          <w:rFonts w:cs="Times New Roman"/>
          <w:lang w:val="es-ES"/>
        </w:rPr>
        <w:t>artículos</w:t>
      </w:r>
      <w:r w:rsidR="00CF490C" w:rsidRPr="006E763F">
        <w:rPr>
          <w:rFonts w:cs="Verdana"/>
          <w:bdr w:val="none" w:sz="0" w:space="0" w:color="auto" w:frame="1"/>
          <w:lang w:val="es-ES"/>
        </w:rPr>
        <w:t xml:space="preserve"> 1.1 y 2 del mismo instrumento en perjuicio de las personas que se indican a lo largo del presente informe. Asimismo, la Comisión concluye que el Estado es responsable por la violación de los artículos I.a) y b) de la Convención Interamericana sobre Desaparición Forzada de Personas (en adelante “la CIDFP”). </w:t>
      </w:r>
      <w:r w:rsidR="00CF490C" w:rsidRPr="006E763F">
        <w:rPr>
          <w:lang w:val="es-ES"/>
        </w:rPr>
        <w:t>La Comisión formuló las recomendaciones respectivas.</w:t>
      </w:r>
    </w:p>
    <w:p w14:paraId="30991E61" w14:textId="77777777" w:rsidR="00CF490C" w:rsidRPr="006E763F" w:rsidRDefault="00CF490C" w:rsidP="00E923BB">
      <w:pPr>
        <w:pStyle w:val="Body"/>
        <w:ind w:left="720" w:firstLine="0"/>
        <w:rPr>
          <w:lang w:val="es-ES"/>
        </w:rPr>
      </w:pPr>
    </w:p>
    <w:p w14:paraId="209E8CDA" w14:textId="77777777" w:rsidR="00EC310A" w:rsidRPr="006E763F" w:rsidRDefault="009E7E98" w:rsidP="00E923BB">
      <w:pPr>
        <w:pStyle w:val="Heading1"/>
        <w:rPr>
          <w:rFonts w:eastAsia="Times New Roman" w:cs="Times New Roman"/>
        </w:rPr>
      </w:pPr>
      <w:bookmarkStart w:id="1" w:name="_Toc446143"/>
      <w:r w:rsidRPr="006E763F">
        <w:t>ALEGATOS DE LAS PARTES</w:t>
      </w:r>
      <w:bookmarkEnd w:id="1"/>
    </w:p>
    <w:p w14:paraId="7D8E4396" w14:textId="77777777" w:rsidR="00EC310A" w:rsidRPr="006E763F" w:rsidRDefault="00EC310A" w:rsidP="00E923BB">
      <w:pPr>
        <w:pStyle w:val="ListParagraph"/>
        <w:suppressAutoHyphens/>
        <w:ind w:firstLine="249"/>
        <w:rPr>
          <w:b/>
          <w:bCs/>
          <w:sz w:val="20"/>
          <w:szCs w:val="20"/>
          <w:lang w:val="es-ES"/>
        </w:rPr>
      </w:pPr>
    </w:p>
    <w:p w14:paraId="55C3BAC4" w14:textId="5FCBD365" w:rsidR="00EC310A" w:rsidRPr="00E923BB" w:rsidRDefault="00CE18CC" w:rsidP="007F1DDE">
      <w:pPr>
        <w:pStyle w:val="Heading2"/>
        <w:ind w:firstLine="634"/>
      </w:pPr>
      <w:bookmarkStart w:id="2" w:name="_Toc446144"/>
      <w:r w:rsidRPr="00E923BB">
        <w:t>La parte peticionaria</w:t>
      </w:r>
      <w:bookmarkEnd w:id="2"/>
      <w:r w:rsidR="009E7E98" w:rsidRPr="00E923BB">
        <w:t xml:space="preserve"> </w:t>
      </w:r>
    </w:p>
    <w:p w14:paraId="50E0D2FC" w14:textId="77777777" w:rsidR="00EC310A" w:rsidRPr="006E763F" w:rsidRDefault="00EC310A" w:rsidP="00E923BB">
      <w:pPr>
        <w:pStyle w:val="Body"/>
        <w:ind w:left="720" w:firstLine="249"/>
        <w:rPr>
          <w:lang w:val="es-ES"/>
        </w:rPr>
      </w:pPr>
    </w:p>
    <w:p w14:paraId="27BEE27B" w14:textId="77777777" w:rsidR="009C3065" w:rsidRDefault="009E7E98" w:rsidP="00E923BB">
      <w:pPr>
        <w:pStyle w:val="Body"/>
        <w:numPr>
          <w:ilvl w:val="0"/>
          <w:numId w:val="2"/>
        </w:numPr>
        <w:ind w:firstLine="720"/>
        <w:rPr>
          <w:lang w:val="es-ES"/>
        </w:rPr>
      </w:pPr>
      <w:r w:rsidRPr="006E763F">
        <w:rPr>
          <w:lang w:val="es-ES"/>
        </w:rPr>
        <w:t xml:space="preserve">Indicó que Pedro Julio Movilla Galarcio fue un destacado líder sindical, militante político de izquierda y activista social colombiano. </w:t>
      </w:r>
      <w:r w:rsidR="00836DCC" w:rsidRPr="006E763F">
        <w:rPr>
          <w:lang w:val="es-ES"/>
        </w:rPr>
        <w:t>Señaló que d</w:t>
      </w:r>
      <w:r w:rsidRPr="006E763F">
        <w:rPr>
          <w:lang w:val="es-ES"/>
        </w:rPr>
        <w:t>ebido a sus actividades tuvo que desplazarse forz</w:t>
      </w:r>
      <w:r w:rsidR="000E4048" w:rsidRPr="006E763F">
        <w:rPr>
          <w:lang w:val="es-ES"/>
        </w:rPr>
        <w:t>adamente</w:t>
      </w:r>
      <w:r w:rsidRPr="006E763F">
        <w:rPr>
          <w:lang w:val="es-ES"/>
        </w:rPr>
        <w:t xml:space="preserve"> hasta en dos oportunidades, por lo que su último lugar de residencia fue Bogotá.</w:t>
      </w:r>
      <w:r w:rsidR="0039220E" w:rsidRPr="006E763F">
        <w:rPr>
          <w:lang w:val="es-ES"/>
        </w:rPr>
        <w:t xml:space="preserve"> </w:t>
      </w:r>
      <w:r w:rsidRPr="006E763F">
        <w:rPr>
          <w:lang w:val="es-ES"/>
        </w:rPr>
        <w:t>Relató que el 13 de mayo de 1993, Pedro Julio Movilla Galarcio sa</w:t>
      </w:r>
      <w:r w:rsidR="002978A7" w:rsidRPr="006E763F">
        <w:rPr>
          <w:lang w:val="es-ES"/>
        </w:rPr>
        <w:t>lió de su casa, a las 8:00 a.m.</w:t>
      </w:r>
      <w:r w:rsidRPr="006E763F">
        <w:rPr>
          <w:lang w:val="es-ES"/>
        </w:rPr>
        <w:t xml:space="preserve"> para dejar a su hija en la entrada de </w:t>
      </w:r>
      <w:r w:rsidR="0039220E" w:rsidRPr="006E763F">
        <w:rPr>
          <w:lang w:val="es-ES"/>
        </w:rPr>
        <w:t>escuela</w:t>
      </w:r>
      <w:r w:rsidRPr="006E763F">
        <w:rPr>
          <w:lang w:val="es-ES"/>
        </w:rPr>
        <w:t>.</w:t>
      </w:r>
    </w:p>
    <w:p w14:paraId="0D2CFB58" w14:textId="77777777" w:rsidR="00A56231" w:rsidRDefault="00A56231" w:rsidP="00A56231">
      <w:pPr>
        <w:pStyle w:val="Body"/>
        <w:rPr>
          <w:lang w:val="es-ES"/>
        </w:rPr>
      </w:pPr>
    </w:p>
    <w:p w14:paraId="11B3161E" w14:textId="77777777" w:rsidR="00A56231" w:rsidRDefault="00A56231" w:rsidP="00A56231">
      <w:pPr>
        <w:pStyle w:val="Body"/>
        <w:rPr>
          <w:lang w:val="es-ES"/>
        </w:rPr>
      </w:pPr>
    </w:p>
    <w:p w14:paraId="1E644AC0" w14:textId="77777777" w:rsidR="00A56231" w:rsidRDefault="00A56231" w:rsidP="00A56231">
      <w:pPr>
        <w:pStyle w:val="Body"/>
        <w:rPr>
          <w:lang w:val="es-ES"/>
        </w:rPr>
      </w:pPr>
    </w:p>
    <w:p w14:paraId="08947707" w14:textId="77777777" w:rsidR="00A56231" w:rsidRDefault="00A56231" w:rsidP="00A56231">
      <w:pPr>
        <w:pStyle w:val="Body"/>
        <w:rPr>
          <w:lang w:val="es-ES"/>
        </w:rPr>
      </w:pPr>
    </w:p>
    <w:p w14:paraId="1965B646" w14:textId="610358B5" w:rsidR="00EC310A" w:rsidRPr="006E763F" w:rsidRDefault="009B78D2" w:rsidP="00E923BB">
      <w:pPr>
        <w:pStyle w:val="Body"/>
        <w:numPr>
          <w:ilvl w:val="0"/>
          <w:numId w:val="2"/>
        </w:numPr>
        <w:ind w:firstLine="720"/>
        <w:rPr>
          <w:lang w:val="es-ES"/>
        </w:rPr>
      </w:pPr>
      <w:r w:rsidRPr="006E763F">
        <w:rPr>
          <w:lang w:val="es-ES"/>
        </w:rPr>
        <w:t>Indicó que l</w:t>
      </w:r>
      <w:r w:rsidR="009E7E98" w:rsidRPr="006E763F">
        <w:rPr>
          <w:lang w:val="es-ES"/>
        </w:rPr>
        <w:t>a presunta víctima debía recoger a su hija a las 11:00 a.m</w:t>
      </w:r>
      <w:r w:rsidR="009C3065">
        <w:rPr>
          <w:lang w:val="es-ES"/>
        </w:rPr>
        <w:t>.</w:t>
      </w:r>
      <w:r w:rsidR="0039220E" w:rsidRPr="006E763F">
        <w:rPr>
          <w:lang w:val="es-ES"/>
        </w:rPr>
        <w:t>, pero</w:t>
      </w:r>
      <w:r w:rsidR="009E7E98" w:rsidRPr="006E763F">
        <w:rPr>
          <w:lang w:val="es-ES"/>
        </w:rPr>
        <w:t xml:space="preserve"> nunca llegó y desde ese momento se desconoce su paradero. </w:t>
      </w:r>
      <w:r w:rsidR="00B038B7" w:rsidRPr="006E763F">
        <w:rPr>
          <w:lang w:val="es-ES"/>
        </w:rPr>
        <w:t>Agregó que e</w:t>
      </w:r>
      <w:r w:rsidR="009E7E98" w:rsidRPr="006E763F">
        <w:rPr>
          <w:lang w:val="es-ES"/>
        </w:rPr>
        <w:t>l mismo día</w:t>
      </w:r>
      <w:r w:rsidR="007C3E69" w:rsidRPr="006E763F">
        <w:rPr>
          <w:lang w:val="es-ES"/>
        </w:rPr>
        <w:t xml:space="preserve"> su esposa</w:t>
      </w:r>
      <w:r w:rsidR="007B0329" w:rsidRPr="006E763F">
        <w:rPr>
          <w:lang w:val="es-ES"/>
        </w:rPr>
        <w:t xml:space="preserve"> </w:t>
      </w:r>
      <w:r w:rsidR="00380811" w:rsidRPr="006E763F">
        <w:rPr>
          <w:lang w:val="es-ES"/>
        </w:rPr>
        <w:t>denunció la desaparición</w:t>
      </w:r>
      <w:r w:rsidR="000D602F" w:rsidRPr="006E763F">
        <w:rPr>
          <w:lang w:val="es-ES"/>
        </w:rPr>
        <w:t xml:space="preserve">; y que </w:t>
      </w:r>
      <w:r w:rsidR="009E7E98" w:rsidRPr="006E763F">
        <w:rPr>
          <w:lang w:val="es-ES"/>
        </w:rPr>
        <w:t xml:space="preserve">la Asociación de </w:t>
      </w:r>
      <w:r w:rsidR="00380811" w:rsidRPr="006E763F">
        <w:rPr>
          <w:lang w:val="es-ES"/>
        </w:rPr>
        <w:t>fa</w:t>
      </w:r>
      <w:r w:rsidR="009E7E98" w:rsidRPr="006E763F">
        <w:rPr>
          <w:lang w:val="es-ES"/>
        </w:rPr>
        <w:t xml:space="preserve">miliares de detenidos – desaparecidos (en adelante “la ASFADDES”) inició búsquedas particulares. </w:t>
      </w:r>
      <w:r w:rsidR="00832573" w:rsidRPr="006E763F">
        <w:rPr>
          <w:lang w:val="es-ES"/>
        </w:rPr>
        <w:t>I</w:t>
      </w:r>
      <w:r w:rsidR="009E7E98" w:rsidRPr="006E763F">
        <w:rPr>
          <w:lang w:val="es-ES"/>
        </w:rPr>
        <w:t xml:space="preserve">ndicó que la desaparición es atribuible al Estado en razón de testimonios recogidos que dan cuenta de la presencia de personas sospechosas </w:t>
      </w:r>
      <w:r w:rsidR="000A7A50" w:rsidRPr="006E763F">
        <w:rPr>
          <w:lang w:val="es-ES"/>
        </w:rPr>
        <w:t xml:space="preserve">cerca </w:t>
      </w:r>
      <w:r w:rsidR="009E7E98" w:rsidRPr="006E763F">
        <w:rPr>
          <w:lang w:val="es-ES"/>
        </w:rPr>
        <w:t>del último lugar en que se vio a</w:t>
      </w:r>
      <w:r w:rsidR="00AF5FCC" w:rsidRPr="006E763F">
        <w:rPr>
          <w:lang w:val="es-ES"/>
        </w:rPr>
        <w:t xml:space="preserve">l señor </w:t>
      </w:r>
      <w:r w:rsidR="009E7E98" w:rsidRPr="006E763F">
        <w:rPr>
          <w:lang w:val="es-ES"/>
        </w:rPr>
        <w:t>Movilla Galarcio, las acciones de inteligenci</w:t>
      </w:r>
      <w:r w:rsidR="00380811" w:rsidRPr="006E763F">
        <w:rPr>
          <w:lang w:val="es-ES"/>
        </w:rPr>
        <w:t xml:space="preserve">a militar de las que </w:t>
      </w:r>
      <w:r w:rsidR="004871A7" w:rsidRPr="006E763F">
        <w:rPr>
          <w:lang w:val="es-ES"/>
        </w:rPr>
        <w:t xml:space="preserve">fue </w:t>
      </w:r>
      <w:r w:rsidR="00380811" w:rsidRPr="006E763F">
        <w:rPr>
          <w:lang w:val="es-ES"/>
        </w:rPr>
        <w:t>objeto</w:t>
      </w:r>
      <w:r w:rsidR="009E7E98" w:rsidRPr="006E763F">
        <w:rPr>
          <w:lang w:val="es-ES"/>
        </w:rPr>
        <w:t xml:space="preserve"> </w:t>
      </w:r>
      <w:r w:rsidR="006F13C2" w:rsidRPr="006E763F">
        <w:rPr>
          <w:lang w:val="es-ES"/>
        </w:rPr>
        <w:t xml:space="preserve">él y </w:t>
      </w:r>
      <w:r w:rsidR="009E7E98" w:rsidRPr="006E763F">
        <w:rPr>
          <w:lang w:val="es-ES"/>
        </w:rPr>
        <w:t xml:space="preserve">su familia </w:t>
      </w:r>
      <w:r w:rsidR="008A2925" w:rsidRPr="006E763F">
        <w:rPr>
          <w:lang w:val="es-ES"/>
        </w:rPr>
        <w:t xml:space="preserve">por su supuesto vínculo </w:t>
      </w:r>
      <w:r w:rsidR="009E7E98" w:rsidRPr="006E763F">
        <w:rPr>
          <w:lang w:val="es-ES"/>
        </w:rPr>
        <w:t xml:space="preserve">con </w:t>
      </w:r>
      <w:r w:rsidR="00475532" w:rsidRPr="006E763F">
        <w:rPr>
          <w:lang w:val="es-ES"/>
        </w:rPr>
        <w:t xml:space="preserve">el </w:t>
      </w:r>
      <w:r w:rsidR="009E7E98" w:rsidRPr="006E763F">
        <w:rPr>
          <w:lang w:val="es-ES"/>
        </w:rPr>
        <w:t xml:space="preserve">Ejército Popular de Liberación (en adelante “el EPL”) y la falta de diligencia </w:t>
      </w:r>
      <w:r w:rsidR="008A2925" w:rsidRPr="006E763F">
        <w:rPr>
          <w:lang w:val="es-ES"/>
        </w:rPr>
        <w:t>en</w:t>
      </w:r>
      <w:r w:rsidR="009E7E98" w:rsidRPr="006E763F">
        <w:rPr>
          <w:lang w:val="es-ES"/>
        </w:rPr>
        <w:t xml:space="preserve"> las investigaciones</w:t>
      </w:r>
      <w:r w:rsidR="00534414" w:rsidRPr="006E763F">
        <w:rPr>
          <w:lang w:val="es-ES"/>
        </w:rPr>
        <w:t xml:space="preserve">, que continúan en etapa preliminar. </w:t>
      </w:r>
      <w:r w:rsidR="009E7E98" w:rsidRPr="006E763F">
        <w:rPr>
          <w:lang w:val="es-ES"/>
        </w:rPr>
        <w:t xml:space="preserve">Añadió que </w:t>
      </w:r>
      <w:r w:rsidR="00534414" w:rsidRPr="006E763F">
        <w:rPr>
          <w:lang w:val="es-ES"/>
        </w:rPr>
        <w:t>el proceso d</w:t>
      </w:r>
      <w:r w:rsidR="009E7E98" w:rsidRPr="006E763F">
        <w:rPr>
          <w:lang w:val="es-ES"/>
        </w:rPr>
        <w:t xml:space="preserve">isciplinario ante la Procuraduría General de la Nación (en adelante “la PGN”) el 18 de mayo de 1993, </w:t>
      </w:r>
      <w:r w:rsidR="00534414" w:rsidRPr="006E763F">
        <w:rPr>
          <w:lang w:val="es-ES"/>
        </w:rPr>
        <w:t xml:space="preserve">se archivó </w:t>
      </w:r>
      <w:r w:rsidR="009E7E98" w:rsidRPr="006E763F">
        <w:rPr>
          <w:lang w:val="es-ES"/>
        </w:rPr>
        <w:t xml:space="preserve">provisionalmente por segunda vez en enero de 2001. </w:t>
      </w:r>
      <w:r w:rsidR="00534414" w:rsidRPr="006E763F">
        <w:rPr>
          <w:lang w:val="es-ES"/>
        </w:rPr>
        <w:t>I</w:t>
      </w:r>
      <w:r w:rsidR="009E7E98" w:rsidRPr="006E763F">
        <w:rPr>
          <w:lang w:val="es-ES"/>
        </w:rPr>
        <w:t xml:space="preserve">nformó </w:t>
      </w:r>
      <w:r w:rsidR="00534414" w:rsidRPr="006E763F">
        <w:rPr>
          <w:lang w:val="es-ES"/>
        </w:rPr>
        <w:t>que la acción</w:t>
      </w:r>
      <w:r w:rsidR="009E7E98" w:rsidRPr="006E763F">
        <w:rPr>
          <w:lang w:val="es-ES"/>
        </w:rPr>
        <w:t xml:space="preserve"> de reparación directa en el fuero</w:t>
      </w:r>
      <w:r w:rsidR="008C4B15" w:rsidRPr="006E763F">
        <w:rPr>
          <w:lang w:val="es-ES"/>
        </w:rPr>
        <w:t xml:space="preserve"> contencioso</w:t>
      </w:r>
      <w:r w:rsidR="009E7E98" w:rsidRPr="006E763F">
        <w:rPr>
          <w:lang w:val="es-ES"/>
        </w:rPr>
        <w:t xml:space="preserve"> administrativo fue rechazada</w:t>
      </w:r>
      <w:r w:rsidR="00534414" w:rsidRPr="006E763F">
        <w:rPr>
          <w:lang w:val="es-ES"/>
        </w:rPr>
        <w:t xml:space="preserve"> en</w:t>
      </w:r>
      <w:r w:rsidR="009E7E98" w:rsidRPr="006E763F">
        <w:rPr>
          <w:lang w:val="es-ES"/>
        </w:rPr>
        <w:t xml:space="preserve"> el año 2011.</w:t>
      </w:r>
    </w:p>
    <w:p w14:paraId="6E0E5CB1" w14:textId="77777777" w:rsidR="00EC310A" w:rsidRPr="006E763F" w:rsidRDefault="00EC310A" w:rsidP="00E923BB">
      <w:pPr>
        <w:pStyle w:val="Body"/>
        <w:ind w:firstLine="720"/>
        <w:rPr>
          <w:lang w:val="es-ES"/>
        </w:rPr>
      </w:pPr>
    </w:p>
    <w:p w14:paraId="5C5BD8CB" w14:textId="04236FC8" w:rsidR="00EC310A" w:rsidRPr="006E763F" w:rsidRDefault="009E7E98" w:rsidP="00E923BB">
      <w:pPr>
        <w:pStyle w:val="Body"/>
        <w:numPr>
          <w:ilvl w:val="0"/>
          <w:numId w:val="2"/>
        </w:numPr>
        <w:ind w:firstLine="720"/>
        <w:rPr>
          <w:lang w:val="es-ES"/>
        </w:rPr>
      </w:pPr>
      <w:r w:rsidRPr="006E763F">
        <w:rPr>
          <w:lang w:val="es-ES"/>
        </w:rPr>
        <w:t xml:space="preserve">Alegó que el Estado es responsable por la vulneración de los </w:t>
      </w:r>
      <w:r w:rsidRPr="006E763F">
        <w:rPr>
          <w:b/>
          <w:bCs/>
          <w:lang w:val="es-ES"/>
        </w:rPr>
        <w:t>derechos a</w:t>
      </w:r>
      <w:r w:rsidR="00670640" w:rsidRPr="006E763F">
        <w:rPr>
          <w:b/>
          <w:bCs/>
          <w:lang w:val="es-ES"/>
        </w:rPr>
        <w:t xml:space="preserve">l reconocimiento de </w:t>
      </w:r>
      <w:r w:rsidRPr="006E763F">
        <w:rPr>
          <w:b/>
          <w:bCs/>
          <w:lang w:val="es-ES"/>
        </w:rPr>
        <w:t xml:space="preserve">la personalidad jurídica, a la vida, a la integridad personal y a la libertad personal </w:t>
      </w:r>
      <w:r w:rsidRPr="006E763F">
        <w:rPr>
          <w:bCs/>
          <w:lang w:val="es-ES"/>
        </w:rPr>
        <w:t>de</w:t>
      </w:r>
      <w:r w:rsidRPr="006E763F">
        <w:rPr>
          <w:b/>
          <w:bCs/>
          <w:lang w:val="es-ES"/>
        </w:rPr>
        <w:t xml:space="preserve"> </w:t>
      </w:r>
      <w:r w:rsidRPr="006E763F">
        <w:rPr>
          <w:lang w:val="es-ES"/>
        </w:rPr>
        <w:t>Pedro Julio Movilla Galarcio por su desaparición forzada</w:t>
      </w:r>
      <w:r w:rsidR="00B62801" w:rsidRPr="006E763F">
        <w:rPr>
          <w:lang w:val="es-ES"/>
        </w:rPr>
        <w:t xml:space="preserve">. </w:t>
      </w:r>
      <w:r w:rsidR="00891660" w:rsidRPr="006E763F">
        <w:rPr>
          <w:lang w:val="es-ES"/>
        </w:rPr>
        <w:t>I</w:t>
      </w:r>
      <w:r w:rsidRPr="006E763F">
        <w:rPr>
          <w:lang w:val="es-ES"/>
        </w:rPr>
        <w:t xml:space="preserve">ndicó la vulneración del derecho a la integridad </w:t>
      </w:r>
      <w:r w:rsidR="00887BB4" w:rsidRPr="006E763F">
        <w:rPr>
          <w:lang w:val="es-ES"/>
        </w:rPr>
        <w:t xml:space="preserve">personal </w:t>
      </w:r>
      <w:r w:rsidR="007C285F" w:rsidRPr="006E763F">
        <w:rPr>
          <w:lang w:val="es-ES"/>
        </w:rPr>
        <w:t xml:space="preserve">de </w:t>
      </w:r>
      <w:r w:rsidR="00887BB4" w:rsidRPr="006E763F">
        <w:rPr>
          <w:lang w:val="es-ES"/>
        </w:rPr>
        <w:t>sus</w:t>
      </w:r>
      <w:r w:rsidRPr="006E763F">
        <w:rPr>
          <w:lang w:val="es-ES"/>
        </w:rPr>
        <w:t xml:space="preserve"> familiares</w:t>
      </w:r>
      <w:r w:rsidR="00A72493" w:rsidRPr="006E763F">
        <w:rPr>
          <w:lang w:val="es-ES"/>
        </w:rPr>
        <w:t>.</w:t>
      </w:r>
      <w:r w:rsidR="00C67726" w:rsidRPr="006E763F">
        <w:rPr>
          <w:lang w:val="es-ES"/>
        </w:rPr>
        <w:t xml:space="preserve"> </w:t>
      </w:r>
      <w:r w:rsidRPr="006E763F">
        <w:rPr>
          <w:lang w:val="es-ES"/>
        </w:rPr>
        <w:t xml:space="preserve">Afirmó que el Estado </w:t>
      </w:r>
      <w:r w:rsidRPr="006E763F">
        <w:rPr>
          <w:bCs/>
          <w:lang w:val="es-ES"/>
        </w:rPr>
        <w:t>violó los</w:t>
      </w:r>
      <w:r w:rsidRPr="006E763F">
        <w:rPr>
          <w:b/>
          <w:bCs/>
          <w:lang w:val="es-ES"/>
        </w:rPr>
        <w:t xml:space="preserve"> derechos a las garantías judiciales y a la protección judicial </w:t>
      </w:r>
      <w:r w:rsidRPr="006E763F">
        <w:rPr>
          <w:lang w:val="es-ES"/>
        </w:rPr>
        <w:t>de Pedro Julio Movilla Galarc</w:t>
      </w:r>
      <w:r w:rsidR="00DF4A22">
        <w:rPr>
          <w:lang w:val="es-ES"/>
        </w:rPr>
        <w:t xml:space="preserve">io y sus familiares porque, </w:t>
      </w:r>
      <w:r w:rsidR="00C67726" w:rsidRPr="006E763F">
        <w:rPr>
          <w:lang w:val="es-ES"/>
        </w:rPr>
        <w:t xml:space="preserve">pasados </w:t>
      </w:r>
      <w:r w:rsidRPr="006E763F">
        <w:rPr>
          <w:lang w:val="es-ES"/>
        </w:rPr>
        <w:t>más de</w:t>
      </w:r>
      <w:r w:rsidR="00C67726" w:rsidRPr="006E763F">
        <w:rPr>
          <w:lang w:val="es-ES"/>
        </w:rPr>
        <w:t xml:space="preserve"> 20</w:t>
      </w:r>
      <w:r w:rsidRPr="006E763F">
        <w:rPr>
          <w:lang w:val="es-ES"/>
        </w:rPr>
        <w:t xml:space="preserve"> años, </w:t>
      </w:r>
      <w:r w:rsidR="00C67726" w:rsidRPr="006E763F">
        <w:rPr>
          <w:lang w:val="es-ES"/>
        </w:rPr>
        <w:t xml:space="preserve">los hechos continúan en la impunidad. </w:t>
      </w:r>
      <w:r w:rsidR="007B0E13" w:rsidRPr="006E763F">
        <w:rPr>
          <w:lang w:val="es-ES"/>
        </w:rPr>
        <w:t>A</w:t>
      </w:r>
      <w:r w:rsidRPr="006E763F">
        <w:rPr>
          <w:lang w:val="es-ES"/>
        </w:rPr>
        <w:t>legó que</w:t>
      </w:r>
      <w:r w:rsidR="007B0E13" w:rsidRPr="006E763F">
        <w:rPr>
          <w:lang w:val="es-ES"/>
        </w:rPr>
        <w:t xml:space="preserve"> no se investigaron</w:t>
      </w:r>
      <w:r w:rsidRPr="006E763F">
        <w:rPr>
          <w:lang w:val="es-ES"/>
        </w:rPr>
        <w:t xml:space="preserve"> los hechos como una desaparición forzada;</w:t>
      </w:r>
      <w:r w:rsidR="004161B6" w:rsidRPr="006E763F">
        <w:rPr>
          <w:lang w:val="es-ES"/>
        </w:rPr>
        <w:t xml:space="preserve"> que hubo una </w:t>
      </w:r>
      <w:r w:rsidRPr="006E763F">
        <w:rPr>
          <w:lang w:val="es-ES"/>
        </w:rPr>
        <w:t>negativa a abordar todas las líneas lógicas de investigación; y</w:t>
      </w:r>
      <w:r w:rsidR="00225DA2" w:rsidRPr="006E763F">
        <w:rPr>
          <w:lang w:val="es-ES"/>
        </w:rPr>
        <w:t xml:space="preserve"> que se realizaron </w:t>
      </w:r>
      <w:r w:rsidRPr="006E763F">
        <w:rPr>
          <w:lang w:val="es-ES"/>
        </w:rPr>
        <w:t xml:space="preserve">acciones limitadas </w:t>
      </w:r>
      <w:r w:rsidR="00BB0505" w:rsidRPr="006E763F">
        <w:rPr>
          <w:lang w:val="es-ES"/>
        </w:rPr>
        <w:t>para l</w:t>
      </w:r>
      <w:r w:rsidRPr="006E763F">
        <w:rPr>
          <w:lang w:val="es-ES"/>
        </w:rPr>
        <w:t>a búsqueda.</w:t>
      </w:r>
      <w:r w:rsidR="00C67726" w:rsidRPr="006E763F">
        <w:rPr>
          <w:lang w:val="es-ES"/>
        </w:rPr>
        <w:t xml:space="preserve"> Agregó que </w:t>
      </w:r>
      <w:r w:rsidRPr="006E763F">
        <w:rPr>
          <w:lang w:val="es-ES"/>
        </w:rPr>
        <w:t>los familiares no han sido oídos ante un tri</w:t>
      </w:r>
      <w:r w:rsidR="00A72493" w:rsidRPr="006E763F">
        <w:rPr>
          <w:lang w:val="es-ES"/>
        </w:rPr>
        <w:t>bunal independiente e imparcial.</w:t>
      </w:r>
      <w:r w:rsidR="00F338F1" w:rsidRPr="006E763F">
        <w:rPr>
          <w:lang w:val="es-ES"/>
        </w:rPr>
        <w:t xml:space="preserve"> También a</w:t>
      </w:r>
      <w:r w:rsidRPr="006E763F">
        <w:rPr>
          <w:lang w:val="es-ES"/>
        </w:rPr>
        <w:t xml:space="preserve">legó la violación del </w:t>
      </w:r>
      <w:r w:rsidR="008578F5" w:rsidRPr="006E763F">
        <w:rPr>
          <w:b/>
          <w:bCs/>
          <w:lang w:val="es-ES"/>
        </w:rPr>
        <w:t xml:space="preserve">derecho a la libertad de </w:t>
      </w:r>
      <w:r w:rsidRPr="006E763F">
        <w:rPr>
          <w:b/>
          <w:bCs/>
          <w:lang w:val="es-ES"/>
        </w:rPr>
        <w:t xml:space="preserve">asociación </w:t>
      </w:r>
      <w:r w:rsidRPr="006E763F">
        <w:rPr>
          <w:lang w:val="es-ES"/>
        </w:rPr>
        <w:t>de Pedro Julio Movilla Galarcio por la falta de garantías para el ejercicio, libre de hostigamientos, de sus labores como activista sindical y miembro del Partido Comunista Colombiano-Marxista Leninista (en adelante “el PCC-ML”).</w:t>
      </w:r>
    </w:p>
    <w:p w14:paraId="4A98BBC9" w14:textId="77777777" w:rsidR="00EC310A" w:rsidRPr="006E763F" w:rsidRDefault="00EC310A" w:rsidP="00E923BB">
      <w:pPr>
        <w:pStyle w:val="Body"/>
        <w:ind w:firstLine="249"/>
        <w:rPr>
          <w:lang w:val="es-ES"/>
        </w:rPr>
      </w:pPr>
    </w:p>
    <w:p w14:paraId="6068F844" w14:textId="3F7CD0C9" w:rsidR="00EC310A" w:rsidRPr="006E763F" w:rsidRDefault="00CE18CC" w:rsidP="00E923BB">
      <w:pPr>
        <w:pStyle w:val="Heading2"/>
        <w:rPr>
          <w:rFonts w:eastAsia="Times New Roman" w:cs="Times New Roman"/>
        </w:rPr>
      </w:pPr>
      <w:bookmarkStart w:id="3" w:name="_Toc446145"/>
      <w:r w:rsidRPr="006E763F">
        <w:t>El Estado</w:t>
      </w:r>
      <w:bookmarkEnd w:id="3"/>
    </w:p>
    <w:p w14:paraId="36093846" w14:textId="77777777" w:rsidR="00EC310A" w:rsidRPr="006E763F" w:rsidRDefault="00EC310A" w:rsidP="00E923BB">
      <w:pPr>
        <w:pStyle w:val="ListParagraph"/>
        <w:suppressAutoHyphens/>
        <w:ind w:left="0" w:firstLine="720"/>
        <w:rPr>
          <w:b/>
          <w:bCs/>
          <w:sz w:val="20"/>
          <w:szCs w:val="20"/>
          <w:lang w:val="es-ES"/>
        </w:rPr>
      </w:pPr>
    </w:p>
    <w:p w14:paraId="1AC09AAB" w14:textId="7DC7D2CF" w:rsidR="00EC310A" w:rsidRPr="006E763F" w:rsidRDefault="009E7E98" w:rsidP="00E923BB">
      <w:pPr>
        <w:pStyle w:val="Body"/>
        <w:numPr>
          <w:ilvl w:val="0"/>
          <w:numId w:val="2"/>
        </w:numPr>
        <w:ind w:firstLine="720"/>
        <w:rPr>
          <w:lang w:val="es-ES"/>
        </w:rPr>
      </w:pPr>
      <w:r w:rsidRPr="006E763F">
        <w:rPr>
          <w:lang w:val="es-ES"/>
        </w:rPr>
        <w:t xml:space="preserve">El Estado alegó que no vulneró los </w:t>
      </w:r>
      <w:r w:rsidRPr="006E763F">
        <w:rPr>
          <w:b/>
          <w:bCs/>
          <w:lang w:val="es-ES"/>
        </w:rPr>
        <w:t>derechos a</w:t>
      </w:r>
      <w:r w:rsidR="00D11986" w:rsidRPr="006E763F">
        <w:rPr>
          <w:b/>
          <w:bCs/>
          <w:lang w:val="es-ES"/>
        </w:rPr>
        <w:t>l reconocimiento de</w:t>
      </w:r>
      <w:r w:rsidRPr="006E763F">
        <w:rPr>
          <w:b/>
          <w:bCs/>
          <w:lang w:val="es-ES"/>
        </w:rPr>
        <w:t xml:space="preserve"> la personalidad jurídica, a la vida, a la integridad personal y a la libertad personal </w:t>
      </w:r>
      <w:r w:rsidRPr="006E763F">
        <w:rPr>
          <w:lang w:val="es-ES"/>
        </w:rPr>
        <w:t xml:space="preserve">de Pedro Julio Movilla Galarcio dado que en los procesos internos se han ordenado pruebas suficientes </w:t>
      </w:r>
      <w:r w:rsidR="006E1F83" w:rsidRPr="006E763F">
        <w:rPr>
          <w:lang w:val="es-ES"/>
        </w:rPr>
        <w:t xml:space="preserve">de las que no se desprende </w:t>
      </w:r>
      <w:r w:rsidRPr="006E763F">
        <w:rPr>
          <w:lang w:val="es-ES"/>
        </w:rPr>
        <w:t>que los hechos hubieren ocurrido</w:t>
      </w:r>
      <w:r w:rsidR="003F1FE3" w:rsidRPr="006E763F">
        <w:rPr>
          <w:lang w:val="es-ES"/>
        </w:rPr>
        <w:t xml:space="preserve"> como lo </w:t>
      </w:r>
      <w:r w:rsidR="00796B39" w:rsidRPr="006E763F">
        <w:rPr>
          <w:lang w:val="es-ES"/>
        </w:rPr>
        <w:t>narró</w:t>
      </w:r>
      <w:r w:rsidR="00C66A3A" w:rsidRPr="006E763F">
        <w:rPr>
          <w:lang w:val="es-ES"/>
        </w:rPr>
        <w:t xml:space="preserve"> </w:t>
      </w:r>
      <w:r w:rsidRPr="006E763F">
        <w:rPr>
          <w:lang w:val="es-ES"/>
        </w:rPr>
        <w:t xml:space="preserve">la parte peticionaria. Indicó que el proceso disciplinario fue archivado por segunda vez al considerar la </w:t>
      </w:r>
      <w:r w:rsidR="00E219C5" w:rsidRPr="006E763F">
        <w:rPr>
          <w:lang w:val="es-ES"/>
        </w:rPr>
        <w:t>PGN</w:t>
      </w:r>
      <w:r w:rsidRPr="006E763F">
        <w:rPr>
          <w:lang w:val="es-ES"/>
        </w:rPr>
        <w:t xml:space="preserve"> que </w:t>
      </w:r>
      <w:r w:rsidR="00D11146" w:rsidRPr="006E763F">
        <w:rPr>
          <w:lang w:val="es-ES"/>
        </w:rPr>
        <w:t xml:space="preserve">de la prueba practicada no surgen ni leves indicios de la participación de agentes estatales. </w:t>
      </w:r>
      <w:r w:rsidR="00877350" w:rsidRPr="006E763F">
        <w:rPr>
          <w:lang w:val="es-ES"/>
        </w:rPr>
        <w:t>Señaló que e</w:t>
      </w:r>
      <w:r w:rsidRPr="006E763F">
        <w:rPr>
          <w:lang w:val="es-ES"/>
        </w:rPr>
        <w:t xml:space="preserve">n sede contencioso-administrativa </w:t>
      </w:r>
      <w:r w:rsidR="009F30CC" w:rsidRPr="006E763F">
        <w:rPr>
          <w:lang w:val="es-ES"/>
        </w:rPr>
        <w:t xml:space="preserve">el rechazo se basó en </w:t>
      </w:r>
      <w:r w:rsidRPr="006E763F">
        <w:rPr>
          <w:lang w:val="es-ES"/>
        </w:rPr>
        <w:t xml:space="preserve">la falta de </w:t>
      </w:r>
      <w:r w:rsidR="00D52277" w:rsidRPr="006E763F">
        <w:rPr>
          <w:lang w:val="es-ES"/>
        </w:rPr>
        <w:t xml:space="preserve">pruebas. </w:t>
      </w:r>
    </w:p>
    <w:p w14:paraId="69FA3F4D" w14:textId="77777777" w:rsidR="00EC310A" w:rsidRPr="006E763F" w:rsidRDefault="00EC310A" w:rsidP="00E923BB">
      <w:pPr>
        <w:pStyle w:val="ListParagraph"/>
        <w:ind w:left="0" w:firstLine="720"/>
        <w:rPr>
          <w:sz w:val="20"/>
          <w:szCs w:val="20"/>
          <w:lang w:val="es-ES"/>
        </w:rPr>
      </w:pPr>
    </w:p>
    <w:p w14:paraId="405B5B1E" w14:textId="4B0BBEDC" w:rsidR="00EC310A" w:rsidRPr="006E763F" w:rsidRDefault="0013180F" w:rsidP="00E923BB">
      <w:pPr>
        <w:pStyle w:val="Body"/>
        <w:numPr>
          <w:ilvl w:val="0"/>
          <w:numId w:val="2"/>
        </w:numPr>
        <w:ind w:firstLine="720"/>
        <w:rPr>
          <w:lang w:val="es-ES"/>
        </w:rPr>
      </w:pPr>
      <w:r w:rsidRPr="006E763F">
        <w:rPr>
          <w:lang w:val="es-ES"/>
        </w:rPr>
        <w:t>A</w:t>
      </w:r>
      <w:r w:rsidR="009E7E98" w:rsidRPr="006E763F">
        <w:rPr>
          <w:lang w:val="es-ES"/>
        </w:rPr>
        <w:t xml:space="preserve">firmó que la </w:t>
      </w:r>
      <w:r w:rsidR="00A53D0D" w:rsidRPr="006E763F">
        <w:rPr>
          <w:lang w:val="es-ES"/>
        </w:rPr>
        <w:t>r</w:t>
      </w:r>
      <w:r w:rsidR="009E7E98" w:rsidRPr="006E763F">
        <w:rPr>
          <w:lang w:val="es-ES"/>
        </w:rPr>
        <w:t xml:space="preserve">esponsabilidad internacional </w:t>
      </w:r>
      <w:r w:rsidR="00016E2E" w:rsidRPr="006E763F">
        <w:rPr>
          <w:lang w:val="es-ES"/>
        </w:rPr>
        <w:t xml:space="preserve">por desaparición forzada </w:t>
      </w:r>
      <w:r w:rsidR="009E7E98" w:rsidRPr="006E763F">
        <w:rPr>
          <w:lang w:val="es-ES"/>
        </w:rPr>
        <w:t>pretende endilgarse únicamente a través de</w:t>
      </w:r>
      <w:r w:rsidR="003F2ECD" w:rsidRPr="006E763F">
        <w:rPr>
          <w:lang w:val="es-ES"/>
        </w:rPr>
        <w:t xml:space="preserve"> elementos </w:t>
      </w:r>
      <w:r w:rsidR="009E7E98" w:rsidRPr="006E763F">
        <w:rPr>
          <w:lang w:val="es-ES"/>
        </w:rPr>
        <w:t xml:space="preserve">contextuales y bajo </w:t>
      </w:r>
      <w:r w:rsidR="003F2ECD" w:rsidRPr="006E763F">
        <w:rPr>
          <w:lang w:val="es-ES"/>
        </w:rPr>
        <w:t xml:space="preserve">un alegado </w:t>
      </w:r>
      <w:r w:rsidR="009E7E98" w:rsidRPr="006E763F">
        <w:rPr>
          <w:lang w:val="es-ES"/>
        </w:rPr>
        <w:t>patrón sistemático estatal contra líderes sociales y sindicales que no</w:t>
      </w:r>
      <w:r w:rsidR="002B61B9" w:rsidRPr="006E763F">
        <w:rPr>
          <w:lang w:val="es-ES"/>
        </w:rPr>
        <w:t xml:space="preserve"> ha sido demostrado. </w:t>
      </w:r>
      <w:r w:rsidR="00800EF8" w:rsidRPr="006E763F">
        <w:rPr>
          <w:lang w:val="es-ES"/>
        </w:rPr>
        <w:t>I</w:t>
      </w:r>
      <w:r w:rsidR="002B61B9" w:rsidRPr="006E763F">
        <w:rPr>
          <w:lang w:val="es-ES"/>
        </w:rPr>
        <w:t>ndic</w:t>
      </w:r>
      <w:r w:rsidR="009E7E98" w:rsidRPr="006E763F">
        <w:rPr>
          <w:lang w:val="es-ES"/>
        </w:rPr>
        <w:t>ó que los hechos no</w:t>
      </w:r>
      <w:r w:rsidR="00016E2E" w:rsidRPr="006E763F">
        <w:rPr>
          <w:lang w:val="es-ES"/>
        </w:rPr>
        <w:t xml:space="preserve"> son similares</w:t>
      </w:r>
      <w:r w:rsidR="009E7E98" w:rsidRPr="006E763F">
        <w:rPr>
          <w:lang w:val="es-ES"/>
        </w:rPr>
        <w:t xml:space="preserve"> a otros contextos de desapariciones forzadas</w:t>
      </w:r>
      <w:r w:rsidR="00016E2E" w:rsidRPr="006E763F">
        <w:rPr>
          <w:lang w:val="es-ES"/>
        </w:rPr>
        <w:t xml:space="preserve"> bajo </w:t>
      </w:r>
      <w:r w:rsidR="009E7E98" w:rsidRPr="006E763F">
        <w:rPr>
          <w:lang w:val="es-ES"/>
        </w:rPr>
        <w:t>la no</w:t>
      </w:r>
      <w:r w:rsidR="002B61B9" w:rsidRPr="006E763F">
        <w:rPr>
          <w:lang w:val="es-ES"/>
        </w:rPr>
        <w:t>ción de “enemigo interno” y que</w:t>
      </w:r>
      <w:r w:rsidR="009E7E98" w:rsidRPr="006E763F">
        <w:rPr>
          <w:lang w:val="es-ES"/>
        </w:rPr>
        <w:t xml:space="preserve"> el registro de notas sobre la presunta víctima por parte del Ejército Nacional no genera certeza sobre la</w:t>
      </w:r>
      <w:r w:rsidR="00016E2E" w:rsidRPr="006E763F">
        <w:rPr>
          <w:lang w:val="es-ES"/>
        </w:rPr>
        <w:t xml:space="preserve"> participación de </w:t>
      </w:r>
      <w:r w:rsidR="009E7E98" w:rsidRPr="006E763F">
        <w:rPr>
          <w:lang w:val="es-ES"/>
        </w:rPr>
        <w:t xml:space="preserve">agentes estatales. </w:t>
      </w:r>
      <w:r w:rsidR="00A00325" w:rsidRPr="006E763F">
        <w:rPr>
          <w:lang w:val="es-ES"/>
        </w:rPr>
        <w:t xml:space="preserve">Alegó </w:t>
      </w:r>
      <w:r w:rsidR="009E7E98" w:rsidRPr="006E763F">
        <w:rPr>
          <w:lang w:val="es-ES"/>
        </w:rPr>
        <w:t>que no existe</w:t>
      </w:r>
      <w:r w:rsidR="00016E2E" w:rsidRPr="006E763F">
        <w:rPr>
          <w:lang w:val="es-ES"/>
        </w:rPr>
        <w:t xml:space="preserve"> prueba que indique</w:t>
      </w:r>
      <w:r w:rsidR="009E7E98" w:rsidRPr="006E763F">
        <w:rPr>
          <w:lang w:val="es-ES"/>
        </w:rPr>
        <w:t xml:space="preserve"> que la presunta víctima fue vista por última vez en manos de</w:t>
      </w:r>
      <w:r w:rsidR="00994106" w:rsidRPr="006E763F">
        <w:rPr>
          <w:lang w:val="es-ES"/>
        </w:rPr>
        <w:t>l Estado</w:t>
      </w:r>
    </w:p>
    <w:p w14:paraId="0BC36831" w14:textId="77777777" w:rsidR="00EC310A" w:rsidRPr="006E763F" w:rsidRDefault="00EC310A" w:rsidP="00E923BB">
      <w:pPr>
        <w:pStyle w:val="ListParagraph"/>
        <w:ind w:left="0" w:firstLine="720"/>
        <w:rPr>
          <w:sz w:val="20"/>
          <w:szCs w:val="20"/>
          <w:lang w:val="es-ES"/>
        </w:rPr>
      </w:pPr>
    </w:p>
    <w:p w14:paraId="424A0D08" w14:textId="49F90D70" w:rsidR="00EC310A" w:rsidRPr="006E763F" w:rsidRDefault="009E7E98" w:rsidP="00E923BB">
      <w:pPr>
        <w:pStyle w:val="Body"/>
        <w:numPr>
          <w:ilvl w:val="0"/>
          <w:numId w:val="2"/>
        </w:numPr>
        <w:ind w:firstLine="720"/>
        <w:rPr>
          <w:lang w:val="es-ES"/>
        </w:rPr>
      </w:pPr>
      <w:r w:rsidRPr="006E763F">
        <w:rPr>
          <w:lang w:val="es-ES"/>
        </w:rPr>
        <w:t xml:space="preserve">Indicó que no es responsable por la presunta violación del </w:t>
      </w:r>
      <w:r w:rsidRPr="006E763F">
        <w:rPr>
          <w:b/>
          <w:bCs/>
          <w:lang w:val="es-ES"/>
        </w:rPr>
        <w:t>d</w:t>
      </w:r>
      <w:r w:rsidR="002B61B9" w:rsidRPr="006E763F">
        <w:rPr>
          <w:b/>
          <w:bCs/>
          <w:lang w:val="es-ES"/>
        </w:rPr>
        <w:t>erecho a la integridad personal</w:t>
      </w:r>
      <w:r w:rsidRPr="006E763F">
        <w:rPr>
          <w:b/>
          <w:bCs/>
          <w:lang w:val="es-ES"/>
        </w:rPr>
        <w:t xml:space="preserve"> </w:t>
      </w:r>
      <w:r w:rsidRPr="006E763F">
        <w:rPr>
          <w:lang w:val="es-ES"/>
        </w:rPr>
        <w:t xml:space="preserve">de los familiares dado que las autoridades no </w:t>
      </w:r>
      <w:r w:rsidR="000F582A" w:rsidRPr="006E763F">
        <w:rPr>
          <w:lang w:val="es-ES"/>
        </w:rPr>
        <w:t xml:space="preserve">han sido </w:t>
      </w:r>
      <w:r w:rsidRPr="006E763F">
        <w:rPr>
          <w:lang w:val="es-ES"/>
        </w:rPr>
        <w:t xml:space="preserve">indiferentes </w:t>
      </w:r>
      <w:r w:rsidR="00DB1BC8" w:rsidRPr="006E763F">
        <w:rPr>
          <w:lang w:val="es-ES"/>
        </w:rPr>
        <w:t xml:space="preserve">ni </w:t>
      </w:r>
      <w:r w:rsidRPr="006E763F">
        <w:rPr>
          <w:lang w:val="es-ES"/>
        </w:rPr>
        <w:t>han omitido su deber de investiga</w:t>
      </w:r>
      <w:r w:rsidR="00B63525" w:rsidRPr="006E763F">
        <w:rPr>
          <w:lang w:val="es-ES"/>
        </w:rPr>
        <w:t>r.</w:t>
      </w:r>
      <w:r w:rsidR="008F2772" w:rsidRPr="006E763F">
        <w:rPr>
          <w:lang w:val="es-ES"/>
        </w:rPr>
        <w:t xml:space="preserve"> Agregó que investigó penal y disciplinariamente los hechos y que</w:t>
      </w:r>
      <w:r w:rsidRPr="006E763F">
        <w:rPr>
          <w:lang w:val="es-ES"/>
        </w:rPr>
        <w:t xml:space="preserve"> los familiares </w:t>
      </w:r>
      <w:r w:rsidR="00610887" w:rsidRPr="006E763F">
        <w:rPr>
          <w:lang w:val="es-ES"/>
        </w:rPr>
        <w:t xml:space="preserve">accedieron a la </w:t>
      </w:r>
      <w:r w:rsidR="00DF4A22">
        <w:rPr>
          <w:lang w:val="es-ES"/>
        </w:rPr>
        <w:t xml:space="preserve">acción de </w:t>
      </w:r>
      <w:r w:rsidRPr="006E763F">
        <w:rPr>
          <w:lang w:val="es-ES"/>
        </w:rPr>
        <w:t>reparación directa, al margen de</w:t>
      </w:r>
      <w:r w:rsidR="007F7396" w:rsidRPr="006E763F">
        <w:rPr>
          <w:lang w:val="es-ES"/>
        </w:rPr>
        <w:t xml:space="preserve"> su</w:t>
      </w:r>
      <w:r w:rsidRPr="006E763F">
        <w:rPr>
          <w:lang w:val="es-ES"/>
        </w:rPr>
        <w:t xml:space="preserve"> resultado desfavorable.</w:t>
      </w:r>
      <w:r w:rsidR="00015191" w:rsidRPr="006E763F">
        <w:rPr>
          <w:lang w:val="es-ES"/>
        </w:rPr>
        <w:t xml:space="preserve"> </w:t>
      </w:r>
      <w:r w:rsidRPr="006E763F">
        <w:rPr>
          <w:lang w:val="es-ES"/>
        </w:rPr>
        <w:t xml:space="preserve">Afirmó que no es responsable por la presunta violación de los derechos a las </w:t>
      </w:r>
      <w:r w:rsidRPr="006E763F">
        <w:rPr>
          <w:b/>
          <w:bCs/>
          <w:lang w:val="es-ES"/>
        </w:rPr>
        <w:t>garantías judiciales y protección judicial</w:t>
      </w:r>
      <w:r w:rsidR="00B63525" w:rsidRPr="006E763F">
        <w:rPr>
          <w:lang w:val="es-ES"/>
        </w:rPr>
        <w:t>, aunque r</w:t>
      </w:r>
      <w:r w:rsidRPr="006E763F">
        <w:rPr>
          <w:lang w:val="es-ES"/>
        </w:rPr>
        <w:t>econoció que han existido dificultades que se han visto reflejadas en la falta de resultados satisfactorios. Alegó que no</w:t>
      </w:r>
      <w:r w:rsidR="00880356" w:rsidRPr="006E763F">
        <w:rPr>
          <w:lang w:val="es-ES"/>
        </w:rPr>
        <w:t xml:space="preserve"> es responsable</w:t>
      </w:r>
      <w:r w:rsidRPr="006E763F">
        <w:rPr>
          <w:lang w:val="es-ES"/>
        </w:rPr>
        <w:t xml:space="preserve"> </w:t>
      </w:r>
      <w:r w:rsidR="00B42F8E" w:rsidRPr="006E763F">
        <w:rPr>
          <w:lang w:val="es-ES"/>
        </w:rPr>
        <w:t>por</w:t>
      </w:r>
      <w:r w:rsidRPr="006E763F">
        <w:rPr>
          <w:lang w:val="es-ES"/>
        </w:rPr>
        <w:t xml:space="preserve"> la presunta vulneración </w:t>
      </w:r>
      <w:r w:rsidRPr="006E763F">
        <w:rPr>
          <w:b/>
          <w:bCs/>
          <w:lang w:val="es-ES"/>
        </w:rPr>
        <w:t>al derecho</w:t>
      </w:r>
      <w:r w:rsidR="00D10261" w:rsidRPr="006E763F">
        <w:rPr>
          <w:b/>
          <w:bCs/>
          <w:lang w:val="es-ES"/>
        </w:rPr>
        <w:t xml:space="preserve"> a la libertad </w:t>
      </w:r>
      <w:r w:rsidRPr="006E763F">
        <w:rPr>
          <w:b/>
          <w:bCs/>
          <w:lang w:val="es-ES"/>
        </w:rPr>
        <w:t xml:space="preserve">de asociación </w:t>
      </w:r>
      <w:r w:rsidR="00880356" w:rsidRPr="006E763F">
        <w:rPr>
          <w:bCs/>
          <w:lang w:val="es-ES"/>
        </w:rPr>
        <w:t xml:space="preserve">del señor </w:t>
      </w:r>
      <w:r w:rsidRPr="006E763F">
        <w:rPr>
          <w:lang w:val="es-ES"/>
        </w:rPr>
        <w:t>Movilla Galarcio dado que no existen pruebas de las amenazas o del de</w:t>
      </w:r>
      <w:r w:rsidR="00DF4A22">
        <w:rPr>
          <w:lang w:val="es-ES"/>
        </w:rPr>
        <w:t>splazamiento forzado mencionado</w:t>
      </w:r>
      <w:r w:rsidRPr="006E763F">
        <w:rPr>
          <w:lang w:val="es-ES"/>
        </w:rPr>
        <w:t xml:space="preserve"> </w:t>
      </w:r>
      <w:r w:rsidR="00880356" w:rsidRPr="006E763F">
        <w:rPr>
          <w:lang w:val="es-ES"/>
        </w:rPr>
        <w:t xml:space="preserve">ni sobre que </w:t>
      </w:r>
      <w:r w:rsidRPr="006E763F">
        <w:rPr>
          <w:lang w:val="es-ES"/>
        </w:rPr>
        <w:t>haya</w:t>
      </w:r>
      <w:r w:rsidR="00880356" w:rsidRPr="006E763F">
        <w:rPr>
          <w:lang w:val="es-ES"/>
        </w:rPr>
        <w:t>n</w:t>
      </w:r>
      <w:r w:rsidRPr="006E763F">
        <w:rPr>
          <w:lang w:val="es-ES"/>
        </w:rPr>
        <w:t xml:space="preserve"> </w:t>
      </w:r>
      <w:r w:rsidR="00880356" w:rsidRPr="006E763F">
        <w:rPr>
          <w:lang w:val="es-ES"/>
        </w:rPr>
        <w:t xml:space="preserve">sido </w:t>
      </w:r>
      <w:r w:rsidRPr="006E763F">
        <w:rPr>
          <w:lang w:val="es-ES"/>
        </w:rPr>
        <w:t xml:space="preserve">consecuencia de </w:t>
      </w:r>
      <w:r w:rsidR="00B42F8E" w:rsidRPr="006E763F">
        <w:rPr>
          <w:lang w:val="es-ES"/>
        </w:rPr>
        <w:t>sus</w:t>
      </w:r>
      <w:r w:rsidRPr="006E763F">
        <w:rPr>
          <w:lang w:val="es-ES"/>
        </w:rPr>
        <w:t xml:space="preserve"> actividades sindicales y de índole política</w:t>
      </w:r>
      <w:r w:rsidR="00B42F8E" w:rsidRPr="006E763F">
        <w:rPr>
          <w:lang w:val="es-ES"/>
        </w:rPr>
        <w:t xml:space="preserve">. </w:t>
      </w:r>
    </w:p>
    <w:p w14:paraId="2DE2CB24" w14:textId="77777777" w:rsidR="00EC310A" w:rsidRDefault="00EC310A" w:rsidP="00E923BB">
      <w:pPr>
        <w:pStyle w:val="Body"/>
        <w:ind w:firstLine="249"/>
        <w:rPr>
          <w:lang w:val="es-ES"/>
        </w:rPr>
      </w:pPr>
    </w:p>
    <w:p w14:paraId="42A701C3" w14:textId="77777777" w:rsidR="00A56231" w:rsidRDefault="00A56231" w:rsidP="00E923BB">
      <w:pPr>
        <w:pStyle w:val="Body"/>
        <w:ind w:firstLine="249"/>
        <w:rPr>
          <w:lang w:val="es-ES"/>
        </w:rPr>
      </w:pPr>
    </w:p>
    <w:p w14:paraId="1BFB74DA" w14:textId="77777777" w:rsidR="00A56231" w:rsidRDefault="00A56231" w:rsidP="00E923BB">
      <w:pPr>
        <w:pStyle w:val="Body"/>
        <w:ind w:firstLine="249"/>
        <w:rPr>
          <w:lang w:val="es-ES"/>
        </w:rPr>
      </w:pPr>
    </w:p>
    <w:p w14:paraId="18BE8EF6" w14:textId="77777777" w:rsidR="00A56231" w:rsidRDefault="00A56231" w:rsidP="00E923BB">
      <w:pPr>
        <w:pStyle w:val="Body"/>
        <w:ind w:firstLine="249"/>
        <w:rPr>
          <w:lang w:val="es-ES"/>
        </w:rPr>
      </w:pPr>
    </w:p>
    <w:p w14:paraId="617F3CF2" w14:textId="77777777" w:rsidR="00A56231" w:rsidRDefault="00A56231" w:rsidP="00E923BB">
      <w:pPr>
        <w:pStyle w:val="Body"/>
        <w:ind w:firstLine="249"/>
        <w:rPr>
          <w:lang w:val="es-ES"/>
        </w:rPr>
      </w:pPr>
    </w:p>
    <w:p w14:paraId="6951F7FD" w14:textId="77777777" w:rsidR="00A56231" w:rsidRDefault="00A56231" w:rsidP="00E923BB">
      <w:pPr>
        <w:pStyle w:val="Body"/>
        <w:ind w:firstLine="249"/>
        <w:rPr>
          <w:lang w:val="es-ES"/>
        </w:rPr>
      </w:pPr>
    </w:p>
    <w:p w14:paraId="08A38A38" w14:textId="77777777" w:rsidR="00A56231" w:rsidRPr="006E763F" w:rsidRDefault="00A56231" w:rsidP="00E923BB">
      <w:pPr>
        <w:pStyle w:val="Body"/>
        <w:ind w:firstLine="249"/>
        <w:rPr>
          <w:lang w:val="es-ES"/>
        </w:rPr>
      </w:pPr>
    </w:p>
    <w:p w14:paraId="7097F8BF" w14:textId="77777777" w:rsidR="00EC310A" w:rsidRPr="006E763F" w:rsidRDefault="009E7E98" w:rsidP="00E923BB">
      <w:pPr>
        <w:pStyle w:val="Heading1"/>
        <w:rPr>
          <w:rFonts w:eastAsia="Times New Roman" w:cs="Times New Roman"/>
        </w:rPr>
      </w:pPr>
      <w:bookmarkStart w:id="4" w:name="_Toc446146"/>
      <w:r w:rsidRPr="006E763F">
        <w:t>DETERMINACIONES DE HECHO</w:t>
      </w:r>
      <w:bookmarkEnd w:id="4"/>
    </w:p>
    <w:p w14:paraId="112E9AF8" w14:textId="77777777" w:rsidR="00EC310A" w:rsidRPr="006E763F" w:rsidRDefault="00EC310A" w:rsidP="00E923BB">
      <w:pPr>
        <w:pStyle w:val="ListParagraph"/>
        <w:suppressAutoHyphens/>
        <w:ind w:left="0" w:firstLine="249"/>
        <w:rPr>
          <w:b/>
          <w:bCs/>
          <w:sz w:val="20"/>
          <w:szCs w:val="20"/>
          <w:lang w:val="es-ES"/>
        </w:rPr>
      </w:pPr>
    </w:p>
    <w:p w14:paraId="43FBDF01" w14:textId="735232AA" w:rsidR="00EC310A" w:rsidRPr="00E923BB" w:rsidRDefault="009E7E98" w:rsidP="00685D78">
      <w:pPr>
        <w:pStyle w:val="Heading2"/>
        <w:numPr>
          <w:ilvl w:val="0"/>
          <w:numId w:val="25"/>
        </w:numPr>
        <w:tabs>
          <w:tab w:val="clear" w:pos="86"/>
          <w:tab w:val="num" w:pos="1440"/>
        </w:tabs>
        <w:ind w:left="1440" w:hanging="720"/>
        <w:rPr>
          <w:rFonts w:eastAsia="Times New Roman" w:cs="Times New Roman"/>
          <w:color w:val="auto"/>
        </w:rPr>
      </w:pPr>
      <w:bookmarkStart w:id="5" w:name="_Toc446147"/>
      <w:r w:rsidRPr="00E923BB">
        <w:rPr>
          <w:color w:val="auto"/>
        </w:rPr>
        <w:t xml:space="preserve">Contexto de </w:t>
      </w:r>
      <w:r w:rsidR="000B5830" w:rsidRPr="00E923BB">
        <w:rPr>
          <w:color w:val="auto"/>
        </w:rPr>
        <w:t xml:space="preserve">violaciones de derechos humanos contra </w:t>
      </w:r>
      <w:r w:rsidRPr="00E923BB">
        <w:rPr>
          <w:color w:val="auto"/>
        </w:rPr>
        <w:t>sindical</w:t>
      </w:r>
      <w:r w:rsidR="00476BB1" w:rsidRPr="00E923BB">
        <w:rPr>
          <w:color w:val="auto"/>
        </w:rPr>
        <w:t xml:space="preserve">istas </w:t>
      </w:r>
      <w:r w:rsidRPr="00E923BB">
        <w:rPr>
          <w:color w:val="auto"/>
        </w:rPr>
        <w:t>en Colombia</w:t>
      </w:r>
      <w:r w:rsidR="00E13243" w:rsidRPr="00E923BB">
        <w:rPr>
          <w:color w:val="auto"/>
        </w:rPr>
        <w:t xml:space="preserve"> y la desaparición forzada en el marco del conflicto armado</w:t>
      </w:r>
      <w:bookmarkEnd w:id="5"/>
    </w:p>
    <w:p w14:paraId="30A70B12" w14:textId="77777777" w:rsidR="00EC310A" w:rsidRPr="006E763F" w:rsidRDefault="00EC310A" w:rsidP="00E923BB">
      <w:pPr>
        <w:pStyle w:val="Body"/>
        <w:ind w:firstLine="249"/>
        <w:rPr>
          <w:lang w:val="es-ES"/>
        </w:rPr>
      </w:pPr>
    </w:p>
    <w:p w14:paraId="1B6A8D4F" w14:textId="33C80022" w:rsidR="00300A42" w:rsidRPr="006E763F" w:rsidRDefault="00300A42" w:rsidP="00E923BB">
      <w:pPr>
        <w:pStyle w:val="Body"/>
        <w:numPr>
          <w:ilvl w:val="0"/>
          <w:numId w:val="2"/>
        </w:numPr>
        <w:ind w:firstLine="720"/>
        <w:rPr>
          <w:lang w:val="es-ES"/>
        </w:rPr>
      </w:pPr>
      <w:r w:rsidRPr="006E763F">
        <w:rPr>
          <w:lang w:val="es-ES"/>
        </w:rPr>
        <w:t>Desde principios de los años sesenta, las Fuerzas Armadas asumieron como propia la llamada “doctrina de seguridad nacional”, la cual fue acogida mediante el Decreto 3398 de 1965, posteriormente convertido en la Ley 48 de 1968 denominada “Estatuto Orgánico de Defensa Nacional”</w:t>
      </w:r>
      <w:r w:rsidRPr="006E763F">
        <w:rPr>
          <w:rStyle w:val="FootnoteReference"/>
          <w:lang w:val="es-ES"/>
        </w:rPr>
        <w:footnoteReference w:id="3"/>
      </w:r>
      <w:r w:rsidRPr="006E763F">
        <w:rPr>
          <w:lang w:val="es-ES"/>
        </w:rPr>
        <w:t>. Según un informe del Centro Nacional de Memoria Histórica, además de dicha Ley, existieron reglamentos y manuales militares</w:t>
      </w:r>
      <w:r w:rsidRPr="006E763F">
        <w:rPr>
          <w:rStyle w:val="FootnoteReference"/>
          <w:lang w:val="es-ES"/>
        </w:rPr>
        <w:footnoteReference w:id="4"/>
      </w:r>
      <w:r w:rsidRPr="006E763F">
        <w:rPr>
          <w:lang w:val="es-ES"/>
        </w:rPr>
        <w:t xml:space="preserve"> contraguerrillas que constituyeron un marco conforme al cual el concepto de “enemigo interno (…) rebasó ampliamente el espectro de los grupos guerrilleros y se extendió a toda forma de oposición política o social y de disidencia, incluyendo al movimiento sindical</w:t>
      </w:r>
      <w:r w:rsidRPr="006E763F">
        <w:rPr>
          <w:rStyle w:val="FootnoteReference"/>
          <w:lang w:val="es-ES"/>
        </w:rPr>
        <w:footnoteReference w:id="5"/>
      </w:r>
      <w:r w:rsidRPr="006E763F">
        <w:rPr>
          <w:lang w:val="es-ES"/>
        </w:rPr>
        <w:t>. Esta normativa estaba vigente al momento de la desaparición de</w:t>
      </w:r>
      <w:r w:rsidR="00BA1126" w:rsidRPr="006E763F">
        <w:rPr>
          <w:lang w:val="es-ES"/>
        </w:rPr>
        <w:t xml:space="preserve"> Pedro Julio Movilla Galarcio</w:t>
      </w:r>
      <w:r w:rsidRPr="006E763F">
        <w:rPr>
          <w:lang w:val="es-ES"/>
        </w:rPr>
        <w:t>. Aún más, existe información que indica que, al menos para el año 2009 algunos de estos manuales se seguían aplicando</w:t>
      </w:r>
      <w:r w:rsidRPr="006E763F">
        <w:rPr>
          <w:rStyle w:val="FootnoteReference"/>
          <w:lang w:val="es-ES"/>
        </w:rPr>
        <w:footnoteReference w:id="6"/>
      </w:r>
      <w:r w:rsidRPr="006E763F">
        <w:rPr>
          <w:lang w:val="es-ES"/>
        </w:rPr>
        <w:t xml:space="preserve">. </w:t>
      </w:r>
    </w:p>
    <w:p w14:paraId="61BBC100" w14:textId="77777777" w:rsidR="00300A42" w:rsidRPr="006E763F" w:rsidRDefault="00300A42" w:rsidP="00E923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hAnsi="Cambria"/>
          <w:sz w:val="20"/>
          <w:szCs w:val="20"/>
          <w:lang w:val="es-ES"/>
        </w:rPr>
      </w:pPr>
    </w:p>
    <w:p w14:paraId="7AE80AC4" w14:textId="77777777" w:rsidR="00300A42" w:rsidRPr="006E763F" w:rsidRDefault="00300A42" w:rsidP="00E923BB">
      <w:pPr>
        <w:pStyle w:val="Body"/>
        <w:numPr>
          <w:ilvl w:val="0"/>
          <w:numId w:val="2"/>
        </w:numPr>
        <w:ind w:firstLine="720"/>
        <w:rPr>
          <w:lang w:val="es-ES"/>
        </w:rPr>
      </w:pPr>
      <w:r w:rsidRPr="006E763F">
        <w:rPr>
          <w:lang w:val="es-ES"/>
        </w:rPr>
        <w:t xml:space="preserve">Esta noción de enemigo interno dentro de la doctrina de seguridad nacional fue reconocida en 1994 en un Informe Conjunto de dos Relatores Especiales de Naciones Unidas que indicaron tras su visita a Colombia: </w:t>
      </w:r>
    </w:p>
    <w:p w14:paraId="32F20561" w14:textId="77777777" w:rsidR="00300A42" w:rsidRPr="006E763F" w:rsidRDefault="00300A42" w:rsidP="00E923BB">
      <w:pPr>
        <w:pStyle w:val="ListParagraph"/>
        <w:rPr>
          <w:sz w:val="20"/>
          <w:szCs w:val="20"/>
          <w:lang w:val="es-ES"/>
        </w:rPr>
      </w:pPr>
    </w:p>
    <w:p w14:paraId="09C51D9A" w14:textId="77777777" w:rsidR="00300A42" w:rsidRPr="006E763F" w:rsidRDefault="00300A42" w:rsidP="00E923BB">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Cambria" w:hAnsi="Cambria"/>
          <w:sz w:val="20"/>
          <w:szCs w:val="20"/>
          <w:lang w:val="es-ES"/>
        </w:rPr>
      </w:pPr>
      <w:r w:rsidRPr="006E763F">
        <w:rPr>
          <w:rFonts w:ascii="Cambria" w:hAnsi="Cambria"/>
          <w:sz w:val="20"/>
          <w:szCs w:val="20"/>
          <w:lang w:val="es-ES"/>
        </w:rPr>
        <w:t>Las fuerzas armadas continúan aplicando, al parecer, una estrategia antisubversiva basada en el concepto de la ‘seguridad nacional’, en virtud del cual toda persona de la que se sabe o se sospecha que está vinculada a los guerrilleros es considerada como un enemigo interno. Según la información recibida, en las zonas calificadas de ‘zonas rojas’, donde actúan los insurgentes y tienen lugar enfrentamientos armados, las fuerzas de seguridad consideran que prácticamente todos los civiles son colaboradores de la subversión (…) La categoría de ‘enemigo interno’, aplicada a toda persona de la que se considera que apoya a la guerrilla de una u otra forma (incluso si los insurgentes utilizan la fuerza para obtener, por ejemplo, alimentos o dinero de los civiles), se ha hecho extensiva, al parecer, a todos los que expresan insatisfacción ante la situación política, económica y social, sobre todo en las zonas rurales. En consecuencia, los dirigentes y miembros de sindicatos, partidos políticos de la oposición política, organizaciones de derechos humanos, trabajadores sociales, etc., han sido, junto con los campesinos, las víctimas principales de las violaciones de los derechos humanos en zonas de conflicto armado</w:t>
      </w:r>
      <w:r w:rsidRPr="006E763F">
        <w:rPr>
          <w:rStyle w:val="FootnoteReference"/>
          <w:rFonts w:ascii="Cambria" w:hAnsi="Cambria"/>
          <w:sz w:val="20"/>
          <w:szCs w:val="20"/>
          <w:lang w:val="es-ES"/>
        </w:rPr>
        <w:footnoteReference w:id="7"/>
      </w:r>
      <w:r w:rsidRPr="006E763F">
        <w:rPr>
          <w:rFonts w:ascii="Cambria" w:hAnsi="Cambria"/>
          <w:sz w:val="20"/>
          <w:szCs w:val="20"/>
          <w:lang w:val="es-ES"/>
        </w:rPr>
        <w:t xml:space="preserve">. </w:t>
      </w:r>
    </w:p>
    <w:p w14:paraId="6A0D5BBC" w14:textId="77777777" w:rsidR="00300A42" w:rsidRDefault="00300A42" w:rsidP="00E923BB">
      <w:pPr>
        <w:pStyle w:val="Style2"/>
        <w:tabs>
          <w:tab w:val="clear" w:pos="720"/>
        </w:tabs>
        <w:ind w:left="720" w:firstLine="0"/>
      </w:pPr>
    </w:p>
    <w:p w14:paraId="04FA29A4" w14:textId="77777777" w:rsidR="00A56231" w:rsidRDefault="00A56231" w:rsidP="00E923BB">
      <w:pPr>
        <w:pStyle w:val="Style2"/>
        <w:tabs>
          <w:tab w:val="clear" w:pos="720"/>
        </w:tabs>
        <w:ind w:left="720" w:firstLine="0"/>
      </w:pPr>
    </w:p>
    <w:p w14:paraId="0C1C1AE6" w14:textId="77777777" w:rsidR="00A56231" w:rsidRPr="006E763F" w:rsidRDefault="00A56231" w:rsidP="00E923BB">
      <w:pPr>
        <w:pStyle w:val="Style2"/>
        <w:tabs>
          <w:tab w:val="clear" w:pos="720"/>
        </w:tabs>
        <w:ind w:left="720" w:firstLine="0"/>
      </w:pPr>
    </w:p>
    <w:p w14:paraId="1D851D61" w14:textId="77777777" w:rsidR="00300A42" w:rsidRPr="006E763F" w:rsidRDefault="00300A42" w:rsidP="00E923BB">
      <w:pPr>
        <w:pStyle w:val="Body"/>
        <w:numPr>
          <w:ilvl w:val="0"/>
          <w:numId w:val="2"/>
        </w:numPr>
        <w:ind w:firstLine="720"/>
      </w:pPr>
      <w:r w:rsidRPr="006E763F">
        <w:t xml:space="preserve">En efecto, en su Segundo Informe sobre la </w:t>
      </w:r>
      <w:r w:rsidRPr="006E763F">
        <w:rPr>
          <w:i/>
        </w:rPr>
        <w:t>Situación de los Derechos Humanos en Colombia</w:t>
      </w:r>
      <w:r w:rsidRPr="006E763F">
        <w:t>, la Comisión señaló que desde la Constitución de la Central Unitaria de Trabajadores de Colombia (CUT) en noviembre de 1986 y hasta mayo de 1990, habían sido asesinados y desaparecidos 538 activistas y dirigentes sindicales</w:t>
      </w:r>
      <w:r w:rsidRPr="006E763F">
        <w:rPr>
          <w:rStyle w:val="FootnoteReference"/>
        </w:rPr>
        <w:footnoteReference w:id="8"/>
      </w:r>
      <w:r w:rsidRPr="006E763F">
        <w:t>.</w:t>
      </w:r>
    </w:p>
    <w:p w14:paraId="16C4E32A" w14:textId="77777777" w:rsidR="00300A42" w:rsidRPr="006E763F" w:rsidRDefault="00300A42" w:rsidP="00E923BB">
      <w:pPr>
        <w:pStyle w:val="ListParagraph"/>
        <w:rPr>
          <w:sz w:val="20"/>
          <w:szCs w:val="20"/>
          <w:lang w:val="es-ES"/>
        </w:rPr>
      </w:pPr>
    </w:p>
    <w:p w14:paraId="3A773C30" w14:textId="1A4B7C54" w:rsidR="00300A42" w:rsidRPr="006E763F" w:rsidRDefault="00300A42" w:rsidP="00E923BB">
      <w:pPr>
        <w:pStyle w:val="Body"/>
        <w:numPr>
          <w:ilvl w:val="0"/>
          <w:numId w:val="2"/>
        </w:numPr>
        <w:ind w:firstLine="720"/>
        <w:rPr>
          <w:lang w:val="es-ES"/>
        </w:rPr>
      </w:pPr>
      <w:r w:rsidRPr="006E763F">
        <w:rPr>
          <w:lang w:val="es-ES"/>
        </w:rPr>
        <w:t>En nota de prensa del 1 de mayo de 1987, publicada por El Colombiano, se informa que en un año habrían sido asesinados en Colombia 32 líderes sindicales, hechos que habrían sido denunciados en el V foro nacional sobre derechos humanos, realizado en Bogotá,  y se señala que “los principales directivos de las centrales obreras fueron amenazados de muerte, por lo menos una vez, en este último año”</w:t>
      </w:r>
      <w:r w:rsidRPr="006E763F">
        <w:rPr>
          <w:rStyle w:val="FootnoteReference"/>
          <w:lang w:val="es-ES"/>
        </w:rPr>
        <w:footnoteReference w:id="9"/>
      </w:r>
      <w:r w:rsidRPr="006E763F">
        <w:rPr>
          <w:lang w:val="es-ES"/>
        </w:rPr>
        <w:t>.</w:t>
      </w:r>
    </w:p>
    <w:p w14:paraId="0B4CC692" w14:textId="77777777" w:rsidR="00300A42" w:rsidRPr="006E763F" w:rsidRDefault="00300A42" w:rsidP="00E923BB">
      <w:pPr>
        <w:pStyle w:val="Body"/>
        <w:ind w:firstLine="249"/>
        <w:rPr>
          <w:lang w:val="es-ES"/>
        </w:rPr>
      </w:pPr>
    </w:p>
    <w:p w14:paraId="20C056D9" w14:textId="777D507D" w:rsidR="00EC310A" w:rsidRPr="006E763F" w:rsidRDefault="00E13243" w:rsidP="00E923BB">
      <w:pPr>
        <w:pStyle w:val="Body"/>
        <w:numPr>
          <w:ilvl w:val="0"/>
          <w:numId w:val="2"/>
        </w:numPr>
        <w:ind w:firstLine="720"/>
        <w:rPr>
          <w:lang w:val="es-ES"/>
        </w:rPr>
      </w:pPr>
      <w:r w:rsidRPr="006E763F">
        <w:rPr>
          <w:lang w:val="es-ES"/>
        </w:rPr>
        <w:t>Puntu</w:t>
      </w:r>
      <w:r w:rsidR="0072159E" w:rsidRPr="006E763F">
        <w:rPr>
          <w:lang w:val="es-ES"/>
        </w:rPr>
        <w:t>almente, e</w:t>
      </w:r>
      <w:r w:rsidRPr="006E763F">
        <w:rPr>
          <w:lang w:val="es-ES"/>
        </w:rPr>
        <w:t xml:space="preserve">n cuanto a la incidencia de la desaparición forzada </w:t>
      </w:r>
      <w:r w:rsidR="00DE20A7" w:rsidRPr="006E763F">
        <w:rPr>
          <w:lang w:val="es-ES"/>
        </w:rPr>
        <w:t xml:space="preserve">en el marco del </w:t>
      </w:r>
      <w:r w:rsidR="009E7E98" w:rsidRPr="006E763F">
        <w:rPr>
          <w:lang w:val="es-ES"/>
        </w:rPr>
        <w:t>conflicto armado</w:t>
      </w:r>
      <w:r w:rsidR="001E6918" w:rsidRPr="006E763F">
        <w:rPr>
          <w:lang w:val="es-ES"/>
        </w:rPr>
        <w:t>, la CIDH nota que</w:t>
      </w:r>
      <w:r w:rsidR="004D314D" w:rsidRPr="006E763F">
        <w:rPr>
          <w:lang w:val="es-ES"/>
        </w:rPr>
        <w:t xml:space="preserve"> </w:t>
      </w:r>
      <w:r w:rsidR="009E7E98" w:rsidRPr="006E763F">
        <w:rPr>
          <w:lang w:val="es-ES"/>
        </w:rPr>
        <w:t xml:space="preserve">el Observatorio de Memoria y Conflicto (en adelante “el OMC”) del Centro Nacional de Memoria Histórica (en adelante “el CNMH”) ha documentado 60.630 </w:t>
      </w:r>
      <w:r w:rsidR="00360DC3" w:rsidRPr="006E763F">
        <w:rPr>
          <w:lang w:val="es-ES"/>
        </w:rPr>
        <w:t>“des</w:t>
      </w:r>
      <w:r w:rsidR="0088543D" w:rsidRPr="006E763F">
        <w:rPr>
          <w:lang w:val="es-ES"/>
        </w:rPr>
        <w:t>a</w:t>
      </w:r>
      <w:r w:rsidR="00360DC3" w:rsidRPr="006E763F">
        <w:rPr>
          <w:lang w:val="es-ES"/>
        </w:rPr>
        <w:t xml:space="preserve">parecidos forzados” </w:t>
      </w:r>
      <w:r w:rsidR="009E7E98" w:rsidRPr="006E763F">
        <w:rPr>
          <w:lang w:val="es-ES"/>
        </w:rPr>
        <w:t>entre 1970 y 2015</w:t>
      </w:r>
      <w:r w:rsidR="009E7E98" w:rsidRPr="006E763F">
        <w:rPr>
          <w:vertAlign w:val="superscript"/>
          <w:lang w:val="es-ES"/>
        </w:rPr>
        <w:footnoteReference w:id="10"/>
      </w:r>
      <w:r w:rsidR="009E7E98" w:rsidRPr="006E763F">
        <w:rPr>
          <w:lang w:val="es-ES"/>
        </w:rPr>
        <w:t>. El perfil de las víctimas de desapariciones forzadas en Colombia, según la base de datos del OMC, indica los roles</w:t>
      </w:r>
      <w:r w:rsidR="00C10EE9" w:rsidRPr="006E763F">
        <w:rPr>
          <w:lang w:val="es-ES"/>
        </w:rPr>
        <w:t xml:space="preserve"> de</w:t>
      </w:r>
      <w:r w:rsidR="009E7E98" w:rsidRPr="006E763F">
        <w:rPr>
          <w:lang w:val="es-ES"/>
        </w:rPr>
        <w:t xml:space="preserve"> los militantes o dirigentes políticos (576) y los sindicalistas (259), entre otros</w:t>
      </w:r>
      <w:r w:rsidR="009E7E98" w:rsidRPr="006E763F">
        <w:rPr>
          <w:vertAlign w:val="superscript"/>
          <w:lang w:val="es-ES"/>
        </w:rPr>
        <w:footnoteReference w:id="11"/>
      </w:r>
      <w:r w:rsidR="009E7E98" w:rsidRPr="006E763F">
        <w:rPr>
          <w:lang w:val="es-ES"/>
        </w:rPr>
        <w:t xml:space="preserve">. De acuerdo con </w:t>
      </w:r>
      <w:r w:rsidR="00DF6272" w:rsidRPr="006E763F">
        <w:rPr>
          <w:lang w:val="es-ES"/>
        </w:rPr>
        <w:t xml:space="preserve">el CNMH </w:t>
      </w:r>
      <w:r w:rsidR="009E7E98" w:rsidRPr="006E763F">
        <w:rPr>
          <w:lang w:val="es-ES"/>
        </w:rPr>
        <w:t>estas desapariciones fueron ejecutadas en aplicación de la Doctrina de la Seguridad Nacional</w:t>
      </w:r>
      <w:r w:rsidR="008730D6" w:rsidRPr="006E763F">
        <w:rPr>
          <w:lang w:val="es-ES"/>
        </w:rPr>
        <w:t xml:space="preserve"> ya referida </w:t>
      </w:r>
      <w:r w:rsidR="009E7E98" w:rsidRPr="006E763F">
        <w:rPr>
          <w:lang w:val="es-ES"/>
        </w:rPr>
        <w:t>en</w:t>
      </w:r>
      <w:r w:rsidR="008730D6" w:rsidRPr="006E763F">
        <w:rPr>
          <w:lang w:val="es-ES"/>
        </w:rPr>
        <w:t xml:space="preserve"> el marco de la cual </w:t>
      </w:r>
      <w:r w:rsidR="009E7E98" w:rsidRPr="006E763F">
        <w:rPr>
          <w:lang w:val="es-ES"/>
        </w:rPr>
        <w:t>los sindicatos entrarían en la categoría de “enemigo interno”</w:t>
      </w:r>
      <w:r w:rsidR="009E7E98" w:rsidRPr="006E763F">
        <w:rPr>
          <w:vertAlign w:val="superscript"/>
          <w:lang w:val="es-ES"/>
        </w:rPr>
        <w:footnoteReference w:id="12"/>
      </w:r>
      <w:r w:rsidR="00965B5E" w:rsidRPr="006E763F">
        <w:rPr>
          <w:lang w:val="es-ES"/>
        </w:rPr>
        <w:t>.</w:t>
      </w:r>
      <w:r w:rsidR="004C792F" w:rsidRPr="006E763F">
        <w:rPr>
          <w:lang w:val="es-ES"/>
        </w:rPr>
        <w:t xml:space="preserve"> </w:t>
      </w:r>
      <w:r w:rsidR="009E7E98" w:rsidRPr="006E763F">
        <w:rPr>
          <w:lang w:val="es-ES"/>
        </w:rPr>
        <w:t xml:space="preserve">En </w:t>
      </w:r>
      <w:r w:rsidR="004C792F" w:rsidRPr="006E763F">
        <w:rPr>
          <w:lang w:val="es-ES"/>
        </w:rPr>
        <w:t xml:space="preserve">su Informe Anual de 2016, la CIDH destacó la información recibida en cuanto a que </w:t>
      </w:r>
      <w:r w:rsidR="009E7E98" w:rsidRPr="006E763F">
        <w:rPr>
          <w:lang w:val="es-ES"/>
        </w:rPr>
        <w:t>de las más de 60.000 personas desaparecidas en Colombia, registradas desde 1970, no se ha traducido en una respuesta real, efectiva y duradera por parte del Estado para combatir la impunidad, existiendo además una falta de resultados en la localización de restos, para</w:t>
      </w:r>
      <w:r w:rsidR="006A4E05" w:rsidRPr="006E763F">
        <w:rPr>
          <w:lang w:val="es-ES"/>
        </w:rPr>
        <w:t>dero o destino de las víctimas</w:t>
      </w:r>
      <w:r w:rsidR="009E7E98" w:rsidRPr="006E763F">
        <w:rPr>
          <w:vertAlign w:val="superscript"/>
          <w:lang w:val="es-ES"/>
        </w:rPr>
        <w:footnoteReference w:id="13"/>
      </w:r>
      <w:r w:rsidR="009E7E98" w:rsidRPr="006E763F">
        <w:rPr>
          <w:lang w:val="es-ES"/>
        </w:rPr>
        <w:t xml:space="preserve">. </w:t>
      </w:r>
    </w:p>
    <w:p w14:paraId="0DD09615" w14:textId="77777777" w:rsidR="00EC310A" w:rsidRPr="006E763F" w:rsidRDefault="00EC310A" w:rsidP="00E923BB">
      <w:pPr>
        <w:pStyle w:val="ListParagraph"/>
        <w:ind w:left="0" w:firstLine="249"/>
        <w:rPr>
          <w:sz w:val="20"/>
          <w:szCs w:val="20"/>
          <w:lang w:val="es-ES"/>
        </w:rPr>
      </w:pPr>
    </w:p>
    <w:p w14:paraId="686E4BF7" w14:textId="40B2D0CB" w:rsidR="00BB10AB" w:rsidRPr="006E763F" w:rsidRDefault="00BB10AB" w:rsidP="00E923BB">
      <w:pPr>
        <w:pStyle w:val="Heading2"/>
      </w:pPr>
      <w:bookmarkStart w:id="6" w:name="_Toc446148"/>
      <w:r w:rsidRPr="006E763F">
        <w:t>Contexto sobre la violencia política en Colombia</w:t>
      </w:r>
      <w:bookmarkEnd w:id="6"/>
    </w:p>
    <w:p w14:paraId="1ABC0487" w14:textId="77777777" w:rsidR="00BB10AB" w:rsidRPr="006E763F" w:rsidRDefault="00BB10AB" w:rsidP="00E923BB">
      <w:pPr>
        <w:rPr>
          <w:rFonts w:ascii="Cambria" w:hAnsi="Cambria"/>
          <w:sz w:val="20"/>
          <w:szCs w:val="20"/>
          <w:lang w:val="es-ES"/>
        </w:rPr>
      </w:pPr>
    </w:p>
    <w:p w14:paraId="3A067686" w14:textId="77777777" w:rsidR="00BB10AB" w:rsidRPr="006E763F" w:rsidRDefault="00BB10AB" w:rsidP="00E923BB">
      <w:pPr>
        <w:pStyle w:val="Body"/>
        <w:numPr>
          <w:ilvl w:val="0"/>
          <w:numId w:val="2"/>
        </w:numPr>
        <w:ind w:firstLine="720"/>
        <w:rPr>
          <w:lang w:val="es-ES"/>
        </w:rPr>
      </w:pPr>
      <w:r w:rsidRPr="006E763F">
        <w:rPr>
          <w:lang w:val="es-ES"/>
        </w:rPr>
        <w:t xml:space="preserve">La CIDH ha dado seguimiento a la situación de violencia política en Colombia desde los años ochenta.  En abril de 1980 realizó una visita </w:t>
      </w:r>
      <w:r w:rsidRPr="00C128D7">
        <w:rPr>
          <w:i/>
          <w:lang w:val="es-ES"/>
        </w:rPr>
        <w:t>in loco</w:t>
      </w:r>
      <w:r w:rsidRPr="006E763F">
        <w:rPr>
          <w:lang w:val="es-ES"/>
        </w:rPr>
        <w:t xml:space="preserve"> y visitas sucesivas con posterioridad, hasta mayo de 1981</w:t>
      </w:r>
      <w:r w:rsidRPr="006E763F">
        <w:rPr>
          <w:vertAlign w:val="superscript"/>
          <w:lang w:val="es-CO"/>
        </w:rPr>
        <w:footnoteReference w:id="14"/>
      </w:r>
      <w:r w:rsidRPr="006E763F">
        <w:rPr>
          <w:lang w:val="es-ES"/>
        </w:rPr>
        <w:t xml:space="preserve">. En su Informe Anual de 1996, la CIDH al referirse a la situación de Colombia, señaló que </w:t>
      </w:r>
      <w:r w:rsidRPr="006E763F">
        <w:rPr>
          <w:lang w:val="es-CO"/>
        </w:rPr>
        <w:t xml:space="preserve">los ataques contra </w:t>
      </w:r>
      <w:r w:rsidRPr="006E763F">
        <w:rPr>
          <w:lang w:val="es-ES"/>
        </w:rPr>
        <w:t>personas</w:t>
      </w:r>
      <w:r w:rsidRPr="006E763F">
        <w:rPr>
          <w:lang w:val="es-CO"/>
        </w:rPr>
        <w:t xml:space="preserve"> que trabajan en el campo de los derechos humanos, partidos políticos de alternativa a los tradicionales y autoridades electas a nivel local, continuaron en 1996. </w:t>
      </w:r>
      <w:r w:rsidRPr="006E763F">
        <w:rPr>
          <w:lang w:val="es-ES"/>
        </w:rPr>
        <w:t>Advirtió lo siguiente:</w:t>
      </w:r>
    </w:p>
    <w:p w14:paraId="24FDD776" w14:textId="77777777" w:rsidR="00BB10AB" w:rsidRPr="006E763F" w:rsidRDefault="00BB10AB" w:rsidP="00E923BB">
      <w:pPr>
        <w:pStyle w:val="ListParagraph"/>
        <w:rPr>
          <w:sz w:val="20"/>
          <w:szCs w:val="20"/>
          <w:lang w:val="es-ES"/>
        </w:rPr>
      </w:pPr>
    </w:p>
    <w:p w14:paraId="393F891B" w14:textId="7DFA8864" w:rsidR="00BB10AB" w:rsidRPr="006E763F" w:rsidRDefault="00BB10AB" w:rsidP="00E923BB">
      <w:pPr>
        <w:ind w:left="720" w:right="720"/>
        <w:contextualSpacing/>
        <w:jc w:val="both"/>
        <w:rPr>
          <w:rFonts w:ascii="Cambria" w:hAnsi="Cambria"/>
          <w:sz w:val="20"/>
          <w:szCs w:val="20"/>
          <w:lang w:val="es-CO"/>
        </w:rPr>
      </w:pPr>
      <w:r w:rsidRPr="006E763F">
        <w:rPr>
          <w:rFonts w:ascii="Cambria" w:hAnsi="Cambria"/>
          <w:sz w:val="20"/>
          <w:szCs w:val="20"/>
          <w:lang w:val="es-CO"/>
        </w:rPr>
        <w:t>Las fuentes no gubernamentales consideran que el 65% de los asesinatos políticos son responsabilidad de las fuerzas armadas y de los grupos paramilitares. Dichas fuentes estiman que el número de violaciones cometidas por las fuerzas de seguridad del Estado colombiano descendieron en 1996, constituyendo aproximadamente del 8% al 18% de todos los asesinatos políticos en los cuales los asaltantes pudieron ser identificados.  Mientras el número de asesinatos políticos cometidos por las fuerzas del Estado disminuyó, el número de dichas violaciones cometidas por las fuerzas paramilitares aumentó. Según fuentes no gubernamentales, los paramilitares son responsables del 48% al 59% de los asesin</w:t>
      </w:r>
      <w:r w:rsidR="004F1C90" w:rsidRPr="006E763F">
        <w:rPr>
          <w:rFonts w:ascii="Cambria" w:hAnsi="Cambria"/>
          <w:sz w:val="20"/>
          <w:szCs w:val="20"/>
          <w:lang w:val="es-CO"/>
        </w:rPr>
        <w:t xml:space="preserve">atos extrajudiciales por razones políticas. </w:t>
      </w:r>
      <w:r w:rsidRPr="006E763F">
        <w:rPr>
          <w:rFonts w:ascii="Cambria" w:hAnsi="Cambria"/>
          <w:sz w:val="20"/>
          <w:szCs w:val="20"/>
          <w:lang w:val="es-CO"/>
        </w:rPr>
        <w:t>El Defensor del Pueblo en Colombia ha informado que la actividad paramilitar ha aumentado un 62% desde 1992. Estas estadísticas deben ser analizadas en el contexto de graves indicios que vinculan los asesinatos cometidos por los paramilitares con la complicidad de soldados individuales y/o de unidades militares y que tienden a demostrar que el Gobierno no ha procurado adecuadamente controlar a los paramilitares</w:t>
      </w:r>
      <w:r w:rsidRPr="006E763F">
        <w:rPr>
          <w:rFonts w:ascii="Cambria" w:hAnsi="Cambria"/>
          <w:sz w:val="20"/>
          <w:szCs w:val="20"/>
          <w:vertAlign w:val="superscript"/>
          <w:lang w:val="es-CO"/>
        </w:rPr>
        <w:footnoteReference w:id="15"/>
      </w:r>
      <w:r w:rsidRPr="006E763F">
        <w:rPr>
          <w:rFonts w:ascii="Cambria" w:hAnsi="Cambria"/>
          <w:sz w:val="20"/>
          <w:szCs w:val="20"/>
          <w:lang w:val="es-CO"/>
        </w:rPr>
        <w:t>.</w:t>
      </w:r>
    </w:p>
    <w:p w14:paraId="3157FD0F" w14:textId="77777777" w:rsidR="00E1551F" w:rsidRPr="006E763F" w:rsidRDefault="00E1551F" w:rsidP="00E923BB">
      <w:pPr>
        <w:ind w:left="720" w:right="720"/>
        <w:jc w:val="both"/>
        <w:rPr>
          <w:rFonts w:ascii="Cambria" w:hAnsi="Cambria"/>
          <w:sz w:val="20"/>
          <w:szCs w:val="20"/>
          <w:lang w:val="es-CO"/>
        </w:rPr>
      </w:pPr>
    </w:p>
    <w:p w14:paraId="557BB656" w14:textId="77777777" w:rsidR="00BB10AB" w:rsidRPr="006E763F" w:rsidRDefault="00BB10AB" w:rsidP="00E923BB">
      <w:pPr>
        <w:pStyle w:val="Body"/>
        <w:numPr>
          <w:ilvl w:val="0"/>
          <w:numId w:val="2"/>
        </w:numPr>
        <w:ind w:firstLine="720"/>
        <w:rPr>
          <w:lang w:val="es-ES"/>
        </w:rPr>
      </w:pPr>
      <w:r w:rsidRPr="006E763F">
        <w:rPr>
          <w:lang w:val="es-ES"/>
        </w:rPr>
        <w:t xml:space="preserve">En posteriores informes sobre la Situación de los Derechos Humanos en Colombia, la CIDH ha continuado refiriéndose a la situación de violencia política en el país. En este sentido, afirmó que </w:t>
      </w:r>
      <w:r w:rsidRPr="006E763F">
        <w:rPr>
          <w:lang w:val="es-CO"/>
        </w:rPr>
        <w:t>la magnitud de las violaciones al derecho a la vida “se ha caracterizado por una clara orientación política, ya que muchas de sus víctimas han sido personas que sustentaban posiciones políticas opuestas al Gobierno o que habían manifestado en actos públicos su discrepancia con él.  En las violaciones al derecho a la vida se han empleado métodos como desapariciones, ejecuciones sumarias de personas y de grupos y otros actos atroces considerados en el presente Informe”</w:t>
      </w:r>
      <w:r w:rsidRPr="006E763F">
        <w:rPr>
          <w:vertAlign w:val="superscript"/>
          <w:lang w:val="es-CO"/>
        </w:rPr>
        <w:footnoteReference w:id="16"/>
      </w:r>
      <w:r w:rsidRPr="006E763F">
        <w:rPr>
          <w:lang w:val="es-CO"/>
        </w:rPr>
        <w:t>.</w:t>
      </w:r>
    </w:p>
    <w:p w14:paraId="060EDFCE" w14:textId="77777777" w:rsidR="00BB10AB" w:rsidRPr="006E763F" w:rsidRDefault="00BB10AB" w:rsidP="00E9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03C207A" w14:textId="0480797E" w:rsidR="00BB10AB" w:rsidRPr="006E763F" w:rsidRDefault="00BB10AB" w:rsidP="00E923BB">
      <w:pPr>
        <w:pStyle w:val="Body"/>
        <w:numPr>
          <w:ilvl w:val="0"/>
          <w:numId w:val="2"/>
        </w:numPr>
        <w:ind w:firstLine="720"/>
        <w:rPr>
          <w:lang w:val="es-ES"/>
        </w:rPr>
      </w:pPr>
      <w:r w:rsidRPr="006E763F">
        <w:rPr>
          <w:lang w:val="es-ES"/>
        </w:rPr>
        <w:t xml:space="preserve">Sobre hechos concretos de violencia en contra de partidos políticos, la CIDH ha referido lo siguiente: </w:t>
      </w:r>
    </w:p>
    <w:p w14:paraId="565B0F29" w14:textId="77777777" w:rsidR="00E923BB" w:rsidRDefault="00E923BB" w:rsidP="00E923BB">
      <w:pPr>
        <w:ind w:left="720" w:right="720"/>
        <w:contextualSpacing/>
        <w:jc w:val="both"/>
        <w:rPr>
          <w:rFonts w:ascii="Cambria" w:hAnsi="Cambria"/>
          <w:sz w:val="20"/>
          <w:szCs w:val="20"/>
          <w:lang w:val="es-CO"/>
        </w:rPr>
      </w:pPr>
    </w:p>
    <w:p w14:paraId="6DB6A7C8" w14:textId="77777777" w:rsidR="00BB10AB" w:rsidRPr="006E763F" w:rsidRDefault="00BB10AB" w:rsidP="00E923BB">
      <w:pPr>
        <w:ind w:left="720" w:right="720"/>
        <w:contextualSpacing/>
        <w:jc w:val="both"/>
        <w:rPr>
          <w:rFonts w:ascii="Cambria" w:hAnsi="Cambria"/>
          <w:sz w:val="20"/>
          <w:szCs w:val="20"/>
          <w:lang w:val="es-CO"/>
        </w:rPr>
      </w:pPr>
      <w:r w:rsidRPr="006E763F">
        <w:rPr>
          <w:rFonts w:ascii="Cambria" w:hAnsi="Cambria"/>
          <w:sz w:val="20"/>
          <w:szCs w:val="20"/>
          <w:lang w:val="es-CO"/>
        </w:rPr>
        <w:t>Al mismo tiempo, grupos paramilitares amenazaron a ciertos candidatos y advirtieron a los residentes en determinadas regiones del país que debían abstenerse de votar o de participar en los comicios de cualquier otra forma. La influencia de los grupos paramilitares en las elecciones cobró mayor significado en la región de la costa atlántica, en especial en Urabá, Córdoba, Magdalena y el sur del Departamento del Cesar. La interferencia de los grupos paramilitares impidió casi totalmente la inscripción de partidos de izquierda en las elecciones en la región de Urabá donde, en años anteriores, miembros de partidos alternativos como la Unión Patriótica habían cobrado notable influencia política.</w:t>
      </w:r>
    </w:p>
    <w:p w14:paraId="134F9E18" w14:textId="77777777" w:rsidR="00BB10AB" w:rsidRPr="006E763F" w:rsidRDefault="00BB10AB" w:rsidP="00E923BB">
      <w:pPr>
        <w:ind w:left="720" w:right="720"/>
        <w:contextualSpacing/>
        <w:jc w:val="both"/>
        <w:rPr>
          <w:rFonts w:ascii="Cambria" w:hAnsi="Cambria"/>
          <w:sz w:val="20"/>
          <w:szCs w:val="20"/>
          <w:lang w:val="es-CO"/>
        </w:rPr>
      </w:pPr>
      <w:r w:rsidRPr="006E763F">
        <w:rPr>
          <w:rFonts w:ascii="Cambria" w:hAnsi="Cambria"/>
          <w:sz w:val="20"/>
          <w:szCs w:val="20"/>
          <w:lang w:val="es-CO"/>
        </w:rPr>
        <w:t>(…)</w:t>
      </w:r>
    </w:p>
    <w:p w14:paraId="7070AA8D" w14:textId="77777777" w:rsidR="00BB10AB" w:rsidRPr="006E763F" w:rsidRDefault="00BB10AB" w:rsidP="00E923BB">
      <w:pPr>
        <w:ind w:left="720" w:right="720"/>
        <w:contextualSpacing/>
        <w:jc w:val="both"/>
        <w:rPr>
          <w:rFonts w:ascii="Cambria" w:hAnsi="Cambria"/>
          <w:sz w:val="20"/>
          <w:szCs w:val="20"/>
          <w:lang w:val="es-CO"/>
        </w:rPr>
      </w:pPr>
      <w:r w:rsidRPr="006E763F">
        <w:rPr>
          <w:rFonts w:ascii="Cambria" w:hAnsi="Cambria"/>
          <w:sz w:val="20"/>
          <w:szCs w:val="20"/>
          <w:lang w:val="es-CO"/>
        </w:rPr>
        <w:t xml:space="preserve">Estos incidentes se inscriben en un historial de violencia contra funcionarios elegidos que, según fuentes oficiales, consigna 28 alcaldes asesinados entre 1995 y 1997. En 1995 fueron secuestrados 18 alcaldes y 23 lo fueron en 1996. Entre noviembre de 1996 y septiembre de 1997, fueron secuestrados 41 alcaldes y otros 40 fueron víctimas de amenazas o agresiones.13 Entre enero de 1995 y julio de 1997, fueron asesinados 140 miembros de concejos municipales. </w:t>
      </w:r>
    </w:p>
    <w:p w14:paraId="2D4BC707" w14:textId="77777777" w:rsidR="00BB10AB" w:rsidRPr="006E763F" w:rsidRDefault="00BB10AB" w:rsidP="00E923BB">
      <w:pPr>
        <w:ind w:left="720" w:right="720"/>
        <w:contextualSpacing/>
        <w:jc w:val="both"/>
        <w:rPr>
          <w:rFonts w:ascii="Cambria" w:hAnsi="Cambria"/>
          <w:sz w:val="20"/>
          <w:szCs w:val="20"/>
          <w:lang w:val="es-CO"/>
        </w:rPr>
      </w:pPr>
    </w:p>
    <w:p w14:paraId="4F1F2F49" w14:textId="77777777" w:rsidR="00BB10AB" w:rsidRPr="006E763F" w:rsidRDefault="00BB10AB" w:rsidP="00E923BB">
      <w:pPr>
        <w:ind w:left="720" w:right="720"/>
        <w:contextualSpacing/>
        <w:jc w:val="both"/>
        <w:rPr>
          <w:rFonts w:ascii="Cambria" w:hAnsi="Cambria"/>
          <w:sz w:val="20"/>
          <w:szCs w:val="20"/>
          <w:lang w:val="es-CO"/>
        </w:rPr>
      </w:pPr>
      <w:r w:rsidRPr="006E763F">
        <w:rPr>
          <w:rFonts w:ascii="Cambria" w:hAnsi="Cambria"/>
          <w:sz w:val="20"/>
          <w:szCs w:val="20"/>
          <w:lang w:val="es-CO"/>
        </w:rPr>
        <w:t>Para la Comisión es motivo de suma preocupación la posibilidad de que estos ataques constantes, violatorios del derecho humanitario internacional, desemboquen en algún momento en una situación en la que la ciudadanía colombiana se vea privada de acceso efectivo al derecho al sufragio y a la participación política directa o representativa. La Comisión insta al Estado a tomar todas las medidas necesarias a fin de asegurar la protección de los derechos a la participación política, con objeto de que Colombia siga siendo un Estado plenamente democrático</w:t>
      </w:r>
      <w:r w:rsidRPr="006E763F">
        <w:rPr>
          <w:rStyle w:val="FootnoteReference"/>
          <w:rFonts w:ascii="Cambria" w:hAnsi="Cambria"/>
          <w:sz w:val="20"/>
          <w:szCs w:val="20"/>
          <w:lang w:val="es-CO"/>
        </w:rPr>
        <w:footnoteReference w:id="17"/>
      </w:r>
      <w:r w:rsidRPr="006E763F">
        <w:rPr>
          <w:rFonts w:ascii="Cambria" w:hAnsi="Cambria"/>
          <w:sz w:val="20"/>
          <w:szCs w:val="20"/>
          <w:lang w:val="es-CO"/>
        </w:rPr>
        <w:t>.</w:t>
      </w:r>
    </w:p>
    <w:p w14:paraId="7A65D1E4" w14:textId="77777777" w:rsidR="00BB10AB" w:rsidRPr="006E763F" w:rsidRDefault="00BB10AB" w:rsidP="00E9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9555F3F" w14:textId="2535F26E" w:rsidR="00BB10AB" w:rsidRPr="006E763F" w:rsidRDefault="00BB10AB" w:rsidP="00E923BB">
      <w:pPr>
        <w:pStyle w:val="Body"/>
        <w:numPr>
          <w:ilvl w:val="0"/>
          <w:numId w:val="2"/>
        </w:numPr>
        <w:ind w:firstLine="720"/>
        <w:rPr>
          <w:lang w:val="es-ES"/>
        </w:rPr>
      </w:pPr>
      <w:r w:rsidRPr="006E763F">
        <w:rPr>
          <w:lang w:val="es-ES"/>
        </w:rPr>
        <w:t>Asimismo, diversos organismos nacionales e internacionales han documentado o informado sobre la situación de violencia política en Colombia.</w:t>
      </w:r>
      <w:r w:rsidR="00360DC3" w:rsidRPr="006E763F">
        <w:rPr>
          <w:lang w:val="es-ES"/>
        </w:rPr>
        <w:t xml:space="preserve"> De este modo, l</w:t>
      </w:r>
      <w:r w:rsidRPr="006E763F">
        <w:rPr>
          <w:lang w:val="es-ES"/>
        </w:rPr>
        <w:t>os Relatores Especiales de Naciones Unidas sobre tortura, y sobre ejecuciones extrajudiciales, sumarias o arbitrarias señalaron, en Informe conjunto de 1995 sobre su visita a Colombia, señalaron que durante las últimas décadas, las personas que se han expresado críticamente sobre las condiciones políticas, económicas o sociales, han sido víctimas de violaciones a derechos humanos</w:t>
      </w:r>
      <w:r w:rsidRPr="006E763F">
        <w:rPr>
          <w:rStyle w:val="FootnoteReference"/>
          <w:lang w:val="es-ES"/>
        </w:rPr>
        <w:footnoteReference w:id="18"/>
      </w:r>
      <w:r w:rsidRPr="006E763F">
        <w:rPr>
          <w:lang w:val="es-ES"/>
        </w:rPr>
        <w:t>. En este sentido, indicaron que la disidencia política ha sido considerada por los sectores tradicionales y el narcotráfico como una amenaza a sus intereses, y es percibida como una actividad subversiva no solo por los militares involucrados en actividades de contrainsurgencia en zonas rurales, sino también por un gran número de autoridades civiles e instituciones estatales</w:t>
      </w:r>
      <w:r w:rsidRPr="006E763F">
        <w:rPr>
          <w:rStyle w:val="FootnoteReference"/>
          <w:lang w:val="es-ES"/>
        </w:rPr>
        <w:footnoteReference w:id="19"/>
      </w:r>
      <w:r w:rsidRPr="006E763F">
        <w:rPr>
          <w:lang w:val="es-ES"/>
        </w:rPr>
        <w:t xml:space="preserve">. Así, catalogados como “guerrilleros” o “enemigos internos”, muchos </w:t>
      </w:r>
      <w:r w:rsidRPr="006E763F">
        <w:rPr>
          <w:lang w:val="es-ES"/>
        </w:rPr>
        <w:lastRenderedPageBreak/>
        <w:t>miembros de partidos políticos opositores viven bajo permanente amenaza y el alarmante número de asesinatos cometidos contra los mismos es realmente preocupante</w:t>
      </w:r>
      <w:r w:rsidRPr="006E763F">
        <w:rPr>
          <w:rStyle w:val="FootnoteReference"/>
          <w:lang w:val="es-ES"/>
        </w:rPr>
        <w:footnoteReference w:id="20"/>
      </w:r>
      <w:r w:rsidRPr="006E763F">
        <w:rPr>
          <w:lang w:val="es-ES"/>
        </w:rPr>
        <w:t>.</w:t>
      </w:r>
    </w:p>
    <w:p w14:paraId="7B33BD3D" w14:textId="77777777" w:rsidR="00BB10AB" w:rsidRPr="006E763F" w:rsidRDefault="00BB10AB" w:rsidP="00E923BB">
      <w:pPr>
        <w:jc w:val="both"/>
        <w:rPr>
          <w:rFonts w:ascii="Cambria" w:hAnsi="Cambria"/>
          <w:sz w:val="20"/>
          <w:szCs w:val="20"/>
          <w:lang w:val="es-ES"/>
        </w:rPr>
      </w:pPr>
    </w:p>
    <w:p w14:paraId="29A2A3A0" w14:textId="2C5E3772" w:rsidR="00BB10AB" w:rsidRPr="006E763F" w:rsidRDefault="004B2029" w:rsidP="00E923BB">
      <w:pPr>
        <w:pStyle w:val="Body"/>
        <w:numPr>
          <w:ilvl w:val="0"/>
          <w:numId w:val="2"/>
        </w:numPr>
        <w:ind w:firstLine="720"/>
        <w:rPr>
          <w:lang w:val="es-ES"/>
        </w:rPr>
      </w:pPr>
      <w:r w:rsidRPr="006E763F">
        <w:rPr>
          <w:lang w:val="es-ES"/>
        </w:rPr>
        <w:t>Por su lado, l</w:t>
      </w:r>
      <w:r w:rsidR="00BB10AB" w:rsidRPr="006E763F">
        <w:rPr>
          <w:lang w:val="es-ES"/>
        </w:rPr>
        <w:t>a Corte Constitucional colombiana se ha referido al surgimiento de grupos, movimientos y partidos políticos a raíz de la desmovilización de antiguos integrantes de la guerrilla. Ha señalado que dicha situación “</w:t>
      </w:r>
      <w:r w:rsidR="00BB10AB" w:rsidRPr="006E763F">
        <w:rPr>
          <w:lang w:val="es-CO"/>
        </w:rPr>
        <w:t xml:space="preserve">requiere de especial protección y apoyo por parte del Estado. La institucionalización del conflicto, la dejación de las armas y su sustitución por el ejercicio activo de </w:t>
      </w:r>
      <w:r w:rsidR="00BB10AB" w:rsidRPr="006E763F">
        <w:rPr>
          <w:lang w:val="es-ES"/>
        </w:rPr>
        <w:t>la</w:t>
      </w:r>
      <w:r w:rsidR="00BB10AB" w:rsidRPr="006E763F">
        <w:rPr>
          <w:lang w:val="es-CO"/>
        </w:rPr>
        <w:t xml:space="preserve"> participación político-democrática y la renuncia de la violencia como método para alcanzar el cambio social, son alternativas que deben ser garantizadas por todas las autoridades para evitar que la llamada "guerra sucia" acabe cerrando la posibilidad de llegar a un consenso que reúna a todos los sectores de la población y permita la convivencia pacífica”</w:t>
      </w:r>
      <w:r w:rsidR="00BB10AB" w:rsidRPr="006E763F">
        <w:rPr>
          <w:rStyle w:val="FootnoteReference"/>
          <w:lang w:val="es-CO"/>
        </w:rPr>
        <w:footnoteReference w:id="21"/>
      </w:r>
      <w:r w:rsidR="00BB10AB" w:rsidRPr="006E763F">
        <w:rPr>
          <w:lang w:val="es-CO"/>
        </w:rPr>
        <w:t>.</w:t>
      </w:r>
    </w:p>
    <w:p w14:paraId="6A6530A6" w14:textId="77777777" w:rsidR="00BB10AB" w:rsidRPr="006E763F" w:rsidRDefault="00BB10AB" w:rsidP="00E923BB">
      <w:pPr>
        <w:pStyle w:val="ListParagraph"/>
        <w:ind w:firstLine="0"/>
        <w:rPr>
          <w:rFonts w:eastAsia="Times New Roman" w:cs="Times New Roman"/>
          <w:b/>
          <w:bCs/>
          <w:sz w:val="20"/>
          <w:szCs w:val="20"/>
          <w:lang w:val="es-ES"/>
        </w:rPr>
      </w:pPr>
    </w:p>
    <w:p w14:paraId="161A4F8A" w14:textId="2471CFFA" w:rsidR="00EC310A" w:rsidRPr="006E763F" w:rsidRDefault="002D2F26" w:rsidP="00E923BB">
      <w:pPr>
        <w:pStyle w:val="Heading2"/>
        <w:rPr>
          <w:rFonts w:eastAsia="Times New Roman" w:cs="Times New Roman"/>
        </w:rPr>
      </w:pPr>
      <w:bookmarkStart w:id="7" w:name="_Toc446149"/>
      <w:r w:rsidRPr="006E763F">
        <w:t>S</w:t>
      </w:r>
      <w:r w:rsidR="00FC0D86" w:rsidRPr="006E763F">
        <w:t>obre</w:t>
      </w:r>
      <w:r w:rsidRPr="006E763F">
        <w:t xml:space="preserve"> Pedro Julio Movilla, su familia, actividades y hechos previos a la desaparición</w:t>
      </w:r>
      <w:bookmarkEnd w:id="7"/>
    </w:p>
    <w:p w14:paraId="0A6A258C" w14:textId="77777777" w:rsidR="00EC310A" w:rsidRPr="006E763F" w:rsidRDefault="00EC310A" w:rsidP="00E923BB">
      <w:pPr>
        <w:pStyle w:val="Body"/>
        <w:ind w:firstLine="249"/>
        <w:rPr>
          <w:b/>
          <w:bCs/>
          <w:color w:val="FF0000"/>
          <w:u w:color="FF0000"/>
          <w:lang w:val="es-ES"/>
        </w:rPr>
      </w:pPr>
    </w:p>
    <w:p w14:paraId="7102AA48" w14:textId="5F018179" w:rsidR="00EC310A" w:rsidRPr="006E763F" w:rsidRDefault="0094269D" w:rsidP="00E923BB">
      <w:pPr>
        <w:pStyle w:val="Body"/>
        <w:numPr>
          <w:ilvl w:val="0"/>
          <w:numId w:val="2"/>
        </w:numPr>
        <w:ind w:firstLine="720"/>
        <w:rPr>
          <w:color w:val="auto"/>
          <w:lang w:val="es-ES"/>
        </w:rPr>
      </w:pPr>
      <w:r w:rsidRPr="006E763F">
        <w:rPr>
          <w:color w:val="auto"/>
          <w:lang w:val="es-ES"/>
        </w:rPr>
        <w:t xml:space="preserve">La parte peticionaria identificó como víctimas en el presente caso a </w:t>
      </w:r>
      <w:r w:rsidR="009E7E98" w:rsidRPr="006E763F">
        <w:rPr>
          <w:color w:val="auto"/>
          <w:lang w:val="es-ES"/>
        </w:rPr>
        <w:t>Pedro Julio Movilla Galarcio</w:t>
      </w:r>
      <w:r w:rsidRPr="006E763F">
        <w:rPr>
          <w:color w:val="auto"/>
          <w:lang w:val="es-ES"/>
        </w:rPr>
        <w:t xml:space="preserve"> y a los siguientes familiares</w:t>
      </w:r>
      <w:r w:rsidR="006E3B6E" w:rsidRPr="006E763F">
        <w:rPr>
          <w:color w:val="auto"/>
          <w:lang w:val="es-ES"/>
        </w:rPr>
        <w:t>:</w:t>
      </w:r>
      <w:r w:rsidR="009E7E98" w:rsidRPr="006E763F">
        <w:rPr>
          <w:color w:val="auto"/>
          <w:lang w:val="es-ES"/>
        </w:rPr>
        <w:t xml:space="preserve"> Candelaria Nurys Vergara Carriazo (esposa); Carlos Julio, José Antonio y Jenny Movilla Vergara (hijos); Leonor, Erasmo, María de Jesús (fallecida), Marta, Rita, Nery del Carmen</w:t>
      </w:r>
      <w:r w:rsidR="007427BC" w:rsidRPr="006E763F">
        <w:rPr>
          <w:color w:val="auto"/>
          <w:lang w:val="es-ES"/>
        </w:rPr>
        <w:t>, todos de apellido Movill</w:t>
      </w:r>
      <w:r w:rsidR="00BF3827" w:rsidRPr="006E763F">
        <w:rPr>
          <w:color w:val="auto"/>
          <w:lang w:val="es-ES"/>
        </w:rPr>
        <w:t>a (hermanos);</w:t>
      </w:r>
      <w:r w:rsidR="00E83EC4" w:rsidRPr="006E763F">
        <w:rPr>
          <w:color w:val="auto"/>
          <w:lang w:val="es-ES"/>
        </w:rPr>
        <w:t xml:space="preserve"> </w:t>
      </w:r>
      <w:r w:rsidR="009E7E98" w:rsidRPr="006E763F">
        <w:rPr>
          <w:color w:val="auto"/>
          <w:lang w:val="es-ES"/>
        </w:rPr>
        <w:t>Erasmo Movilla, Raúl Ramos</w:t>
      </w:r>
      <w:r w:rsidR="006E408F" w:rsidRPr="006E763F">
        <w:rPr>
          <w:color w:val="auto"/>
          <w:lang w:val="es-ES"/>
        </w:rPr>
        <w:t xml:space="preserve"> y los tres hijos de Nery del Carmen (sobrinos)</w:t>
      </w:r>
      <w:r w:rsidR="00E83EC4" w:rsidRPr="006E763F">
        <w:rPr>
          <w:color w:val="auto"/>
          <w:lang w:val="es-ES"/>
        </w:rPr>
        <w:t xml:space="preserve">; </w:t>
      </w:r>
      <w:r w:rsidR="009E7E98" w:rsidRPr="006E763F">
        <w:rPr>
          <w:color w:val="auto"/>
          <w:lang w:val="es-ES"/>
        </w:rPr>
        <w:t>Ricardo, Franklyn y Dominga Movilla;</w:t>
      </w:r>
      <w:r w:rsidR="00E83EC4" w:rsidRPr="006E763F">
        <w:rPr>
          <w:color w:val="auto"/>
          <w:lang w:val="es-ES"/>
        </w:rPr>
        <w:t xml:space="preserve"> y </w:t>
      </w:r>
      <w:r w:rsidR="009E7E98" w:rsidRPr="006E763F">
        <w:rPr>
          <w:color w:val="auto"/>
          <w:lang w:val="es-ES"/>
        </w:rPr>
        <w:t>María</w:t>
      </w:r>
      <w:r w:rsidR="00BF3827" w:rsidRPr="006E763F">
        <w:rPr>
          <w:color w:val="auto"/>
          <w:lang w:val="es-ES"/>
        </w:rPr>
        <w:t xml:space="preserve"> Isabel Carriazo y José Vergara (suegros fallecidos)</w:t>
      </w:r>
      <w:r w:rsidR="009E7E98" w:rsidRPr="006E763F">
        <w:rPr>
          <w:color w:val="auto"/>
          <w:lang w:val="es-ES"/>
        </w:rPr>
        <w:t>.</w:t>
      </w:r>
    </w:p>
    <w:p w14:paraId="32FC7627" w14:textId="77777777" w:rsidR="00EC310A" w:rsidRPr="006E763F" w:rsidRDefault="00EC310A" w:rsidP="00E923BB">
      <w:pPr>
        <w:pStyle w:val="Body"/>
        <w:ind w:firstLine="249"/>
        <w:rPr>
          <w:lang w:val="es-ES"/>
        </w:rPr>
      </w:pPr>
    </w:p>
    <w:p w14:paraId="1A4D96C1" w14:textId="60A3DBB6" w:rsidR="00EC310A" w:rsidRPr="006E763F" w:rsidRDefault="000412A4" w:rsidP="00E923BB">
      <w:pPr>
        <w:pStyle w:val="Body"/>
        <w:numPr>
          <w:ilvl w:val="0"/>
          <w:numId w:val="2"/>
        </w:numPr>
        <w:ind w:firstLine="720"/>
        <w:rPr>
          <w:lang w:val="es-ES"/>
        </w:rPr>
      </w:pPr>
      <w:r w:rsidRPr="006E763F">
        <w:rPr>
          <w:lang w:val="es-ES"/>
        </w:rPr>
        <w:t>L</w:t>
      </w:r>
      <w:r w:rsidR="009E7E98" w:rsidRPr="006E763F">
        <w:rPr>
          <w:lang w:val="es-ES"/>
        </w:rPr>
        <w:t xml:space="preserve">a parte peticionaria indicó que la presunta víctima y su familia vivieron una persecución como resultado de </w:t>
      </w:r>
      <w:r w:rsidR="00122384" w:rsidRPr="006E763F">
        <w:rPr>
          <w:lang w:val="es-ES"/>
        </w:rPr>
        <w:t>su</w:t>
      </w:r>
      <w:r w:rsidR="009E7E98" w:rsidRPr="006E763F">
        <w:rPr>
          <w:lang w:val="es-ES"/>
        </w:rPr>
        <w:t xml:space="preserve"> labor sindical y dirigencia política. </w:t>
      </w:r>
      <w:r w:rsidR="00907573" w:rsidRPr="006E763F">
        <w:rPr>
          <w:lang w:val="es-ES"/>
        </w:rPr>
        <w:t>Señaló que e</w:t>
      </w:r>
      <w:r w:rsidR="009E7E98" w:rsidRPr="006E763F">
        <w:rPr>
          <w:lang w:val="es-ES"/>
        </w:rPr>
        <w:t>n 1974, Pedro Julio Movilla Galarcio fue despedido de su trabajo en el INCORA a raíz de su participación en una huelga, lo que produjo su detención en Montería por un mes</w:t>
      </w:r>
      <w:r w:rsidR="009E7E98" w:rsidRPr="006E763F">
        <w:rPr>
          <w:vertAlign w:val="superscript"/>
          <w:lang w:val="es-ES"/>
        </w:rPr>
        <w:footnoteReference w:id="22"/>
      </w:r>
      <w:r w:rsidR="009E7E98" w:rsidRPr="006E763F">
        <w:rPr>
          <w:lang w:val="es-ES"/>
        </w:rPr>
        <w:t>. Posteriormente</w:t>
      </w:r>
      <w:r w:rsidR="00A92CEE" w:rsidRPr="006E763F">
        <w:rPr>
          <w:lang w:val="es-ES"/>
        </w:rPr>
        <w:t>,</w:t>
      </w:r>
      <w:r w:rsidR="009E7E98" w:rsidRPr="006E763F">
        <w:rPr>
          <w:lang w:val="es-ES"/>
        </w:rPr>
        <w:t xml:space="preserve"> se desempeñó como asesor de organizaciones sindicales y fue activista del Comité Obrero Popular en Córdoba. </w:t>
      </w:r>
      <w:r w:rsidR="0008353B" w:rsidRPr="006E763F">
        <w:rPr>
          <w:lang w:val="es-ES"/>
        </w:rPr>
        <w:t>L</w:t>
      </w:r>
      <w:r w:rsidR="009E7E98" w:rsidRPr="006E763F">
        <w:rPr>
          <w:lang w:val="es-ES"/>
        </w:rPr>
        <w:t>a CIDH observa que</w:t>
      </w:r>
      <w:r w:rsidR="0008353B" w:rsidRPr="006E763F">
        <w:rPr>
          <w:lang w:val="es-ES"/>
        </w:rPr>
        <w:t xml:space="preserve"> su esposa</w:t>
      </w:r>
      <w:r w:rsidR="009E7E98" w:rsidRPr="006E763F">
        <w:rPr>
          <w:lang w:val="es-ES"/>
        </w:rPr>
        <w:t xml:space="preserve"> declaró ante la Fiscalía General que el motivo de</w:t>
      </w:r>
      <w:r w:rsidR="00437489" w:rsidRPr="006E763F">
        <w:rPr>
          <w:lang w:val="es-ES"/>
        </w:rPr>
        <w:t xml:space="preserve"> la</w:t>
      </w:r>
      <w:r w:rsidR="009E7E98" w:rsidRPr="006E763F">
        <w:rPr>
          <w:lang w:val="es-ES"/>
        </w:rPr>
        <w:t xml:space="preserve"> persecución fue “la forma como él pensaba” agregando que “con las únicas entidades que tenía problemas era con el Gobierno y organismos del Estado”. La señora Vergara reiteró que, en Montería, Córdoba, recibían hostigamientos sin saber</w:t>
      </w:r>
      <w:r w:rsidR="009813BC" w:rsidRPr="006E763F">
        <w:rPr>
          <w:lang w:val="es-ES"/>
        </w:rPr>
        <w:t xml:space="preserve"> si </w:t>
      </w:r>
      <w:r w:rsidR="009E7E98" w:rsidRPr="006E763F">
        <w:rPr>
          <w:lang w:val="es-ES"/>
        </w:rPr>
        <w:t>provenían del “F.2” (organismo de inteligencia policial), de la Dirección Central de Policía Judicial e Inteligencia (en adelante, “</w:t>
      </w:r>
      <w:r w:rsidR="000206E8" w:rsidRPr="006E763F">
        <w:rPr>
          <w:lang w:val="es-ES"/>
        </w:rPr>
        <w:t xml:space="preserve">la </w:t>
      </w:r>
      <w:r w:rsidR="009E7E98" w:rsidRPr="006E763F">
        <w:rPr>
          <w:lang w:val="es-ES"/>
        </w:rPr>
        <w:t>Dijin”) o de</w:t>
      </w:r>
      <w:r w:rsidR="009813BC" w:rsidRPr="006E763F">
        <w:rPr>
          <w:lang w:val="es-ES"/>
        </w:rPr>
        <w:t xml:space="preserve">l </w:t>
      </w:r>
      <w:r w:rsidR="000206E8" w:rsidRPr="006E763F">
        <w:rPr>
          <w:lang w:val="es-ES"/>
        </w:rPr>
        <w:t xml:space="preserve">Departamento Administrativo de Seguridad “en adelante “el </w:t>
      </w:r>
      <w:r w:rsidR="009E7E98" w:rsidRPr="006E763F">
        <w:rPr>
          <w:lang w:val="es-ES"/>
        </w:rPr>
        <w:t>DAS</w:t>
      </w:r>
      <w:r w:rsidR="000206E8" w:rsidRPr="006E763F">
        <w:rPr>
          <w:lang w:val="es-ES"/>
        </w:rPr>
        <w:t>”)</w:t>
      </w:r>
      <w:r w:rsidR="009E7E98" w:rsidRPr="006E763F">
        <w:rPr>
          <w:lang w:val="es-ES"/>
        </w:rPr>
        <w:t>. Agregó que los hostigamientos continuaron en Bogotá, donde ella trabajaba en el Sindicato “Unión Nacional</w:t>
      </w:r>
      <w:r w:rsidR="00D637A5" w:rsidRPr="006E763F">
        <w:rPr>
          <w:lang w:val="es-ES"/>
        </w:rPr>
        <w:t xml:space="preserve"> de Empleados Bancarios”</w:t>
      </w:r>
      <w:r w:rsidR="00CA7328" w:rsidRPr="006E763F">
        <w:rPr>
          <w:lang w:val="es-ES"/>
        </w:rPr>
        <w:t>,</w:t>
      </w:r>
      <w:r w:rsidR="009E7E98" w:rsidRPr="006E763F">
        <w:rPr>
          <w:lang w:val="es-ES"/>
        </w:rPr>
        <w:t xml:space="preserve"> y describió </w:t>
      </w:r>
      <w:r w:rsidR="00720178" w:rsidRPr="006E763F">
        <w:rPr>
          <w:lang w:val="es-ES"/>
        </w:rPr>
        <w:t>seguimientos</w:t>
      </w:r>
      <w:r w:rsidR="009E7E98" w:rsidRPr="006E763F">
        <w:rPr>
          <w:lang w:val="es-ES"/>
        </w:rPr>
        <w:t>. Finalmente, señaló que en Montería, Córdoba</w:t>
      </w:r>
      <w:r w:rsidR="00B04EF1" w:rsidRPr="006E763F">
        <w:rPr>
          <w:lang w:val="es-ES"/>
        </w:rPr>
        <w:t>,</w:t>
      </w:r>
      <w:r w:rsidR="009E7E98" w:rsidRPr="006E763F">
        <w:rPr>
          <w:lang w:val="es-ES"/>
        </w:rPr>
        <w:t xml:space="preserve"> </w:t>
      </w:r>
      <w:r w:rsidR="00B04EF1" w:rsidRPr="006E763F">
        <w:rPr>
          <w:lang w:val="es-ES"/>
        </w:rPr>
        <w:t xml:space="preserve">el señor </w:t>
      </w:r>
      <w:r w:rsidR="009E7E98" w:rsidRPr="006E763F">
        <w:rPr>
          <w:lang w:val="es-ES"/>
        </w:rPr>
        <w:t>Movilla Galarcio escuchó que le dijeron “ojo, cuídate que por ahí te están buscando”</w:t>
      </w:r>
      <w:r w:rsidR="009E7E98" w:rsidRPr="006E763F">
        <w:rPr>
          <w:vertAlign w:val="superscript"/>
          <w:lang w:val="es-ES"/>
        </w:rPr>
        <w:footnoteReference w:id="23"/>
      </w:r>
      <w:r w:rsidR="009E7E98" w:rsidRPr="006E763F">
        <w:rPr>
          <w:lang w:val="es-ES"/>
        </w:rPr>
        <w:t>.</w:t>
      </w:r>
    </w:p>
    <w:p w14:paraId="2D9D22C3" w14:textId="77777777" w:rsidR="00EC310A" w:rsidRPr="006E763F" w:rsidRDefault="00EC310A" w:rsidP="00E923BB">
      <w:pPr>
        <w:pStyle w:val="Body"/>
        <w:ind w:firstLine="720"/>
        <w:rPr>
          <w:lang w:val="es-ES"/>
        </w:rPr>
      </w:pPr>
    </w:p>
    <w:p w14:paraId="004B529C" w14:textId="52CFC236" w:rsidR="00EC310A" w:rsidRPr="006E763F" w:rsidRDefault="009E7E98" w:rsidP="00E923BB">
      <w:pPr>
        <w:pStyle w:val="Body"/>
        <w:numPr>
          <w:ilvl w:val="0"/>
          <w:numId w:val="2"/>
        </w:numPr>
        <w:ind w:firstLine="720"/>
        <w:rPr>
          <w:lang w:val="es-ES"/>
        </w:rPr>
      </w:pPr>
      <w:r w:rsidRPr="006E763F">
        <w:rPr>
          <w:lang w:val="es-ES"/>
        </w:rPr>
        <w:t>La Comisión observa que Candelaria Vergara también declaró ante la Fiscalía General que en 1990, ya en Bogotá, Pedro Julio Movilla Galarcio era integrante del PCC-ML, organización que “estaba en diálogos con el gobierno, a raíz de eso, nosotros teníamos que tener mucho cuidado con los seguimientos, porque en ese momento estaban en ese proceso de negociación y desde esa época nos estaban haciendo seguimiento, persecuciones”. En esta línea, la señora Vergara también declaró que al visitar a sus familiares</w:t>
      </w:r>
      <w:r w:rsidR="000206E8" w:rsidRPr="006E763F">
        <w:rPr>
          <w:lang w:val="es-ES"/>
        </w:rPr>
        <w:t xml:space="preserve"> en Montería</w:t>
      </w:r>
      <w:r w:rsidRPr="006E763F">
        <w:rPr>
          <w:lang w:val="es-ES"/>
        </w:rPr>
        <w:t>, frente a su casa del barrio Buenavista se estacionaban carros sin matrícula con vidrios oscuros, en actitud de vigilancia, lo que los intimidaba</w:t>
      </w:r>
      <w:r w:rsidR="00A20662" w:rsidRPr="006E763F">
        <w:rPr>
          <w:lang w:val="es-ES"/>
        </w:rPr>
        <w:t>,</w:t>
      </w:r>
      <w:r w:rsidRPr="006E763F">
        <w:rPr>
          <w:lang w:val="es-ES"/>
        </w:rPr>
        <w:t xml:space="preserve"> dado que </w:t>
      </w:r>
      <w:r w:rsidR="00A20662" w:rsidRPr="006E763F">
        <w:rPr>
          <w:lang w:val="es-ES"/>
        </w:rPr>
        <w:t xml:space="preserve">en </w:t>
      </w:r>
      <w:r w:rsidRPr="006E763F">
        <w:rPr>
          <w:lang w:val="es-ES"/>
        </w:rPr>
        <w:t>Montería personas militantes cercanas a su familia habían sido asesinadas</w:t>
      </w:r>
      <w:r w:rsidRPr="006E763F">
        <w:rPr>
          <w:vertAlign w:val="superscript"/>
          <w:lang w:val="es-ES"/>
        </w:rPr>
        <w:footnoteReference w:id="24"/>
      </w:r>
      <w:r w:rsidRPr="006E763F">
        <w:rPr>
          <w:lang w:val="es-ES"/>
        </w:rPr>
        <w:t>.</w:t>
      </w:r>
      <w:r w:rsidR="00E32B9A" w:rsidRPr="006E763F">
        <w:rPr>
          <w:lang w:val="es-ES"/>
        </w:rPr>
        <w:t xml:space="preserve"> L</w:t>
      </w:r>
      <w:r w:rsidRPr="006E763F">
        <w:rPr>
          <w:lang w:val="es-ES"/>
        </w:rPr>
        <w:t>a parte peticionaria alegó que el Esta</w:t>
      </w:r>
      <w:r w:rsidR="000206E8" w:rsidRPr="006E763F">
        <w:rPr>
          <w:lang w:val="es-ES"/>
        </w:rPr>
        <w:t>do desconoció las denuncias pres</w:t>
      </w:r>
      <w:r w:rsidRPr="006E763F">
        <w:rPr>
          <w:lang w:val="es-ES"/>
        </w:rPr>
        <w:t>entadas respecto de las continuas agresiones que sufrían</w:t>
      </w:r>
      <w:r w:rsidRPr="006E763F">
        <w:rPr>
          <w:vertAlign w:val="superscript"/>
          <w:lang w:val="es-ES"/>
        </w:rPr>
        <w:footnoteReference w:id="25"/>
      </w:r>
      <w:r w:rsidR="000206E8" w:rsidRPr="006E763F">
        <w:rPr>
          <w:lang w:val="es-ES"/>
        </w:rPr>
        <w:t>.</w:t>
      </w:r>
    </w:p>
    <w:p w14:paraId="64ACCDE3" w14:textId="77777777" w:rsidR="00EC310A" w:rsidRPr="006E763F" w:rsidRDefault="00EC310A" w:rsidP="00E923BB">
      <w:pPr>
        <w:pStyle w:val="Body"/>
        <w:ind w:firstLine="720"/>
        <w:rPr>
          <w:lang w:val="es-ES"/>
        </w:rPr>
      </w:pPr>
    </w:p>
    <w:p w14:paraId="5463658A" w14:textId="3D370F87" w:rsidR="00EC310A" w:rsidRPr="006E763F" w:rsidRDefault="00507701" w:rsidP="00E923BB">
      <w:pPr>
        <w:pStyle w:val="Body"/>
        <w:numPr>
          <w:ilvl w:val="0"/>
          <w:numId w:val="2"/>
        </w:numPr>
        <w:ind w:firstLine="720"/>
        <w:rPr>
          <w:lang w:val="es-ES"/>
        </w:rPr>
      </w:pPr>
      <w:r w:rsidRPr="006E763F">
        <w:rPr>
          <w:lang w:val="es-ES"/>
        </w:rPr>
        <w:t>L</w:t>
      </w:r>
      <w:r w:rsidR="009E7E98" w:rsidRPr="006E763F">
        <w:rPr>
          <w:lang w:val="es-ES"/>
        </w:rPr>
        <w:t>a CIDH</w:t>
      </w:r>
      <w:r w:rsidRPr="006E763F">
        <w:rPr>
          <w:lang w:val="es-ES"/>
        </w:rPr>
        <w:t xml:space="preserve"> también</w:t>
      </w:r>
      <w:r w:rsidR="009E7E98" w:rsidRPr="006E763F">
        <w:rPr>
          <w:lang w:val="es-ES"/>
        </w:rPr>
        <w:t xml:space="preserve"> toma nota de la declaración</w:t>
      </w:r>
      <w:r w:rsidRPr="006E763F">
        <w:rPr>
          <w:lang w:val="es-ES"/>
        </w:rPr>
        <w:t xml:space="preserve"> de</w:t>
      </w:r>
      <w:r w:rsidR="009E7E98" w:rsidRPr="006E763F">
        <w:rPr>
          <w:lang w:val="es-ES"/>
        </w:rPr>
        <w:t xml:space="preserve"> </w:t>
      </w:r>
      <w:bookmarkStart w:id="8" w:name="_Hlk528081506"/>
      <w:r w:rsidR="009E7E98" w:rsidRPr="006E763F">
        <w:rPr>
          <w:lang w:val="es-ES"/>
        </w:rPr>
        <w:t>Humberto Javier Callejas Rua</w:t>
      </w:r>
      <w:bookmarkEnd w:id="8"/>
      <w:r w:rsidR="009E7E98" w:rsidRPr="006E763F">
        <w:rPr>
          <w:lang w:val="es-ES"/>
        </w:rPr>
        <w:t xml:space="preserve"> ante la PGN, en la que informó que era dirigente sindical, que estaba preso desde hacía seis meses y que conoció a Pedro Julio Movilla Galarcio por su actividad sindical en Medellín. En dicha declaración, el señor Callejas señaló que tras su detención en Cartagena fue golpeado e interrogado por agentes de la Dijin, mientras le preguntaban con insistencia por la presunta víctima o por “Milton”. Afirmó que suponía que el interés en localizar a Pedro Julio Movilla Galarcio se relacionaba con su militancia en un partido clandestino, como lo era el PCC-ML</w:t>
      </w:r>
      <w:r w:rsidR="009E7E98" w:rsidRPr="006E763F">
        <w:rPr>
          <w:vertAlign w:val="superscript"/>
          <w:lang w:val="es-ES"/>
        </w:rPr>
        <w:footnoteReference w:id="26"/>
      </w:r>
      <w:r w:rsidR="009E7E98" w:rsidRPr="006E763F">
        <w:rPr>
          <w:lang w:val="es-ES"/>
        </w:rPr>
        <w:t>. Además, en declaración rendida ante Fiscalía General, el testigo indicó que conoció de seguimientos y amenazas en contra de los miembros del PCC-ML, en el período posterior a la desmovilización en 1991.</w:t>
      </w:r>
      <w:r w:rsidR="00A86B3F" w:rsidRPr="006E763F">
        <w:rPr>
          <w:lang w:val="es-ES"/>
        </w:rPr>
        <w:t xml:space="preserve"> Destacó que esto ocurrió</w:t>
      </w:r>
      <w:r w:rsidR="009E7E98" w:rsidRPr="006E763F">
        <w:rPr>
          <w:lang w:val="es-ES"/>
        </w:rPr>
        <w:t xml:space="preserve"> contra él mismo, otro militante, Efraín Gómez en Barranquilla, y Pedro Julio Movilla Galarcio, y que dichas acciones provenían “de agentes de</w:t>
      </w:r>
      <w:r w:rsidR="00192AF8" w:rsidRPr="006E763F">
        <w:rPr>
          <w:lang w:val="es-ES"/>
        </w:rPr>
        <w:t>l Estado, Policía, del Ejército</w:t>
      </w:r>
      <w:r w:rsidR="009E7E98" w:rsidRPr="006E763F">
        <w:rPr>
          <w:lang w:val="es-ES"/>
        </w:rPr>
        <w:t>”</w:t>
      </w:r>
      <w:r w:rsidR="009E7E98" w:rsidRPr="006E763F">
        <w:rPr>
          <w:vertAlign w:val="superscript"/>
          <w:lang w:val="es-ES"/>
        </w:rPr>
        <w:footnoteReference w:id="27"/>
      </w:r>
      <w:r w:rsidR="009E7E98" w:rsidRPr="006E763F">
        <w:rPr>
          <w:lang w:val="es-ES"/>
        </w:rPr>
        <w:t>.</w:t>
      </w:r>
    </w:p>
    <w:p w14:paraId="043B52D3" w14:textId="77777777" w:rsidR="00EC310A" w:rsidRPr="006E763F" w:rsidRDefault="00EC310A" w:rsidP="00E923BB">
      <w:pPr>
        <w:pStyle w:val="Body"/>
        <w:ind w:firstLine="720"/>
        <w:rPr>
          <w:lang w:val="es-ES"/>
        </w:rPr>
      </w:pPr>
    </w:p>
    <w:p w14:paraId="42EAF691" w14:textId="028C17AB" w:rsidR="00EC310A" w:rsidRPr="006E763F" w:rsidRDefault="009D25C1" w:rsidP="00E923BB">
      <w:pPr>
        <w:pStyle w:val="Body"/>
        <w:numPr>
          <w:ilvl w:val="0"/>
          <w:numId w:val="2"/>
        </w:numPr>
        <w:ind w:firstLine="720"/>
        <w:rPr>
          <w:lang w:val="es-ES"/>
        </w:rPr>
      </w:pPr>
      <w:r w:rsidRPr="006E763F">
        <w:rPr>
          <w:lang w:val="es-ES"/>
        </w:rPr>
        <w:t>L</w:t>
      </w:r>
      <w:r w:rsidR="009E7E98" w:rsidRPr="006E763F">
        <w:rPr>
          <w:lang w:val="es-ES"/>
        </w:rPr>
        <w:t>a</w:t>
      </w:r>
      <w:r w:rsidRPr="006E763F">
        <w:rPr>
          <w:lang w:val="es-ES"/>
        </w:rPr>
        <w:t xml:space="preserve"> CIDH también</w:t>
      </w:r>
      <w:r w:rsidR="009E7E98" w:rsidRPr="006E763F">
        <w:rPr>
          <w:lang w:val="es-ES"/>
        </w:rPr>
        <w:t xml:space="preserve"> identifica anotaciones de la Brigada XIII del Ejército, que dan cuenta de que Pedro Julio Movilla Galarcio era objeto de actividades de inteligencia por parte del Ejército Nacional, en las cuales aparecía con el alias de “Milton”, y era calificado como </w:t>
      </w:r>
      <w:bookmarkStart w:id="9" w:name="_Hlk528081626"/>
      <w:r w:rsidR="009E7E98" w:rsidRPr="006E763F">
        <w:rPr>
          <w:lang w:val="es-ES"/>
        </w:rPr>
        <w:t>miembro “adiestrador delictivo” del EPL, “disidente”, miembro del Comité Central del PCC-ML y como secretario de la Federación de Trabajadores de Córdoba.</w:t>
      </w:r>
      <w:bookmarkEnd w:id="9"/>
      <w:r w:rsidR="009E7E98" w:rsidRPr="006E763F">
        <w:rPr>
          <w:lang w:val="es-ES"/>
        </w:rPr>
        <w:t xml:space="preserve"> </w:t>
      </w:r>
      <w:r w:rsidR="00483BCB" w:rsidRPr="006E763F">
        <w:rPr>
          <w:lang w:val="es-ES"/>
        </w:rPr>
        <w:t xml:space="preserve">Se </w:t>
      </w:r>
      <w:r w:rsidR="009E7E98" w:rsidRPr="006E763F">
        <w:rPr>
          <w:lang w:val="es-ES"/>
        </w:rPr>
        <w:t>observa una anotación de octubre de 1992 en la que se registró lo siguiente: “ubicado en Av. 34 CR. 18, Sindicato. Sv. su lugar de trabajo”</w:t>
      </w:r>
      <w:r w:rsidR="009E7E98" w:rsidRPr="006E763F">
        <w:rPr>
          <w:vertAlign w:val="superscript"/>
          <w:lang w:val="es-ES"/>
        </w:rPr>
        <w:footnoteReference w:id="28"/>
      </w:r>
      <w:r w:rsidR="00483BCB" w:rsidRPr="006E763F">
        <w:rPr>
          <w:lang w:val="es-ES"/>
        </w:rPr>
        <w:t xml:space="preserve">. Esto resulta consistente con lo indicado por su esposa, quien señaló </w:t>
      </w:r>
      <w:r w:rsidR="009E7E98" w:rsidRPr="006E763F">
        <w:rPr>
          <w:lang w:val="es-ES"/>
        </w:rPr>
        <w:t>que</w:t>
      </w:r>
      <w:r w:rsidR="00483BCB" w:rsidRPr="006E763F">
        <w:rPr>
          <w:lang w:val="es-ES"/>
        </w:rPr>
        <w:t xml:space="preserve"> para esa </w:t>
      </w:r>
      <w:r w:rsidR="009E7E98" w:rsidRPr="006E763F">
        <w:rPr>
          <w:lang w:val="es-ES"/>
        </w:rPr>
        <w:t>época “el ejército también tenía ubicados nuestros sitios de trabajo y nuestra casa”</w:t>
      </w:r>
      <w:r w:rsidR="009E7E98" w:rsidRPr="006E763F">
        <w:rPr>
          <w:vertAlign w:val="superscript"/>
          <w:lang w:val="es-ES"/>
        </w:rPr>
        <w:footnoteReference w:id="29"/>
      </w:r>
      <w:r w:rsidR="009E7E98" w:rsidRPr="006E763F">
        <w:rPr>
          <w:lang w:val="es-ES"/>
        </w:rPr>
        <w:t xml:space="preserve">. Advirtió que, aún luego de la desaparición de Pedro Julio Movilla Galarcio, continuaron siendo hostigados y que en una oportunidad casi se llevan a su segundo hijo del Colegio Andrés Bello. La señora Vergara indicó a la </w:t>
      </w:r>
      <w:r w:rsidR="00817B1F" w:rsidRPr="006E763F">
        <w:rPr>
          <w:lang w:val="es-ES"/>
        </w:rPr>
        <w:t xml:space="preserve">Fiscalía General </w:t>
      </w:r>
      <w:r w:rsidR="009E7E98" w:rsidRPr="006E763F">
        <w:rPr>
          <w:lang w:val="es-ES"/>
        </w:rPr>
        <w:t>que su vivienda se encontraba bajo vigilancia y que el 17 de mayo de 1993 cuando fue al colegio de sus hijos denunciando la desaparición de Pedro Julio Movilla Galarcio, a la salida fueron perseguidos por tres sujetos, logrando escapar en un taxi hacia ASFAD</w:t>
      </w:r>
      <w:r w:rsidR="00603C8C" w:rsidRPr="006E763F">
        <w:rPr>
          <w:lang w:val="es-ES"/>
        </w:rPr>
        <w:t>D</w:t>
      </w:r>
      <w:r w:rsidR="009E7E98" w:rsidRPr="006E763F">
        <w:rPr>
          <w:lang w:val="es-ES"/>
        </w:rPr>
        <w:t>ES</w:t>
      </w:r>
      <w:r w:rsidR="009E7E98" w:rsidRPr="006E763F">
        <w:rPr>
          <w:vertAlign w:val="superscript"/>
          <w:lang w:val="es-ES"/>
        </w:rPr>
        <w:footnoteReference w:id="30"/>
      </w:r>
      <w:r w:rsidR="009E7E98" w:rsidRPr="006E763F">
        <w:rPr>
          <w:lang w:val="es-ES"/>
        </w:rPr>
        <w:t>.</w:t>
      </w:r>
    </w:p>
    <w:p w14:paraId="4B01FF07" w14:textId="77777777" w:rsidR="00EC310A" w:rsidRPr="006E763F" w:rsidRDefault="00EC310A" w:rsidP="00E923BB">
      <w:pPr>
        <w:pStyle w:val="Body"/>
        <w:ind w:firstLine="720"/>
        <w:rPr>
          <w:lang w:val="es-ES"/>
        </w:rPr>
      </w:pPr>
    </w:p>
    <w:p w14:paraId="26A18E08" w14:textId="27D2B2D0" w:rsidR="00EC310A" w:rsidRPr="006E763F" w:rsidRDefault="004855F3" w:rsidP="00E923BB">
      <w:pPr>
        <w:pStyle w:val="Body"/>
        <w:numPr>
          <w:ilvl w:val="0"/>
          <w:numId w:val="2"/>
        </w:numPr>
        <w:ind w:firstLine="720"/>
        <w:rPr>
          <w:lang w:val="es-ES"/>
        </w:rPr>
      </w:pPr>
      <w:r w:rsidRPr="006E763F">
        <w:rPr>
          <w:lang w:val="es-ES"/>
        </w:rPr>
        <w:t>L</w:t>
      </w:r>
      <w:r w:rsidR="009E7E98" w:rsidRPr="006E763F">
        <w:rPr>
          <w:lang w:val="es-ES"/>
        </w:rPr>
        <w:t>a Comisión observa que en el marco de las investigaciones</w:t>
      </w:r>
      <w:r w:rsidR="003C3075" w:rsidRPr="006E763F">
        <w:rPr>
          <w:lang w:val="es-ES"/>
        </w:rPr>
        <w:t xml:space="preserve"> </w:t>
      </w:r>
      <w:r w:rsidRPr="006E763F">
        <w:rPr>
          <w:lang w:val="es-ES"/>
        </w:rPr>
        <w:t xml:space="preserve">de la PGN, se realizó </w:t>
      </w:r>
      <w:r w:rsidR="009E7E98" w:rsidRPr="006E763F">
        <w:rPr>
          <w:lang w:val="es-ES"/>
        </w:rPr>
        <w:t>una “visita especial” en la oficina de la Dijin, para la visualización del cuadernillo con información</w:t>
      </w:r>
      <w:r w:rsidR="00B23615" w:rsidRPr="006E763F">
        <w:rPr>
          <w:lang w:val="es-ES"/>
        </w:rPr>
        <w:t xml:space="preserve"> sobre Pedro Julio Movilla Galarcio, del cual se desprende esta indicación:</w:t>
      </w:r>
      <w:r w:rsidR="009E7E98" w:rsidRPr="006E763F">
        <w:rPr>
          <w:lang w:val="es-ES"/>
        </w:rPr>
        <w:t xml:space="preserve"> “estatura 1.62, trigueño, ojos grandes, cabello ondulado, lunar grande rojo en la cara (no se precisa mejilla), barba escasa o rala… su compañera es de nombre Nurys… trabaja en el sindicato bancario AV-34 Kra 18 después del restaurante ‘MI GUITARRA’ en Santa Fe, Bogotá… actualmente se desplaza en un vehículo Montero Mitsubishi color azul con cabina blanca… En Cartagena frecuenta una casa del barrio la Popa cerca de Brasilia… En Barranquilla frecuenta la casa de REINALDO MAZA, primera secretaría del Regional de la Costa… Natural posiblemente de MOMIL (Cor.) (…)”</w:t>
      </w:r>
      <w:r w:rsidR="009E7E98" w:rsidRPr="006E763F">
        <w:rPr>
          <w:vertAlign w:val="superscript"/>
          <w:lang w:val="es-ES"/>
        </w:rPr>
        <w:footnoteReference w:id="31"/>
      </w:r>
      <w:r w:rsidR="00F5425C" w:rsidRPr="006E763F">
        <w:rPr>
          <w:lang w:val="es-ES"/>
        </w:rPr>
        <w:t>.</w:t>
      </w:r>
    </w:p>
    <w:p w14:paraId="1ED27E42" w14:textId="2C641813" w:rsidR="00EC310A" w:rsidRPr="006E763F" w:rsidRDefault="00EC310A" w:rsidP="00E923BB">
      <w:pPr>
        <w:pStyle w:val="Body"/>
        <w:ind w:firstLine="0"/>
        <w:rPr>
          <w:lang w:val="en-US"/>
        </w:rPr>
      </w:pPr>
    </w:p>
    <w:p w14:paraId="50B00E95" w14:textId="699ADDA9" w:rsidR="00EC310A" w:rsidRPr="006E763F" w:rsidRDefault="001E7252" w:rsidP="00E923BB">
      <w:pPr>
        <w:pStyle w:val="Heading2"/>
        <w:rPr>
          <w:rFonts w:eastAsia="Times New Roman" w:cs="Times New Roman"/>
        </w:rPr>
      </w:pPr>
      <w:bookmarkStart w:id="10" w:name="_Toc446150"/>
      <w:r w:rsidRPr="006E763F">
        <w:t xml:space="preserve">La </w:t>
      </w:r>
      <w:r w:rsidR="009E7E98" w:rsidRPr="006E763F">
        <w:t>desaparición de Pedro Julio Movilla Galarcio el 13 de mayo de 1993</w:t>
      </w:r>
      <w:bookmarkEnd w:id="10"/>
    </w:p>
    <w:p w14:paraId="0D2C5102" w14:textId="77777777" w:rsidR="00EC310A" w:rsidRPr="006E763F" w:rsidRDefault="00EC310A" w:rsidP="00E923BB">
      <w:pPr>
        <w:pStyle w:val="ListParagraph"/>
        <w:ind w:left="0" w:firstLine="249"/>
        <w:rPr>
          <w:b/>
          <w:bCs/>
          <w:sz w:val="20"/>
          <w:szCs w:val="20"/>
          <w:lang w:val="es-ES"/>
        </w:rPr>
      </w:pPr>
    </w:p>
    <w:p w14:paraId="782C7C43" w14:textId="6C3C60B8" w:rsidR="00EC310A" w:rsidRPr="006E763F" w:rsidRDefault="009E7E98" w:rsidP="00E923BB">
      <w:pPr>
        <w:pStyle w:val="Body"/>
        <w:numPr>
          <w:ilvl w:val="0"/>
          <w:numId w:val="2"/>
        </w:numPr>
        <w:ind w:firstLine="720"/>
        <w:rPr>
          <w:lang w:val="es-ES"/>
        </w:rPr>
      </w:pPr>
      <w:r w:rsidRPr="006E763F">
        <w:rPr>
          <w:lang w:val="es-ES"/>
        </w:rPr>
        <w:t xml:space="preserve">El 13 de mayo de 1993, Pedro Julio Movilla Galarcio salió de su casa en la ciudad de Bogotá, en compañía de su esposa, </w:t>
      </w:r>
      <w:r w:rsidR="00CA3330" w:rsidRPr="006E763F">
        <w:rPr>
          <w:lang w:val="es-ES"/>
        </w:rPr>
        <w:t xml:space="preserve">quien describió que estaba </w:t>
      </w:r>
      <w:r w:rsidRPr="006E763F">
        <w:rPr>
          <w:lang w:val="es-ES"/>
        </w:rPr>
        <w:t>“vestido de paño color café, sin corbata, camisa rosada, camisa a rayas grabadas, zapatos cafés</w:t>
      </w:r>
      <w:r w:rsidR="00CA3330" w:rsidRPr="006E763F">
        <w:rPr>
          <w:lang w:val="es-ES"/>
        </w:rPr>
        <w:t xml:space="preserve"> de mocasín remontados”. </w:t>
      </w:r>
      <w:r w:rsidR="00316371" w:rsidRPr="006E763F">
        <w:rPr>
          <w:lang w:val="es-ES"/>
        </w:rPr>
        <w:t xml:space="preserve">Agregó que </w:t>
      </w:r>
      <w:r w:rsidRPr="006E763F">
        <w:rPr>
          <w:lang w:val="es-ES"/>
        </w:rPr>
        <w:t>luego de despedirse de ella, fue a dejar a su hija Jenny a las 8:00 a.m. en la entrada del Colegio Kennedy, ubicad</w:t>
      </w:r>
      <w:r w:rsidR="00CF1ED0" w:rsidRPr="006E763F">
        <w:rPr>
          <w:lang w:val="es-ES"/>
        </w:rPr>
        <w:t>o</w:t>
      </w:r>
      <w:r w:rsidRPr="006E763F">
        <w:rPr>
          <w:lang w:val="es-ES"/>
        </w:rPr>
        <w:t xml:space="preserve"> en la </w:t>
      </w:r>
      <w:r w:rsidR="0053166D" w:rsidRPr="006E763F">
        <w:rPr>
          <w:lang w:val="es-ES"/>
        </w:rPr>
        <w:t>c</w:t>
      </w:r>
      <w:r w:rsidRPr="006E763F">
        <w:rPr>
          <w:lang w:val="es-ES"/>
        </w:rPr>
        <w:t>ar</w:t>
      </w:r>
      <w:r w:rsidR="0053166D" w:rsidRPr="006E763F">
        <w:rPr>
          <w:lang w:val="es-ES"/>
        </w:rPr>
        <w:t>rera 68 con avenida p</w:t>
      </w:r>
      <w:r w:rsidR="00116A73" w:rsidRPr="006E763F">
        <w:rPr>
          <w:lang w:val="es-ES"/>
        </w:rPr>
        <w:t>rimero de m</w:t>
      </w:r>
      <w:r w:rsidRPr="006E763F">
        <w:rPr>
          <w:lang w:val="es-ES"/>
        </w:rPr>
        <w:t>ayo, comprometiéndose a recogerla a las 11:00 a.m. Desde ese momento se desconoce su</w:t>
      </w:r>
      <w:r w:rsidR="00E96F5C" w:rsidRPr="006E763F">
        <w:rPr>
          <w:lang w:val="es-ES"/>
        </w:rPr>
        <w:t xml:space="preserve"> destino o</w:t>
      </w:r>
      <w:r w:rsidRPr="006E763F">
        <w:rPr>
          <w:lang w:val="es-ES"/>
        </w:rPr>
        <w:t xml:space="preserve"> paradero.</w:t>
      </w:r>
    </w:p>
    <w:p w14:paraId="5DA7FB91" w14:textId="77777777" w:rsidR="00EC310A" w:rsidRDefault="00EC310A" w:rsidP="00E923BB">
      <w:pPr>
        <w:pStyle w:val="Body"/>
        <w:ind w:firstLine="720"/>
        <w:rPr>
          <w:lang w:val="es-ES"/>
        </w:rPr>
      </w:pPr>
    </w:p>
    <w:p w14:paraId="2D40A460" w14:textId="77777777" w:rsidR="00A56231" w:rsidRPr="006E763F" w:rsidRDefault="00A56231" w:rsidP="00E923BB">
      <w:pPr>
        <w:pStyle w:val="Body"/>
        <w:ind w:firstLine="720"/>
        <w:rPr>
          <w:lang w:val="es-ES"/>
        </w:rPr>
      </w:pPr>
    </w:p>
    <w:p w14:paraId="106AD2CE" w14:textId="5DEB495E" w:rsidR="00EC310A" w:rsidRPr="006E763F" w:rsidRDefault="009A173A" w:rsidP="00E923BB">
      <w:pPr>
        <w:pStyle w:val="Body"/>
        <w:numPr>
          <w:ilvl w:val="0"/>
          <w:numId w:val="2"/>
        </w:numPr>
        <w:ind w:firstLine="720"/>
        <w:rPr>
          <w:lang w:val="es-ES"/>
        </w:rPr>
      </w:pPr>
      <w:r w:rsidRPr="006E763F">
        <w:rPr>
          <w:lang w:val="es-ES"/>
        </w:rPr>
        <w:t xml:space="preserve">De los </w:t>
      </w:r>
      <w:r w:rsidR="0010443A" w:rsidRPr="006E763F">
        <w:rPr>
          <w:lang w:val="es-ES"/>
        </w:rPr>
        <w:t>testimonios</w:t>
      </w:r>
      <w:r w:rsidR="0010443A" w:rsidRPr="006E763F">
        <w:rPr>
          <w:vertAlign w:val="superscript"/>
          <w:lang w:val="es-ES"/>
        </w:rPr>
        <w:footnoteReference w:id="32"/>
      </w:r>
      <w:r w:rsidR="00116A73" w:rsidRPr="006E763F">
        <w:rPr>
          <w:lang w:val="es-ES"/>
        </w:rPr>
        <w:t xml:space="preserve"> </w:t>
      </w:r>
      <w:r w:rsidR="00CE3068" w:rsidRPr="006E763F">
        <w:rPr>
          <w:lang w:val="es-ES"/>
        </w:rPr>
        <w:t>de personas</w:t>
      </w:r>
      <w:r w:rsidR="005F3F0A" w:rsidRPr="006E763F">
        <w:rPr>
          <w:lang w:val="es-ES"/>
        </w:rPr>
        <w:t xml:space="preserve"> </w:t>
      </w:r>
      <w:r w:rsidR="0010443A" w:rsidRPr="006E763F">
        <w:rPr>
          <w:lang w:val="es-ES"/>
        </w:rPr>
        <w:t>que se encontraban en los alrededores del centro educativo,</w:t>
      </w:r>
      <w:r w:rsidRPr="006E763F">
        <w:rPr>
          <w:lang w:val="es-ES"/>
        </w:rPr>
        <w:t xml:space="preserve"> se desprende que </w:t>
      </w:r>
      <w:r w:rsidR="0010443A" w:rsidRPr="006E763F">
        <w:rPr>
          <w:lang w:val="es-ES"/>
        </w:rPr>
        <w:t>el día de la desaparición</w:t>
      </w:r>
      <w:r w:rsidR="00674F5E" w:rsidRPr="006E763F">
        <w:rPr>
          <w:lang w:val="es-ES"/>
        </w:rPr>
        <w:t xml:space="preserve"> </w:t>
      </w:r>
      <w:r w:rsidR="009E7E98" w:rsidRPr="006E763F">
        <w:rPr>
          <w:lang w:val="es-ES"/>
        </w:rPr>
        <w:t>desde temprano en la mañana se notó la presencia de motocicletas</w:t>
      </w:r>
      <w:r w:rsidR="009E7E98" w:rsidRPr="006E763F">
        <w:rPr>
          <w:vertAlign w:val="superscript"/>
          <w:lang w:val="es-ES"/>
        </w:rPr>
        <w:footnoteReference w:id="33"/>
      </w:r>
      <w:r w:rsidR="009E7E98" w:rsidRPr="006E763F">
        <w:rPr>
          <w:lang w:val="es-ES"/>
        </w:rPr>
        <w:t xml:space="preserve"> que no permitían la identificación de sus placas, montadas por sujetos armados, que no pudieron ser individualizados por tener cascos o capuchas</w:t>
      </w:r>
      <w:r w:rsidR="009E7E98" w:rsidRPr="006E763F">
        <w:rPr>
          <w:vertAlign w:val="superscript"/>
          <w:lang w:val="es-ES"/>
        </w:rPr>
        <w:footnoteReference w:id="34"/>
      </w:r>
      <w:r w:rsidR="009E7E98" w:rsidRPr="006E763F">
        <w:rPr>
          <w:lang w:val="es-ES"/>
        </w:rPr>
        <w:t xml:space="preserve">. </w:t>
      </w:r>
      <w:r w:rsidR="00275525" w:rsidRPr="006E763F">
        <w:rPr>
          <w:lang w:val="es-ES"/>
        </w:rPr>
        <w:t xml:space="preserve">También se desprende que </w:t>
      </w:r>
      <w:r w:rsidR="009E7E98" w:rsidRPr="006E763F">
        <w:rPr>
          <w:lang w:val="es-ES"/>
        </w:rPr>
        <w:t xml:space="preserve">en el mismo </w:t>
      </w:r>
      <w:r w:rsidR="00464F3C" w:rsidRPr="006E763F">
        <w:rPr>
          <w:lang w:val="es-ES"/>
        </w:rPr>
        <w:t>sitio</w:t>
      </w:r>
      <w:r w:rsidR="009E7E98" w:rsidRPr="006E763F">
        <w:rPr>
          <w:lang w:val="es-ES"/>
        </w:rPr>
        <w:t xml:space="preserve">, alrededor de las 9:00 a.m., un sujeto vestido de color café, aparentemente en estado de ebriedad, realizó disparos al aire, motivo por el </w:t>
      </w:r>
      <w:r w:rsidR="005C7722" w:rsidRPr="006E763F">
        <w:rPr>
          <w:lang w:val="es-ES"/>
        </w:rPr>
        <w:t xml:space="preserve">cual </w:t>
      </w:r>
      <w:r w:rsidR="009E7E98" w:rsidRPr="006E763F">
        <w:rPr>
          <w:lang w:val="es-ES"/>
        </w:rPr>
        <w:t>los profesores llamaron al Comando de Atención Integral (en adelante “el CAI”), quienes requisaron la pistola y detuvieron al sujeto</w:t>
      </w:r>
      <w:r w:rsidR="009E7E98" w:rsidRPr="006E763F">
        <w:rPr>
          <w:vertAlign w:val="superscript"/>
          <w:lang w:val="es-ES"/>
        </w:rPr>
        <w:footnoteReference w:id="35"/>
      </w:r>
      <w:r w:rsidR="009760D5" w:rsidRPr="006E763F">
        <w:rPr>
          <w:lang w:val="es-ES"/>
        </w:rPr>
        <w:t>.</w:t>
      </w:r>
    </w:p>
    <w:p w14:paraId="6D25D63D" w14:textId="77777777" w:rsidR="00EC310A" w:rsidRPr="006E763F" w:rsidRDefault="00EC310A" w:rsidP="00E923BB">
      <w:pPr>
        <w:pStyle w:val="ListParagraph"/>
        <w:ind w:left="0" w:firstLine="720"/>
        <w:rPr>
          <w:sz w:val="20"/>
          <w:szCs w:val="20"/>
          <w:lang w:val="es-ES"/>
        </w:rPr>
      </w:pPr>
    </w:p>
    <w:p w14:paraId="70F702A2" w14:textId="72B1E35B" w:rsidR="00EC310A" w:rsidRPr="006E763F" w:rsidRDefault="00D82875" w:rsidP="00E923BB">
      <w:pPr>
        <w:pStyle w:val="Body"/>
        <w:numPr>
          <w:ilvl w:val="0"/>
          <w:numId w:val="2"/>
        </w:numPr>
        <w:ind w:firstLine="720"/>
        <w:rPr>
          <w:lang w:val="es-ES"/>
        </w:rPr>
      </w:pPr>
      <w:r w:rsidRPr="006E763F">
        <w:rPr>
          <w:lang w:val="es-ES"/>
        </w:rPr>
        <w:t>L</w:t>
      </w:r>
      <w:r w:rsidR="009E7E98" w:rsidRPr="006E763F">
        <w:rPr>
          <w:lang w:val="es-ES"/>
        </w:rPr>
        <w:t>os hechos relacionados con los disparos fueron reportados por la PGN del siguiente modo: “de conformidad con la visita especial practicada en la Estación cien al CDA [Comando de Policía Nacional (en adelante “el CDA”)] a los resúmenes diarios de novedades, en la avenida primero de mayo con carrera 50 se retuvo al señor Pedro Julián Luis Pabón Díaz, a quien se le decomisó un arma de fuego, revólver calibre 38 marca Llama, por haber realizado tres disparos al aire en estado de embriaguez, siendo conducido a la XIV estación de policía del barrio Ricaurte de esta ciudad”</w:t>
      </w:r>
      <w:r w:rsidR="009E7E98" w:rsidRPr="006E763F">
        <w:rPr>
          <w:vertAlign w:val="superscript"/>
          <w:lang w:val="es-ES"/>
        </w:rPr>
        <w:footnoteReference w:id="36"/>
      </w:r>
      <w:r w:rsidR="009E7E98" w:rsidRPr="006E763F">
        <w:rPr>
          <w:lang w:val="es-ES"/>
        </w:rPr>
        <w:t>. Asimismo, en el marco de las investigaciones de la PGN</w:t>
      </w:r>
      <w:r w:rsidR="009E7E98" w:rsidRPr="006E763F">
        <w:rPr>
          <w:vertAlign w:val="superscript"/>
          <w:lang w:val="es-ES"/>
        </w:rPr>
        <w:footnoteReference w:id="37"/>
      </w:r>
      <w:r w:rsidR="009E7E98" w:rsidRPr="006E763F">
        <w:rPr>
          <w:vertAlign w:val="superscript"/>
          <w:lang w:val="es-ES"/>
        </w:rPr>
        <w:t xml:space="preserve"> </w:t>
      </w:r>
      <w:r w:rsidR="009E7E98" w:rsidRPr="006E763F">
        <w:rPr>
          <w:lang w:val="es-ES"/>
        </w:rPr>
        <w:t>y de la FGN</w:t>
      </w:r>
      <w:r w:rsidR="009E7E98" w:rsidRPr="006E763F">
        <w:rPr>
          <w:vertAlign w:val="superscript"/>
          <w:lang w:val="es-ES"/>
        </w:rPr>
        <w:footnoteReference w:id="38"/>
      </w:r>
      <w:r w:rsidR="009E7E98" w:rsidRPr="006E763F">
        <w:rPr>
          <w:lang w:val="es-ES"/>
        </w:rPr>
        <w:t>, la CIDH identifica que se determinó que el arma pertenecía al teniente Ramiro Bohórquez Neuta (miembro activo policial en la época de los hechos</w:t>
      </w:r>
      <w:r w:rsidR="009E7E98" w:rsidRPr="006E763F">
        <w:rPr>
          <w:vertAlign w:val="superscript"/>
          <w:lang w:val="es-ES"/>
        </w:rPr>
        <w:footnoteReference w:id="39"/>
      </w:r>
      <w:r w:rsidR="009E7E98" w:rsidRPr="006E763F">
        <w:rPr>
          <w:lang w:val="es-ES"/>
        </w:rPr>
        <w:t xml:space="preserve">). </w:t>
      </w:r>
    </w:p>
    <w:p w14:paraId="4F2CE2A2" w14:textId="77777777" w:rsidR="00EC310A" w:rsidRPr="006E763F" w:rsidRDefault="00EC310A" w:rsidP="00E923BB">
      <w:pPr>
        <w:pStyle w:val="ListParagraph"/>
        <w:ind w:left="0" w:firstLine="720"/>
        <w:rPr>
          <w:sz w:val="20"/>
          <w:szCs w:val="20"/>
          <w:lang w:val="es-ES"/>
        </w:rPr>
      </w:pPr>
    </w:p>
    <w:p w14:paraId="07FF3C58" w14:textId="1E5A732E" w:rsidR="00EC310A" w:rsidRPr="006E763F" w:rsidRDefault="003C1F60" w:rsidP="00E923BB">
      <w:pPr>
        <w:pStyle w:val="Body"/>
        <w:numPr>
          <w:ilvl w:val="0"/>
          <w:numId w:val="2"/>
        </w:numPr>
        <w:ind w:firstLine="720"/>
        <w:rPr>
          <w:lang w:val="es-ES"/>
        </w:rPr>
      </w:pPr>
      <w:r w:rsidRPr="006E763F">
        <w:rPr>
          <w:lang w:val="es-ES"/>
        </w:rPr>
        <w:t>E</w:t>
      </w:r>
      <w:r w:rsidR="009E7E98" w:rsidRPr="006E763F">
        <w:rPr>
          <w:lang w:val="es-ES"/>
        </w:rPr>
        <w:t>l Estado señaló que “en el proceso disciplinario se estableció que el señor Ramiro Bohórquez Neuta no conoce al señor Pedro Julio Movilla, según declaración rendida por el Agente de la Policía, así como tampoco conoce al señor Pedro Julián Pabón”. Asimismo, respecto al arma decomisada, el Estado señaló que “el señor Bohórquez informó que hacía aproximadamente un año se le había extraviado y nunca pudo recuperarla, por lo que presentó ante la autoridad disciplinaria el respectivo denuncio”. El Estado concluyó indicando que “cualquier irregularidad alegada por los peticionarios, en relación a la denuncia del arma extraviada (…) no se ajusta a las constancias que reposan en la investigación penal y disciplinaria”</w:t>
      </w:r>
      <w:r w:rsidR="009E7E98" w:rsidRPr="006E763F">
        <w:rPr>
          <w:vertAlign w:val="superscript"/>
          <w:lang w:val="es-ES"/>
        </w:rPr>
        <w:footnoteReference w:id="40"/>
      </w:r>
      <w:r w:rsidR="009E7E98" w:rsidRPr="006E763F">
        <w:rPr>
          <w:lang w:val="es-ES"/>
        </w:rPr>
        <w:t xml:space="preserve">. </w:t>
      </w:r>
    </w:p>
    <w:p w14:paraId="65BAA720" w14:textId="77777777" w:rsidR="00EC310A" w:rsidRPr="006E763F" w:rsidRDefault="00EC310A" w:rsidP="00E923BB">
      <w:pPr>
        <w:pStyle w:val="Body"/>
        <w:ind w:firstLine="249"/>
        <w:rPr>
          <w:lang w:val="es-ES"/>
        </w:rPr>
      </w:pPr>
    </w:p>
    <w:p w14:paraId="44AA6871" w14:textId="77777777" w:rsidR="00EC310A" w:rsidRPr="006E763F" w:rsidRDefault="009E7E98" w:rsidP="00E923BB">
      <w:pPr>
        <w:pStyle w:val="Heading2"/>
        <w:rPr>
          <w:rFonts w:eastAsia="Times New Roman" w:cs="Times New Roman"/>
        </w:rPr>
      </w:pPr>
      <w:bookmarkStart w:id="11" w:name="_Toc446151"/>
      <w:r w:rsidRPr="006E763F">
        <w:t>Investigación y diligencias respecto de la desaparición de Pedro Julio Movilla Galarcio</w:t>
      </w:r>
      <w:bookmarkEnd w:id="11"/>
    </w:p>
    <w:p w14:paraId="58758D84" w14:textId="77777777" w:rsidR="00EC310A" w:rsidRPr="006E763F" w:rsidRDefault="00EC310A" w:rsidP="00E923BB">
      <w:pPr>
        <w:pStyle w:val="ListParagraph"/>
        <w:ind w:left="0" w:firstLine="249"/>
        <w:rPr>
          <w:b/>
          <w:bCs/>
          <w:color w:val="FF0000"/>
          <w:sz w:val="20"/>
          <w:szCs w:val="20"/>
          <w:lang w:val="es-ES"/>
        </w:rPr>
      </w:pPr>
    </w:p>
    <w:p w14:paraId="712D16ED" w14:textId="50E24118" w:rsidR="00EC310A" w:rsidRPr="006E763F" w:rsidRDefault="00C609A1" w:rsidP="00E923BB">
      <w:pPr>
        <w:pStyle w:val="Body"/>
        <w:numPr>
          <w:ilvl w:val="0"/>
          <w:numId w:val="2"/>
        </w:numPr>
        <w:ind w:firstLine="720"/>
        <w:rPr>
          <w:lang w:val="es-ES"/>
        </w:rPr>
      </w:pPr>
      <w:r w:rsidRPr="006E763F">
        <w:rPr>
          <w:lang w:val="es-ES"/>
        </w:rPr>
        <w:t xml:space="preserve">Del expediente surge que </w:t>
      </w:r>
      <w:r w:rsidR="009E7E98" w:rsidRPr="006E763F">
        <w:rPr>
          <w:lang w:val="es-ES"/>
        </w:rPr>
        <w:t>se llevar</w:t>
      </w:r>
      <w:r w:rsidR="00FB06D2" w:rsidRPr="006E763F">
        <w:rPr>
          <w:lang w:val="es-ES"/>
        </w:rPr>
        <w:t xml:space="preserve">on a cabo tres procedimientos internos: disciplinario, penal y contencioso administrativo. </w:t>
      </w:r>
      <w:r w:rsidR="00E017E5" w:rsidRPr="006E763F">
        <w:rPr>
          <w:lang w:val="es-ES"/>
        </w:rPr>
        <w:t>A</w:t>
      </w:r>
      <w:r w:rsidR="009E7E98" w:rsidRPr="006E763F">
        <w:rPr>
          <w:lang w:val="es-ES"/>
        </w:rPr>
        <w:t>demás</w:t>
      </w:r>
      <w:r w:rsidR="00E017E5" w:rsidRPr="006E763F">
        <w:rPr>
          <w:lang w:val="es-ES"/>
        </w:rPr>
        <w:t xml:space="preserve">, </w:t>
      </w:r>
      <w:r w:rsidR="009E7E98" w:rsidRPr="006E763F">
        <w:rPr>
          <w:lang w:val="es-ES"/>
        </w:rPr>
        <w:t>el 1</w:t>
      </w:r>
      <w:r w:rsidR="0034312F" w:rsidRPr="006E763F">
        <w:rPr>
          <w:lang w:val="es-ES"/>
        </w:rPr>
        <w:t>8</w:t>
      </w:r>
      <w:r w:rsidR="009E7E98" w:rsidRPr="006E763F">
        <w:rPr>
          <w:lang w:val="es-ES"/>
        </w:rPr>
        <w:t xml:space="preserve"> de mayo de 1993, el CCAJAR interpuso recurso de </w:t>
      </w:r>
      <w:r w:rsidR="009E7E98" w:rsidRPr="006E763F">
        <w:rPr>
          <w:i/>
          <w:lang w:val="es-ES"/>
        </w:rPr>
        <w:t>hábeas corpus</w:t>
      </w:r>
      <w:r w:rsidR="009E7E98" w:rsidRPr="006E763F">
        <w:rPr>
          <w:lang w:val="es-ES"/>
        </w:rPr>
        <w:t xml:space="preserve"> ante el Juez 54 Penal del Circuito de Bogotá, el que fue declarado inadmisible </w:t>
      </w:r>
      <w:r w:rsidR="00090F7F" w:rsidRPr="006E763F">
        <w:rPr>
          <w:lang w:val="es-ES"/>
        </w:rPr>
        <w:t xml:space="preserve">el </w:t>
      </w:r>
      <w:r w:rsidR="0034312F" w:rsidRPr="006E763F">
        <w:rPr>
          <w:lang w:val="es-ES"/>
        </w:rPr>
        <w:t>19 de mayo</w:t>
      </w:r>
      <w:r w:rsidR="00090F7F" w:rsidRPr="006E763F">
        <w:rPr>
          <w:lang w:val="es-ES"/>
        </w:rPr>
        <w:t xml:space="preserve"> </w:t>
      </w:r>
      <w:r w:rsidR="009E7E98" w:rsidRPr="006E763F">
        <w:rPr>
          <w:lang w:val="es-ES"/>
        </w:rPr>
        <w:t>por cuanto en la denuncia no se indicó el lugar de captura del desaparecido</w:t>
      </w:r>
      <w:r w:rsidR="009E7E98" w:rsidRPr="006E763F">
        <w:rPr>
          <w:vertAlign w:val="superscript"/>
          <w:lang w:val="es-ES"/>
        </w:rPr>
        <w:footnoteReference w:id="41"/>
      </w:r>
      <w:r w:rsidR="009E7E98" w:rsidRPr="006E763F">
        <w:rPr>
          <w:lang w:val="es-ES"/>
        </w:rPr>
        <w:t xml:space="preserve">. Asimismo, el 7 de septiembre de 1993, la Fiscalía Regional de </w:t>
      </w:r>
      <w:r w:rsidR="009E7E98" w:rsidRPr="006E763F">
        <w:rPr>
          <w:lang w:val="es-ES"/>
        </w:rPr>
        <w:lastRenderedPageBreak/>
        <w:t>Medellín, Antioquia, dictó resolución de investigación previa</w:t>
      </w:r>
      <w:r w:rsidR="009E7E98" w:rsidRPr="006E763F">
        <w:rPr>
          <w:vertAlign w:val="superscript"/>
          <w:lang w:val="es-ES"/>
        </w:rPr>
        <w:footnoteReference w:id="42"/>
      </w:r>
      <w:r w:rsidR="009E7E98" w:rsidRPr="006E763F">
        <w:rPr>
          <w:lang w:val="es-ES"/>
        </w:rPr>
        <w:t xml:space="preserve"> ante la denuncia presentada por la Federación Sindical de Trabajadores de Antioquia –FESUTRAN-CUT por los mismos hechos</w:t>
      </w:r>
      <w:r w:rsidR="009E7E98" w:rsidRPr="006E763F">
        <w:rPr>
          <w:vertAlign w:val="superscript"/>
          <w:lang w:val="es-ES"/>
        </w:rPr>
        <w:footnoteReference w:id="43"/>
      </w:r>
      <w:r w:rsidR="009E7E98" w:rsidRPr="006E763F">
        <w:rPr>
          <w:lang w:val="es-ES"/>
        </w:rPr>
        <w:t xml:space="preserve">, la que se adelantó por el delito de secuestro. En este último proceso, </w:t>
      </w:r>
      <w:r w:rsidR="00CB121D" w:rsidRPr="006E763F">
        <w:rPr>
          <w:lang w:val="es-ES"/>
        </w:rPr>
        <w:t xml:space="preserve">el 19 de octubre de 1993 </w:t>
      </w:r>
      <w:r w:rsidR="009E7E98" w:rsidRPr="006E763F">
        <w:rPr>
          <w:lang w:val="es-ES"/>
        </w:rPr>
        <w:t xml:space="preserve">se ordenó remitir las diligencias </w:t>
      </w:r>
      <w:r w:rsidR="0059460E" w:rsidRPr="006E763F">
        <w:rPr>
          <w:lang w:val="es-ES"/>
        </w:rPr>
        <w:t>a otra unidad por razones de</w:t>
      </w:r>
      <w:r w:rsidR="009E7E98" w:rsidRPr="006E763F">
        <w:rPr>
          <w:lang w:val="es-ES"/>
        </w:rPr>
        <w:t xml:space="preserve"> competencia</w:t>
      </w:r>
      <w:r w:rsidR="009E7E98" w:rsidRPr="006E763F">
        <w:rPr>
          <w:vertAlign w:val="superscript"/>
          <w:lang w:val="es-ES"/>
        </w:rPr>
        <w:footnoteReference w:id="44"/>
      </w:r>
      <w:r w:rsidR="00CB121D" w:rsidRPr="006E763F">
        <w:rPr>
          <w:lang w:val="es-ES"/>
        </w:rPr>
        <w:t>.</w:t>
      </w:r>
      <w:r w:rsidR="003C3075" w:rsidRPr="006E763F">
        <w:rPr>
          <w:lang w:val="es-ES"/>
        </w:rPr>
        <w:t xml:space="preserve"> </w:t>
      </w:r>
      <w:r w:rsidR="00F01D13" w:rsidRPr="006E763F">
        <w:rPr>
          <w:lang w:val="es-ES"/>
        </w:rPr>
        <w:t xml:space="preserve">La CIDH no cuenta con más información respecto de estos procesos. </w:t>
      </w:r>
    </w:p>
    <w:p w14:paraId="46C92C1A" w14:textId="77777777" w:rsidR="00F01D13" w:rsidRPr="006E763F" w:rsidRDefault="00F01D13" w:rsidP="00E923BB">
      <w:pPr>
        <w:pStyle w:val="Body"/>
        <w:ind w:firstLine="720"/>
        <w:rPr>
          <w:lang w:val="es-ES"/>
        </w:rPr>
      </w:pPr>
    </w:p>
    <w:p w14:paraId="2B3E1F6F" w14:textId="23EEC0E8" w:rsidR="00E923BB" w:rsidRDefault="00E923BB">
      <w:pPr>
        <w:rPr>
          <w:rFonts w:ascii="Cambria" w:eastAsia="Cambria" w:hAnsi="Cambria" w:cs="Cambria"/>
          <w:b/>
          <w:bCs/>
          <w:color w:val="000000"/>
          <w:sz w:val="20"/>
          <w:szCs w:val="20"/>
          <w:u w:color="000000"/>
          <w:lang w:val="es-ES" w:eastAsia="es-CL"/>
        </w:rPr>
      </w:pPr>
    </w:p>
    <w:p w14:paraId="3D98C571" w14:textId="49ED2F58" w:rsidR="00EC310A" w:rsidRPr="00E923BB" w:rsidRDefault="009E7E98" w:rsidP="00A56231">
      <w:pPr>
        <w:pStyle w:val="Heading3"/>
        <w:ind w:left="720"/>
      </w:pPr>
      <w:bookmarkStart w:id="12" w:name="_Toc446152"/>
      <w:r w:rsidRPr="00E923BB">
        <w:t xml:space="preserve">Proceso </w:t>
      </w:r>
      <w:r w:rsidR="00800F8F" w:rsidRPr="00E923BB">
        <w:t>d</w:t>
      </w:r>
      <w:r w:rsidRPr="00E923BB">
        <w:t>isciplinario</w:t>
      </w:r>
      <w:r w:rsidR="00800F8F" w:rsidRPr="00E923BB">
        <w:t xml:space="preserve"> ante la PGN</w:t>
      </w:r>
      <w:bookmarkEnd w:id="12"/>
    </w:p>
    <w:p w14:paraId="28DB674E" w14:textId="77777777" w:rsidR="00EC310A" w:rsidRPr="006E763F" w:rsidRDefault="00EC310A" w:rsidP="00E923BB">
      <w:pPr>
        <w:pStyle w:val="ListParagraph"/>
        <w:ind w:left="0" w:firstLine="249"/>
        <w:rPr>
          <w:b/>
          <w:bCs/>
          <w:color w:val="FF0000"/>
          <w:sz w:val="20"/>
          <w:szCs w:val="20"/>
          <w:lang w:val="es-ES"/>
        </w:rPr>
      </w:pPr>
    </w:p>
    <w:p w14:paraId="20BA1AF9" w14:textId="21FAD134" w:rsidR="000672D0" w:rsidRPr="006E763F" w:rsidRDefault="00CE2E09" w:rsidP="00E923BB">
      <w:pPr>
        <w:pStyle w:val="Body"/>
        <w:numPr>
          <w:ilvl w:val="0"/>
          <w:numId w:val="2"/>
        </w:numPr>
        <w:ind w:firstLine="720"/>
        <w:rPr>
          <w:rFonts w:eastAsia="Times New Roman" w:cs="Times New Roman"/>
          <w:b/>
          <w:bCs/>
          <w:color w:val="FF0000"/>
          <w:u w:color="FF0000"/>
          <w:lang w:val="es-ES"/>
        </w:rPr>
      </w:pPr>
      <w:r w:rsidRPr="006E763F">
        <w:rPr>
          <w:lang w:val="es-ES"/>
        </w:rPr>
        <w:t>E</w:t>
      </w:r>
      <w:r w:rsidR="009E7E98" w:rsidRPr="006E763F">
        <w:rPr>
          <w:lang w:val="es-ES"/>
        </w:rPr>
        <w:t>l 18 de mayo de 1993 la señora Vergara interpuso Queja ante la PGN</w:t>
      </w:r>
      <w:r w:rsidR="004458F5" w:rsidRPr="006E763F">
        <w:rPr>
          <w:vertAlign w:val="superscript"/>
          <w:lang w:val="es-ES"/>
        </w:rPr>
        <w:footnoteReference w:id="45"/>
      </w:r>
      <w:r w:rsidR="009E7E98" w:rsidRPr="006E763F">
        <w:rPr>
          <w:lang w:val="es-ES"/>
        </w:rPr>
        <w:t>. El 20 de mayo de 1993 la PGN ordenó el inicio de investigación previa.</w:t>
      </w:r>
      <w:r w:rsidR="001874E6" w:rsidRPr="006E763F">
        <w:rPr>
          <w:rFonts w:eastAsia="Times New Roman" w:cs="Times New Roman"/>
          <w:b/>
          <w:bCs/>
          <w:color w:val="FF0000"/>
          <w:u w:color="FF0000"/>
          <w:lang w:val="es-ES"/>
        </w:rPr>
        <w:t xml:space="preserve"> </w:t>
      </w:r>
      <w:r w:rsidR="000E2DEE" w:rsidRPr="006E763F">
        <w:rPr>
          <w:lang w:val="es-ES"/>
        </w:rPr>
        <w:t>A continuación</w:t>
      </w:r>
      <w:r w:rsidR="00E92122" w:rsidRPr="006E763F">
        <w:rPr>
          <w:lang w:val="es-ES"/>
        </w:rPr>
        <w:t>,</w:t>
      </w:r>
      <w:r w:rsidR="000E2DEE" w:rsidRPr="006E763F">
        <w:rPr>
          <w:lang w:val="es-ES"/>
        </w:rPr>
        <w:t xml:space="preserve"> se resumen las diligencias principales practicadas en esta investigación. </w:t>
      </w:r>
    </w:p>
    <w:p w14:paraId="1EA99807" w14:textId="77777777" w:rsidR="000672D0" w:rsidRPr="006E763F" w:rsidRDefault="000672D0" w:rsidP="00E923BB">
      <w:pPr>
        <w:pStyle w:val="ListParagraph"/>
        <w:rPr>
          <w:sz w:val="20"/>
          <w:szCs w:val="20"/>
          <w:lang w:val="es-ES"/>
        </w:rPr>
      </w:pPr>
    </w:p>
    <w:p w14:paraId="0A291B87" w14:textId="39FA6633" w:rsidR="0077103E" w:rsidRPr="006E763F" w:rsidRDefault="00807973" w:rsidP="00E923BB">
      <w:pPr>
        <w:pStyle w:val="Body"/>
        <w:numPr>
          <w:ilvl w:val="0"/>
          <w:numId w:val="2"/>
        </w:numPr>
        <w:ind w:firstLine="720"/>
        <w:rPr>
          <w:rFonts w:eastAsia="Times New Roman" w:cs="Times New Roman"/>
          <w:b/>
          <w:bCs/>
          <w:color w:val="FF0000"/>
          <w:u w:color="FF0000"/>
          <w:lang w:val="es-ES"/>
        </w:rPr>
      </w:pPr>
      <w:r w:rsidRPr="006E763F">
        <w:rPr>
          <w:lang w:val="es-ES"/>
        </w:rPr>
        <w:t>L</w:t>
      </w:r>
      <w:r w:rsidR="009E7E98" w:rsidRPr="006E763F">
        <w:rPr>
          <w:lang w:val="es-ES"/>
        </w:rPr>
        <w:t>as circunstancias del día y hora de</w:t>
      </w:r>
      <w:r w:rsidR="00D951C0" w:rsidRPr="006E763F">
        <w:rPr>
          <w:lang w:val="es-ES"/>
        </w:rPr>
        <w:t xml:space="preserve"> la</w:t>
      </w:r>
      <w:r w:rsidR="009E7E98" w:rsidRPr="006E763F">
        <w:rPr>
          <w:lang w:val="es-ES"/>
        </w:rPr>
        <w:t xml:space="preserve"> desaparición de la presunta víctima fueron reconstruidas a partir de la declaración de cuatro testimonios practicados por la PGN</w:t>
      </w:r>
      <w:r w:rsidR="0014151E" w:rsidRPr="006E763F">
        <w:rPr>
          <w:lang w:val="es-ES"/>
        </w:rPr>
        <w:t>,</w:t>
      </w:r>
      <w:r w:rsidR="009E7E98" w:rsidRPr="006E763F">
        <w:rPr>
          <w:lang w:val="es-ES"/>
        </w:rPr>
        <w:t xml:space="preserve"> que fueron tomados a personas que se encontraban en los alrededores del Colegio Kennedy el 13 de mayo de 1993.</w:t>
      </w:r>
      <w:r w:rsidR="00E92122" w:rsidRPr="006E763F">
        <w:rPr>
          <w:lang w:val="es-ES"/>
        </w:rPr>
        <w:t xml:space="preserve"> También c</w:t>
      </w:r>
      <w:r w:rsidR="009E7E98" w:rsidRPr="006E763F">
        <w:rPr>
          <w:lang w:val="es-ES"/>
        </w:rPr>
        <w:t xml:space="preserve">onsta en el expediente que la PGN practicó diversas diligencias relacionadas con las acciones de inteligencia practicadas respecto de Pedro Julio Movilla Galarcio. </w:t>
      </w:r>
      <w:r w:rsidR="00404FE9" w:rsidRPr="006E763F">
        <w:rPr>
          <w:lang w:val="es-ES"/>
        </w:rPr>
        <w:t xml:space="preserve">Los resultados de estas diligencias </w:t>
      </w:r>
      <w:r w:rsidR="00696E43" w:rsidRPr="006E763F">
        <w:rPr>
          <w:lang w:val="es-ES"/>
        </w:rPr>
        <w:t xml:space="preserve">llevaron </w:t>
      </w:r>
      <w:r w:rsidR="009E7E98" w:rsidRPr="006E763F">
        <w:rPr>
          <w:lang w:val="es-ES"/>
        </w:rPr>
        <w:t>a que la PGN afirmara que “las anotaciones que se registran en la Dirección de Inteligencia al particular Pedro Julio Movilla, nos indican que por la actividad a que se dedicaba era objeto de seguimiento por el servicio de inteligencia militar</w:t>
      </w:r>
      <w:r w:rsidR="0010443A" w:rsidRPr="006E763F">
        <w:rPr>
          <w:lang w:val="es-ES"/>
        </w:rPr>
        <w:t>”</w:t>
      </w:r>
      <w:r w:rsidR="009E7E98" w:rsidRPr="006E763F">
        <w:rPr>
          <w:vertAlign w:val="superscript"/>
          <w:lang w:val="es-ES"/>
        </w:rPr>
        <w:footnoteReference w:id="46"/>
      </w:r>
      <w:r w:rsidR="0077103E" w:rsidRPr="006E763F">
        <w:rPr>
          <w:lang w:val="es-ES"/>
        </w:rPr>
        <w:t xml:space="preserve">. </w:t>
      </w:r>
      <w:r w:rsidR="009E7E98" w:rsidRPr="006E763F">
        <w:rPr>
          <w:lang w:val="es-ES"/>
        </w:rPr>
        <w:t xml:space="preserve">Asimismo, en el plano testimonial, la PGN tomó declaraciones de testigos del seguimiento e interés de órganos de inteligencia por Pedro Julio Movilla Galarcio. </w:t>
      </w:r>
      <w:r w:rsidR="00AC0DD4" w:rsidRPr="006E763F">
        <w:rPr>
          <w:lang w:val="es-ES"/>
        </w:rPr>
        <w:t xml:space="preserve">El contenido relevante de esta prueba practicada ya fue referido en el presente informe en la </w:t>
      </w:r>
      <w:r w:rsidR="0077539E" w:rsidRPr="006E763F">
        <w:rPr>
          <w:lang w:val="es-ES"/>
        </w:rPr>
        <w:t>descripción de los hechos.</w:t>
      </w:r>
    </w:p>
    <w:p w14:paraId="53BCD0AD" w14:textId="77777777" w:rsidR="0077103E" w:rsidRPr="006E763F" w:rsidRDefault="0077103E" w:rsidP="00E923BB">
      <w:pPr>
        <w:pStyle w:val="Body"/>
        <w:ind w:left="567" w:firstLine="0"/>
        <w:rPr>
          <w:lang w:val="es-ES"/>
        </w:rPr>
      </w:pPr>
    </w:p>
    <w:p w14:paraId="535CE096" w14:textId="77777777" w:rsidR="009C103A" w:rsidRPr="006E763F" w:rsidRDefault="006A60BF" w:rsidP="00F700C6">
      <w:pPr>
        <w:pStyle w:val="Body"/>
        <w:numPr>
          <w:ilvl w:val="0"/>
          <w:numId w:val="2"/>
        </w:numPr>
        <w:ind w:firstLine="720"/>
        <w:rPr>
          <w:lang w:val="es-ES"/>
        </w:rPr>
      </w:pPr>
      <w:r w:rsidRPr="006E763F">
        <w:rPr>
          <w:lang w:val="es-ES"/>
        </w:rPr>
        <w:t>La CIDH observa que l</w:t>
      </w:r>
      <w:r w:rsidR="0077103E" w:rsidRPr="006E763F">
        <w:rPr>
          <w:lang w:val="es-ES"/>
        </w:rPr>
        <w:t>a parte peticionaria solicitó a la PGN que indague ante el Ejército Nacional respecto de la razón, época y fuentes de los informes de inteligencia, sin embargo, este pedido fue rechazado dado que en las investigaciones disciplinarias el quejoso no era considerado parte procesal</w:t>
      </w:r>
      <w:r w:rsidR="0077103E" w:rsidRPr="006E763F">
        <w:rPr>
          <w:vertAlign w:val="superscript"/>
          <w:lang w:val="es-ES"/>
        </w:rPr>
        <w:footnoteReference w:id="47"/>
      </w:r>
      <w:r w:rsidR="0077103E" w:rsidRPr="006E763F">
        <w:rPr>
          <w:lang w:val="es-ES"/>
        </w:rPr>
        <w:t>.</w:t>
      </w:r>
    </w:p>
    <w:p w14:paraId="2D20C544" w14:textId="77777777" w:rsidR="009C103A" w:rsidRPr="006E763F" w:rsidRDefault="009C103A" w:rsidP="00E923BB">
      <w:pPr>
        <w:pStyle w:val="ListParagraph"/>
        <w:rPr>
          <w:sz w:val="20"/>
          <w:szCs w:val="20"/>
          <w:lang w:val="es-ES"/>
        </w:rPr>
      </w:pPr>
    </w:p>
    <w:p w14:paraId="0D476752" w14:textId="562F74C3" w:rsidR="00EC310A" w:rsidRPr="006E763F" w:rsidRDefault="009E7E98" w:rsidP="00F700C6">
      <w:pPr>
        <w:pStyle w:val="Body"/>
        <w:numPr>
          <w:ilvl w:val="0"/>
          <w:numId w:val="2"/>
        </w:numPr>
        <w:ind w:firstLine="720"/>
        <w:rPr>
          <w:lang w:val="es-ES"/>
        </w:rPr>
      </w:pPr>
      <w:r w:rsidRPr="006E763F">
        <w:rPr>
          <w:lang w:val="es-ES"/>
        </w:rPr>
        <w:t>En relación con los disparos escuchados el día 13 de mayo de 1993 y la detención de un sujeto en estado de ebriedad que los habría realizado, consta</w:t>
      </w:r>
      <w:r w:rsidR="0077539E" w:rsidRPr="006E763F">
        <w:rPr>
          <w:lang w:val="es-ES"/>
        </w:rPr>
        <w:t>n</w:t>
      </w:r>
      <w:r w:rsidRPr="006E763F">
        <w:rPr>
          <w:lang w:val="es-ES"/>
        </w:rPr>
        <w:t xml:space="preserve"> en el expediente</w:t>
      </w:r>
      <w:r w:rsidR="00941008" w:rsidRPr="006E763F">
        <w:rPr>
          <w:lang w:val="es-ES"/>
        </w:rPr>
        <w:t xml:space="preserve"> diversas diligencias para esclarecer tales hechos en los términos ya descritos en el presente informe</w:t>
      </w:r>
      <w:r w:rsidRPr="006E763F">
        <w:rPr>
          <w:vertAlign w:val="superscript"/>
        </w:rPr>
        <w:footnoteReference w:id="48"/>
      </w:r>
      <w:r w:rsidRPr="006E763F">
        <w:rPr>
          <w:lang w:val="es-ES"/>
        </w:rPr>
        <w:t>.</w:t>
      </w:r>
    </w:p>
    <w:p w14:paraId="07536486" w14:textId="77777777" w:rsidR="00EC310A" w:rsidRPr="006E763F" w:rsidRDefault="00EC310A" w:rsidP="00E923BB">
      <w:pPr>
        <w:pStyle w:val="ListParagraph"/>
        <w:ind w:left="0" w:firstLine="249"/>
        <w:rPr>
          <w:b/>
          <w:bCs/>
          <w:sz w:val="20"/>
          <w:szCs w:val="20"/>
          <w:lang w:val="es-ES"/>
        </w:rPr>
      </w:pPr>
    </w:p>
    <w:p w14:paraId="254410D8" w14:textId="75C7CE12" w:rsidR="00EC310A" w:rsidRPr="006E763F" w:rsidRDefault="009E7E98" w:rsidP="00F700C6">
      <w:pPr>
        <w:pStyle w:val="Body"/>
        <w:numPr>
          <w:ilvl w:val="0"/>
          <w:numId w:val="2"/>
        </w:numPr>
        <w:ind w:firstLine="720"/>
        <w:rPr>
          <w:lang w:val="es-ES"/>
        </w:rPr>
      </w:pPr>
      <w:r w:rsidRPr="006E763F">
        <w:rPr>
          <w:lang w:val="es-ES"/>
        </w:rPr>
        <w:t>La Comisión observa que, en esta línea de investigación, la PGN dejó constancia de su visita al Juzgado Penal 51 y consignó la existencia de un proceso penal dirigido en contra del señor Pabón el año 1991, del cual se desprende que para el 26 de febrero de 1991 era “informante de la Dijin, del F-2 (…)” señalando que “ahí, uno gana comisiones” y que trabajaba con el capitán Ramírez, Jefe del Grupo Antisecuestros y con los señores Correa y Grijalba del mismo grupo</w:t>
      </w:r>
      <w:r w:rsidRPr="006E763F">
        <w:rPr>
          <w:vertAlign w:val="superscript"/>
          <w:lang w:val="es-ES"/>
        </w:rPr>
        <w:footnoteReference w:id="49"/>
      </w:r>
      <w:r w:rsidRPr="006E763F">
        <w:rPr>
          <w:lang w:val="es-ES"/>
        </w:rPr>
        <w:t xml:space="preserve">. </w:t>
      </w:r>
      <w:r w:rsidR="00A81058" w:rsidRPr="006E763F">
        <w:rPr>
          <w:lang w:val="es-ES"/>
        </w:rPr>
        <w:t>L</w:t>
      </w:r>
      <w:r w:rsidRPr="006E763F">
        <w:rPr>
          <w:lang w:val="es-ES"/>
        </w:rPr>
        <w:t xml:space="preserve">a parte peticionaria solicitó a la PGN que se interrogue al Comandante de la </w:t>
      </w:r>
      <w:r w:rsidRPr="006E763F">
        <w:rPr>
          <w:lang w:val="es-ES"/>
        </w:rPr>
        <w:lastRenderedPageBreak/>
        <w:t>Estación Cien que dejó en libertad al señor Pabón y que le reintegró el arma, sin embargo, este pedido fue rechazado dado que en las investigaciones disciplinarias el quejoso no era considerado parte procesal</w:t>
      </w:r>
      <w:r w:rsidRPr="006E763F">
        <w:rPr>
          <w:vertAlign w:val="superscript"/>
          <w:lang w:val="es-ES"/>
        </w:rPr>
        <w:footnoteReference w:id="50"/>
      </w:r>
      <w:r w:rsidRPr="006E763F">
        <w:rPr>
          <w:lang w:val="es-ES"/>
        </w:rPr>
        <w:t>.</w:t>
      </w:r>
    </w:p>
    <w:p w14:paraId="3F46EFBB" w14:textId="77777777" w:rsidR="00EC310A" w:rsidRPr="006E763F" w:rsidRDefault="00EC310A" w:rsidP="00E923BB">
      <w:pPr>
        <w:pStyle w:val="ListParagraph"/>
        <w:ind w:left="0" w:firstLine="249"/>
        <w:rPr>
          <w:sz w:val="20"/>
          <w:szCs w:val="20"/>
          <w:lang w:val="es-ES"/>
        </w:rPr>
      </w:pPr>
    </w:p>
    <w:p w14:paraId="55EE8E70" w14:textId="759F4C8E" w:rsidR="00490765" w:rsidRPr="006E763F" w:rsidRDefault="009E7E98" w:rsidP="00F700C6">
      <w:pPr>
        <w:pStyle w:val="Body"/>
        <w:numPr>
          <w:ilvl w:val="0"/>
          <w:numId w:val="2"/>
        </w:numPr>
        <w:ind w:firstLine="720"/>
        <w:rPr>
          <w:lang w:val="es-ES"/>
        </w:rPr>
      </w:pPr>
      <w:r w:rsidRPr="006E763F">
        <w:rPr>
          <w:lang w:val="es-ES"/>
        </w:rPr>
        <w:t>La CIDH observa que existen varias diligencias practicadas por la PGN encaminadas a determinar el paradero del señor Pabón. En este sentido, se deja constancia de la incorporación al expediente del cursado de oficios a las oficinas de Aduanas</w:t>
      </w:r>
      <w:r w:rsidRPr="006E763F">
        <w:rPr>
          <w:vertAlign w:val="superscript"/>
          <w:lang w:val="es-ES"/>
        </w:rPr>
        <w:footnoteReference w:id="51"/>
      </w:r>
      <w:r w:rsidRPr="006E763F">
        <w:rPr>
          <w:lang w:val="es-ES"/>
        </w:rPr>
        <w:t xml:space="preserve"> y Catastro</w:t>
      </w:r>
      <w:r w:rsidRPr="006E763F">
        <w:rPr>
          <w:vertAlign w:val="superscript"/>
          <w:lang w:val="es-ES"/>
        </w:rPr>
        <w:footnoteReference w:id="52"/>
      </w:r>
      <w:r w:rsidRPr="006E763F">
        <w:rPr>
          <w:lang w:val="es-ES"/>
        </w:rPr>
        <w:t>, por ejemplo, para la determinación de un domicilio al que se pudiera llamar al señor Pabón a declarar. Asimismo, se observa que se ordenó la interceptación de sus comunicaciones (bíper) el mes de octubre de 1993</w:t>
      </w:r>
      <w:r w:rsidRPr="006E763F">
        <w:rPr>
          <w:vertAlign w:val="superscript"/>
          <w:lang w:val="es-ES"/>
        </w:rPr>
        <w:footnoteReference w:id="53"/>
      </w:r>
      <w:r w:rsidRPr="006E763F">
        <w:rPr>
          <w:lang w:val="es-ES"/>
        </w:rPr>
        <w:t xml:space="preserve">. </w:t>
      </w:r>
    </w:p>
    <w:p w14:paraId="3BDB4CC2" w14:textId="77777777" w:rsidR="00490765" w:rsidRPr="006E763F" w:rsidRDefault="00490765" w:rsidP="00E923BB">
      <w:pPr>
        <w:pStyle w:val="ListParagraph"/>
        <w:rPr>
          <w:sz w:val="20"/>
          <w:szCs w:val="20"/>
          <w:lang w:val="es-ES"/>
        </w:rPr>
      </w:pPr>
    </w:p>
    <w:p w14:paraId="42B70C34" w14:textId="30087FB0" w:rsidR="00EC310A" w:rsidRPr="006E763F" w:rsidRDefault="00490765" w:rsidP="00F700C6">
      <w:pPr>
        <w:pStyle w:val="Body"/>
        <w:numPr>
          <w:ilvl w:val="0"/>
          <w:numId w:val="2"/>
        </w:numPr>
        <w:ind w:firstLine="720"/>
        <w:rPr>
          <w:lang w:val="es-ES"/>
        </w:rPr>
      </w:pPr>
      <w:r w:rsidRPr="006E763F">
        <w:rPr>
          <w:lang w:val="es-ES"/>
        </w:rPr>
        <w:t xml:space="preserve">En cuanto a las diligencias para la ubicación física </w:t>
      </w:r>
      <w:r w:rsidR="000E2A52" w:rsidRPr="006E763F">
        <w:rPr>
          <w:lang w:val="es-ES"/>
        </w:rPr>
        <w:t xml:space="preserve">de la presunta víctima, </w:t>
      </w:r>
      <w:r w:rsidR="009E7E98" w:rsidRPr="006E763F">
        <w:rPr>
          <w:lang w:val="es-ES"/>
        </w:rPr>
        <w:t>la Comisión da cuenta de que se realizaron búsquedas de los registros dactiloscópicos de Pedro Julio Movilla Galarcio en la Registraduría Nacional del Estado Civil</w:t>
      </w:r>
      <w:r w:rsidR="009E7E98" w:rsidRPr="006E763F">
        <w:rPr>
          <w:vertAlign w:val="superscript"/>
        </w:rPr>
        <w:footnoteReference w:id="54"/>
      </w:r>
      <w:r w:rsidR="009E7E98" w:rsidRPr="006E763F">
        <w:rPr>
          <w:lang w:val="es-ES"/>
        </w:rPr>
        <w:t>, el Instituto Nacional de Medicina Legal y Ciencias Forenses</w:t>
      </w:r>
      <w:r w:rsidR="009E7E98" w:rsidRPr="006E763F">
        <w:rPr>
          <w:vertAlign w:val="superscript"/>
        </w:rPr>
        <w:footnoteReference w:id="55"/>
      </w:r>
      <w:r w:rsidR="009E7E98" w:rsidRPr="006E763F">
        <w:rPr>
          <w:lang w:val="es-ES"/>
        </w:rPr>
        <w:t>, la División Criminalística de la Dijin</w:t>
      </w:r>
      <w:r w:rsidR="009E7E98" w:rsidRPr="006E763F">
        <w:rPr>
          <w:vertAlign w:val="superscript"/>
        </w:rPr>
        <w:footnoteReference w:id="56"/>
      </w:r>
      <w:r w:rsidR="009E7E98" w:rsidRPr="006E763F">
        <w:rPr>
          <w:lang w:val="es-ES"/>
        </w:rPr>
        <w:t>, la Oficina de Archivos Especializados de</w:t>
      </w:r>
      <w:r w:rsidR="00950CC5" w:rsidRPr="006E763F">
        <w:rPr>
          <w:lang w:val="es-ES"/>
        </w:rPr>
        <w:t xml:space="preserve"> </w:t>
      </w:r>
      <w:r w:rsidR="009E7E98" w:rsidRPr="006E763F">
        <w:rPr>
          <w:lang w:val="es-ES"/>
        </w:rPr>
        <w:t>l</w:t>
      </w:r>
      <w:r w:rsidR="00950CC5" w:rsidRPr="006E763F">
        <w:rPr>
          <w:lang w:val="es-ES"/>
        </w:rPr>
        <w:t>a</w:t>
      </w:r>
      <w:r w:rsidR="009E7E98" w:rsidRPr="006E763F">
        <w:rPr>
          <w:lang w:val="es-ES"/>
        </w:rPr>
        <w:t xml:space="preserve"> DAS</w:t>
      </w:r>
      <w:r w:rsidR="009E7E98" w:rsidRPr="006E763F">
        <w:rPr>
          <w:vertAlign w:val="superscript"/>
        </w:rPr>
        <w:footnoteReference w:id="57"/>
      </w:r>
      <w:r w:rsidR="009E7E98" w:rsidRPr="006E763F">
        <w:rPr>
          <w:lang w:val="es-ES"/>
        </w:rPr>
        <w:t>, Sección Nacional N.N. y Desaparecidos de la División Criminalística del Cuerpo Técnico de Investigación de la Fiscalía General</w:t>
      </w:r>
      <w:r w:rsidR="009E7E98" w:rsidRPr="006E763F">
        <w:rPr>
          <w:vertAlign w:val="superscript"/>
        </w:rPr>
        <w:footnoteReference w:id="58"/>
      </w:r>
      <w:r w:rsidR="009E7E98" w:rsidRPr="006E763F">
        <w:rPr>
          <w:lang w:val="es-ES"/>
        </w:rPr>
        <w:t xml:space="preserve">, encontrándose en todos los casos resultados negativos. </w:t>
      </w:r>
      <w:r w:rsidR="00653CBB" w:rsidRPr="006E763F">
        <w:rPr>
          <w:lang w:val="es-ES"/>
        </w:rPr>
        <w:t xml:space="preserve">También consta </w:t>
      </w:r>
      <w:r w:rsidR="009E7E98" w:rsidRPr="006E763F">
        <w:rPr>
          <w:lang w:val="es-ES"/>
        </w:rPr>
        <w:t>un informe de la Oficina de Identificación y Personas Desaparecidas del Instituto Nacional de Medicina Legal y Ciencias Forenses en el que se informa que el libro de recepción de cadáveres, el álbum de fotografías de filiación, el archivo de descripciones morfológicas y cartas dentales fueron revisados por dicha entidad en búsqueda de coincidencias con la descripción de Pedro Julio Movilla Galarcio</w:t>
      </w:r>
      <w:r w:rsidR="00D40FB7" w:rsidRPr="006E763F">
        <w:rPr>
          <w:lang w:val="es-ES"/>
        </w:rPr>
        <w:t xml:space="preserve">, también con resultados negativos. </w:t>
      </w:r>
      <w:r w:rsidR="009E7E98" w:rsidRPr="006E763F">
        <w:rPr>
          <w:lang w:val="es-ES"/>
        </w:rPr>
        <w:t>De igual forma, se informó de las visitas periódicas que Candelaria Vergara realizaba en la oficina para revisar directamente el álbum fotográfico de cadáveres no identificados, también con resultados negativos</w:t>
      </w:r>
      <w:r w:rsidR="009E7E98" w:rsidRPr="006E763F">
        <w:rPr>
          <w:vertAlign w:val="superscript"/>
        </w:rPr>
        <w:footnoteReference w:id="59"/>
      </w:r>
      <w:r w:rsidR="009E7E98" w:rsidRPr="006E763F">
        <w:rPr>
          <w:lang w:val="es-ES"/>
        </w:rPr>
        <w:t>.</w:t>
      </w:r>
      <w:r w:rsidR="00653CBB" w:rsidRPr="006E763F">
        <w:rPr>
          <w:lang w:val="es-ES"/>
        </w:rPr>
        <w:t xml:space="preserve"> L</w:t>
      </w:r>
      <w:r w:rsidR="009E7E98" w:rsidRPr="006E763F">
        <w:rPr>
          <w:lang w:val="es-ES"/>
        </w:rPr>
        <w:t>a PGN</w:t>
      </w:r>
      <w:r w:rsidR="00653CBB" w:rsidRPr="006E763F">
        <w:rPr>
          <w:lang w:val="es-ES"/>
        </w:rPr>
        <w:t xml:space="preserve"> también</w:t>
      </w:r>
      <w:r w:rsidR="009E7E98" w:rsidRPr="006E763F">
        <w:rPr>
          <w:lang w:val="es-ES"/>
        </w:rPr>
        <w:t xml:space="preserve"> practicó visitas en el laboratorio de dactiloscopia del mencionado Instituto con la finalidad de establecer si entre las personas no identificadas y cadáveres depositados en la unidad de Medicina Legal desde el 13 de mayo de 1993</w:t>
      </w:r>
      <w:r w:rsidR="00D1078C" w:rsidRPr="006E763F">
        <w:rPr>
          <w:lang w:val="es-ES"/>
        </w:rPr>
        <w:t>, con resultados negativos</w:t>
      </w:r>
      <w:r w:rsidR="009E7E98" w:rsidRPr="006E763F">
        <w:rPr>
          <w:vertAlign w:val="superscript"/>
        </w:rPr>
        <w:footnoteReference w:id="60"/>
      </w:r>
      <w:r w:rsidR="009E7E98" w:rsidRPr="006E763F">
        <w:rPr>
          <w:lang w:val="es-ES"/>
        </w:rPr>
        <w:t>.</w:t>
      </w:r>
      <w:r w:rsidR="000E5B2E" w:rsidRPr="006E763F">
        <w:rPr>
          <w:lang w:val="es-ES"/>
        </w:rPr>
        <w:t xml:space="preserve"> La </w:t>
      </w:r>
      <w:r w:rsidR="009E7E98" w:rsidRPr="006E763F">
        <w:rPr>
          <w:lang w:val="es-ES"/>
        </w:rPr>
        <w:t xml:space="preserve">CIDH </w:t>
      </w:r>
      <w:r w:rsidR="00D40FB7" w:rsidRPr="006E763F">
        <w:rPr>
          <w:lang w:val="es-ES"/>
        </w:rPr>
        <w:t xml:space="preserve">observa </w:t>
      </w:r>
      <w:r w:rsidR="009E7E98" w:rsidRPr="006E763F">
        <w:rPr>
          <w:lang w:val="es-ES"/>
        </w:rPr>
        <w:t>que la PGN</w:t>
      </w:r>
      <w:r w:rsidR="000E5B2E" w:rsidRPr="006E763F">
        <w:rPr>
          <w:lang w:val="es-ES"/>
        </w:rPr>
        <w:t xml:space="preserve"> </w:t>
      </w:r>
      <w:r w:rsidR="006305D8" w:rsidRPr="006E763F">
        <w:rPr>
          <w:lang w:val="es-ES"/>
        </w:rPr>
        <w:t>también</w:t>
      </w:r>
      <w:r w:rsidR="009E7E98" w:rsidRPr="006E763F">
        <w:rPr>
          <w:lang w:val="es-ES"/>
        </w:rPr>
        <w:t xml:space="preserve"> realizó visitas a diferentes salas de retención de los organismos de seguridad, tales como Sijin, Dijin y DAS</w:t>
      </w:r>
      <w:r w:rsidR="009E7E98" w:rsidRPr="006E763F">
        <w:rPr>
          <w:vertAlign w:val="superscript"/>
        </w:rPr>
        <w:footnoteReference w:id="61"/>
      </w:r>
      <w:r w:rsidR="009E7E98" w:rsidRPr="006E763F">
        <w:rPr>
          <w:lang w:val="es-ES"/>
        </w:rPr>
        <w:t>.</w:t>
      </w:r>
    </w:p>
    <w:p w14:paraId="60F7D8D9" w14:textId="77777777" w:rsidR="006305D8" w:rsidRDefault="006305D8" w:rsidP="00E923BB">
      <w:pPr>
        <w:pStyle w:val="Body"/>
        <w:ind w:left="567" w:firstLine="0"/>
        <w:rPr>
          <w:lang w:val="es-ES"/>
        </w:rPr>
      </w:pPr>
    </w:p>
    <w:p w14:paraId="29D26D2A" w14:textId="77777777" w:rsidR="00A56231" w:rsidRDefault="00A56231" w:rsidP="00E923BB">
      <w:pPr>
        <w:pStyle w:val="Body"/>
        <w:ind w:left="567" w:firstLine="0"/>
        <w:rPr>
          <w:lang w:val="es-ES"/>
        </w:rPr>
      </w:pPr>
    </w:p>
    <w:p w14:paraId="08B2B988" w14:textId="77777777" w:rsidR="00A56231" w:rsidRDefault="00A56231" w:rsidP="00E923BB">
      <w:pPr>
        <w:pStyle w:val="Body"/>
        <w:ind w:left="567" w:firstLine="0"/>
        <w:rPr>
          <w:lang w:val="es-ES"/>
        </w:rPr>
      </w:pPr>
    </w:p>
    <w:p w14:paraId="4B843EA4" w14:textId="77777777" w:rsidR="00A56231" w:rsidRDefault="00A56231" w:rsidP="00E923BB">
      <w:pPr>
        <w:pStyle w:val="Body"/>
        <w:ind w:left="567" w:firstLine="0"/>
        <w:rPr>
          <w:lang w:val="es-ES"/>
        </w:rPr>
      </w:pPr>
    </w:p>
    <w:p w14:paraId="2B64082D" w14:textId="77777777" w:rsidR="00A56231" w:rsidRPr="006E763F" w:rsidRDefault="00A56231" w:rsidP="00E923BB">
      <w:pPr>
        <w:pStyle w:val="Body"/>
        <w:ind w:left="567" w:firstLine="0"/>
        <w:rPr>
          <w:lang w:val="es-ES"/>
        </w:rPr>
      </w:pPr>
    </w:p>
    <w:p w14:paraId="4889A3A5" w14:textId="7E785EE0" w:rsidR="00F84F0B" w:rsidRPr="006E763F" w:rsidRDefault="00F84F0B" w:rsidP="00F700C6">
      <w:pPr>
        <w:pStyle w:val="Body"/>
        <w:numPr>
          <w:ilvl w:val="0"/>
          <w:numId w:val="2"/>
        </w:numPr>
        <w:ind w:firstLine="720"/>
        <w:rPr>
          <w:lang w:val="es-ES"/>
        </w:rPr>
      </w:pPr>
      <w:r w:rsidRPr="006E763F">
        <w:rPr>
          <w:lang w:val="es-ES"/>
        </w:rPr>
        <w:t xml:space="preserve">El 17 de febrero de 1998, la PGN </w:t>
      </w:r>
      <w:r w:rsidR="006305D8" w:rsidRPr="006E763F">
        <w:rPr>
          <w:lang w:val="es-ES"/>
        </w:rPr>
        <w:t>archivó</w:t>
      </w:r>
      <w:r w:rsidRPr="006E763F">
        <w:rPr>
          <w:lang w:val="es-CO"/>
        </w:rPr>
        <w:t xml:space="preserve"> la indagación preliminar, archivo que fue apelado y revocado </w:t>
      </w:r>
      <w:r w:rsidRPr="006E763F">
        <w:rPr>
          <w:lang w:val="es-ES"/>
        </w:rPr>
        <w:t>el 9 de julio de 1998. La investigación fue archivada por segunda vez el 23 de enero de 2001</w:t>
      </w:r>
      <w:r w:rsidRPr="006E763F">
        <w:rPr>
          <w:vertAlign w:val="superscript"/>
          <w:lang w:val="es-ES"/>
        </w:rPr>
        <w:footnoteReference w:id="62"/>
      </w:r>
      <w:r w:rsidRPr="006E763F">
        <w:rPr>
          <w:lang w:val="es-ES"/>
        </w:rPr>
        <w:t xml:space="preserve"> bajo el argumento de que “debido a que la desaparición forzada es una conducta de tracto sucesivo, procedería a decretar el archivo provisional de las diligencias pues de encontrar algún indicio –en el marco de la investigación penal- por el cual se pueda presumir la responsabilidad de servidores públicos, se trasladaría la prueba y retomaría la investigación”</w:t>
      </w:r>
      <w:r w:rsidRPr="006E763F">
        <w:rPr>
          <w:vertAlign w:val="superscript"/>
          <w:lang w:val="es-ES"/>
        </w:rPr>
        <w:footnoteReference w:id="63"/>
      </w:r>
      <w:r w:rsidRPr="006E763F">
        <w:rPr>
          <w:lang w:val="es-ES"/>
        </w:rPr>
        <w:t>.</w:t>
      </w:r>
    </w:p>
    <w:p w14:paraId="035BEFBA" w14:textId="77777777" w:rsidR="00EC310A" w:rsidRPr="006E763F" w:rsidRDefault="00EC310A" w:rsidP="00E923BB">
      <w:pPr>
        <w:pStyle w:val="Body"/>
        <w:ind w:firstLine="249"/>
        <w:rPr>
          <w:lang w:val="es-ES"/>
        </w:rPr>
      </w:pPr>
    </w:p>
    <w:p w14:paraId="790854F6" w14:textId="5EF378E8" w:rsidR="00EC310A" w:rsidRPr="006E763F" w:rsidRDefault="009E7E98" w:rsidP="00F700C6">
      <w:pPr>
        <w:pStyle w:val="Heading3"/>
        <w:tabs>
          <w:tab w:val="left" w:pos="1440"/>
        </w:tabs>
        <w:ind w:left="720"/>
        <w:rPr>
          <w:rFonts w:eastAsia="Times New Roman" w:cs="Times New Roman"/>
        </w:rPr>
      </w:pPr>
      <w:bookmarkStart w:id="13" w:name="_Toc446153"/>
      <w:r w:rsidRPr="006E763F">
        <w:t xml:space="preserve">La investigación </w:t>
      </w:r>
      <w:r w:rsidR="004D2579" w:rsidRPr="006E763F">
        <w:t>penal - r</w:t>
      </w:r>
      <w:r w:rsidR="00D90561">
        <w:t>adicado Nº</w:t>
      </w:r>
      <w:r w:rsidRPr="006E763F">
        <w:t xml:space="preserve"> </w:t>
      </w:r>
      <w:r w:rsidR="002F4A49" w:rsidRPr="006E763F">
        <w:t>096 ante la Fiscalía General</w:t>
      </w:r>
      <w:bookmarkEnd w:id="13"/>
    </w:p>
    <w:p w14:paraId="4FB04984" w14:textId="77777777" w:rsidR="00EC310A" w:rsidRPr="006E763F" w:rsidRDefault="00EC310A" w:rsidP="00E923BB">
      <w:pPr>
        <w:pStyle w:val="Body"/>
        <w:ind w:firstLine="249"/>
        <w:rPr>
          <w:lang w:val="es-ES"/>
        </w:rPr>
      </w:pPr>
    </w:p>
    <w:p w14:paraId="2E0B7625" w14:textId="6359A666" w:rsidR="00EC310A" w:rsidRPr="006E763F" w:rsidRDefault="001D0AEB" w:rsidP="00F700C6">
      <w:pPr>
        <w:pStyle w:val="Body"/>
        <w:numPr>
          <w:ilvl w:val="0"/>
          <w:numId w:val="2"/>
        </w:numPr>
        <w:ind w:firstLine="720"/>
        <w:rPr>
          <w:lang w:val="es-ES"/>
        </w:rPr>
      </w:pPr>
      <w:r w:rsidRPr="006E763F">
        <w:rPr>
          <w:lang w:val="es-ES"/>
        </w:rPr>
        <w:t>Asimismo, tras la denuncia</w:t>
      </w:r>
      <w:r w:rsidR="009E7E98" w:rsidRPr="006E763F">
        <w:rPr>
          <w:lang w:val="es-ES"/>
        </w:rPr>
        <w:t xml:space="preserve"> la Fiscalía General dio ap</w:t>
      </w:r>
      <w:r w:rsidR="00D40FB7" w:rsidRPr="006E763F">
        <w:rPr>
          <w:lang w:val="es-ES"/>
        </w:rPr>
        <w:t>ertura a la investigación penal</w:t>
      </w:r>
      <w:r w:rsidR="00852FB3" w:rsidRPr="006E763F">
        <w:rPr>
          <w:lang w:val="es-ES"/>
        </w:rPr>
        <w:t>, la cual fue adelantada por diversas</w:t>
      </w:r>
      <w:r w:rsidR="009E7E98" w:rsidRPr="006E763F">
        <w:rPr>
          <w:lang w:val="es-ES"/>
        </w:rPr>
        <w:t xml:space="preserve"> unidades dentro de la Fiscalía General</w:t>
      </w:r>
      <w:r w:rsidR="00852FB3" w:rsidRPr="006E763F">
        <w:rPr>
          <w:lang w:val="es-ES"/>
        </w:rPr>
        <w:t>:</w:t>
      </w:r>
      <w:r w:rsidR="009E7E98" w:rsidRPr="006E763F">
        <w:rPr>
          <w:lang w:val="es-ES"/>
        </w:rPr>
        <w:t xml:space="preserve"> la Unidad Nacional de Fiscalías Delegadas con</w:t>
      </w:r>
      <w:r w:rsidR="00D40FB7" w:rsidRPr="006E763F">
        <w:rPr>
          <w:lang w:val="es-ES"/>
        </w:rPr>
        <w:t xml:space="preserve">tra el Secuestro y la Extorsión, </w:t>
      </w:r>
      <w:r w:rsidR="009E7E98" w:rsidRPr="006E763F">
        <w:rPr>
          <w:lang w:val="es-ES"/>
        </w:rPr>
        <w:t>fiscalías seccionales y especializadas y la Unidad Nacional de Derechos Humanos y Derecho Internacional Humanitario (en adelante “la UDH”). Del análisis del expediente penal, constan algunas diligencias practicadas el año 1993</w:t>
      </w:r>
      <w:r w:rsidR="009E7E98" w:rsidRPr="006E763F">
        <w:rPr>
          <w:vertAlign w:val="superscript"/>
          <w:lang w:val="es-ES"/>
        </w:rPr>
        <w:footnoteReference w:id="64"/>
      </w:r>
      <w:r w:rsidR="009E7E98" w:rsidRPr="006E763F">
        <w:rPr>
          <w:lang w:val="es-ES"/>
        </w:rPr>
        <w:t xml:space="preserve"> y otras tres diligencias en 1994</w:t>
      </w:r>
      <w:r w:rsidR="009E7E98" w:rsidRPr="006E763F">
        <w:rPr>
          <w:vertAlign w:val="superscript"/>
          <w:lang w:val="es-ES"/>
        </w:rPr>
        <w:footnoteReference w:id="65"/>
      </w:r>
      <w:r w:rsidR="009E7E98" w:rsidRPr="006E763F">
        <w:rPr>
          <w:lang w:val="es-ES"/>
        </w:rPr>
        <w:t xml:space="preserve">. </w:t>
      </w:r>
      <w:r w:rsidR="00F23C31" w:rsidRPr="006E763F">
        <w:rPr>
          <w:lang w:val="es-ES"/>
        </w:rPr>
        <w:t>Ahora bien, la CIDH nota que l</w:t>
      </w:r>
      <w:r w:rsidR="009E7E98" w:rsidRPr="006E763F">
        <w:rPr>
          <w:lang w:val="es-ES"/>
        </w:rPr>
        <w:t xml:space="preserve">a investigación </w:t>
      </w:r>
      <w:r w:rsidR="00590983" w:rsidRPr="006E763F">
        <w:rPr>
          <w:lang w:val="es-ES"/>
        </w:rPr>
        <w:t>fue suspendida en varias ocasiones. P</w:t>
      </w:r>
      <w:r w:rsidR="009E7E98" w:rsidRPr="006E763F">
        <w:rPr>
          <w:lang w:val="es-ES"/>
        </w:rPr>
        <w:t>or primera vez el 5 de junio de 1996 por falta de indicios</w:t>
      </w:r>
      <w:r w:rsidR="009E7E98" w:rsidRPr="006E763F">
        <w:rPr>
          <w:vertAlign w:val="superscript"/>
          <w:lang w:val="es-ES"/>
        </w:rPr>
        <w:footnoteReference w:id="66"/>
      </w:r>
      <w:r w:rsidR="009E7E98" w:rsidRPr="006E763F">
        <w:rPr>
          <w:lang w:val="es-ES"/>
        </w:rPr>
        <w:t xml:space="preserve">. </w:t>
      </w:r>
      <w:r w:rsidR="00590983" w:rsidRPr="006E763F">
        <w:rPr>
          <w:lang w:val="es-ES"/>
        </w:rPr>
        <w:t>O</w:t>
      </w:r>
      <w:r w:rsidR="009E7E98" w:rsidRPr="006E763F">
        <w:rPr>
          <w:lang w:val="es-ES"/>
        </w:rPr>
        <w:t>bra en expediente resolución del 24 de octubre de 1996</w:t>
      </w:r>
      <w:r w:rsidR="006B062A" w:rsidRPr="006E763F">
        <w:rPr>
          <w:lang w:val="es-ES"/>
        </w:rPr>
        <w:t>,</w:t>
      </w:r>
      <w:r w:rsidR="009E7E98" w:rsidRPr="006E763F">
        <w:rPr>
          <w:lang w:val="es-ES"/>
        </w:rPr>
        <w:t xml:space="preserve"> a través de la cual la UDH revocó la suspensión de la investigación y ordenó</w:t>
      </w:r>
      <w:r w:rsidR="00D40FB7" w:rsidRPr="006E763F">
        <w:rPr>
          <w:lang w:val="es-ES"/>
        </w:rPr>
        <w:t xml:space="preserve"> nuevas</w:t>
      </w:r>
      <w:r w:rsidR="009E7E98" w:rsidRPr="006E763F">
        <w:rPr>
          <w:lang w:val="es-ES"/>
        </w:rPr>
        <w:t xml:space="preserve"> diligencias</w:t>
      </w:r>
      <w:r w:rsidR="009E7E98" w:rsidRPr="006E763F">
        <w:rPr>
          <w:vertAlign w:val="superscript"/>
          <w:lang w:val="es-ES"/>
        </w:rPr>
        <w:footnoteReference w:id="67"/>
      </w:r>
      <w:r w:rsidR="00F23C31" w:rsidRPr="006E763F">
        <w:rPr>
          <w:lang w:val="es-ES"/>
        </w:rPr>
        <w:t xml:space="preserve"> que se efectuaron a partir de abril de 1997</w:t>
      </w:r>
      <w:r w:rsidR="00F23C31" w:rsidRPr="006E763F">
        <w:rPr>
          <w:vertAlign w:val="superscript"/>
          <w:lang w:val="es-ES"/>
        </w:rPr>
        <w:footnoteReference w:id="68"/>
      </w:r>
      <w:r w:rsidR="00F23C31" w:rsidRPr="006E763F">
        <w:rPr>
          <w:lang w:val="es-ES"/>
        </w:rPr>
        <w:t xml:space="preserve">. </w:t>
      </w:r>
      <w:r w:rsidR="00BC6284" w:rsidRPr="006E763F">
        <w:rPr>
          <w:lang w:val="es-ES"/>
        </w:rPr>
        <w:t>E</w:t>
      </w:r>
      <w:r w:rsidR="009E7E98" w:rsidRPr="006E763F">
        <w:rPr>
          <w:lang w:val="es-ES"/>
        </w:rPr>
        <w:t>l 11 de diciembre de 2001 la UDH ordenó nuevamente la suspensión de la investigación preliminar debido a la imposibilidad de identificar a los responsables</w:t>
      </w:r>
      <w:r w:rsidR="009E7E98" w:rsidRPr="006E763F">
        <w:rPr>
          <w:vertAlign w:val="superscript"/>
          <w:lang w:val="es-ES"/>
        </w:rPr>
        <w:footnoteReference w:id="69"/>
      </w:r>
      <w:r w:rsidR="009E7E98" w:rsidRPr="006E763F">
        <w:rPr>
          <w:lang w:val="es-ES"/>
        </w:rPr>
        <w:t xml:space="preserve">. </w:t>
      </w:r>
      <w:r w:rsidR="006F45D4" w:rsidRPr="006E763F">
        <w:rPr>
          <w:lang w:val="es-ES"/>
        </w:rPr>
        <w:t xml:space="preserve">El </w:t>
      </w:r>
      <w:r w:rsidR="009E7E98" w:rsidRPr="006E763F">
        <w:rPr>
          <w:lang w:val="es-ES"/>
        </w:rPr>
        <w:t>17 de enero de 2006, la Fiscal 23 especializada de la UDH retomó la investigació</w:t>
      </w:r>
      <w:r w:rsidR="002203BD" w:rsidRPr="006E763F">
        <w:rPr>
          <w:lang w:val="es-ES"/>
        </w:rPr>
        <w:t>n y ordenó la práctica de diligencias</w:t>
      </w:r>
      <w:r w:rsidR="009E7E98" w:rsidRPr="006E763F">
        <w:rPr>
          <w:vertAlign w:val="superscript"/>
          <w:lang w:val="es-ES"/>
        </w:rPr>
        <w:footnoteReference w:id="70"/>
      </w:r>
      <w:r w:rsidR="009E7E98" w:rsidRPr="006E763F">
        <w:rPr>
          <w:lang w:val="es-ES"/>
        </w:rPr>
        <w:t>.</w:t>
      </w:r>
      <w:r w:rsidR="00F23C31" w:rsidRPr="006E763F">
        <w:rPr>
          <w:lang w:val="es-ES"/>
        </w:rPr>
        <w:t xml:space="preserve"> Asimismo, constan en el expediente copias de las actuaciones llevadas en el marco de la investigación disciplinaria incorporadas en la investigación penal el 15 de abril de 1994</w:t>
      </w:r>
      <w:r w:rsidR="00F23C31" w:rsidRPr="006E763F">
        <w:rPr>
          <w:vertAlign w:val="superscript"/>
          <w:lang w:val="es-ES"/>
        </w:rPr>
        <w:footnoteReference w:id="71"/>
      </w:r>
      <w:r w:rsidR="00F23C31" w:rsidRPr="006E763F">
        <w:rPr>
          <w:lang w:val="es-ES"/>
        </w:rPr>
        <w:t>, el 14 noviembre de 1996</w:t>
      </w:r>
      <w:r w:rsidR="00F23C31" w:rsidRPr="006E763F">
        <w:rPr>
          <w:vertAlign w:val="superscript"/>
          <w:lang w:val="es-ES"/>
        </w:rPr>
        <w:footnoteReference w:id="72"/>
      </w:r>
      <w:r w:rsidR="00F23C31" w:rsidRPr="006E763F">
        <w:rPr>
          <w:lang w:val="es-ES"/>
        </w:rPr>
        <w:t xml:space="preserve"> y el 19 de diciembre de 2000</w:t>
      </w:r>
      <w:r w:rsidR="00F23C31" w:rsidRPr="006E763F">
        <w:rPr>
          <w:vertAlign w:val="superscript"/>
          <w:lang w:val="es-ES"/>
        </w:rPr>
        <w:footnoteReference w:id="73"/>
      </w:r>
      <w:r w:rsidR="00F23C31" w:rsidRPr="006E763F">
        <w:rPr>
          <w:lang w:val="es-ES"/>
        </w:rPr>
        <w:t>.</w:t>
      </w:r>
    </w:p>
    <w:p w14:paraId="08C047EE" w14:textId="77777777" w:rsidR="00EC310A" w:rsidRPr="006E763F" w:rsidRDefault="00EC310A" w:rsidP="00E923BB">
      <w:pPr>
        <w:pStyle w:val="ListParagraph"/>
        <w:ind w:left="0" w:firstLine="249"/>
        <w:rPr>
          <w:sz w:val="20"/>
          <w:szCs w:val="20"/>
          <w:lang w:val="es-ES"/>
        </w:rPr>
      </w:pPr>
    </w:p>
    <w:p w14:paraId="41702921" w14:textId="77777777" w:rsidR="00ED6837" w:rsidRPr="006E763F" w:rsidRDefault="009E7E98" w:rsidP="00F700C6">
      <w:pPr>
        <w:pStyle w:val="Body"/>
        <w:numPr>
          <w:ilvl w:val="0"/>
          <w:numId w:val="2"/>
        </w:numPr>
        <w:ind w:firstLine="720"/>
        <w:rPr>
          <w:lang w:val="es-ES"/>
        </w:rPr>
      </w:pPr>
      <w:r w:rsidRPr="006E763F">
        <w:rPr>
          <w:lang w:val="es-ES"/>
        </w:rPr>
        <w:t xml:space="preserve">Según la parte peticionaria, la última diligencia fue efectuada el 12 de diciembre de 2015 con la convocatoria a </w:t>
      </w:r>
      <w:r w:rsidR="00867814" w:rsidRPr="006E763F">
        <w:rPr>
          <w:lang w:val="es-ES"/>
        </w:rPr>
        <w:t xml:space="preserve">declarar a </w:t>
      </w:r>
      <w:r w:rsidRPr="006E763F">
        <w:rPr>
          <w:lang w:val="es-ES"/>
        </w:rPr>
        <w:t xml:space="preserve">Deicy Liliana Mondragón, quien fue </w:t>
      </w:r>
      <w:r w:rsidR="00D40FB7" w:rsidRPr="006E763F">
        <w:rPr>
          <w:lang w:val="es-ES"/>
        </w:rPr>
        <w:t>pareja</w:t>
      </w:r>
      <w:r w:rsidRPr="006E763F">
        <w:rPr>
          <w:lang w:val="es-ES"/>
        </w:rPr>
        <w:t xml:space="preserve"> de</w:t>
      </w:r>
      <w:r w:rsidR="003C786B" w:rsidRPr="006E763F">
        <w:rPr>
          <w:lang w:val="es-ES"/>
        </w:rPr>
        <w:t>l señor</w:t>
      </w:r>
      <w:r w:rsidRPr="006E763F">
        <w:rPr>
          <w:lang w:val="es-ES"/>
        </w:rPr>
        <w:t xml:space="preserve"> Pabón</w:t>
      </w:r>
      <w:r w:rsidRPr="006E763F">
        <w:rPr>
          <w:vertAlign w:val="superscript"/>
          <w:lang w:val="es-ES"/>
        </w:rPr>
        <w:footnoteReference w:id="74"/>
      </w:r>
      <w:r w:rsidRPr="006E763F">
        <w:rPr>
          <w:lang w:val="es-ES"/>
        </w:rPr>
        <w:t xml:space="preserve">. </w:t>
      </w:r>
      <w:r w:rsidR="00867814" w:rsidRPr="006E763F">
        <w:rPr>
          <w:lang w:val="es-ES"/>
        </w:rPr>
        <w:t xml:space="preserve">Sin embargo, el Estado indicó que </w:t>
      </w:r>
      <w:r w:rsidRPr="006E763F">
        <w:rPr>
          <w:lang w:val="es-ES"/>
        </w:rPr>
        <w:t xml:space="preserve">durante el 2016 la Fiscalía General fijó fecha y hora para la toma de declaraciones y testimonios, así </w:t>
      </w:r>
      <w:r w:rsidRPr="006E763F">
        <w:rPr>
          <w:lang w:val="es-ES"/>
        </w:rPr>
        <w:lastRenderedPageBreak/>
        <w:t>como la práctica de una inspección judicial</w:t>
      </w:r>
      <w:r w:rsidRPr="006E763F">
        <w:rPr>
          <w:vertAlign w:val="superscript"/>
          <w:lang w:val="es-ES"/>
        </w:rPr>
        <w:footnoteReference w:id="75"/>
      </w:r>
      <w:r w:rsidR="00EC33D6" w:rsidRPr="006E763F">
        <w:rPr>
          <w:lang w:val="es-ES"/>
        </w:rPr>
        <w:t xml:space="preserve">. El Estado no </w:t>
      </w:r>
      <w:r w:rsidRPr="006E763F">
        <w:rPr>
          <w:lang w:val="es-ES"/>
        </w:rPr>
        <w:t>especifica qué tipo de inspección ni</w:t>
      </w:r>
      <w:r w:rsidR="00EC33D6" w:rsidRPr="006E763F">
        <w:rPr>
          <w:lang w:val="es-ES"/>
        </w:rPr>
        <w:t xml:space="preserve"> en qué lugar</w:t>
      </w:r>
      <w:r w:rsidRPr="006E763F">
        <w:rPr>
          <w:lang w:val="es-ES"/>
        </w:rPr>
        <w:t xml:space="preserve">. </w:t>
      </w:r>
      <w:r w:rsidR="00ED6837" w:rsidRPr="006E763F">
        <w:rPr>
          <w:lang w:val="es-ES"/>
        </w:rPr>
        <w:t>E</w:t>
      </w:r>
      <w:r w:rsidRPr="006E763F">
        <w:rPr>
          <w:lang w:val="es-ES"/>
        </w:rPr>
        <w:t xml:space="preserve">l Estado informó a la CIDH que </w:t>
      </w:r>
      <w:r w:rsidR="00627E04" w:rsidRPr="006E763F">
        <w:rPr>
          <w:lang w:val="es-ES"/>
        </w:rPr>
        <w:t>el señor Pabón</w:t>
      </w:r>
      <w:r w:rsidRPr="006E763F">
        <w:rPr>
          <w:lang w:val="es-ES"/>
        </w:rPr>
        <w:t xml:space="preserve"> rindió declaración el 8 de julio de 2016 ante la Fiscalía General. </w:t>
      </w:r>
    </w:p>
    <w:p w14:paraId="06E6B6FA" w14:textId="77777777" w:rsidR="00ED6837" w:rsidRPr="006E763F" w:rsidRDefault="00ED6837" w:rsidP="00E923BB">
      <w:pPr>
        <w:pStyle w:val="ListParagraph"/>
        <w:rPr>
          <w:sz w:val="20"/>
          <w:szCs w:val="20"/>
          <w:lang w:val="es-ES"/>
        </w:rPr>
      </w:pPr>
    </w:p>
    <w:p w14:paraId="57523894" w14:textId="66746F0E" w:rsidR="00EC310A" w:rsidRDefault="00ED6837" w:rsidP="00F700C6">
      <w:pPr>
        <w:pStyle w:val="Body"/>
        <w:numPr>
          <w:ilvl w:val="0"/>
          <w:numId w:val="2"/>
        </w:numPr>
        <w:ind w:firstLine="720"/>
        <w:rPr>
          <w:lang w:val="es-ES"/>
        </w:rPr>
      </w:pPr>
      <w:r w:rsidRPr="006E763F">
        <w:rPr>
          <w:lang w:val="es-ES"/>
        </w:rPr>
        <w:t>En cuanto a la constitución como parte civil de la parte peticionaria, la CIDH observa que</w:t>
      </w:r>
      <w:r w:rsidR="009E7E98" w:rsidRPr="006E763F">
        <w:rPr>
          <w:lang w:val="es-ES"/>
        </w:rPr>
        <w:t xml:space="preserve"> la Fiscalía General no acog</w:t>
      </w:r>
      <w:r w:rsidRPr="006E763F">
        <w:rPr>
          <w:lang w:val="es-ES"/>
        </w:rPr>
        <w:t>ió sus solicitudes</w:t>
      </w:r>
      <w:r w:rsidR="009E7E98" w:rsidRPr="006E763F">
        <w:rPr>
          <w:lang w:val="es-ES"/>
        </w:rPr>
        <w:t xml:space="preserve"> </w:t>
      </w:r>
      <w:r w:rsidR="00787BD6" w:rsidRPr="006E763F">
        <w:rPr>
          <w:lang w:val="es-ES"/>
        </w:rPr>
        <w:t>resolviendo</w:t>
      </w:r>
      <w:r w:rsidR="009E7E98" w:rsidRPr="006E763F">
        <w:rPr>
          <w:lang w:val="es-ES"/>
        </w:rPr>
        <w:t xml:space="preserve"> que “aún no se ha proferido apertura de instrucción, es decir que se encuentra aún en periodo preliminar, en cuyo caso no opera la parte civil (…)”</w:t>
      </w:r>
      <w:r w:rsidR="009E7E98" w:rsidRPr="006E763F">
        <w:rPr>
          <w:vertAlign w:val="superscript"/>
          <w:lang w:val="es-ES"/>
        </w:rPr>
        <w:footnoteReference w:id="76"/>
      </w:r>
      <w:r w:rsidR="009E7E98" w:rsidRPr="006E763F">
        <w:rPr>
          <w:lang w:val="es-ES"/>
        </w:rPr>
        <w:t>.</w:t>
      </w:r>
      <w:r w:rsidR="00C56D7F" w:rsidRPr="006E763F">
        <w:rPr>
          <w:lang w:val="es-ES"/>
        </w:rPr>
        <w:t xml:space="preserve"> L</w:t>
      </w:r>
      <w:r w:rsidR="009E7E98" w:rsidRPr="006E763F">
        <w:rPr>
          <w:lang w:val="es-ES"/>
        </w:rPr>
        <w:t xml:space="preserve">a Comisión observa que el 21 de enero de 2003 la parte peticionaria presentó demanda de apersonarse como parte civil ante la UDH (invocando el derecho a partir de la jurisprudencia constitucional del 2002), sin embargo, dicha solicitud fue desestimada nuevamente el 15 de mayo de 2003 por no demostrar la calidad de heredera de Candelaria Vergara tal como lo estipulaba la norma procesal penal. </w:t>
      </w:r>
      <w:r w:rsidR="005C3F4C" w:rsidRPr="006E763F">
        <w:rPr>
          <w:lang w:val="es-ES"/>
        </w:rPr>
        <w:t>Fue</w:t>
      </w:r>
      <w:r w:rsidR="009E7E98" w:rsidRPr="006E763F">
        <w:rPr>
          <w:lang w:val="es-ES"/>
        </w:rPr>
        <w:t xml:space="preserve"> recién el 13 de septiembre de 2011, tras su constitución como parte civil en el proceso</w:t>
      </w:r>
      <w:r w:rsidR="009E7E98" w:rsidRPr="006E763F">
        <w:rPr>
          <w:vertAlign w:val="superscript"/>
          <w:lang w:val="es-ES"/>
        </w:rPr>
        <w:footnoteReference w:id="77"/>
      </w:r>
      <w:r w:rsidR="009E7E98" w:rsidRPr="006E763F">
        <w:rPr>
          <w:lang w:val="es-ES"/>
        </w:rPr>
        <w:t>, que accedió a la práctica de pruebas solicitadas por la parte peticionaria</w:t>
      </w:r>
      <w:r w:rsidR="009E7E98" w:rsidRPr="006E763F">
        <w:rPr>
          <w:vertAlign w:val="superscript"/>
          <w:lang w:val="es-ES"/>
        </w:rPr>
        <w:footnoteReference w:id="78"/>
      </w:r>
      <w:r w:rsidR="009E7E98" w:rsidRPr="006E763F">
        <w:rPr>
          <w:lang w:val="es-ES"/>
        </w:rPr>
        <w:t xml:space="preserve">. </w:t>
      </w:r>
    </w:p>
    <w:p w14:paraId="275E5FC5" w14:textId="77777777" w:rsidR="00835996" w:rsidRPr="006E763F" w:rsidRDefault="00835996" w:rsidP="00835996">
      <w:pPr>
        <w:pStyle w:val="Body"/>
        <w:ind w:firstLine="0"/>
        <w:rPr>
          <w:lang w:val="es-ES"/>
        </w:rPr>
      </w:pPr>
    </w:p>
    <w:p w14:paraId="24286639" w14:textId="093D27A6" w:rsidR="001C60C5" w:rsidRPr="006E763F" w:rsidRDefault="00384F48" w:rsidP="00F700C6">
      <w:pPr>
        <w:pStyle w:val="Body"/>
        <w:numPr>
          <w:ilvl w:val="0"/>
          <w:numId w:val="2"/>
        </w:numPr>
        <w:ind w:firstLine="720"/>
        <w:rPr>
          <w:lang w:val="es-ES"/>
        </w:rPr>
      </w:pPr>
      <w:r w:rsidRPr="006E763F">
        <w:rPr>
          <w:lang w:val="es-ES"/>
        </w:rPr>
        <w:t xml:space="preserve">A continuación se resumen las diligencias practicadas a lo largo de la investigación penal. </w:t>
      </w:r>
    </w:p>
    <w:p w14:paraId="3CE64DE8" w14:textId="77777777" w:rsidR="001C60C5" w:rsidRPr="006E763F" w:rsidRDefault="001C60C5" w:rsidP="00E923BB">
      <w:pPr>
        <w:pStyle w:val="ListParagraph"/>
        <w:rPr>
          <w:sz w:val="20"/>
          <w:szCs w:val="20"/>
          <w:lang w:val="es-ES"/>
        </w:rPr>
      </w:pPr>
    </w:p>
    <w:p w14:paraId="3921EB79" w14:textId="77777777" w:rsidR="00A53A21" w:rsidRPr="006E763F" w:rsidRDefault="009E7E98" w:rsidP="00F700C6">
      <w:pPr>
        <w:pStyle w:val="Body"/>
        <w:numPr>
          <w:ilvl w:val="0"/>
          <w:numId w:val="2"/>
        </w:numPr>
        <w:ind w:firstLine="720"/>
        <w:rPr>
          <w:lang w:val="es-ES"/>
        </w:rPr>
      </w:pPr>
      <w:r w:rsidRPr="006E763F">
        <w:rPr>
          <w:lang w:val="es-ES"/>
        </w:rPr>
        <w:t>Sobre las circunstancias de desaparición, consta</w:t>
      </w:r>
      <w:r w:rsidR="00966C56" w:rsidRPr="006E763F">
        <w:rPr>
          <w:lang w:val="es-ES"/>
        </w:rPr>
        <w:t>n</w:t>
      </w:r>
      <w:r w:rsidRPr="006E763F">
        <w:rPr>
          <w:lang w:val="es-ES"/>
        </w:rPr>
        <w:t xml:space="preserve"> en el expediente la</w:t>
      </w:r>
      <w:r w:rsidR="005F36A4" w:rsidRPr="006E763F">
        <w:rPr>
          <w:lang w:val="es-ES"/>
        </w:rPr>
        <w:t>s</w:t>
      </w:r>
      <w:r w:rsidRPr="006E763F">
        <w:rPr>
          <w:lang w:val="es-ES"/>
        </w:rPr>
        <w:t xml:space="preserve"> declaraciones de Candelaria Vergara </w:t>
      </w:r>
      <w:r w:rsidR="00966C56" w:rsidRPr="006E763F">
        <w:rPr>
          <w:lang w:val="es-ES"/>
        </w:rPr>
        <w:t xml:space="preserve">rendidas </w:t>
      </w:r>
      <w:r w:rsidRPr="006E763F">
        <w:rPr>
          <w:lang w:val="es-ES"/>
        </w:rPr>
        <w:t>en dos oportunidades</w:t>
      </w:r>
      <w:r w:rsidRPr="006E763F">
        <w:rPr>
          <w:vertAlign w:val="superscript"/>
          <w:lang w:val="es-ES"/>
        </w:rPr>
        <w:footnoteReference w:id="79"/>
      </w:r>
      <w:r w:rsidRPr="006E763F">
        <w:rPr>
          <w:lang w:val="es-ES"/>
        </w:rPr>
        <w:t xml:space="preserve">, que </w:t>
      </w:r>
      <w:r w:rsidR="00787BD6" w:rsidRPr="006E763F">
        <w:rPr>
          <w:lang w:val="es-ES"/>
        </w:rPr>
        <w:t>s</w:t>
      </w:r>
      <w:r w:rsidRPr="006E763F">
        <w:rPr>
          <w:lang w:val="es-ES"/>
        </w:rPr>
        <w:t xml:space="preserve">on consistentes con su versión ante la PGN y de las que </w:t>
      </w:r>
      <w:r w:rsidR="00966C56" w:rsidRPr="006E763F">
        <w:rPr>
          <w:lang w:val="es-ES"/>
        </w:rPr>
        <w:t xml:space="preserve">desprende su señalamiento de </w:t>
      </w:r>
      <w:r w:rsidRPr="006E763F">
        <w:rPr>
          <w:lang w:val="es-ES"/>
        </w:rPr>
        <w:t xml:space="preserve">la responsabilidad del Estado </w:t>
      </w:r>
      <w:r w:rsidR="00456B2D" w:rsidRPr="006E763F">
        <w:rPr>
          <w:lang w:val="es-ES"/>
        </w:rPr>
        <w:t xml:space="preserve">y </w:t>
      </w:r>
      <w:r w:rsidR="00455A44" w:rsidRPr="006E763F">
        <w:rPr>
          <w:lang w:val="es-ES"/>
        </w:rPr>
        <w:t>el vínculo con sus actividades. C</w:t>
      </w:r>
      <w:r w:rsidR="00B92372" w:rsidRPr="006E763F">
        <w:rPr>
          <w:lang w:val="es-ES"/>
        </w:rPr>
        <w:t>onsta también</w:t>
      </w:r>
      <w:r w:rsidRPr="006E763F">
        <w:rPr>
          <w:lang w:val="es-ES"/>
        </w:rPr>
        <w:t xml:space="preserve"> la declaración de </w:t>
      </w:r>
      <w:r w:rsidR="002B5E6F" w:rsidRPr="006E763F">
        <w:rPr>
          <w:lang w:val="es-ES"/>
        </w:rPr>
        <w:t xml:space="preserve">una </w:t>
      </w:r>
      <w:r w:rsidRPr="006E763F">
        <w:rPr>
          <w:lang w:val="es-ES"/>
        </w:rPr>
        <w:t>profesora del colegio Kennedy la que se ratificó en su versión de haber escuchado disparos el día de la desaparición de Pedro Julio Movilla Galarcio</w:t>
      </w:r>
      <w:r w:rsidRPr="006E763F">
        <w:rPr>
          <w:vertAlign w:val="superscript"/>
          <w:lang w:val="es-ES"/>
        </w:rPr>
        <w:footnoteReference w:id="80"/>
      </w:r>
      <w:r w:rsidRPr="006E763F">
        <w:rPr>
          <w:lang w:val="es-ES"/>
        </w:rPr>
        <w:t xml:space="preserve">. </w:t>
      </w:r>
      <w:r w:rsidR="002B5E6F" w:rsidRPr="006E763F">
        <w:rPr>
          <w:lang w:val="es-ES"/>
        </w:rPr>
        <w:t>L</w:t>
      </w:r>
      <w:r w:rsidRPr="006E763F">
        <w:rPr>
          <w:lang w:val="es-ES"/>
        </w:rPr>
        <w:t>a Fiscalía General también tomó la declaración de</w:t>
      </w:r>
      <w:r w:rsidR="002B5E6F" w:rsidRPr="006E763F">
        <w:rPr>
          <w:lang w:val="es-ES"/>
        </w:rPr>
        <w:t xml:space="preserve"> un profesor quien indicó que </w:t>
      </w:r>
      <w:r w:rsidRPr="006E763F">
        <w:rPr>
          <w:lang w:val="es-ES"/>
        </w:rPr>
        <w:t>recogió versiones de los estudiantes y padres de familia del Colegio Kennedy de las que conoció que “unos señores en moto” se llevaron a un señor</w:t>
      </w:r>
      <w:r w:rsidRPr="006E763F">
        <w:rPr>
          <w:vertAlign w:val="superscript"/>
          <w:lang w:val="es-ES"/>
        </w:rPr>
        <w:footnoteReference w:id="81"/>
      </w:r>
      <w:r w:rsidRPr="006E763F">
        <w:rPr>
          <w:lang w:val="es-ES"/>
        </w:rPr>
        <w:t>.</w:t>
      </w:r>
    </w:p>
    <w:p w14:paraId="65535613" w14:textId="77777777" w:rsidR="00A53A21" w:rsidRPr="006E763F" w:rsidRDefault="00A53A21" w:rsidP="00E923BB">
      <w:pPr>
        <w:pStyle w:val="ListParagraph"/>
        <w:rPr>
          <w:sz w:val="20"/>
          <w:szCs w:val="20"/>
          <w:lang w:val="es-ES"/>
        </w:rPr>
      </w:pPr>
    </w:p>
    <w:p w14:paraId="3AE690F2" w14:textId="743AF950" w:rsidR="00EC310A" w:rsidRPr="006E763F" w:rsidRDefault="00A53A21" w:rsidP="00F700C6">
      <w:pPr>
        <w:pStyle w:val="Body"/>
        <w:numPr>
          <w:ilvl w:val="0"/>
          <w:numId w:val="2"/>
        </w:numPr>
        <w:ind w:firstLine="720"/>
        <w:rPr>
          <w:lang w:val="es-ES"/>
        </w:rPr>
      </w:pPr>
      <w:r w:rsidRPr="006E763F">
        <w:rPr>
          <w:lang w:val="es-ES"/>
        </w:rPr>
        <w:t>En cuanto a las labores de inteligencia contra la presunta víctima, s</w:t>
      </w:r>
      <w:r w:rsidR="009E7E98" w:rsidRPr="006E763F">
        <w:rPr>
          <w:lang w:val="es-ES"/>
        </w:rPr>
        <w:t>e incorporó copia del proceso judicial y captura del señor Callejas, los interrogatorios relacionados con su militancia al PCC-ML y sus supuestos vínculos con el EPL y se tomó nuevamente su testimonio en el que brindó, otra vez, detalles de las circunstancias de su detención</w:t>
      </w:r>
      <w:r w:rsidR="009E7E98" w:rsidRPr="006E763F">
        <w:rPr>
          <w:vertAlign w:val="superscript"/>
          <w:lang w:val="es-ES"/>
        </w:rPr>
        <w:footnoteReference w:id="82"/>
      </w:r>
      <w:r w:rsidR="009E7E98" w:rsidRPr="006E763F">
        <w:rPr>
          <w:lang w:val="es-ES"/>
        </w:rPr>
        <w:t xml:space="preserve">. </w:t>
      </w:r>
      <w:r w:rsidR="00286DCC" w:rsidRPr="006E763F">
        <w:rPr>
          <w:lang w:val="es-ES"/>
        </w:rPr>
        <w:t>L</w:t>
      </w:r>
      <w:r w:rsidR="009E7E98" w:rsidRPr="006E763F">
        <w:rPr>
          <w:lang w:val="es-ES"/>
        </w:rPr>
        <w:t>a Fiscalía General</w:t>
      </w:r>
      <w:r w:rsidR="00286DCC" w:rsidRPr="006E763F">
        <w:rPr>
          <w:lang w:val="es-ES"/>
        </w:rPr>
        <w:t xml:space="preserve"> también</w:t>
      </w:r>
      <w:r w:rsidR="009E7E98" w:rsidRPr="006E763F">
        <w:rPr>
          <w:lang w:val="es-ES"/>
        </w:rPr>
        <w:t xml:space="preserve"> desplegó diligencias para la determinación del personal militar que participó de la captura del señor Callejas</w:t>
      </w:r>
      <w:r w:rsidR="00286DCC" w:rsidRPr="006E763F">
        <w:rPr>
          <w:lang w:val="es-ES"/>
        </w:rPr>
        <w:t>, sin que se hubiera llegado a un esclarecimiento sobre este punto</w:t>
      </w:r>
      <w:r w:rsidR="009E7E98" w:rsidRPr="006E763F">
        <w:rPr>
          <w:vertAlign w:val="superscript"/>
          <w:lang w:val="es-ES"/>
        </w:rPr>
        <w:footnoteReference w:id="83"/>
      </w:r>
      <w:r w:rsidR="009E7E98" w:rsidRPr="006E763F">
        <w:rPr>
          <w:lang w:val="es-ES"/>
        </w:rPr>
        <w:t>.</w:t>
      </w:r>
    </w:p>
    <w:p w14:paraId="3A536523" w14:textId="77777777" w:rsidR="00EC310A" w:rsidRPr="006E763F" w:rsidRDefault="00EC310A" w:rsidP="00E923BB">
      <w:pPr>
        <w:pStyle w:val="Body"/>
        <w:ind w:firstLine="249"/>
        <w:rPr>
          <w:lang w:val="es-ES"/>
        </w:rPr>
      </w:pPr>
    </w:p>
    <w:p w14:paraId="553BF717" w14:textId="77777777" w:rsidR="00165CD7" w:rsidRPr="006E763F" w:rsidRDefault="00372E8C" w:rsidP="00F700C6">
      <w:pPr>
        <w:pStyle w:val="Body"/>
        <w:numPr>
          <w:ilvl w:val="0"/>
          <w:numId w:val="2"/>
        </w:numPr>
        <w:ind w:firstLine="720"/>
        <w:rPr>
          <w:lang w:val="es-ES"/>
        </w:rPr>
      </w:pPr>
      <w:r w:rsidRPr="006E763F">
        <w:rPr>
          <w:lang w:val="es-ES"/>
        </w:rPr>
        <w:t>L</w:t>
      </w:r>
      <w:r w:rsidR="009E7E98" w:rsidRPr="006E763F">
        <w:rPr>
          <w:lang w:val="es-ES"/>
        </w:rPr>
        <w:t>a Fiscalía General tomó las declaraciones del Director de Inteligencia del Ejército</w:t>
      </w:r>
      <w:r w:rsidR="009E7E98" w:rsidRPr="006E763F">
        <w:rPr>
          <w:vertAlign w:val="superscript"/>
          <w:lang w:val="es-ES"/>
        </w:rPr>
        <w:footnoteReference w:id="84"/>
      </w:r>
      <w:r w:rsidR="009E7E98" w:rsidRPr="006E763F">
        <w:rPr>
          <w:lang w:val="es-ES"/>
        </w:rPr>
        <w:t xml:space="preserve"> y de un Analista de Inteligencia</w:t>
      </w:r>
      <w:r w:rsidR="009E7E98" w:rsidRPr="006E763F">
        <w:rPr>
          <w:vertAlign w:val="superscript"/>
          <w:lang w:val="es-ES"/>
        </w:rPr>
        <w:footnoteReference w:id="85"/>
      </w:r>
      <w:r w:rsidR="009E7E98" w:rsidRPr="006E763F">
        <w:rPr>
          <w:lang w:val="es-ES"/>
        </w:rPr>
        <w:t xml:space="preserve"> en funciones </w:t>
      </w:r>
      <w:r w:rsidR="008A63A6" w:rsidRPr="006E763F">
        <w:rPr>
          <w:lang w:val="es-ES"/>
        </w:rPr>
        <w:t>a</w:t>
      </w:r>
      <w:r w:rsidR="009E7E98" w:rsidRPr="006E763F">
        <w:rPr>
          <w:lang w:val="es-ES"/>
        </w:rPr>
        <w:t xml:space="preserve"> la época de los hechos, quienes informaron que no conocían el origen de las anotaciones de inteligencia sobre Pedro Julio Movilla Galarcio, ya que la</w:t>
      </w:r>
      <w:r w:rsidR="00205DCB" w:rsidRPr="006E763F">
        <w:rPr>
          <w:lang w:val="es-ES"/>
        </w:rPr>
        <w:t>s</w:t>
      </w:r>
      <w:r w:rsidR="009E7E98" w:rsidRPr="006E763F">
        <w:rPr>
          <w:lang w:val="es-ES"/>
        </w:rPr>
        <w:t xml:space="preserve"> fuente</w:t>
      </w:r>
      <w:r w:rsidR="00205DCB" w:rsidRPr="006E763F">
        <w:rPr>
          <w:lang w:val="es-ES"/>
        </w:rPr>
        <w:t>s</w:t>
      </w:r>
      <w:r w:rsidR="009E7E98" w:rsidRPr="006E763F">
        <w:rPr>
          <w:lang w:val="es-ES"/>
        </w:rPr>
        <w:t xml:space="preserve"> de información de inteligencia </w:t>
      </w:r>
      <w:r w:rsidR="009E7E98" w:rsidRPr="006E763F">
        <w:rPr>
          <w:lang w:val="es-ES"/>
        </w:rPr>
        <w:lastRenderedPageBreak/>
        <w:t>e</w:t>
      </w:r>
      <w:r w:rsidR="00205DCB" w:rsidRPr="006E763F">
        <w:rPr>
          <w:lang w:val="es-ES"/>
        </w:rPr>
        <w:t>ra</w:t>
      </w:r>
      <w:r w:rsidR="009E7E98" w:rsidRPr="006E763F">
        <w:rPr>
          <w:lang w:val="es-ES"/>
        </w:rPr>
        <w:t xml:space="preserve"> variada y no responde a una orden u operativo, sino que es parte de las labores consustanciales de este tipo de servicio. Asimismo, a través del Grupo de Investigaciones Derechos Humanos y Derecho Internacional Humanitario</w:t>
      </w:r>
      <w:r w:rsidR="009E7E98" w:rsidRPr="006E763F">
        <w:rPr>
          <w:vertAlign w:val="superscript"/>
          <w:lang w:val="es-ES"/>
        </w:rPr>
        <w:footnoteReference w:id="86"/>
      </w:r>
      <w:r w:rsidR="009E7E98" w:rsidRPr="006E763F">
        <w:rPr>
          <w:lang w:val="es-ES"/>
        </w:rPr>
        <w:t>, solicitó a la Dijin</w:t>
      </w:r>
      <w:r w:rsidR="009E7E98" w:rsidRPr="006E763F">
        <w:rPr>
          <w:vertAlign w:val="superscript"/>
          <w:lang w:val="es-ES"/>
        </w:rPr>
        <w:footnoteReference w:id="87"/>
      </w:r>
      <w:r w:rsidR="009E7E98" w:rsidRPr="006E763F">
        <w:rPr>
          <w:lang w:val="es-ES"/>
        </w:rPr>
        <w:t>, a la Dirección de Inteligencia Militar</w:t>
      </w:r>
      <w:r w:rsidR="009E7E98" w:rsidRPr="006E763F">
        <w:rPr>
          <w:vertAlign w:val="superscript"/>
          <w:lang w:val="es-ES"/>
        </w:rPr>
        <w:footnoteReference w:id="88"/>
      </w:r>
      <w:r w:rsidR="009E7E98" w:rsidRPr="006E763F">
        <w:rPr>
          <w:lang w:val="es-ES"/>
        </w:rPr>
        <w:t>, y a la Sección de Análisis Criminal de la Fiscalía General</w:t>
      </w:r>
      <w:r w:rsidR="009E7E98" w:rsidRPr="006E763F">
        <w:rPr>
          <w:vertAlign w:val="superscript"/>
          <w:lang w:val="es-ES"/>
        </w:rPr>
        <w:footnoteReference w:id="89"/>
      </w:r>
      <w:r w:rsidR="009E7E98" w:rsidRPr="006E763F">
        <w:rPr>
          <w:lang w:val="es-ES"/>
        </w:rPr>
        <w:t xml:space="preserve"> que informaran sobre la existencia en sus registros de anotaciones relativas a organizaciones subversivas entre 1992 y 1994, o a algún sujeto identificado con el alias de “Milton”. </w:t>
      </w:r>
      <w:r w:rsidR="00832E75" w:rsidRPr="006E763F">
        <w:rPr>
          <w:lang w:val="es-ES"/>
        </w:rPr>
        <w:t>L</w:t>
      </w:r>
      <w:r w:rsidR="009E7E98" w:rsidRPr="006E763F">
        <w:rPr>
          <w:lang w:val="es-ES"/>
        </w:rPr>
        <w:t>a Comisión nota que la Dirección de Inteligencia Militar</w:t>
      </w:r>
      <w:r w:rsidR="009E7E98" w:rsidRPr="006E763F">
        <w:rPr>
          <w:vertAlign w:val="superscript"/>
          <w:lang w:val="es-ES"/>
        </w:rPr>
        <w:footnoteReference w:id="90"/>
      </w:r>
      <w:r w:rsidR="009E7E98" w:rsidRPr="006E763F">
        <w:rPr>
          <w:lang w:val="es-ES"/>
        </w:rPr>
        <w:t>, a diferencia de lo indicado en 1993, informó que no halló las anotaciones aludidas; y, la Sección de Análisis Criminal</w:t>
      </w:r>
      <w:r w:rsidR="008A63A6" w:rsidRPr="006E763F">
        <w:rPr>
          <w:lang w:val="es-ES"/>
        </w:rPr>
        <w:t>,</w:t>
      </w:r>
      <w:r w:rsidR="009E7E98" w:rsidRPr="006E763F">
        <w:rPr>
          <w:lang w:val="es-ES"/>
        </w:rPr>
        <w:t xml:space="preserve"> tampoco</w:t>
      </w:r>
      <w:r w:rsidR="009E7E98" w:rsidRPr="006E763F">
        <w:rPr>
          <w:vertAlign w:val="superscript"/>
          <w:lang w:val="es-ES"/>
        </w:rPr>
        <w:footnoteReference w:id="91"/>
      </w:r>
      <w:r w:rsidR="009E7E98" w:rsidRPr="006E763F">
        <w:rPr>
          <w:lang w:val="es-ES"/>
        </w:rPr>
        <w:t xml:space="preserve">. </w:t>
      </w:r>
      <w:r w:rsidRPr="006E763F">
        <w:rPr>
          <w:lang w:val="es-ES"/>
        </w:rPr>
        <w:t>L</w:t>
      </w:r>
      <w:r w:rsidR="009E7E98" w:rsidRPr="006E763F">
        <w:rPr>
          <w:lang w:val="es-ES"/>
        </w:rPr>
        <w:t>a CIDH no observa respuesta de parte de la Dijin a la solicitud de Fiscalía General.</w:t>
      </w:r>
    </w:p>
    <w:p w14:paraId="59E80A99" w14:textId="77777777" w:rsidR="00165CD7" w:rsidRPr="006E763F" w:rsidRDefault="00165CD7" w:rsidP="00E923BB">
      <w:pPr>
        <w:pStyle w:val="Body"/>
        <w:ind w:left="567" w:firstLine="0"/>
        <w:rPr>
          <w:lang w:val="es-ES"/>
        </w:rPr>
      </w:pPr>
    </w:p>
    <w:p w14:paraId="731C0F14" w14:textId="2A5AA75A" w:rsidR="00EC310A" w:rsidRPr="006E763F" w:rsidRDefault="00165CD7" w:rsidP="00F700C6">
      <w:pPr>
        <w:pStyle w:val="Body"/>
        <w:numPr>
          <w:ilvl w:val="0"/>
          <w:numId w:val="2"/>
        </w:numPr>
        <w:ind w:firstLine="720"/>
        <w:rPr>
          <w:lang w:val="es-ES"/>
        </w:rPr>
      </w:pPr>
      <w:r w:rsidRPr="006E763F">
        <w:rPr>
          <w:lang w:val="es-ES"/>
        </w:rPr>
        <w:t>Sobre la posible participación del señor</w:t>
      </w:r>
      <w:r w:rsidR="006E6D0B" w:rsidRPr="006E763F">
        <w:rPr>
          <w:lang w:val="es-ES"/>
        </w:rPr>
        <w:t xml:space="preserve"> </w:t>
      </w:r>
      <w:r w:rsidRPr="006E763F">
        <w:rPr>
          <w:lang w:val="es-ES"/>
        </w:rPr>
        <w:t xml:space="preserve">Pabón </w:t>
      </w:r>
      <w:r w:rsidR="006E6D0B" w:rsidRPr="006E763F">
        <w:rPr>
          <w:lang w:val="es-ES"/>
        </w:rPr>
        <w:t>Díaz</w:t>
      </w:r>
      <w:r w:rsidRPr="006E763F">
        <w:rPr>
          <w:lang w:val="es-ES"/>
        </w:rPr>
        <w:t xml:space="preserve">, </w:t>
      </w:r>
      <w:r w:rsidR="009E7E98" w:rsidRPr="006E763F">
        <w:rPr>
          <w:lang w:val="es-ES"/>
        </w:rPr>
        <w:t xml:space="preserve">el </w:t>
      </w:r>
      <w:r w:rsidR="00205DCB" w:rsidRPr="006E763F">
        <w:rPr>
          <w:lang w:val="es-ES"/>
        </w:rPr>
        <w:t>8 de abril de 1997 la UDH ordenó</w:t>
      </w:r>
      <w:r w:rsidR="009E7E98" w:rsidRPr="006E763F">
        <w:rPr>
          <w:lang w:val="es-ES"/>
        </w:rPr>
        <w:t xml:space="preserve"> </w:t>
      </w:r>
      <w:r w:rsidR="006E6D0B" w:rsidRPr="006E763F">
        <w:rPr>
          <w:lang w:val="es-ES"/>
        </w:rPr>
        <w:t xml:space="preserve">diligencias para </w:t>
      </w:r>
      <w:r w:rsidR="009E7E98" w:rsidRPr="006E763F">
        <w:rPr>
          <w:lang w:val="es-ES"/>
        </w:rPr>
        <w:t xml:space="preserve">dar con </w:t>
      </w:r>
      <w:r w:rsidR="006E6D0B" w:rsidRPr="006E763F">
        <w:rPr>
          <w:lang w:val="es-ES"/>
        </w:rPr>
        <w:t>su</w:t>
      </w:r>
      <w:r w:rsidR="009E7E98" w:rsidRPr="006E763F">
        <w:rPr>
          <w:lang w:val="es-ES"/>
        </w:rPr>
        <w:t xml:space="preserve"> paradero</w:t>
      </w:r>
      <w:r w:rsidR="009E7E98" w:rsidRPr="006E763F">
        <w:rPr>
          <w:vertAlign w:val="superscript"/>
          <w:lang w:val="es-ES"/>
        </w:rPr>
        <w:footnoteReference w:id="92"/>
      </w:r>
      <w:r w:rsidR="009E7E98" w:rsidRPr="006E763F">
        <w:rPr>
          <w:lang w:val="es-ES"/>
        </w:rPr>
        <w:t xml:space="preserve">. </w:t>
      </w:r>
      <w:r w:rsidR="00B8213E" w:rsidRPr="006E763F">
        <w:rPr>
          <w:lang w:val="es-ES"/>
        </w:rPr>
        <w:t xml:space="preserve">Asimismo, </w:t>
      </w:r>
      <w:r w:rsidR="009E7E98" w:rsidRPr="006E763F">
        <w:rPr>
          <w:lang w:val="es-ES"/>
        </w:rPr>
        <w:t xml:space="preserve">se tomó la declaración del </w:t>
      </w:r>
      <w:r w:rsidR="00B0429C" w:rsidRPr="006E763F">
        <w:rPr>
          <w:lang w:val="es-ES"/>
        </w:rPr>
        <w:t>policía</w:t>
      </w:r>
      <w:r w:rsidR="009E7E98" w:rsidRPr="006E763F">
        <w:rPr>
          <w:lang w:val="es-ES"/>
        </w:rPr>
        <w:t xml:space="preserve"> Bohórquez</w:t>
      </w:r>
      <w:r w:rsidR="009E7E98" w:rsidRPr="006E763F">
        <w:rPr>
          <w:vertAlign w:val="superscript"/>
          <w:lang w:val="es-ES"/>
        </w:rPr>
        <w:footnoteReference w:id="93"/>
      </w:r>
      <w:r w:rsidR="009E7E98" w:rsidRPr="006E763F">
        <w:rPr>
          <w:lang w:val="es-ES"/>
        </w:rPr>
        <w:t xml:space="preserve">. </w:t>
      </w:r>
      <w:r w:rsidR="009645B3" w:rsidRPr="006E763F">
        <w:rPr>
          <w:lang w:val="es-ES"/>
        </w:rPr>
        <w:t xml:space="preserve">En cuanto a la supuesta pérdida del arma, </w:t>
      </w:r>
      <w:r w:rsidR="009E7E98" w:rsidRPr="006E763F">
        <w:rPr>
          <w:lang w:val="es-ES"/>
        </w:rPr>
        <w:t>la Fiscalía General practicó diligencias en visita realizada</w:t>
      </w:r>
      <w:r w:rsidR="00F3581C" w:rsidRPr="006E763F">
        <w:rPr>
          <w:lang w:val="es-ES"/>
        </w:rPr>
        <w:t xml:space="preserve"> en 1997 </w:t>
      </w:r>
      <w:r w:rsidR="009E7E98" w:rsidRPr="006E763F">
        <w:rPr>
          <w:lang w:val="es-ES"/>
        </w:rPr>
        <w:t>a la Alcaldía Menor de Kennedy</w:t>
      </w:r>
      <w:r w:rsidR="009E7E98" w:rsidRPr="006E763F">
        <w:rPr>
          <w:vertAlign w:val="superscript"/>
          <w:lang w:val="es-ES"/>
        </w:rPr>
        <w:footnoteReference w:id="94"/>
      </w:r>
      <w:r w:rsidR="009E7E98" w:rsidRPr="006E763F">
        <w:rPr>
          <w:lang w:val="es-ES"/>
        </w:rPr>
        <w:t xml:space="preserve"> y en 1998 a la Unidad Judicial de la localidad de Kennedy</w:t>
      </w:r>
      <w:r w:rsidR="009E7E98" w:rsidRPr="006E763F">
        <w:rPr>
          <w:vertAlign w:val="superscript"/>
          <w:lang w:val="es-ES"/>
        </w:rPr>
        <w:footnoteReference w:id="95"/>
      </w:r>
      <w:r w:rsidR="009E7E98" w:rsidRPr="006E763F">
        <w:rPr>
          <w:lang w:val="es-ES"/>
        </w:rPr>
        <w:t xml:space="preserve">. </w:t>
      </w:r>
      <w:r w:rsidR="00340920" w:rsidRPr="006E763F">
        <w:rPr>
          <w:lang w:val="es-ES"/>
        </w:rPr>
        <w:t xml:space="preserve">La CIDH observa que, </w:t>
      </w:r>
      <w:r w:rsidR="009E7E98" w:rsidRPr="006E763F">
        <w:rPr>
          <w:lang w:val="es-ES"/>
        </w:rPr>
        <w:t xml:space="preserve">a diferencia de lo indicado por el Comandante Bohórquez ante la PGN, la Fiscalía </w:t>
      </w:r>
      <w:r w:rsidR="00F3581C" w:rsidRPr="006E763F">
        <w:rPr>
          <w:lang w:val="es-ES"/>
        </w:rPr>
        <w:t xml:space="preserve">General </w:t>
      </w:r>
      <w:r w:rsidR="009E7E98" w:rsidRPr="006E763F">
        <w:rPr>
          <w:lang w:val="es-ES"/>
        </w:rPr>
        <w:t>no pudo corroborar que la pérdida del arma que se le encontró al señor Pabón fuera debidamente denunciada</w:t>
      </w:r>
      <w:r w:rsidR="009E7E98" w:rsidRPr="006E763F">
        <w:rPr>
          <w:vertAlign w:val="superscript"/>
          <w:lang w:val="es-ES"/>
        </w:rPr>
        <w:footnoteReference w:id="96"/>
      </w:r>
      <w:r w:rsidR="009E7E98" w:rsidRPr="006E763F">
        <w:rPr>
          <w:lang w:val="es-ES"/>
        </w:rPr>
        <w:t xml:space="preserve">. </w:t>
      </w:r>
      <w:r w:rsidR="008D7631" w:rsidRPr="006E763F">
        <w:rPr>
          <w:lang w:val="es-ES"/>
        </w:rPr>
        <w:t>El D</w:t>
      </w:r>
      <w:r w:rsidR="009E7E98" w:rsidRPr="006E763F">
        <w:rPr>
          <w:lang w:val="es-ES"/>
        </w:rPr>
        <w:t>AS informó a la Fiscalía General el 18 de diciembre de 2008 que</w:t>
      </w:r>
      <w:r w:rsidR="008D7631" w:rsidRPr="006E763F">
        <w:rPr>
          <w:lang w:val="es-ES"/>
        </w:rPr>
        <w:t xml:space="preserve"> el señor Pabón </w:t>
      </w:r>
      <w:r w:rsidR="009E7E98" w:rsidRPr="006E763F">
        <w:rPr>
          <w:lang w:val="es-ES"/>
        </w:rPr>
        <w:t>fue condenado por los delitos de falsedad en documento público y porte ilegal de armas, quedando en libertad el 23 de agosto de 2002</w:t>
      </w:r>
      <w:r w:rsidR="009E7E98" w:rsidRPr="006E763F">
        <w:rPr>
          <w:vertAlign w:val="superscript"/>
          <w:lang w:val="es-ES"/>
        </w:rPr>
        <w:footnoteReference w:id="97"/>
      </w:r>
      <w:r w:rsidR="009E7E98" w:rsidRPr="006E763F">
        <w:rPr>
          <w:lang w:val="es-ES"/>
        </w:rPr>
        <w:t xml:space="preserve">. </w:t>
      </w:r>
      <w:r w:rsidR="00472458" w:rsidRPr="006E763F">
        <w:rPr>
          <w:lang w:val="es-ES"/>
        </w:rPr>
        <w:t xml:space="preserve">La CIDH entiende </w:t>
      </w:r>
      <w:r w:rsidR="00E31431" w:rsidRPr="006E763F">
        <w:rPr>
          <w:lang w:val="es-ES"/>
        </w:rPr>
        <w:t>que</w:t>
      </w:r>
      <w:r w:rsidR="00472458" w:rsidRPr="006E763F">
        <w:rPr>
          <w:lang w:val="es-ES"/>
        </w:rPr>
        <w:t xml:space="preserve"> no se logró dar con el paradero del señor Pabón. </w:t>
      </w:r>
    </w:p>
    <w:p w14:paraId="7F908649" w14:textId="77777777" w:rsidR="00EC310A" w:rsidRPr="006E763F" w:rsidRDefault="00EC310A" w:rsidP="00E923BB">
      <w:pPr>
        <w:rPr>
          <w:rFonts w:ascii="Cambria" w:hAnsi="Cambria"/>
          <w:b/>
          <w:bCs/>
          <w:sz w:val="20"/>
          <w:szCs w:val="20"/>
          <w:lang w:val="es-ES"/>
        </w:rPr>
      </w:pPr>
    </w:p>
    <w:p w14:paraId="667CABC2" w14:textId="2B6E7558" w:rsidR="00EC310A" w:rsidRPr="006E763F" w:rsidRDefault="009C5D44" w:rsidP="00F700C6">
      <w:pPr>
        <w:pStyle w:val="Body"/>
        <w:numPr>
          <w:ilvl w:val="0"/>
          <w:numId w:val="2"/>
        </w:numPr>
        <w:ind w:firstLine="720"/>
        <w:rPr>
          <w:lang w:val="es-ES"/>
        </w:rPr>
      </w:pPr>
      <w:r w:rsidRPr="006E763F">
        <w:rPr>
          <w:lang w:val="es-ES"/>
        </w:rPr>
        <w:t>Finalmente, en cuanto a la búsqueda de la presunta víctima, l</w:t>
      </w:r>
      <w:r w:rsidR="009E7E98" w:rsidRPr="006E763F">
        <w:rPr>
          <w:lang w:val="es-ES"/>
        </w:rPr>
        <w:t>a Fiscalía General solicitó la obtención de la tarjeta decadactilar</w:t>
      </w:r>
      <w:r w:rsidR="009E7E98" w:rsidRPr="006E763F">
        <w:rPr>
          <w:vertAlign w:val="superscript"/>
          <w:lang w:val="es-ES"/>
        </w:rPr>
        <w:footnoteReference w:id="98"/>
      </w:r>
      <w:r w:rsidR="00237DEA" w:rsidRPr="006E763F">
        <w:rPr>
          <w:lang w:val="es-ES"/>
        </w:rPr>
        <w:t xml:space="preserve">, </w:t>
      </w:r>
      <w:r w:rsidR="009A1312" w:rsidRPr="006E763F">
        <w:rPr>
          <w:lang w:val="es-ES"/>
        </w:rPr>
        <w:t>en</w:t>
      </w:r>
      <w:r w:rsidR="009E7E98" w:rsidRPr="006E763F">
        <w:rPr>
          <w:lang w:val="es-ES"/>
        </w:rPr>
        <w:t xml:space="preserve"> 2011</w:t>
      </w:r>
      <w:r w:rsidR="00F3581C" w:rsidRPr="006E763F">
        <w:rPr>
          <w:lang w:val="es-ES"/>
        </w:rPr>
        <w:t xml:space="preserve"> </w:t>
      </w:r>
      <w:r w:rsidR="009E7E98" w:rsidRPr="006E763F">
        <w:rPr>
          <w:lang w:val="es-ES"/>
        </w:rPr>
        <w:t>solicitó información sobre alguna posible exhumación</w:t>
      </w:r>
      <w:r w:rsidR="009E7E98" w:rsidRPr="006E763F">
        <w:rPr>
          <w:vertAlign w:val="superscript"/>
          <w:lang w:val="es-ES"/>
        </w:rPr>
        <w:footnoteReference w:id="99"/>
      </w:r>
      <w:r w:rsidR="009A1312" w:rsidRPr="006E763F">
        <w:rPr>
          <w:lang w:val="es-ES"/>
        </w:rPr>
        <w:t xml:space="preserve"> y</w:t>
      </w:r>
      <w:r w:rsidR="009E7E98" w:rsidRPr="006E763F">
        <w:rPr>
          <w:lang w:val="es-ES"/>
        </w:rPr>
        <w:t xml:space="preserve"> </w:t>
      </w:r>
      <w:r w:rsidR="009A1312" w:rsidRPr="006E763F">
        <w:rPr>
          <w:lang w:val="es-ES"/>
        </w:rPr>
        <w:t xml:space="preserve"> </w:t>
      </w:r>
      <w:r w:rsidR="009E7E98" w:rsidRPr="006E763F">
        <w:rPr>
          <w:lang w:val="es-ES"/>
        </w:rPr>
        <w:t xml:space="preserve">verificó </w:t>
      </w:r>
      <w:r w:rsidR="009E7E98" w:rsidRPr="006E763F">
        <w:rPr>
          <w:lang w:val="es-ES"/>
        </w:rPr>
        <w:lastRenderedPageBreak/>
        <w:t>la existencia de formulario de persona desaparecida con los datos de la presunta víctima en el Instituto Nacional de Medicina legal y Ciencias Forenses</w:t>
      </w:r>
      <w:r w:rsidR="009E7E98" w:rsidRPr="006E763F">
        <w:rPr>
          <w:vertAlign w:val="superscript"/>
          <w:lang w:val="es-ES"/>
        </w:rPr>
        <w:footnoteReference w:id="100"/>
      </w:r>
      <w:r w:rsidR="009E7E98" w:rsidRPr="006E763F">
        <w:rPr>
          <w:lang w:val="es-ES"/>
        </w:rPr>
        <w:t>.</w:t>
      </w:r>
    </w:p>
    <w:p w14:paraId="5B1B69BE" w14:textId="77777777" w:rsidR="00D928B5" w:rsidRPr="006E763F" w:rsidRDefault="00D928B5" w:rsidP="00E923BB">
      <w:pPr>
        <w:pStyle w:val="ListParagraph"/>
        <w:rPr>
          <w:sz w:val="20"/>
          <w:szCs w:val="20"/>
          <w:lang w:val="es-ES"/>
        </w:rPr>
      </w:pPr>
    </w:p>
    <w:p w14:paraId="0DED13C0" w14:textId="45B47251" w:rsidR="00D928B5" w:rsidRPr="006E763F" w:rsidRDefault="00D928B5" w:rsidP="00F700C6">
      <w:pPr>
        <w:pStyle w:val="Body"/>
        <w:numPr>
          <w:ilvl w:val="0"/>
          <w:numId w:val="2"/>
        </w:numPr>
        <w:ind w:firstLine="720"/>
        <w:rPr>
          <w:lang w:val="es-ES"/>
        </w:rPr>
      </w:pPr>
      <w:r w:rsidRPr="006E763F">
        <w:rPr>
          <w:lang w:val="es-ES"/>
        </w:rPr>
        <w:t>De la información disponible, a la fecha, la investigación permanece en etapa preliminar.</w:t>
      </w:r>
    </w:p>
    <w:p w14:paraId="57D61A73" w14:textId="77777777" w:rsidR="00EC310A" w:rsidRPr="006E763F" w:rsidRDefault="00EC310A" w:rsidP="00E923BB">
      <w:pPr>
        <w:pStyle w:val="Body"/>
        <w:ind w:left="567" w:firstLine="0"/>
        <w:rPr>
          <w:b/>
          <w:bCs/>
          <w:lang w:val="es-ES"/>
        </w:rPr>
      </w:pPr>
    </w:p>
    <w:p w14:paraId="4BC199F9" w14:textId="60540DD2" w:rsidR="00EC310A" w:rsidRPr="006E763F" w:rsidRDefault="009E7E98" w:rsidP="00F700C6">
      <w:pPr>
        <w:pStyle w:val="Heading3"/>
        <w:tabs>
          <w:tab w:val="left" w:pos="1440"/>
        </w:tabs>
        <w:ind w:left="720"/>
        <w:rPr>
          <w:rFonts w:eastAsia="Times New Roman" w:cs="Times New Roman"/>
        </w:rPr>
      </w:pPr>
      <w:bookmarkStart w:id="14" w:name="_Toc446154"/>
      <w:r w:rsidRPr="006E763F">
        <w:t>Acción de reparación direct</w:t>
      </w:r>
      <w:r w:rsidR="00221E35" w:rsidRPr="006E763F">
        <w:t>a</w:t>
      </w:r>
      <w:r w:rsidRPr="006E763F">
        <w:t xml:space="preserve"> ante la jurisdicción</w:t>
      </w:r>
      <w:r w:rsidR="0052187D" w:rsidRPr="006E763F">
        <w:t xml:space="preserve"> de lo</w:t>
      </w:r>
      <w:r w:rsidRPr="006E763F">
        <w:t xml:space="preserve"> contencios</w:t>
      </w:r>
      <w:r w:rsidR="0052187D" w:rsidRPr="006E763F">
        <w:t>o</w:t>
      </w:r>
      <w:r w:rsidRPr="006E763F">
        <w:t xml:space="preserve"> administrativ</w:t>
      </w:r>
      <w:r w:rsidR="0052187D" w:rsidRPr="006E763F">
        <w:t>o</w:t>
      </w:r>
      <w:bookmarkEnd w:id="14"/>
      <w:r w:rsidRPr="006E763F">
        <w:t xml:space="preserve"> </w:t>
      </w:r>
    </w:p>
    <w:p w14:paraId="5D3CCA62" w14:textId="77777777" w:rsidR="00EC310A" w:rsidRPr="006E763F" w:rsidRDefault="00EC310A" w:rsidP="00E923BB">
      <w:pPr>
        <w:pStyle w:val="ListParagraph"/>
        <w:ind w:left="0" w:firstLine="249"/>
        <w:rPr>
          <w:b/>
          <w:bCs/>
          <w:color w:val="FF0000"/>
          <w:sz w:val="20"/>
          <w:szCs w:val="20"/>
          <w:lang w:val="es-ES"/>
        </w:rPr>
      </w:pPr>
    </w:p>
    <w:p w14:paraId="002D0525" w14:textId="085C6679" w:rsidR="00EC310A" w:rsidRDefault="003A1967" w:rsidP="00F700C6">
      <w:pPr>
        <w:pStyle w:val="Body"/>
        <w:numPr>
          <w:ilvl w:val="0"/>
          <w:numId w:val="2"/>
        </w:numPr>
        <w:ind w:firstLine="720"/>
        <w:rPr>
          <w:lang w:val="es-ES"/>
        </w:rPr>
      </w:pPr>
      <w:r w:rsidRPr="006E763F">
        <w:rPr>
          <w:lang w:val="es-ES"/>
        </w:rPr>
        <w:t>E</w:t>
      </w:r>
      <w:r w:rsidR="009E7E98" w:rsidRPr="006E763F">
        <w:rPr>
          <w:lang w:val="es-ES"/>
        </w:rPr>
        <w:t>l 19 de mayo de 1995, la señora Vergara entabló demanda de reparación directa en contra la Nación, el Ministerio de Defensa y el Ejército Nacional, ante la Sección Tercera del Tribunal Administrativo de Cundinamarca</w:t>
      </w:r>
      <w:r w:rsidR="009E7E98" w:rsidRPr="006E763F">
        <w:rPr>
          <w:vertAlign w:val="superscript"/>
          <w:lang w:val="es-ES"/>
        </w:rPr>
        <w:footnoteReference w:id="101"/>
      </w:r>
      <w:r w:rsidR="009E7E98" w:rsidRPr="006E763F">
        <w:rPr>
          <w:lang w:val="es-ES"/>
        </w:rPr>
        <w:t xml:space="preserve">. </w:t>
      </w:r>
      <w:r w:rsidRPr="006E763F">
        <w:rPr>
          <w:lang w:val="es-ES"/>
        </w:rPr>
        <w:t xml:space="preserve">Dicha </w:t>
      </w:r>
      <w:r w:rsidR="009E7E98" w:rsidRPr="006E763F">
        <w:rPr>
          <w:lang w:val="es-ES"/>
        </w:rPr>
        <w:t>demanda fue rechazada en primera instancia el 30 de octubre de 2001, al considerar que no se probó la desaparición forzada por autoridad pública</w:t>
      </w:r>
      <w:r w:rsidR="009E7E98" w:rsidRPr="006E763F">
        <w:rPr>
          <w:vertAlign w:val="superscript"/>
          <w:lang w:val="es-ES"/>
        </w:rPr>
        <w:footnoteReference w:id="102"/>
      </w:r>
      <w:r w:rsidRPr="006E763F">
        <w:rPr>
          <w:lang w:val="es-ES"/>
        </w:rPr>
        <w:t xml:space="preserve"> y</w:t>
      </w:r>
      <w:r w:rsidR="009E7E98" w:rsidRPr="006E763F">
        <w:rPr>
          <w:lang w:val="es-ES"/>
        </w:rPr>
        <w:t xml:space="preserve"> fue apelada por los demandantes</w:t>
      </w:r>
      <w:r w:rsidRPr="006E763F">
        <w:rPr>
          <w:lang w:val="es-ES"/>
        </w:rPr>
        <w:t>. E</w:t>
      </w:r>
      <w:r w:rsidR="009E7E98" w:rsidRPr="006E763F">
        <w:rPr>
          <w:lang w:val="es-ES"/>
        </w:rPr>
        <w:t xml:space="preserve">l 23 de junio de 2011, </w:t>
      </w:r>
      <w:r w:rsidRPr="006E763F">
        <w:rPr>
          <w:lang w:val="es-ES"/>
        </w:rPr>
        <w:t xml:space="preserve">el Consejo de Estado confirmó la sentencia de primer grado </w:t>
      </w:r>
      <w:r w:rsidR="009E7E98" w:rsidRPr="006E763F">
        <w:rPr>
          <w:lang w:val="es-ES"/>
        </w:rPr>
        <w:t>por no obrar “prueba alguna en el expediente que permita establecer que la desaparición del señor Pedro Julio Movilla Galarcio hubiese podido ser producida por miembros del ente público demandado”</w:t>
      </w:r>
      <w:r w:rsidR="009E7E98" w:rsidRPr="006E763F">
        <w:rPr>
          <w:vertAlign w:val="superscript"/>
          <w:lang w:val="es-ES"/>
        </w:rPr>
        <w:footnoteReference w:id="103"/>
      </w:r>
      <w:r w:rsidR="009E7E98" w:rsidRPr="006E763F">
        <w:rPr>
          <w:lang w:val="es-ES"/>
        </w:rPr>
        <w:t>.</w:t>
      </w:r>
    </w:p>
    <w:p w14:paraId="3D724AA7" w14:textId="77777777" w:rsidR="00D90561" w:rsidRPr="006E763F" w:rsidRDefault="00D90561" w:rsidP="00D90561">
      <w:pPr>
        <w:pStyle w:val="Body"/>
        <w:ind w:firstLine="0"/>
        <w:rPr>
          <w:lang w:val="es-ES"/>
        </w:rPr>
      </w:pPr>
    </w:p>
    <w:p w14:paraId="4192B618" w14:textId="77777777" w:rsidR="00EC310A" w:rsidRPr="006E763F" w:rsidRDefault="009E7E98" w:rsidP="00E923BB">
      <w:pPr>
        <w:pStyle w:val="Heading1"/>
        <w:rPr>
          <w:rFonts w:eastAsia="Times New Roman" w:cs="Times New Roman"/>
        </w:rPr>
      </w:pPr>
      <w:bookmarkStart w:id="15" w:name="_Toc446155"/>
      <w:r w:rsidRPr="006E763F">
        <w:t>ANÁLISIS DE DERECHO</w:t>
      </w:r>
      <w:bookmarkEnd w:id="15"/>
    </w:p>
    <w:p w14:paraId="7179F888" w14:textId="77777777" w:rsidR="00EC310A" w:rsidRPr="006E763F" w:rsidRDefault="00EC310A" w:rsidP="00E923BB">
      <w:pPr>
        <w:pStyle w:val="Body"/>
        <w:ind w:left="1134" w:hanging="567"/>
        <w:rPr>
          <w:b/>
          <w:bCs/>
          <w:color w:val="FF0000"/>
          <w:u w:color="FF0000"/>
          <w:lang w:val="es-ES"/>
        </w:rPr>
      </w:pPr>
    </w:p>
    <w:p w14:paraId="6F407243" w14:textId="2056DFD4" w:rsidR="00EC310A" w:rsidRPr="006E763F" w:rsidRDefault="009E7E98" w:rsidP="00685D78">
      <w:pPr>
        <w:pStyle w:val="Heading2"/>
        <w:numPr>
          <w:ilvl w:val="0"/>
          <w:numId w:val="26"/>
        </w:numPr>
        <w:tabs>
          <w:tab w:val="clear" w:pos="86"/>
          <w:tab w:val="num" w:pos="1440"/>
        </w:tabs>
        <w:ind w:left="1440" w:hanging="720"/>
      </w:pPr>
      <w:bookmarkStart w:id="16" w:name="_Toc446156"/>
      <w:r w:rsidRPr="006E763F">
        <w:t>Derecho al reconocimiento de la personalidad jurídica, a la libertad personal, a la integridad personal y a la vida (artículos 3</w:t>
      </w:r>
      <w:r w:rsidR="009779A1" w:rsidRPr="006E763F">
        <w:rPr>
          <w:rStyle w:val="FootnoteReference"/>
        </w:rPr>
        <w:footnoteReference w:id="104"/>
      </w:r>
      <w:r w:rsidRPr="006E763F">
        <w:t xml:space="preserve">, </w:t>
      </w:r>
      <w:r w:rsidR="00EF172F" w:rsidRPr="006E763F">
        <w:t>4</w:t>
      </w:r>
      <w:r w:rsidR="009779A1" w:rsidRPr="006E763F">
        <w:rPr>
          <w:rStyle w:val="FootnoteReference"/>
        </w:rPr>
        <w:footnoteReference w:id="105"/>
      </w:r>
      <w:r w:rsidRPr="006E763F">
        <w:t>, 5</w:t>
      </w:r>
      <w:r w:rsidR="009779A1" w:rsidRPr="006E763F">
        <w:rPr>
          <w:rStyle w:val="FootnoteReference"/>
        </w:rPr>
        <w:footnoteReference w:id="106"/>
      </w:r>
      <w:r w:rsidR="00533C97" w:rsidRPr="006E763F">
        <w:t>,</w:t>
      </w:r>
      <w:r w:rsidR="00EF172F" w:rsidRPr="006E763F">
        <w:t xml:space="preserve"> 7</w:t>
      </w:r>
      <w:r w:rsidR="009779A1" w:rsidRPr="006E763F">
        <w:rPr>
          <w:rStyle w:val="FootnoteReference"/>
        </w:rPr>
        <w:footnoteReference w:id="107"/>
      </w:r>
      <w:r w:rsidR="00A32545" w:rsidRPr="006E763F">
        <w:t>,</w:t>
      </w:r>
      <w:r w:rsidR="00533C97" w:rsidRPr="006E763F">
        <w:t xml:space="preserve"> 1.1</w:t>
      </w:r>
      <w:r w:rsidR="00E24327" w:rsidRPr="006E763F">
        <w:rPr>
          <w:rStyle w:val="FootnoteReference"/>
          <w:rFonts w:eastAsia="Times New Roman" w:cs="Times New Roman"/>
        </w:rPr>
        <w:footnoteReference w:id="108"/>
      </w:r>
      <w:r w:rsidR="00A32545" w:rsidRPr="006E763F">
        <w:t xml:space="preserve"> y 2</w:t>
      </w:r>
      <w:r w:rsidR="00B0429C" w:rsidRPr="006E763F">
        <w:rPr>
          <w:rStyle w:val="FootnoteReference"/>
        </w:rPr>
        <w:footnoteReference w:id="109"/>
      </w:r>
      <w:r w:rsidRPr="006E763F">
        <w:t xml:space="preserve"> de la Convención Americana</w:t>
      </w:r>
      <w:r w:rsidR="00533C97" w:rsidRPr="006E763F">
        <w:t xml:space="preserve"> y artículo I a) de la CIDFP</w:t>
      </w:r>
      <w:r w:rsidR="00693189" w:rsidRPr="006E763F">
        <w:rPr>
          <w:rStyle w:val="FootnoteReference"/>
        </w:rPr>
        <w:footnoteReference w:id="110"/>
      </w:r>
      <w:r w:rsidR="00E10D3E" w:rsidRPr="006E763F">
        <w:t>)</w:t>
      </w:r>
      <w:bookmarkEnd w:id="16"/>
    </w:p>
    <w:p w14:paraId="166C7418" w14:textId="77777777" w:rsidR="009779A1" w:rsidRPr="006E763F" w:rsidRDefault="009779A1" w:rsidP="00E923BB">
      <w:pPr>
        <w:pStyle w:val="ListParagraph"/>
        <w:ind w:left="249" w:firstLine="0"/>
        <w:rPr>
          <w:b/>
          <w:bCs/>
          <w:sz w:val="20"/>
          <w:szCs w:val="20"/>
          <w:lang w:val="es-ES"/>
        </w:rPr>
      </w:pPr>
    </w:p>
    <w:p w14:paraId="1818118A" w14:textId="57A9B6EF" w:rsidR="00EC310A" w:rsidRPr="00EA3E8B" w:rsidRDefault="00500828" w:rsidP="00F700C6">
      <w:pPr>
        <w:pStyle w:val="Heading3"/>
        <w:numPr>
          <w:ilvl w:val="3"/>
          <w:numId w:val="27"/>
        </w:numPr>
        <w:ind w:firstLine="720"/>
        <w:rPr>
          <w:rFonts w:eastAsia="Times New Roman" w:cs="Times New Roman"/>
        </w:rPr>
      </w:pPr>
      <w:bookmarkStart w:id="17" w:name="_Toc446157"/>
      <w:r w:rsidRPr="006E763F">
        <w:t xml:space="preserve">Consideraciones </w:t>
      </w:r>
      <w:r w:rsidR="00EF172F" w:rsidRPr="006E763F">
        <w:t xml:space="preserve">generales </w:t>
      </w:r>
      <w:r w:rsidRPr="006E763F">
        <w:t xml:space="preserve">en materia de </w:t>
      </w:r>
      <w:r w:rsidR="00EF172F" w:rsidRPr="006E763F">
        <w:t>desaparición</w:t>
      </w:r>
      <w:r w:rsidR="009E7E98" w:rsidRPr="006E763F">
        <w:t xml:space="preserve"> forzada de personas</w:t>
      </w:r>
      <w:bookmarkEnd w:id="17"/>
    </w:p>
    <w:p w14:paraId="23634263" w14:textId="2501E699" w:rsidR="00C70904" w:rsidRPr="006E763F" w:rsidRDefault="00C70904" w:rsidP="00E923BB">
      <w:pPr>
        <w:pStyle w:val="ListParagraph"/>
        <w:rPr>
          <w:sz w:val="20"/>
          <w:szCs w:val="20"/>
          <w:lang w:val="es-ES"/>
        </w:rPr>
      </w:pPr>
    </w:p>
    <w:p w14:paraId="196B3C3B" w14:textId="2B0DF2D9" w:rsidR="000E20D9" w:rsidRPr="006E763F" w:rsidRDefault="000E20D9"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hAnsi="Cambria"/>
          <w:sz w:val="20"/>
          <w:szCs w:val="20"/>
          <w:lang w:val="es-CO"/>
        </w:rPr>
        <w:t>La jurisprudencia const</w:t>
      </w:r>
      <w:r w:rsidR="004240E2">
        <w:rPr>
          <w:rFonts w:ascii="Cambria" w:hAnsi="Cambria"/>
          <w:sz w:val="20"/>
          <w:szCs w:val="20"/>
          <w:lang w:val="es-CO"/>
        </w:rPr>
        <w:t xml:space="preserve">ante del Sistema Interamericano, </w:t>
      </w:r>
      <w:r w:rsidRPr="006E763F">
        <w:rPr>
          <w:rFonts w:ascii="Cambria" w:hAnsi="Cambria"/>
          <w:sz w:val="20"/>
          <w:szCs w:val="20"/>
          <w:lang w:val="es-CO"/>
        </w:rPr>
        <w:t>en casos de desaparición forzada de personas, ha indicado que constituye un hecho ilícito que genera una violación múltiple y continuada de varios derechos protegidos por la Convención Americana y coloca a la víctima en un estado de completa indefensión, acarreando otros delitos conexos</w:t>
      </w:r>
      <w:r w:rsidRPr="006E763F">
        <w:rPr>
          <w:rFonts w:ascii="Cambria" w:hAnsi="Cambria"/>
          <w:sz w:val="20"/>
          <w:szCs w:val="20"/>
          <w:vertAlign w:val="superscript"/>
          <w:lang w:val="es-CO"/>
        </w:rPr>
        <w:footnoteReference w:id="111"/>
      </w:r>
      <w:r w:rsidRPr="006E763F">
        <w:rPr>
          <w:rFonts w:ascii="Cambria" w:hAnsi="Cambria"/>
          <w:sz w:val="20"/>
          <w:szCs w:val="20"/>
          <w:lang w:val="es-CO"/>
        </w:rPr>
        <w:t xml:space="preserve">. </w:t>
      </w:r>
    </w:p>
    <w:p w14:paraId="41F25902" w14:textId="77777777" w:rsidR="000E20D9" w:rsidRPr="006E763F" w:rsidRDefault="000E20D9" w:rsidP="00E923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14:paraId="094D76B3" w14:textId="77777777" w:rsidR="000E20D9" w:rsidRPr="006E763F" w:rsidRDefault="000E20D9"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eastAsia="Times New Roman" w:hAnsi="Cambria"/>
          <w:spacing w:val="-3"/>
          <w:sz w:val="20"/>
          <w:szCs w:val="20"/>
          <w:lang w:val="es-CR"/>
        </w:rPr>
        <w:t xml:space="preserve">Es así como los Estados tienen la obligación de no </w:t>
      </w:r>
      <w:r w:rsidRPr="006E763F">
        <w:rPr>
          <w:rFonts w:ascii="Cambria" w:eastAsia="Times New Roman" w:hAnsi="Cambria" w:cs="Tahoma"/>
          <w:sz w:val="20"/>
          <w:szCs w:val="20"/>
          <w:lang w:val="es-CR"/>
        </w:rPr>
        <w:t xml:space="preserve">practicar ni tolerar la desaparición forzada de personas en cualquier circunstancia. Asimismo, deben prevenir de manera razonable la comisión de este delito, </w:t>
      </w:r>
      <w:r w:rsidRPr="006E763F">
        <w:rPr>
          <w:rFonts w:ascii="Cambria" w:eastAsia="Times New Roman" w:hAnsi="Cambria"/>
          <w:sz w:val="20"/>
          <w:szCs w:val="20"/>
          <w:lang w:val="es-CR"/>
        </w:rPr>
        <w:t>investigar seriamente lo sucedido a fin de identificar a los responsables e imponerles las sanciones pertinentes, así como asegurar a la víctima una adecuada reparación</w:t>
      </w:r>
      <w:r w:rsidRPr="006E763F">
        <w:rPr>
          <w:rFonts w:ascii="Cambria" w:eastAsia="Times New Roman" w:hAnsi="Cambria"/>
          <w:sz w:val="20"/>
          <w:szCs w:val="20"/>
          <w:vertAlign w:val="superscript"/>
          <w:lang w:val="es-CR"/>
        </w:rPr>
        <w:footnoteReference w:id="112"/>
      </w:r>
      <w:r w:rsidRPr="006E763F">
        <w:rPr>
          <w:rFonts w:ascii="Cambria" w:eastAsia="Times New Roman" w:hAnsi="Cambria"/>
          <w:sz w:val="20"/>
          <w:szCs w:val="20"/>
          <w:lang w:val="es-CR"/>
        </w:rPr>
        <w:t>. Estas obligaciones son recogidas expresamente en los artículos I. a) y I. b) de la Convención Interamericana sobre Desaparición Forzada de Personas.</w:t>
      </w:r>
    </w:p>
    <w:p w14:paraId="7BCF63C0" w14:textId="77777777" w:rsidR="000E20D9" w:rsidRPr="006E763F" w:rsidRDefault="000E20D9" w:rsidP="00E923BB">
      <w:pPr>
        <w:pStyle w:val="ListParagraph"/>
        <w:rPr>
          <w:sz w:val="20"/>
          <w:szCs w:val="20"/>
          <w:lang w:val="es-ES_tradnl"/>
        </w:rPr>
      </w:pPr>
    </w:p>
    <w:p w14:paraId="5E32BBD4" w14:textId="77777777" w:rsidR="000E20D9" w:rsidRPr="006E763F" w:rsidRDefault="000E20D9"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hAnsi="Cambria"/>
          <w:sz w:val="20"/>
          <w:szCs w:val="20"/>
          <w:lang w:val="es-ES_tradnl"/>
        </w:rPr>
        <w:t>De acuerdo con su jurisprudencia consolidada, la Comisión considera que la desaparición forzada es una violación de derechos humanos compleja que continúa en el tiempo hasta tanto el paradero de la víctima o de sus restos continúa desconocido. La desaparición como tal sólo cesa cuando aparece la víctima o sus restos son ubicados</w:t>
      </w:r>
      <w:r w:rsidRPr="006E763F">
        <w:rPr>
          <w:rStyle w:val="FootnoteReference"/>
          <w:rFonts w:ascii="Cambria" w:hAnsi="Cambria"/>
          <w:sz w:val="20"/>
          <w:szCs w:val="20"/>
          <w:lang w:val="es-ES_tradnl"/>
        </w:rPr>
        <w:footnoteReference w:id="113"/>
      </w:r>
      <w:r w:rsidRPr="006E763F">
        <w:rPr>
          <w:rFonts w:ascii="Cambria" w:hAnsi="Cambria"/>
          <w:sz w:val="20"/>
          <w:szCs w:val="20"/>
          <w:lang w:val="es-ES_tradnl"/>
        </w:rPr>
        <w:t>.</w:t>
      </w:r>
    </w:p>
    <w:p w14:paraId="5B5C9040" w14:textId="77777777" w:rsidR="000E20D9" w:rsidRPr="006E763F" w:rsidRDefault="000E20D9" w:rsidP="00E923BB">
      <w:pPr>
        <w:pStyle w:val="ListParagraph"/>
        <w:rPr>
          <w:rFonts w:eastAsia="Times New Roman"/>
          <w:sz w:val="20"/>
          <w:szCs w:val="20"/>
          <w:lang w:val="es-CR"/>
        </w:rPr>
      </w:pPr>
    </w:p>
    <w:p w14:paraId="06DA1F5F" w14:textId="295B75DD" w:rsidR="000E20D9" w:rsidRPr="006E763F" w:rsidRDefault="000E20D9"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eastAsia="Times New Roman" w:hAnsi="Cambria"/>
          <w:sz w:val="20"/>
          <w:szCs w:val="20"/>
          <w:lang w:val="es-CR"/>
        </w:rPr>
        <w:t>Respecto a los derechos vulnerados,</w:t>
      </w:r>
      <w:r w:rsidRPr="006E763F">
        <w:rPr>
          <w:rFonts w:ascii="Cambria" w:eastAsia="Times New Roman" w:hAnsi="Cambria"/>
          <w:sz w:val="20"/>
          <w:szCs w:val="20"/>
          <w:lang w:val="es-VE"/>
        </w:rPr>
        <w:t xml:space="preserve"> </w:t>
      </w:r>
      <w:r w:rsidRPr="006E763F">
        <w:rPr>
          <w:rFonts w:ascii="Cambria" w:eastAsia="Times New Roman" w:hAnsi="Cambria"/>
          <w:sz w:val="20"/>
          <w:szCs w:val="20"/>
          <w:lang w:val="es-CR"/>
        </w:rPr>
        <w:t xml:space="preserve">la desaparición forzada vulnera el derecho a la libertad personal y coloca a la víctima </w:t>
      </w:r>
      <w:r w:rsidRPr="006E763F">
        <w:rPr>
          <w:rFonts w:ascii="Cambria" w:eastAsia="Times New Roman" w:hAnsi="Cambria"/>
          <w:sz w:val="20"/>
          <w:szCs w:val="20"/>
          <w:lang w:val="es-VE"/>
        </w:rPr>
        <w:t xml:space="preserve">en una grave situación de riesgo de sufrir daños irreparables a sus derechos a la integridad personal y a la vida. </w:t>
      </w:r>
      <w:r w:rsidRPr="006E763F">
        <w:rPr>
          <w:rFonts w:ascii="Cambria" w:eastAsia="Times New Roman" w:hAnsi="Cambria"/>
          <w:sz w:val="20"/>
          <w:szCs w:val="20"/>
          <w:lang w:val="es-ES"/>
        </w:rPr>
        <w:t xml:space="preserve">La Corte ha indicado que la desaparición forzada viola el derecho a la integridad personal puesto que </w:t>
      </w:r>
      <w:r w:rsidRPr="006E763F">
        <w:rPr>
          <w:rFonts w:ascii="Cambria" w:eastAsia="Times New Roman" w:hAnsi="Cambria"/>
          <w:sz w:val="20"/>
          <w:szCs w:val="20"/>
          <w:lang w:val="es-VE"/>
        </w:rPr>
        <w:t>“el solo hecho del aislamiento prolongado y de la incomunicación coactiva, representa un tratamiento cruel e inhumano”</w:t>
      </w:r>
      <w:r w:rsidRPr="006E763F">
        <w:rPr>
          <w:rFonts w:ascii="Cambria" w:eastAsia="Times New Roman" w:hAnsi="Cambria"/>
          <w:sz w:val="20"/>
          <w:szCs w:val="20"/>
          <w:vertAlign w:val="superscript"/>
        </w:rPr>
        <w:footnoteReference w:id="114"/>
      </w:r>
      <w:r w:rsidRPr="006E763F">
        <w:rPr>
          <w:rFonts w:ascii="Cambria" w:eastAsia="Times New Roman" w:hAnsi="Cambria"/>
          <w:sz w:val="20"/>
          <w:szCs w:val="20"/>
          <w:lang w:val="es-VE"/>
        </w:rPr>
        <w:t xml:space="preserve">. Adicionalmente, la Corte ha considerado que en casos de desaparición forzada, atendiendo al carácter múltiple y complejo de esta grave violación de derechos humanos, su ejecución </w:t>
      </w:r>
      <w:r w:rsidRPr="006E763F">
        <w:rPr>
          <w:rFonts w:ascii="Cambria" w:eastAsia="Times New Roman" w:hAnsi="Cambria"/>
          <w:sz w:val="20"/>
          <w:szCs w:val="20"/>
          <w:lang w:val="es-ES"/>
        </w:rPr>
        <w:t xml:space="preserve">genera la vulneración </w:t>
      </w:r>
      <w:r w:rsidRPr="006E763F">
        <w:rPr>
          <w:rFonts w:ascii="Cambria" w:eastAsia="Times New Roman" w:hAnsi="Cambria"/>
          <w:sz w:val="20"/>
          <w:szCs w:val="20"/>
          <w:lang w:val="es-VE"/>
        </w:rPr>
        <w:t>del derecho al reconocimiento de la personalidad jurídica</w:t>
      </w:r>
      <w:r w:rsidRPr="006E763F">
        <w:rPr>
          <w:rFonts w:ascii="Cambria" w:eastAsia="Times New Roman" w:hAnsi="Cambria"/>
          <w:sz w:val="20"/>
          <w:szCs w:val="20"/>
          <w:vertAlign w:val="superscript"/>
        </w:rPr>
        <w:footnoteReference w:id="115"/>
      </w:r>
      <w:r w:rsidRPr="006E763F">
        <w:rPr>
          <w:rFonts w:ascii="Cambria" w:eastAsia="Times New Roman" w:hAnsi="Cambria"/>
          <w:sz w:val="20"/>
          <w:szCs w:val="20"/>
          <w:lang w:val="es-VE"/>
        </w:rPr>
        <w:t xml:space="preserve">. Ello se debe a que además de que la persona desaparecida </w:t>
      </w:r>
      <w:r w:rsidRPr="006E763F">
        <w:rPr>
          <w:rFonts w:ascii="Cambria" w:eastAsia="Times New Roman" w:hAnsi="Cambria"/>
          <w:sz w:val="20"/>
          <w:szCs w:val="20"/>
          <w:lang w:val="es-ES"/>
        </w:rPr>
        <w:t xml:space="preserve">no puede continuar gozando y ejerciendo los derechos de los cuales es titular, la desaparición forzada busca </w:t>
      </w:r>
      <w:r w:rsidRPr="006E763F">
        <w:rPr>
          <w:rFonts w:ascii="Cambria" w:eastAsia="Times New Roman" w:hAnsi="Cambria"/>
          <w:sz w:val="20"/>
          <w:szCs w:val="20"/>
          <w:lang w:val="es-VE"/>
        </w:rPr>
        <w:t>“</w:t>
      </w:r>
      <w:r w:rsidRPr="006E763F">
        <w:rPr>
          <w:rFonts w:ascii="Cambria" w:eastAsia="Times New Roman" w:hAnsi="Cambria"/>
          <w:sz w:val="20"/>
          <w:szCs w:val="20"/>
          <w:lang w:val="es-ES"/>
        </w:rPr>
        <w:t xml:space="preserve">no sólo una de las más graves formas de sustracción de una persona de todo ámbito del ordenamiento jurídico, sino también negar </w:t>
      </w:r>
      <w:r w:rsidRPr="006E763F">
        <w:rPr>
          <w:rFonts w:ascii="Cambria" w:eastAsia="Times New Roman" w:hAnsi="Cambria" w:cs="Verdana"/>
          <w:sz w:val="20"/>
          <w:szCs w:val="20"/>
          <w:lang w:val="es-VE"/>
        </w:rPr>
        <w:t>su existencia misma y dejarla en una suerte de limbo o situación de indeterminación jurídica ante la sociedad y el Estado</w:t>
      </w:r>
      <w:r w:rsidRPr="006E763F">
        <w:rPr>
          <w:rFonts w:ascii="Cambria" w:eastAsia="Times New Roman" w:hAnsi="Cambria" w:cs="Verdana"/>
          <w:sz w:val="20"/>
          <w:szCs w:val="20"/>
          <w:vertAlign w:val="superscript"/>
        </w:rPr>
        <w:footnoteReference w:id="116"/>
      </w:r>
      <w:r w:rsidRPr="006E763F">
        <w:rPr>
          <w:rFonts w:ascii="Cambria" w:eastAsia="Times New Roman" w:hAnsi="Cambria"/>
          <w:sz w:val="20"/>
          <w:szCs w:val="20"/>
          <w:lang w:val="es-VE"/>
        </w:rPr>
        <w:t>”</w:t>
      </w:r>
      <w:r w:rsidRPr="006E763F">
        <w:rPr>
          <w:rFonts w:ascii="Cambria" w:eastAsia="Times New Roman" w:hAnsi="Cambria" w:cs="Verdana"/>
          <w:sz w:val="20"/>
          <w:szCs w:val="20"/>
          <w:lang w:val="es-VE"/>
        </w:rPr>
        <w:t>.</w:t>
      </w:r>
    </w:p>
    <w:p w14:paraId="34C57B5F" w14:textId="77777777" w:rsidR="00812B3E" w:rsidRPr="006E763F" w:rsidRDefault="00812B3E" w:rsidP="00E923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14:paraId="720B33B7" w14:textId="798F0232" w:rsidR="008F0B58" w:rsidRPr="006E763F" w:rsidRDefault="000A0D00"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eastAsia="Times New Roman" w:hAnsi="Cambria"/>
          <w:sz w:val="20"/>
          <w:szCs w:val="20"/>
          <w:lang w:val="es-ES" w:eastAsia="es-ES"/>
        </w:rPr>
        <w:t xml:space="preserve">En cuanto a la valoración de la prueba, </w:t>
      </w:r>
      <w:r w:rsidR="00E0745F" w:rsidRPr="006E763F">
        <w:rPr>
          <w:rFonts w:ascii="Cambria" w:hAnsi="Cambria"/>
          <w:sz w:val="20"/>
          <w:szCs w:val="20"/>
          <w:lang w:val="es-ES"/>
        </w:rPr>
        <w:t>l</w:t>
      </w:r>
      <w:r w:rsidRPr="006E763F">
        <w:rPr>
          <w:rFonts w:ascii="Cambria" w:hAnsi="Cambria"/>
          <w:sz w:val="20"/>
          <w:szCs w:val="20"/>
          <w:lang w:val="es-ES"/>
        </w:rPr>
        <w:t xml:space="preserve">a Comisión resalta que en casos en los que se alega desaparición forzada, </w:t>
      </w:r>
      <w:r w:rsidR="0085399C" w:rsidRPr="006E763F">
        <w:rPr>
          <w:rFonts w:ascii="Cambria" w:hAnsi="Cambria"/>
          <w:sz w:val="20"/>
          <w:szCs w:val="20"/>
          <w:lang w:val="es-ES"/>
        </w:rPr>
        <w:t xml:space="preserve">se debe tomar en cuenta </w:t>
      </w:r>
      <w:r w:rsidRPr="006E763F">
        <w:rPr>
          <w:rFonts w:ascii="Cambria" w:hAnsi="Cambria"/>
          <w:sz w:val="20"/>
          <w:szCs w:val="20"/>
          <w:lang w:val="es-ES"/>
        </w:rPr>
        <w:t>la naturaleza de esta violación, cuyo propósito es borrar toda huella material del crimen y, generalmente, se encuentra seguida de una serie de acciones y omisiones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Pr="006E763F">
        <w:rPr>
          <w:rStyle w:val="FootnoteReference"/>
          <w:rFonts w:ascii="Cambria" w:hAnsi="Cambria"/>
          <w:sz w:val="20"/>
          <w:szCs w:val="20"/>
          <w:lang w:val="es-ES"/>
        </w:rPr>
        <w:footnoteReference w:id="117"/>
      </w:r>
      <w:r w:rsidRPr="006E763F">
        <w:rPr>
          <w:rFonts w:ascii="Cambria" w:hAnsi="Cambria"/>
          <w:sz w:val="20"/>
          <w:szCs w:val="20"/>
          <w:lang w:val="es-ES"/>
        </w:rPr>
        <w:t>.</w:t>
      </w:r>
    </w:p>
    <w:p w14:paraId="0025F540" w14:textId="77777777" w:rsidR="008F0B58" w:rsidRPr="006E763F" w:rsidRDefault="008F0B58" w:rsidP="00E923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14:paraId="4B1F485B" w14:textId="77777777" w:rsidR="008F0B58" w:rsidRPr="006E763F" w:rsidRDefault="008F0B5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hAnsi="Cambria"/>
          <w:sz w:val="20"/>
          <w:szCs w:val="20"/>
          <w:lang w:val="es-CO"/>
        </w:rPr>
        <w:t>L</w:t>
      </w:r>
      <w:r w:rsidR="000A0D00" w:rsidRPr="006E763F">
        <w:rPr>
          <w:rFonts w:ascii="Cambria" w:hAnsi="Cambria"/>
          <w:sz w:val="20"/>
          <w:szCs w:val="20"/>
          <w:lang w:val="es-ES"/>
        </w:rPr>
        <w:t xml:space="preserve">a Corte ha indicado que </w:t>
      </w:r>
      <w:r w:rsidR="000A0D00" w:rsidRPr="006E763F">
        <w:rPr>
          <w:rFonts w:ascii="Cambria" w:hAnsi="Cambria"/>
          <w:sz w:val="20"/>
          <w:szCs w:val="20"/>
          <w:lang w:val="es-VE"/>
        </w:rPr>
        <w:t>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000A0D00" w:rsidRPr="006E763F">
        <w:rPr>
          <w:rFonts w:ascii="Cambria" w:hAnsi="Cambria"/>
          <w:sz w:val="20"/>
          <w:szCs w:val="20"/>
          <w:vertAlign w:val="superscript"/>
          <w:lang w:val="es-VE"/>
        </w:rPr>
        <w:footnoteReference w:id="118"/>
      </w:r>
      <w:r w:rsidR="000A0D00" w:rsidRPr="006E763F">
        <w:rPr>
          <w:rFonts w:ascii="Cambria" w:hAnsi="Cambria"/>
          <w:sz w:val="20"/>
          <w:szCs w:val="20"/>
          <w:lang w:val="es-VE"/>
        </w:rPr>
        <w:t xml:space="preserve">.  La </w:t>
      </w:r>
      <w:r w:rsidR="000A0D00" w:rsidRPr="006E763F">
        <w:rPr>
          <w:rFonts w:ascii="Cambria" w:hAnsi="Cambria"/>
          <w:sz w:val="20"/>
          <w:szCs w:val="20"/>
          <w:lang w:val="es-VE"/>
        </w:rPr>
        <w:lastRenderedPageBreak/>
        <w:t>Corte ha indicado que es posible demostrar la desaparición de un individuo mediante pruebas testimoniales indirectas y circunstanciales, sumadas a inferencias lógicas pertinentes, así como su vinculación a una práctica general de desapariciones</w:t>
      </w:r>
      <w:r w:rsidR="000A0D00" w:rsidRPr="006E763F">
        <w:rPr>
          <w:rStyle w:val="FootnoteReference"/>
          <w:rFonts w:ascii="Cambria" w:hAnsi="Cambria"/>
          <w:sz w:val="20"/>
          <w:szCs w:val="20"/>
          <w:lang w:val="es-VE"/>
        </w:rPr>
        <w:footnoteReference w:id="119"/>
      </w:r>
      <w:r w:rsidR="000A0D00" w:rsidRPr="006E763F">
        <w:rPr>
          <w:rFonts w:ascii="Cambria" w:hAnsi="Cambria"/>
          <w:sz w:val="20"/>
          <w:szCs w:val="20"/>
          <w:lang w:val="es-VE"/>
        </w:rPr>
        <w:t xml:space="preserve">. </w:t>
      </w:r>
    </w:p>
    <w:p w14:paraId="0A27AD98" w14:textId="77777777" w:rsidR="008F0B58" w:rsidRPr="006E763F" w:rsidRDefault="008F0B58" w:rsidP="00E923BB">
      <w:pPr>
        <w:pStyle w:val="ListParagraph"/>
        <w:rPr>
          <w:rFonts w:eastAsia="Times New Roman"/>
          <w:sz w:val="20"/>
          <w:szCs w:val="20"/>
          <w:lang w:val="es-ES" w:eastAsia="es-ES"/>
        </w:rPr>
      </w:pPr>
    </w:p>
    <w:p w14:paraId="4E309606" w14:textId="35947CD3" w:rsidR="00812B3E" w:rsidRPr="006E763F" w:rsidRDefault="008F0B5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eastAsia="Times New Roman" w:hAnsi="Cambria"/>
          <w:sz w:val="20"/>
          <w:szCs w:val="20"/>
          <w:lang w:val="es-ES" w:eastAsia="es-ES"/>
        </w:rPr>
        <w:t xml:space="preserve">En la misma línea, </w:t>
      </w:r>
      <w:r w:rsidR="00812B3E" w:rsidRPr="006E763F">
        <w:rPr>
          <w:rFonts w:ascii="Cambria" w:eastAsia="Times New Roman" w:hAnsi="Cambria"/>
          <w:sz w:val="20"/>
          <w:szCs w:val="20"/>
          <w:lang w:val="es-ES" w:eastAsia="es-ES"/>
        </w:rPr>
        <w:t xml:space="preserve">incluso ante la ausencia de </w:t>
      </w:r>
      <w:r w:rsidR="00D528EA" w:rsidRPr="006E763F">
        <w:rPr>
          <w:rFonts w:ascii="Cambria" w:eastAsia="Times New Roman" w:hAnsi="Cambria"/>
          <w:sz w:val="20"/>
          <w:szCs w:val="20"/>
          <w:lang w:val="es-ES" w:eastAsia="es-ES"/>
        </w:rPr>
        <w:t xml:space="preserve">prueba directa </w:t>
      </w:r>
      <w:r w:rsidR="00812B3E" w:rsidRPr="006E763F">
        <w:rPr>
          <w:rFonts w:ascii="Cambria" w:eastAsia="Times New Roman" w:hAnsi="Cambria"/>
          <w:sz w:val="20"/>
          <w:szCs w:val="20"/>
          <w:lang w:val="es-ES" w:eastAsia="es-ES"/>
        </w:rPr>
        <w:t>sobre</w:t>
      </w:r>
      <w:r w:rsidR="00D528EA" w:rsidRPr="006E763F">
        <w:rPr>
          <w:rFonts w:ascii="Cambria" w:eastAsia="Times New Roman" w:hAnsi="Cambria"/>
          <w:sz w:val="20"/>
          <w:szCs w:val="20"/>
          <w:lang w:val="es-ES" w:eastAsia="es-ES"/>
        </w:rPr>
        <w:t xml:space="preserve"> la</w:t>
      </w:r>
      <w:r w:rsidR="00812B3E" w:rsidRPr="006E763F">
        <w:rPr>
          <w:rFonts w:ascii="Cambria" w:eastAsia="Times New Roman" w:hAnsi="Cambria"/>
          <w:sz w:val="20"/>
          <w:szCs w:val="20"/>
          <w:lang w:val="es-ES" w:eastAsia="es-ES"/>
        </w:rPr>
        <w:t xml:space="preserve"> privación de libertad, la Comisión ha tomado en consideración las circunstancias que rodean una desaparición, el perfil de las víctimas y su estigmatización por su vinculación con determinadas instituciones o funciones, la existencia de documentos policiales o militares que dan cuenta de la supuesta relación de las presuntas víctimas con organizaciones subversivas, así como la propia sensación de persecución y seguimiento que las víctimas comunicaron a sus familiares, concluyendo así con la atribución de la desaparición a agentes estatales</w:t>
      </w:r>
      <w:r w:rsidR="00812B3E" w:rsidRPr="006E763F">
        <w:rPr>
          <w:rStyle w:val="FootnoteReference"/>
          <w:rFonts w:ascii="Cambria" w:eastAsia="Times New Roman" w:hAnsi="Cambria"/>
          <w:sz w:val="20"/>
          <w:szCs w:val="20"/>
          <w:lang w:val="es-ES" w:eastAsia="es-ES"/>
        </w:rPr>
        <w:footnoteReference w:id="120"/>
      </w:r>
      <w:r w:rsidR="00812B3E" w:rsidRPr="006E763F">
        <w:rPr>
          <w:rFonts w:ascii="Cambria" w:eastAsia="Times New Roman" w:hAnsi="Cambria"/>
          <w:sz w:val="20"/>
          <w:szCs w:val="20"/>
          <w:lang w:val="es-ES" w:eastAsia="es-ES"/>
        </w:rPr>
        <w:t>.</w:t>
      </w:r>
    </w:p>
    <w:p w14:paraId="78F2274C" w14:textId="77777777" w:rsidR="000E20D9" w:rsidRPr="006E763F" w:rsidRDefault="000E20D9" w:rsidP="00E9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C6E45C1" w14:textId="77777777" w:rsidR="00AC4724" w:rsidRPr="006E763F" w:rsidRDefault="005001E7"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r w:rsidRPr="006E763F">
        <w:rPr>
          <w:rFonts w:ascii="Cambria" w:eastAsia="Times New Roman" w:hAnsi="Cambria"/>
          <w:sz w:val="20"/>
          <w:szCs w:val="20"/>
          <w:lang w:val="es-ES" w:eastAsia="es-ES"/>
        </w:rPr>
        <w:t xml:space="preserve">La CIDH recuerda que </w:t>
      </w:r>
      <w:r w:rsidR="000E20D9" w:rsidRPr="006E763F">
        <w:rPr>
          <w:rFonts w:ascii="Cambria" w:eastAsia="Times New Roman" w:hAnsi="Cambria"/>
          <w:sz w:val="20"/>
          <w:szCs w:val="20"/>
          <w:lang w:val="es-ES" w:eastAsia="es-ES"/>
        </w:rPr>
        <w:t>los elementos concurrentes y constitutivos</w:t>
      </w:r>
      <w:r w:rsidRPr="006E763F">
        <w:rPr>
          <w:rFonts w:ascii="Cambria" w:eastAsia="Times New Roman" w:hAnsi="Cambria"/>
          <w:sz w:val="20"/>
          <w:szCs w:val="20"/>
          <w:lang w:val="es-ES" w:eastAsia="es-ES"/>
        </w:rPr>
        <w:t xml:space="preserve"> de la desaparición forzada son</w:t>
      </w:r>
      <w:r w:rsidR="000E20D9" w:rsidRPr="006E763F">
        <w:rPr>
          <w:rFonts w:ascii="Cambria" w:eastAsia="Times New Roman" w:hAnsi="Cambria"/>
          <w:sz w:val="20"/>
          <w:szCs w:val="20"/>
          <w:lang w:val="es-ES" w:eastAsia="es-ES"/>
        </w:rPr>
        <w:t>:</w:t>
      </w:r>
      <w:r w:rsidR="000E20D9" w:rsidRPr="006E763F">
        <w:rPr>
          <w:rFonts w:ascii="Cambria" w:eastAsia="Times New Roman" w:hAnsi="Cambria"/>
          <w:sz w:val="20"/>
          <w:szCs w:val="20"/>
          <w:lang w:val="es-VE"/>
        </w:rPr>
        <w:t xml:space="preserve"> i) la</w:t>
      </w:r>
      <w:r w:rsidR="000E20D9" w:rsidRPr="006E763F">
        <w:rPr>
          <w:rFonts w:ascii="Cambria" w:eastAsia="Times New Roman" w:hAnsi="Cambria"/>
          <w:b/>
          <w:sz w:val="20"/>
          <w:szCs w:val="20"/>
          <w:lang w:val="es-VE"/>
        </w:rPr>
        <w:t xml:space="preserve"> </w:t>
      </w:r>
      <w:r w:rsidR="000E20D9" w:rsidRPr="006E763F">
        <w:rPr>
          <w:rFonts w:ascii="Cambria" w:eastAsia="Times New Roman" w:hAnsi="Cambria"/>
          <w:sz w:val="20"/>
          <w:szCs w:val="20"/>
          <w:lang w:val="es-VE"/>
        </w:rPr>
        <w:t>privación de la libertad; ii) la intervención directa de agentes estatales o la aquiescencia de éstos; y iii) la negativa de reconocer la detención o de revelar la suerte o paradero de la persona desaparecida</w:t>
      </w:r>
      <w:r w:rsidR="000E20D9" w:rsidRPr="006E763F">
        <w:rPr>
          <w:rFonts w:ascii="Cambria" w:eastAsia="Times New Roman" w:hAnsi="Cambria"/>
          <w:sz w:val="20"/>
          <w:szCs w:val="20"/>
          <w:vertAlign w:val="superscript"/>
        </w:rPr>
        <w:footnoteReference w:id="121"/>
      </w:r>
      <w:r w:rsidR="000E20D9" w:rsidRPr="006E763F">
        <w:rPr>
          <w:rFonts w:ascii="Cambria" w:eastAsia="Times New Roman" w:hAnsi="Cambria"/>
          <w:sz w:val="20"/>
          <w:szCs w:val="20"/>
          <w:lang w:val="es-VE"/>
        </w:rPr>
        <w:t>.</w:t>
      </w:r>
    </w:p>
    <w:p w14:paraId="1368BD4F" w14:textId="77777777" w:rsidR="00F72271" w:rsidRPr="006E763F" w:rsidRDefault="00F72271" w:rsidP="00E923BB">
      <w:pPr>
        <w:pStyle w:val="ListParagraph"/>
        <w:rPr>
          <w:rFonts w:eastAsia="Times New Roman"/>
          <w:sz w:val="20"/>
          <w:szCs w:val="20"/>
          <w:lang w:val="es-ES" w:eastAsia="es-ES"/>
        </w:rPr>
      </w:pPr>
    </w:p>
    <w:p w14:paraId="4DE3644D" w14:textId="7FC3CB2E" w:rsidR="00E923BB" w:rsidRDefault="00E923BB">
      <w:pPr>
        <w:rPr>
          <w:rFonts w:ascii="Cambria" w:eastAsia="Times New Roman" w:hAnsi="Cambria" w:cs="Cambria"/>
          <w:b/>
          <w:color w:val="000000"/>
          <w:sz w:val="20"/>
          <w:szCs w:val="20"/>
          <w:u w:color="000000"/>
          <w:lang w:val="es-ES" w:eastAsia="es-ES"/>
        </w:rPr>
      </w:pPr>
    </w:p>
    <w:p w14:paraId="3788DD3D" w14:textId="77777777" w:rsidR="007F1DDE" w:rsidRDefault="00AC4724" w:rsidP="00685D78">
      <w:pPr>
        <w:pStyle w:val="Heading3"/>
        <w:numPr>
          <w:ilvl w:val="3"/>
          <w:numId w:val="27"/>
        </w:numPr>
        <w:ind w:left="1440" w:hanging="720"/>
        <w:rPr>
          <w:rFonts w:eastAsia="Times New Roman"/>
          <w:lang w:eastAsia="es-ES"/>
        </w:rPr>
      </w:pPr>
      <w:bookmarkStart w:id="18" w:name="_Toc446158"/>
      <w:r w:rsidRPr="00EA3E8B">
        <w:rPr>
          <w:rFonts w:eastAsia="Times New Roman"/>
          <w:lang w:eastAsia="es-ES"/>
        </w:rPr>
        <w:t>Análisis del caso</w:t>
      </w:r>
      <w:bookmarkEnd w:id="18"/>
    </w:p>
    <w:p w14:paraId="64A6B17F" w14:textId="77777777" w:rsidR="00D90561" w:rsidRPr="00D90561" w:rsidRDefault="00D90561" w:rsidP="00D90561">
      <w:pPr>
        <w:rPr>
          <w:lang w:val="es-ES" w:eastAsia="es-ES"/>
        </w:rPr>
      </w:pPr>
    </w:p>
    <w:p w14:paraId="6E850960" w14:textId="407A7454" w:rsidR="00EC310A" w:rsidRPr="007F1DDE" w:rsidRDefault="0080128A" w:rsidP="00685D78">
      <w:pPr>
        <w:pStyle w:val="Heading3"/>
        <w:numPr>
          <w:ilvl w:val="1"/>
          <w:numId w:val="28"/>
        </w:numPr>
        <w:ind w:firstLine="360"/>
        <w:rPr>
          <w:rFonts w:eastAsia="Arial Unicode MS"/>
          <w:lang w:val="es-CO" w:eastAsia="en-US"/>
        </w:rPr>
      </w:pPr>
      <w:bookmarkStart w:id="19" w:name="_Toc446159"/>
      <w:r w:rsidRPr="007F1DDE">
        <w:rPr>
          <w:bCs w:val="0"/>
        </w:rPr>
        <w:t>E</w:t>
      </w:r>
      <w:r w:rsidR="009E7E98" w:rsidRPr="007F1DDE">
        <w:rPr>
          <w:bCs w:val="0"/>
        </w:rPr>
        <w:t xml:space="preserve">n cuanto a la </w:t>
      </w:r>
      <w:r w:rsidR="00710927" w:rsidRPr="007F1DDE">
        <w:rPr>
          <w:bCs w:val="0"/>
        </w:rPr>
        <w:t>privación</w:t>
      </w:r>
      <w:r w:rsidR="009E7E98" w:rsidRPr="007F1DDE">
        <w:rPr>
          <w:bCs w:val="0"/>
        </w:rPr>
        <w:t xml:space="preserve"> de la libertad </w:t>
      </w:r>
      <w:r w:rsidR="007523D8" w:rsidRPr="007F1DDE">
        <w:rPr>
          <w:bCs w:val="0"/>
        </w:rPr>
        <w:t>por parte de agentes estatales</w:t>
      </w:r>
      <w:bookmarkEnd w:id="19"/>
    </w:p>
    <w:p w14:paraId="00C59F51" w14:textId="77777777" w:rsidR="00EC310A" w:rsidRPr="006E763F" w:rsidRDefault="00EC310A" w:rsidP="00E923BB">
      <w:pPr>
        <w:pStyle w:val="Body"/>
        <w:ind w:firstLine="249"/>
        <w:rPr>
          <w:b/>
          <w:bCs/>
          <w:lang w:val="es-ES"/>
        </w:rPr>
      </w:pPr>
    </w:p>
    <w:p w14:paraId="387D8838" w14:textId="118F5872" w:rsidR="00704A91" w:rsidRPr="006E763F" w:rsidRDefault="00704A91"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bdr w:val="none" w:sz="0" w:space="0" w:color="auto" w:frame="1"/>
          <w:lang w:val="es-ES"/>
        </w:rPr>
        <w:t>La Comisión encuentra</w:t>
      </w:r>
      <w:r w:rsidRPr="006E763F">
        <w:rPr>
          <w:rFonts w:ascii="Cambria" w:hAnsi="Cambria"/>
          <w:sz w:val="20"/>
          <w:szCs w:val="20"/>
          <w:lang w:val="es-ES"/>
        </w:rPr>
        <w:t xml:space="preserve"> que en el presente caso no se cuenta con</w:t>
      </w:r>
      <w:r w:rsidR="00301FB9" w:rsidRPr="006E763F">
        <w:rPr>
          <w:rFonts w:ascii="Cambria" w:hAnsi="Cambria"/>
          <w:sz w:val="20"/>
          <w:szCs w:val="20"/>
          <w:lang w:val="es-ES"/>
        </w:rPr>
        <w:t xml:space="preserve"> </w:t>
      </w:r>
      <w:r w:rsidR="00BA6E42" w:rsidRPr="006E763F">
        <w:rPr>
          <w:rFonts w:ascii="Cambria" w:hAnsi="Cambria"/>
          <w:sz w:val="20"/>
          <w:szCs w:val="20"/>
          <w:lang w:val="es-ES"/>
        </w:rPr>
        <w:t xml:space="preserve">prueba directa que indique que Pedro Julio Movilla Galarcio fue privado de libertad por parte de agentes del Estado. Sin embargo, surgen del expediente múltiples elementos indiciarios, circunstanciales y de contexto que resultan pertinentes para el presente análisis. </w:t>
      </w:r>
    </w:p>
    <w:p w14:paraId="42DFA31D" w14:textId="77777777" w:rsidR="00704A91" w:rsidRPr="006E763F" w:rsidRDefault="00704A91" w:rsidP="00E923BB">
      <w:pPr>
        <w:pStyle w:val="Body"/>
        <w:ind w:left="249" w:firstLine="0"/>
        <w:rPr>
          <w:lang w:val="es-ES"/>
        </w:rPr>
      </w:pPr>
    </w:p>
    <w:p w14:paraId="3E41308D" w14:textId="3B98C75B" w:rsidR="00EF723F" w:rsidRPr="006E763F" w:rsidRDefault="00744C64"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primer lugar, c</w:t>
      </w:r>
      <w:r w:rsidR="00BA6E42" w:rsidRPr="006E763F">
        <w:rPr>
          <w:rFonts w:ascii="Cambria" w:hAnsi="Cambria"/>
          <w:sz w:val="20"/>
          <w:szCs w:val="20"/>
          <w:lang w:val="es-ES"/>
        </w:rPr>
        <w:t xml:space="preserve">omo se estableció </w:t>
      </w:r>
      <w:r w:rsidR="00EF723F" w:rsidRPr="006E763F">
        <w:rPr>
          <w:rFonts w:ascii="Cambria" w:hAnsi="Cambria"/>
          <w:sz w:val="20"/>
          <w:szCs w:val="20"/>
          <w:lang w:val="es-ES"/>
        </w:rPr>
        <w:t>anteriormente, en el presente caso confluían al menos tres contextos relevantes para el análisis del caso. Por una parte, el contexto relativo a la identificación de sindicalistas dentro de la noción de enemigo interno en los manuales estatales de inteligencia y contraguerrilla, lo que tuvo un impacto directo en una alta incidencia en actos de violencia contra dichas personas, incluyendo ejecuciones y desapariciones forzadas. Por otra parte, se encuentra el contexto relativo a la violencia política en Colombia, conforme al cual se registraron cifras alarmantes de ejecuciones y desapariciones de personas vinculadas con ciertos partidos políticos con las características d</w:t>
      </w:r>
      <w:r w:rsidRPr="006E763F">
        <w:rPr>
          <w:rFonts w:ascii="Cambria" w:hAnsi="Cambria"/>
          <w:sz w:val="20"/>
          <w:szCs w:val="20"/>
          <w:lang w:val="es-ES"/>
        </w:rPr>
        <w:t>el PCC-ML. El tercer contexto relevante es el de la alta incidencia de la desaparición forzada en el marco del conflicto armado en Colombia, siendo dicha grave violación de derechos humanos jus</w:t>
      </w:r>
      <w:r w:rsidR="00530D1F" w:rsidRPr="006E763F">
        <w:rPr>
          <w:rFonts w:ascii="Cambria" w:hAnsi="Cambria"/>
          <w:sz w:val="20"/>
          <w:szCs w:val="20"/>
          <w:lang w:val="es-ES"/>
        </w:rPr>
        <w:t xml:space="preserve">tamente una de las documentadas </w:t>
      </w:r>
      <w:r w:rsidRPr="006E763F">
        <w:rPr>
          <w:rFonts w:ascii="Cambria" w:hAnsi="Cambria"/>
          <w:sz w:val="20"/>
          <w:szCs w:val="20"/>
          <w:lang w:val="es-ES"/>
        </w:rPr>
        <w:t xml:space="preserve">en el marco de los primeros dos contextos referidos.  </w:t>
      </w:r>
    </w:p>
    <w:p w14:paraId="65F0607F" w14:textId="77777777" w:rsidR="00EF723F" w:rsidRPr="006E763F" w:rsidRDefault="00EF723F" w:rsidP="00E923BB">
      <w:pPr>
        <w:pStyle w:val="ListParagraph"/>
        <w:rPr>
          <w:sz w:val="20"/>
          <w:szCs w:val="20"/>
          <w:lang w:val="es-ES"/>
        </w:rPr>
      </w:pPr>
    </w:p>
    <w:p w14:paraId="2C60D458" w14:textId="77777777" w:rsidR="007F4C8E" w:rsidRPr="006E763F" w:rsidRDefault="00EB0155"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segundo lugar, la Comisión destaca que efectivamente, Pedro Julio Movilla Galarcio pertenecía a ambos grupos</w:t>
      </w:r>
      <w:r w:rsidR="003940C8" w:rsidRPr="006E763F">
        <w:rPr>
          <w:rFonts w:ascii="Cambria" w:hAnsi="Cambria"/>
          <w:sz w:val="20"/>
          <w:szCs w:val="20"/>
          <w:lang w:val="es-ES"/>
        </w:rPr>
        <w:t>, en su calidad de sindicalista y por su militancia política en el PCC-ML.</w:t>
      </w:r>
      <w:r w:rsidR="007F4C8E" w:rsidRPr="006E763F">
        <w:rPr>
          <w:rFonts w:ascii="Cambria" w:hAnsi="Cambria"/>
          <w:sz w:val="20"/>
          <w:szCs w:val="20"/>
          <w:lang w:val="es-ES"/>
        </w:rPr>
        <w:t xml:space="preserve"> El detalle de sus actividades se encuentra referido en los hechos probados.</w:t>
      </w:r>
    </w:p>
    <w:p w14:paraId="19BEFFB9" w14:textId="77777777" w:rsidR="007F4C8E" w:rsidRPr="006E763F" w:rsidRDefault="007F4C8E" w:rsidP="00E923BB">
      <w:pPr>
        <w:pStyle w:val="ListParagraph"/>
        <w:rPr>
          <w:sz w:val="20"/>
          <w:szCs w:val="20"/>
          <w:lang w:val="es-ES"/>
        </w:rPr>
      </w:pPr>
    </w:p>
    <w:p w14:paraId="47454699" w14:textId="1124B388" w:rsidR="00EB0155" w:rsidRPr="00E923BB" w:rsidRDefault="007F4C8E"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E923BB">
        <w:rPr>
          <w:rFonts w:ascii="Cambria" w:hAnsi="Cambria"/>
          <w:sz w:val="20"/>
          <w:szCs w:val="20"/>
          <w:lang w:val="es-ES"/>
        </w:rPr>
        <w:t xml:space="preserve">En tercer lugar, la Comisión resalta </w:t>
      </w:r>
      <w:r w:rsidR="008E2D6E" w:rsidRPr="00E923BB">
        <w:rPr>
          <w:rFonts w:ascii="Cambria" w:hAnsi="Cambria"/>
          <w:sz w:val="20"/>
          <w:szCs w:val="20"/>
          <w:lang w:val="es-ES"/>
        </w:rPr>
        <w:t xml:space="preserve">la descripción consistente de la esposa del señor Movilla Galarcio sobre los seguimientos anteriores a la desaparición, los cuales asoció </w:t>
      </w:r>
      <w:r w:rsidR="00413961" w:rsidRPr="00E923BB">
        <w:rPr>
          <w:rFonts w:ascii="Cambria" w:hAnsi="Cambria"/>
          <w:sz w:val="20"/>
          <w:szCs w:val="20"/>
          <w:lang w:val="es-ES"/>
        </w:rPr>
        <w:t>a cuerpos de seguridad del Estado</w:t>
      </w:r>
      <w:r w:rsidR="001C28C4" w:rsidRPr="00E923BB">
        <w:rPr>
          <w:rFonts w:ascii="Cambria" w:hAnsi="Cambria"/>
          <w:sz w:val="20"/>
          <w:szCs w:val="20"/>
          <w:lang w:val="es-ES"/>
        </w:rPr>
        <w:t>. La Comisión llama la atención respecto de los desplazamientos de la presunta víctima y su familia, como resultado de estos actos de persecución, incluyendo seguimientos, avistamiento de vehículos desconocidos estacionados fuera de su casa, las advertencias de desconocidos en la calle a la presunta víctima para que se preocupe por su seguridad, entre otros. La Comisión encuentra que</w:t>
      </w:r>
      <w:r w:rsidR="00413961" w:rsidRPr="00E923BB">
        <w:rPr>
          <w:rFonts w:ascii="Cambria" w:hAnsi="Cambria"/>
          <w:sz w:val="20"/>
          <w:szCs w:val="20"/>
          <w:lang w:val="es-ES"/>
        </w:rPr>
        <w:t xml:space="preserve"> todo lo descrito sobre seguimientos anteriores, se explica y resulta consistente con las labores de inteligencia que se realizaron contra el señor Movilla Galarcio</w:t>
      </w:r>
      <w:r w:rsidR="00901ABB" w:rsidRPr="00E923BB">
        <w:rPr>
          <w:rFonts w:ascii="Cambria" w:hAnsi="Cambria"/>
          <w:sz w:val="20"/>
          <w:szCs w:val="20"/>
          <w:lang w:val="es-ES"/>
        </w:rPr>
        <w:t>, como se pasa a indicar.</w:t>
      </w:r>
      <w:r w:rsidR="00413961" w:rsidRPr="00E923BB">
        <w:rPr>
          <w:rFonts w:ascii="Cambria" w:hAnsi="Cambria"/>
          <w:sz w:val="20"/>
          <w:szCs w:val="20"/>
          <w:lang w:val="es-ES"/>
        </w:rPr>
        <w:t xml:space="preserve"> </w:t>
      </w:r>
    </w:p>
    <w:p w14:paraId="4C2F1C72" w14:textId="77777777" w:rsidR="00413961" w:rsidRPr="006E763F" w:rsidRDefault="00413961" w:rsidP="00E923BB">
      <w:pPr>
        <w:pStyle w:val="ListParagraph"/>
        <w:rPr>
          <w:sz w:val="20"/>
          <w:szCs w:val="20"/>
          <w:lang w:val="es-ES"/>
        </w:rPr>
      </w:pPr>
    </w:p>
    <w:p w14:paraId="6BF9A379" w14:textId="78815166" w:rsidR="00710927" w:rsidRPr="006E763F" w:rsidRDefault="00413961"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cuarto lugar, se encuentran justamente la</w:t>
      </w:r>
      <w:r w:rsidR="004F1C51" w:rsidRPr="006E763F">
        <w:rPr>
          <w:rFonts w:ascii="Cambria" w:hAnsi="Cambria"/>
          <w:sz w:val="20"/>
          <w:szCs w:val="20"/>
          <w:lang w:val="es-ES"/>
        </w:rPr>
        <w:t>s</w:t>
      </w:r>
      <w:r w:rsidRPr="006E763F">
        <w:rPr>
          <w:rFonts w:ascii="Cambria" w:hAnsi="Cambria"/>
          <w:sz w:val="20"/>
          <w:szCs w:val="20"/>
          <w:lang w:val="es-ES"/>
        </w:rPr>
        <w:t xml:space="preserve"> actividades de inteligencia por parte de cuerpos de seguridad el Estado colombiano</w:t>
      </w:r>
      <w:r w:rsidR="00C83587" w:rsidRPr="006E763F">
        <w:rPr>
          <w:rFonts w:ascii="Cambria" w:hAnsi="Cambria"/>
          <w:sz w:val="20"/>
          <w:szCs w:val="20"/>
          <w:lang w:val="es-ES"/>
        </w:rPr>
        <w:t xml:space="preserve"> previo a la desaparición del señor Movilla Galarcio</w:t>
      </w:r>
      <w:r w:rsidR="00DB130F" w:rsidRPr="006E763F">
        <w:rPr>
          <w:rFonts w:ascii="Cambria" w:hAnsi="Cambria"/>
          <w:sz w:val="20"/>
          <w:szCs w:val="20"/>
          <w:lang w:val="es-ES"/>
        </w:rPr>
        <w:t>. La Comisión considera particularmente relevante que dichas actividades de inteligencia identificaban a la presunta víctima con detalles tanto de su labor sindical como de su militancia política. Asimismo, se le vincula a un grupo guerrillero</w:t>
      </w:r>
      <w:r w:rsidR="00635154" w:rsidRPr="006E763F">
        <w:rPr>
          <w:rFonts w:ascii="Cambria" w:hAnsi="Cambria"/>
          <w:sz w:val="20"/>
          <w:szCs w:val="20"/>
          <w:lang w:val="es-ES"/>
        </w:rPr>
        <w:t xml:space="preserve"> con anotaciones tales como “adiestrador delictivo”, “EPL/disidente” o “miembro de grupo armado”.</w:t>
      </w:r>
      <w:r w:rsidR="00DB130F" w:rsidRPr="006E763F">
        <w:rPr>
          <w:rFonts w:ascii="Cambria" w:hAnsi="Cambria"/>
          <w:sz w:val="20"/>
          <w:szCs w:val="20"/>
          <w:lang w:val="es-ES"/>
        </w:rPr>
        <w:t xml:space="preserve"> Las tres caracterizaciones en estas anotaciones de inteligencia, conforme a los contextos ya referidos, permiten</w:t>
      </w:r>
      <w:r w:rsidR="00635154" w:rsidRPr="006E763F">
        <w:rPr>
          <w:rFonts w:ascii="Cambria" w:hAnsi="Cambria"/>
          <w:sz w:val="20"/>
          <w:szCs w:val="20"/>
          <w:lang w:val="es-ES"/>
        </w:rPr>
        <w:t xml:space="preserve"> afirmar que dichas labores de inteligencia colocaron a</w:t>
      </w:r>
      <w:r w:rsidR="00DB130F" w:rsidRPr="006E763F">
        <w:rPr>
          <w:rFonts w:ascii="Cambria" w:hAnsi="Cambria"/>
          <w:sz w:val="20"/>
          <w:szCs w:val="20"/>
          <w:lang w:val="es-ES"/>
        </w:rPr>
        <w:t>l señor Movilla Galarcio</w:t>
      </w:r>
      <w:r w:rsidR="00635154" w:rsidRPr="006E763F">
        <w:rPr>
          <w:rFonts w:ascii="Cambria" w:hAnsi="Cambria"/>
          <w:sz w:val="20"/>
          <w:szCs w:val="20"/>
          <w:lang w:val="es-ES"/>
        </w:rPr>
        <w:t xml:space="preserve"> en posición de ser </w:t>
      </w:r>
      <w:r w:rsidR="00DB130F" w:rsidRPr="006E763F">
        <w:rPr>
          <w:rFonts w:ascii="Cambria" w:hAnsi="Cambria"/>
          <w:sz w:val="20"/>
          <w:szCs w:val="20"/>
          <w:lang w:val="es-ES"/>
        </w:rPr>
        <w:t xml:space="preserve">blanco </w:t>
      </w:r>
      <w:r w:rsidR="00FC2112" w:rsidRPr="006E763F">
        <w:rPr>
          <w:rFonts w:ascii="Cambria" w:hAnsi="Cambria"/>
          <w:sz w:val="20"/>
          <w:szCs w:val="20"/>
          <w:lang w:val="es-ES"/>
        </w:rPr>
        <w:t>de los cuerpos de seguridad del Estado en la época de los hechos. Además, la CIDH no deja de nota</w:t>
      </w:r>
      <w:r w:rsidR="000A522B" w:rsidRPr="006E763F">
        <w:rPr>
          <w:rFonts w:ascii="Cambria" w:hAnsi="Cambria"/>
          <w:sz w:val="20"/>
          <w:szCs w:val="20"/>
          <w:lang w:val="es-ES"/>
        </w:rPr>
        <w:t>r</w:t>
      </w:r>
      <w:r w:rsidR="00FC2112" w:rsidRPr="006E763F">
        <w:rPr>
          <w:rFonts w:ascii="Cambria" w:hAnsi="Cambria"/>
          <w:sz w:val="20"/>
          <w:szCs w:val="20"/>
          <w:lang w:val="es-ES"/>
        </w:rPr>
        <w:t xml:space="preserve"> el nivel de detalle en las labores de inteligencia, llegando a especificar la dirección de su casa, sus desplazamientos y lugares que frecuentaba incluso en diversas ciudades de </w:t>
      </w:r>
      <w:r w:rsidR="00212ECE" w:rsidRPr="006E763F">
        <w:rPr>
          <w:rFonts w:ascii="Cambria" w:hAnsi="Cambria"/>
          <w:sz w:val="20"/>
          <w:szCs w:val="20"/>
          <w:lang w:val="es-ES"/>
        </w:rPr>
        <w:t>Colombia.</w:t>
      </w:r>
    </w:p>
    <w:p w14:paraId="48DAF56F" w14:textId="77777777" w:rsidR="000A522B" w:rsidRPr="006E763F" w:rsidRDefault="000A522B" w:rsidP="00E923BB">
      <w:pPr>
        <w:pStyle w:val="ListParagraph"/>
        <w:rPr>
          <w:sz w:val="20"/>
          <w:szCs w:val="20"/>
          <w:lang w:val="es-ES"/>
        </w:rPr>
      </w:pPr>
    </w:p>
    <w:p w14:paraId="2F03E53D" w14:textId="77777777" w:rsidR="0043661F" w:rsidRPr="006E763F" w:rsidRDefault="000A522B"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 xml:space="preserve">En quinto lugar, la CIDH resalta la declaración de Humberto Javier Callejas Rúa, quien afirmó que estando detenido fue golpeado e interrogado sobre las actividades del señor Movilla Galarcio. </w:t>
      </w:r>
      <w:r w:rsidR="0043661F" w:rsidRPr="006E763F">
        <w:rPr>
          <w:rFonts w:ascii="Cambria" w:hAnsi="Cambria"/>
          <w:sz w:val="20"/>
          <w:szCs w:val="20"/>
          <w:lang w:val="es-ES"/>
        </w:rPr>
        <w:t xml:space="preserve">Esta declaración resulta consistente con el hecho de que efectivamente la presunta víctima estaba siendo seguida y vigilada por el Estado, tal como se refirió en los dos puntos anteriores. </w:t>
      </w:r>
    </w:p>
    <w:p w14:paraId="437E1B38" w14:textId="77777777" w:rsidR="0043661F" w:rsidRPr="006E763F" w:rsidRDefault="0043661F" w:rsidP="00E923BB">
      <w:pPr>
        <w:pStyle w:val="ListParagraph"/>
        <w:rPr>
          <w:sz w:val="20"/>
          <w:szCs w:val="20"/>
          <w:lang w:val="es-ES"/>
        </w:rPr>
      </w:pPr>
    </w:p>
    <w:p w14:paraId="24A9BA86" w14:textId="6A7225DB" w:rsidR="00713291" w:rsidRPr="006E763F" w:rsidRDefault="0043661F"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sexto lugar, la Comisión observa que surge un indicio más de participación del Estado en la desaparición del señor Movilla Galarcio, consistente en los disparos al aire realizados por el señor Pabón el día de los hechos, mediante un a</w:t>
      </w:r>
      <w:r w:rsidR="00530D1F" w:rsidRPr="006E763F">
        <w:rPr>
          <w:rFonts w:ascii="Cambria" w:hAnsi="Cambria"/>
          <w:sz w:val="20"/>
          <w:szCs w:val="20"/>
          <w:lang w:val="es-ES"/>
        </w:rPr>
        <w:t>rma que era de propiedad de un</w:t>
      </w:r>
      <w:r w:rsidRPr="006E763F">
        <w:rPr>
          <w:rFonts w:ascii="Cambria" w:hAnsi="Cambria"/>
          <w:sz w:val="20"/>
          <w:szCs w:val="20"/>
          <w:lang w:val="es-ES"/>
        </w:rPr>
        <w:t xml:space="preserve"> policía. Como se desprende de los hechos probados, </w:t>
      </w:r>
      <w:r w:rsidR="0053287F" w:rsidRPr="006E763F">
        <w:rPr>
          <w:rFonts w:ascii="Cambria" w:hAnsi="Cambria"/>
          <w:sz w:val="20"/>
          <w:szCs w:val="20"/>
          <w:lang w:val="es-ES"/>
        </w:rPr>
        <w:t xml:space="preserve">aunque el referido </w:t>
      </w:r>
      <w:r w:rsidR="00530D1F" w:rsidRPr="006E763F">
        <w:rPr>
          <w:rFonts w:ascii="Cambria" w:hAnsi="Cambria"/>
          <w:sz w:val="20"/>
          <w:szCs w:val="20"/>
          <w:lang w:val="es-ES"/>
        </w:rPr>
        <w:t>policía</w:t>
      </w:r>
      <w:r w:rsidR="0053287F" w:rsidRPr="006E763F">
        <w:rPr>
          <w:rFonts w:ascii="Cambria" w:hAnsi="Cambria"/>
          <w:sz w:val="20"/>
          <w:szCs w:val="20"/>
          <w:lang w:val="es-ES"/>
        </w:rPr>
        <w:t xml:space="preserve"> afirmó que </w:t>
      </w:r>
      <w:r w:rsidR="00945E26" w:rsidRPr="006E763F">
        <w:rPr>
          <w:rFonts w:ascii="Cambria" w:hAnsi="Cambria"/>
          <w:sz w:val="20"/>
          <w:szCs w:val="20"/>
          <w:lang w:val="es-ES"/>
        </w:rPr>
        <w:t xml:space="preserve">había interpuesto una denuncia por la pérdida del arma, ello no pudo ser constatado por la Fiscalía General y el Estado no ha logrado explicar satisfactoriamente esta situación. </w:t>
      </w:r>
    </w:p>
    <w:p w14:paraId="5AD37027" w14:textId="77777777" w:rsidR="00252709" w:rsidRPr="006E763F" w:rsidRDefault="00252709" w:rsidP="00E923BB">
      <w:pPr>
        <w:pStyle w:val="ListParagraph"/>
        <w:rPr>
          <w:sz w:val="20"/>
          <w:szCs w:val="20"/>
          <w:lang w:val="es-ES"/>
        </w:rPr>
      </w:pPr>
    </w:p>
    <w:p w14:paraId="3C147BB5" w14:textId="3ABE0322" w:rsidR="00A67A1B" w:rsidRPr="006E763F" w:rsidRDefault="00252709"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Finalmente, la Comisión observa que existiendo todos los elementos anteriores que apuntan a la privación de libertad por parte de agentes estatales, el Estado no aportó una hipótesis alternativa con base en una investigación diligente y efectiva. Como se analizará más adelante, el Estado no investigó debidamente todos los elementos mencionados hasta el momento</w:t>
      </w:r>
      <w:r w:rsidR="00A67A1B" w:rsidRPr="006E763F">
        <w:rPr>
          <w:rFonts w:ascii="Cambria" w:hAnsi="Cambria"/>
          <w:sz w:val="20"/>
          <w:szCs w:val="20"/>
          <w:lang w:val="es-ES"/>
        </w:rPr>
        <w:t xml:space="preserve"> y a la fecha no ha logrado esclarecer lo sucedido a Pedro Julio Movilla Galarcio. Esta situación, imputable al Estado, otorga fuerza probatoria a los indicios de participación estatal ya referidos. </w:t>
      </w:r>
    </w:p>
    <w:p w14:paraId="210ACBB6" w14:textId="77777777" w:rsidR="009D5876" w:rsidRPr="006E763F" w:rsidRDefault="009D5876" w:rsidP="00E923BB">
      <w:pPr>
        <w:rPr>
          <w:rFonts w:ascii="Cambria" w:hAnsi="Cambria"/>
          <w:sz w:val="20"/>
          <w:szCs w:val="20"/>
          <w:lang w:val="es-ES"/>
        </w:rPr>
      </w:pPr>
    </w:p>
    <w:p w14:paraId="3635D092" w14:textId="4BF4E5E7" w:rsidR="00EF172F" w:rsidRPr="006E763F" w:rsidRDefault="009E7E9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bCs/>
          <w:sz w:val="20"/>
          <w:szCs w:val="20"/>
          <w:lang w:val="es-ES"/>
        </w:rPr>
      </w:pPr>
      <w:r w:rsidRPr="006E763F">
        <w:rPr>
          <w:rFonts w:ascii="Cambria" w:hAnsi="Cambria"/>
          <w:sz w:val="20"/>
          <w:szCs w:val="20"/>
          <w:lang w:val="es-ES"/>
        </w:rPr>
        <w:t>En virtud de todo lo ante</w:t>
      </w:r>
      <w:r w:rsidR="002D4533" w:rsidRPr="006E763F">
        <w:rPr>
          <w:rFonts w:ascii="Cambria" w:hAnsi="Cambria"/>
          <w:sz w:val="20"/>
          <w:szCs w:val="20"/>
          <w:lang w:val="es-ES"/>
        </w:rPr>
        <w:t>rior, la Comisión considera que</w:t>
      </w:r>
      <w:r w:rsidR="00866A03" w:rsidRPr="006E763F">
        <w:rPr>
          <w:rFonts w:ascii="Cambria" w:hAnsi="Cambria"/>
          <w:sz w:val="20"/>
          <w:szCs w:val="20"/>
          <w:lang w:val="es-ES"/>
        </w:rPr>
        <w:t xml:space="preserve"> existen suficientes elementos que, en su conjunto, permiten </w:t>
      </w:r>
      <w:r w:rsidR="002E6041" w:rsidRPr="006E763F">
        <w:rPr>
          <w:rFonts w:ascii="Cambria" w:hAnsi="Cambria"/>
          <w:sz w:val="20"/>
          <w:szCs w:val="20"/>
          <w:lang w:val="es-ES"/>
        </w:rPr>
        <w:t>conc</w:t>
      </w:r>
      <w:r w:rsidRPr="006E763F">
        <w:rPr>
          <w:rFonts w:ascii="Cambria" w:hAnsi="Cambria"/>
          <w:sz w:val="20"/>
          <w:szCs w:val="20"/>
          <w:lang w:val="es-ES"/>
        </w:rPr>
        <w:t xml:space="preserve">luir que </w:t>
      </w:r>
      <w:r w:rsidR="002E6041" w:rsidRPr="006E763F">
        <w:rPr>
          <w:rFonts w:ascii="Cambria" w:hAnsi="Cambria"/>
          <w:sz w:val="20"/>
          <w:szCs w:val="20"/>
          <w:lang w:val="es-ES"/>
        </w:rPr>
        <w:t xml:space="preserve">la privación de la libertad de </w:t>
      </w:r>
      <w:r w:rsidRPr="006E763F">
        <w:rPr>
          <w:rFonts w:ascii="Cambria" w:hAnsi="Cambria"/>
          <w:sz w:val="20"/>
          <w:szCs w:val="20"/>
          <w:lang w:val="es-ES"/>
        </w:rPr>
        <w:t xml:space="preserve">Pedro Julio Movilla </w:t>
      </w:r>
      <w:r w:rsidR="00907573" w:rsidRPr="006E763F">
        <w:rPr>
          <w:rFonts w:ascii="Cambria" w:hAnsi="Cambria"/>
          <w:sz w:val="20"/>
          <w:szCs w:val="20"/>
          <w:lang w:val="es-ES"/>
        </w:rPr>
        <w:t xml:space="preserve">Galarcio </w:t>
      </w:r>
      <w:r w:rsidRPr="006E763F">
        <w:rPr>
          <w:rFonts w:ascii="Cambria" w:hAnsi="Cambria"/>
          <w:sz w:val="20"/>
          <w:szCs w:val="20"/>
          <w:lang w:val="es-ES"/>
        </w:rPr>
        <w:t xml:space="preserve">fue </w:t>
      </w:r>
      <w:r w:rsidR="002E6041" w:rsidRPr="006E763F">
        <w:rPr>
          <w:rFonts w:ascii="Cambria" w:hAnsi="Cambria"/>
          <w:sz w:val="20"/>
          <w:szCs w:val="20"/>
          <w:lang w:val="es-ES"/>
        </w:rPr>
        <w:t xml:space="preserve">ejecutada por </w:t>
      </w:r>
      <w:r w:rsidRPr="006E763F">
        <w:rPr>
          <w:rFonts w:ascii="Cambria" w:hAnsi="Cambria"/>
          <w:sz w:val="20"/>
          <w:szCs w:val="20"/>
          <w:lang w:val="es-ES"/>
        </w:rPr>
        <w:t>agentes estatales</w:t>
      </w:r>
      <w:r w:rsidR="002E6041" w:rsidRPr="006E763F">
        <w:rPr>
          <w:rFonts w:ascii="Cambria" w:hAnsi="Cambria"/>
          <w:sz w:val="20"/>
          <w:szCs w:val="20"/>
          <w:lang w:val="es-ES"/>
        </w:rPr>
        <w:t xml:space="preserve">. </w:t>
      </w:r>
    </w:p>
    <w:p w14:paraId="498F4782" w14:textId="77777777" w:rsidR="002E6041" w:rsidRPr="006E763F" w:rsidRDefault="002E6041" w:rsidP="00E923BB">
      <w:pPr>
        <w:rPr>
          <w:rFonts w:ascii="Cambria" w:hAnsi="Cambria"/>
          <w:b/>
          <w:bCs/>
          <w:sz w:val="20"/>
          <w:szCs w:val="20"/>
          <w:lang w:val="es-ES"/>
        </w:rPr>
      </w:pPr>
    </w:p>
    <w:p w14:paraId="18B7113C" w14:textId="602A8407" w:rsidR="00EC310A" w:rsidRPr="006E763F" w:rsidRDefault="0051495C" w:rsidP="00E923BB">
      <w:pPr>
        <w:pStyle w:val="Body"/>
        <w:ind w:firstLine="720"/>
        <w:rPr>
          <w:b/>
          <w:bCs/>
          <w:lang w:val="es-ES"/>
        </w:rPr>
      </w:pPr>
      <w:r w:rsidRPr="006E763F">
        <w:rPr>
          <w:b/>
          <w:bCs/>
          <w:lang w:val="es-ES"/>
        </w:rPr>
        <w:t xml:space="preserve">2.2 </w:t>
      </w:r>
      <w:r w:rsidRPr="006E763F">
        <w:rPr>
          <w:b/>
          <w:bCs/>
          <w:lang w:val="es-ES"/>
        </w:rPr>
        <w:tab/>
        <w:t>L</w:t>
      </w:r>
      <w:r w:rsidR="009E7E98" w:rsidRPr="006E763F">
        <w:rPr>
          <w:b/>
          <w:bCs/>
          <w:lang w:val="es-ES"/>
        </w:rPr>
        <w:t xml:space="preserve">a negativa de reconocer </w:t>
      </w:r>
      <w:r w:rsidR="00EF172F" w:rsidRPr="006E763F">
        <w:rPr>
          <w:b/>
          <w:bCs/>
          <w:lang w:val="es-ES"/>
        </w:rPr>
        <w:t>la detención</w:t>
      </w:r>
      <w:r w:rsidR="009E7E98" w:rsidRPr="006E763F">
        <w:rPr>
          <w:b/>
          <w:bCs/>
          <w:lang w:val="es-ES"/>
        </w:rPr>
        <w:t xml:space="preserve"> o de revelar la suerte o paradero de la persona </w:t>
      </w:r>
    </w:p>
    <w:p w14:paraId="421CD774" w14:textId="77777777" w:rsidR="00EC310A" w:rsidRPr="006E763F" w:rsidRDefault="00EC310A" w:rsidP="00E923BB">
      <w:pPr>
        <w:pStyle w:val="Body"/>
        <w:ind w:firstLine="249"/>
        <w:rPr>
          <w:b/>
          <w:bCs/>
          <w:lang w:val="es-ES"/>
        </w:rPr>
      </w:pPr>
    </w:p>
    <w:p w14:paraId="678260DE" w14:textId="324B7969" w:rsidR="00547C71" w:rsidRPr="006E763F" w:rsidRDefault="00A0538A"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Gothic" w:hAnsi="Cambria"/>
          <w:bCs/>
          <w:sz w:val="20"/>
          <w:szCs w:val="20"/>
          <w:lang w:val="es-ES"/>
        </w:rPr>
      </w:pPr>
      <w:r w:rsidRPr="006E763F">
        <w:rPr>
          <w:rFonts w:ascii="Cambria" w:hAnsi="Cambria"/>
          <w:sz w:val="20"/>
          <w:szCs w:val="20"/>
          <w:bdr w:val="none" w:sz="0" w:space="0" w:color="auto" w:frame="1"/>
          <w:lang w:val="es-ES"/>
        </w:rPr>
        <w:t xml:space="preserve">En este punto, la CIDH considera pertinente tomar en cuenta </w:t>
      </w:r>
      <w:r w:rsidR="00547C71" w:rsidRPr="006E763F">
        <w:rPr>
          <w:rFonts w:ascii="Cambria" w:hAnsi="Cambria"/>
          <w:sz w:val="20"/>
          <w:szCs w:val="20"/>
          <w:lang w:val="es-ES"/>
        </w:rPr>
        <w:t>la</w:t>
      </w:r>
      <w:r w:rsidR="000D1F8E" w:rsidRPr="006E763F">
        <w:rPr>
          <w:rFonts w:ascii="Cambria" w:hAnsi="Cambria"/>
          <w:sz w:val="20"/>
          <w:szCs w:val="20"/>
          <w:lang w:val="es-ES"/>
        </w:rPr>
        <w:t xml:space="preserve"> respuesta estatal</w:t>
      </w:r>
      <w:r w:rsidR="00547C71" w:rsidRPr="006E763F">
        <w:rPr>
          <w:rFonts w:ascii="Cambria" w:hAnsi="Cambria"/>
          <w:sz w:val="20"/>
          <w:szCs w:val="20"/>
          <w:lang w:val="es-ES"/>
        </w:rPr>
        <w:t xml:space="preserve"> ante la interposición del </w:t>
      </w:r>
      <w:r w:rsidR="00547C71" w:rsidRPr="006E763F">
        <w:rPr>
          <w:rFonts w:ascii="Cambria" w:hAnsi="Cambria"/>
          <w:i/>
          <w:sz w:val="20"/>
          <w:szCs w:val="20"/>
          <w:lang w:val="es-ES"/>
        </w:rPr>
        <w:t>hábeas corpus</w:t>
      </w:r>
      <w:r w:rsidR="00547C71" w:rsidRPr="006E763F">
        <w:rPr>
          <w:rFonts w:ascii="Cambria" w:hAnsi="Cambria"/>
          <w:sz w:val="20"/>
          <w:szCs w:val="20"/>
          <w:lang w:val="es-ES"/>
        </w:rPr>
        <w:t xml:space="preserve">, las visitas a los centros de detención para la ubicación física de la presunta víctima, las explicaciones respecto </w:t>
      </w:r>
      <w:r w:rsidR="00D74250" w:rsidRPr="006E763F">
        <w:rPr>
          <w:rFonts w:ascii="Cambria" w:hAnsi="Cambria"/>
          <w:sz w:val="20"/>
          <w:szCs w:val="20"/>
          <w:lang w:val="es-ES"/>
        </w:rPr>
        <w:t>de las acciones de inteligencia</w:t>
      </w:r>
      <w:r w:rsidR="007A4688" w:rsidRPr="006E763F">
        <w:rPr>
          <w:rFonts w:ascii="Cambria" w:hAnsi="Cambria"/>
          <w:sz w:val="20"/>
          <w:szCs w:val="20"/>
          <w:lang w:val="es-ES"/>
        </w:rPr>
        <w:t xml:space="preserve"> previas y otras labores de búsqueda. </w:t>
      </w:r>
    </w:p>
    <w:p w14:paraId="0FCB1BCA" w14:textId="77777777" w:rsidR="00D74250" w:rsidRPr="006E763F" w:rsidRDefault="00D74250" w:rsidP="00E923BB">
      <w:pPr>
        <w:pStyle w:val="ListParagraph"/>
        <w:ind w:left="249" w:firstLine="0"/>
        <w:rPr>
          <w:rFonts w:eastAsia="MS Gothic"/>
          <w:bCs/>
          <w:sz w:val="20"/>
          <w:szCs w:val="20"/>
          <w:lang w:val="es-ES"/>
        </w:rPr>
      </w:pPr>
    </w:p>
    <w:p w14:paraId="1EC5086B" w14:textId="77777777" w:rsidR="00693AAA" w:rsidRPr="006E763F" w:rsidRDefault="00D74250"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bCs/>
          <w:sz w:val="20"/>
          <w:szCs w:val="20"/>
          <w:lang w:val="es-ES"/>
        </w:rPr>
        <w:t xml:space="preserve">Pedro Julio Movilla Galarcio desapareció el 13 de mayo de 1993 y la primera acción judicial interpuesta para su búsqueda fue un </w:t>
      </w:r>
      <w:r w:rsidRPr="006E763F">
        <w:rPr>
          <w:rFonts w:ascii="Cambria" w:hAnsi="Cambria"/>
          <w:bCs/>
          <w:i/>
          <w:sz w:val="20"/>
          <w:szCs w:val="20"/>
          <w:lang w:val="es-ES"/>
        </w:rPr>
        <w:t>hábeas corpus</w:t>
      </w:r>
      <w:r w:rsidR="006D39A7" w:rsidRPr="006E763F">
        <w:rPr>
          <w:rFonts w:ascii="Cambria" w:hAnsi="Cambria"/>
          <w:bCs/>
          <w:i/>
          <w:sz w:val="20"/>
          <w:szCs w:val="20"/>
          <w:lang w:val="es-ES"/>
        </w:rPr>
        <w:t xml:space="preserve"> </w:t>
      </w:r>
      <w:r w:rsidR="006D39A7" w:rsidRPr="006E763F">
        <w:rPr>
          <w:rFonts w:ascii="Cambria" w:hAnsi="Cambria"/>
          <w:bCs/>
          <w:sz w:val="20"/>
          <w:szCs w:val="20"/>
          <w:lang w:val="es-ES"/>
        </w:rPr>
        <w:t>el 1</w:t>
      </w:r>
      <w:r w:rsidR="003F7244" w:rsidRPr="006E763F">
        <w:rPr>
          <w:rFonts w:ascii="Cambria" w:hAnsi="Cambria"/>
          <w:bCs/>
          <w:sz w:val="20"/>
          <w:szCs w:val="20"/>
          <w:lang w:val="es-ES"/>
        </w:rPr>
        <w:t>8</w:t>
      </w:r>
      <w:r w:rsidR="006D39A7" w:rsidRPr="006E763F">
        <w:rPr>
          <w:rFonts w:ascii="Cambria" w:hAnsi="Cambria"/>
          <w:bCs/>
          <w:sz w:val="20"/>
          <w:szCs w:val="20"/>
          <w:lang w:val="es-ES"/>
        </w:rPr>
        <w:t xml:space="preserve"> de mayo de 1993</w:t>
      </w:r>
      <w:r w:rsidRPr="006E763F">
        <w:rPr>
          <w:rFonts w:ascii="Cambria" w:hAnsi="Cambria"/>
          <w:bCs/>
          <w:sz w:val="20"/>
          <w:szCs w:val="20"/>
          <w:lang w:val="es-ES"/>
        </w:rPr>
        <w:t xml:space="preserve">. Sin </w:t>
      </w:r>
      <w:r w:rsidR="006D39A7" w:rsidRPr="006E763F">
        <w:rPr>
          <w:rFonts w:ascii="Cambria" w:hAnsi="Cambria"/>
          <w:bCs/>
          <w:sz w:val="20"/>
          <w:szCs w:val="20"/>
          <w:lang w:val="es-ES"/>
        </w:rPr>
        <w:t xml:space="preserve">embargo, el mismo </w:t>
      </w:r>
      <w:r w:rsidR="006D39A7" w:rsidRPr="006E763F">
        <w:rPr>
          <w:rFonts w:ascii="Cambria" w:hAnsi="Cambria"/>
          <w:sz w:val="20"/>
          <w:szCs w:val="20"/>
          <w:bdr w:val="none" w:sz="0" w:space="0" w:color="auto" w:frame="1"/>
          <w:lang w:val="es-ES"/>
        </w:rPr>
        <w:t>fue</w:t>
      </w:r>
      <w:r w:rsidR="006D39A7" w:rsidRPr="006E763F">
        <w:rPr>
          <w:rFonts w:ascii="Cambria" w:hAnsi="Cambria"/>
          <w:bCs/>
          <w:sz w:val="20"/>
          <w:szCs w:val="20"/>
          <w:lang w:val="es-ES"/>
        </w:rPr>
        <w:t xml:space="preserve"> rechazado</w:t>
      </w:r>
      <w:r w:rsidR="00200C36" w:rsidRPr="006E763F">
        <w:rPr>
          <w:rFonts w:ascii="Cambria" w:hAnsi="Cambria"/>
          <w:bCs/>
          <w:sz w:val="20"/>
          <w:szCs w:val="20"/>
          <w:lang w:val="es-ES"/>
        </w:rPr>
        <w:t xml:space="preserve"> al día siguiente, </w:t>
      </w:r>
      <w:r w:rsidRPr="006E763F">
        <w:rPr>
          <w:rFonts w:ascii="Cambria" w:hAnsi="Cambria"/>
          <w:bCs/>
          <w:sz w:val="20"/>
          <w:szCs w:val="20"/>
          <w:lang w:val="es-ES"/>
        </w:rPr>
        <w:t>dado que no se indicó el lugar de la detención</w:t>
      </w:r>
      <w:r w:rsidR="006D39A7" w:rsidRPr="006E763F">
        <w:rPr>
          <w:rFonts w:ascii="Cambria" w:hAnsi="Cambria"/>
          <w:bCs/>
          <w:sz w:val="20"/>
          <w:szCs w:val="20"/>
          <w:lang w:val="es-ES"/>
        </w:rPr>
        <w:t xml:space="preserve">. Al respecto, la Comisión encuentra que el </w:t>
      </w:r>
      <w:r w:rsidR="006D39A7" w:rsidRPr="006E763F">
        <w:rPr>
          <w:rFonts w:ascii="Cambria" w:hAnsi="Cambria"/>
          <w:bCs/>
          <w:i/>
          <w:sz w:val="20"/>
          <w:szCs w:val="20"/>
          <w:lang w:val="es-ES"/>
        </w:rPr>
        <w:t xml:space="preserve">hábeas corpus </w:t>
      </w:r>
      <w:r w:rsidR="006D39A7" w:rsidRPr="006E763F">
        <w:rPr>
          <w:rFonts w:ascii="Cambria" w:hAnsi="Cambria"/>
          <w:bCs/>
          <w:sz w:val="20"/>
          <w:szCs w:val="20"/>
          <w:lang w:val="es-ES"/>
        </w:rPr>
        <w:t xml:space="preserve">es el mecanismo procesal idóneo para iniciar la búsqueda de una persona desaparecida, sobre todo en situaciones de total desconocimiento de su suerte. En estos términos, el rechazo </w:t>
      </w:r>
      <w:r w:rsidR="00C22AF9" w:rsidRPr="006E763F">
        <w:rPr>
          <w:rFonts w:ascii="Cambria" w:hAnsi="Cambria"/>
          <w:bCs/>
          <w:sz w:val="20"/>
          <w:szCs w:val="20"/>
          <w:lang w:val="es-ES"/>
        </w:rPr>
        <w:t xml:space="preserve">apresurado del </w:t>
      </w:r>
      <w:r w:rsidR="006D39A7" w:rsidRPr="006E763F">
        <w:rPr>
          <w:rFonts w:ascii="Cambria" w:hAnsi="Cambria"/>
          <w:bCs/>
          <w:i/>
          <w:sz w:val="20"/>
          <w:szCs w:val="20"/>
          <w:lang w:val="es-ES"/>
        </w:rPr>
        <w:t>hábeas corpus</w:t>
      </w:r>
      <w:r w:rsidR="006D39A7" w:rsidRPr="006E763F">
        <w:rPr>
          <w:rFonts w:ascii="Cambria" w:hAnsi="Cambria"/>
          <w:bCs/>
          <w:sz w:val="20"/>
          <w:szCs w:val="20"/>
          <w:lang w:val="es-ES"/>
        </w:rPr>
        <w:t xml:space="preserve"> </w:t>
      </w:r>
      <w:r w:rsidR="00C22AF9" w:rsidRPr="006E763F">
        <w:rPr>
          <w:rFonts w:ascii="Cambria" w:hAnsi="Cambria"/>
          <w:bCs/>
          <w:sz w:val="20"/>
          <w:szCs w:val="20"/>
          <w:lang w:val="es-ES"/>
        </w:rPr>
        <w:t>por dicha razón y sin emprender labores de búsqueda, equ</w:t>
      </w:r>
      <w:r w:rsidR="003F4B09" w:rsidRPr="006E763F">
        <w:rPr>
          <w:rFonts w:ascii="Cambria" w:hAnsi="Cambria"/>
          <w:bCs/>
          <w:sz w:val="20"/>
          <w:szCs w:val="20"/>
          <w:lang w:val="es-ES"/>
        </w:rPr>
        <w:t>i</w:t>
      </w:r>
      <w:r w:rsidR="00C22AF9" w:rsidRPr="006E763F">
        <w:rPr>
          <w:rFonts w:ascii="Cambria" w:hAnsi="Cambria"/>
          <w:bCs/>
          <w:sz w:val="20"/>
          <w:szCs w:val="20"/>
          <w:lang w:val="es-ES"/>
        </w:rPr>
        <w:t xml:space="preserve">valió en las circunstancias del caso a la negativa de establecer la detención y el destino del señor Movilla Galarcio. </w:t>
      </w:r>
    </w:p>
    <w:p w14:paraId="07E0AF97" w14:textId="77777777" w:rsidR="00693AAA" w:rsidRPr="006E763F" w:rsidRDefault="00693AAA" w:rsidP="00E923BB">
      <w:pPr>
        <w:pStyle w:val="ListParagraph"/>
        <w:rPr>
          <w:bCs/>
          <w:sz w:val="20"/>
          <w:szCs w:val="20"/>
          <w:lang w:val="es-ES"/>
        </w:rPr>
      </w:pPr>
    </w:p>
    <w:p w14:paraId="59538B25" w14:textId="5B63F164" w:rsidR="007E175C" w:rsidRPr="006E763F" w:rsidRDefault="00D16F6B"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bCs/>
          <w:sz w:val="20"/>
          <w:szCs w:val="20"/>
          <w:lang w:val="es-ES"/>
        </w:rPr>
        <w:t>E</w:t>
      </w:r>
      <w:r w:rsidR="006D39A7" w:rsidRPr="006E763F">
        <w:rPr>
          <w:rFonts w:ascii="Cambria" w:hAnsi="Cambria"/>
          <w:bCs/>
          <w:sz w:val="20"/>
          <w:szCs w:val="20"/>
          <w:lang w:val="es-ES"/>
        </w:rPr>
        <w:t xml:space="preserve">l Estado practicó tres visitas de búsqueda de la presunta víctima en centros de detención los días 20, 26 y 28 de </w:t>
      </w:r>
      <w:r w:rsidR="0000189E" w:rsidRPr="006E763F">
        <w:rPr>
          <w:rFonts w:ascii="Cambria" w:hAnsi="Cambria"/>
          <w:bCs/>
          <w:sz w:val="20"/>
          <w:szCs w:val="20"/>
          <w:lang w:val="es-ES"/>
        </w:rPr>
        <w:t>mayo</w:t>
      </w:r>
      <w:r w:rsidR="006D39A7" w:rsidRPr="006E763F">
        <w:rPr>
          <w:rFonts w:ascii="Cambria" w:hAnsi="Cambria"/>
          <w:bCs/>
          <w:sz w:val="20"/>
          <w:szCs w:val="20"/>
          <w:lang w:val="es-ES"/>
        </w:rPr>
        <w:t xml:space="preserve"> de 1993. </w:t>
      </w:r>
      <w:r w:rsidR="007C366A" w:rsidRPr="006E763F">
        <w:rPr>
          <w:rFonts w:ascii="Cambria" w:hAnsi="Cambria"/>
          <w:bCs/>
          <w:sz w:val="20"/>
          <w:szCs w:val="20"/>
          <w:lang w:val="es-ES"/>
        </w:rPr>
        <w:t xml:space="preserve">Es decir, el Estado practicó tres visitas en los primeros diez días posteriores a la denuncia de la desaparición, </w:t>
      </w:r>
      <w:r w:rsidR="0000189E" w:rsidRPr="006E763F">
        <w:rPr>
          <w:rFonts w:ascii="Cambria" w:hAnsi="Cambria"/>
          <w:bCs/>
          <w:sz w:val="20"/>
          <w:szCs w:val="20"/>
          <w:lang w:val="es-ES"/>
        </w:rPr>
        <w:t xml:space="preserve">en el marco de la investigación disciplinaria. Lo mismo ocurrió en el marco de la investigación penal, tal como se desprende de un informe del 31 de mayo de 1993 en el que la Fiscalía General da cuenta de visitas a instalaciones de medicina legal y oficios cursados a la Dijin, Sijin, DAS y Fuerzas Militares. La Comisión encuentra que estas acciones de búsqueda </w:t>
      </w:r>
      <w:r w:rsidR="00326811" w:rsidRPr="006E763F">
        <w:rPr>
          <w:rFonts w:ascii="Cambria" w:hAnsi="Cambria"/>
          <w:bCs/>
          <w:sz w:val="20"/>
          <w:szCs w:val="20"/>
          <w:lang w:val="es-ES"/>
        </w:rPr>
        <w:t xml:space="preserve">no fueron suficientes para revelar la suerte o paradero de Pedro Julio Movilla Galarcio. </w:t>
      </w:r>
      <w:r w:rsidR="00653E9A" w:rsidRPr="006E763F">
        <w:rPr>
          <w:rFonts w:ascii="Cambria" w:hAnsi="Cambria"/>
          <w:sz w:val="20"/>
          <w:szCs w:val="20"/>
          <w:lang w:val="es-ES"/>
        </w:rPr>
        <w:t>L</w:t>
      </w:r>
      <w:r w:rsidR="00326811" w:rsidRPr="006E763F">
        <w:rPr>
          <w:rFonts w:ascii="Cambria" w:hAnsi="Cambria"/>
          <w:sz w:val="20"/>
          <w:szCs w:val="20"/>
          <w:lang w:val="es-ES"/>
        </w:rPr>
        <w:t xml:space="preserve">as siguientes acciones practicadas </w:t>
      </w:r>
      <w:r w:rsidR="00B33D9E" w:rsidRPr="006E763F">
        <w:rPr>
          <w:rFonts w:ascii="Cambria" w:hAnsi="Cambria"/>
          <w:sz w:val="20"/>
          <w:szCs w:val="20"/>
          <w:lang w:val="es-ES"/>
        </w:rPr>
        <w:t xml:space="preserve">para la ubicación física de Pedro Julio Movilla </w:t>
      </w:r>
      <w:r w:rsidR="00B33D9E" w:rsidRPr="006E763F">
        <w:rPr>
          <w:rFonts w:ascii="Cambria" w:hAnsi="Cambria"/>
          <w:sz w:val="20"/>
          <w:szCs w:val="20"/>
          <w:lang w:val="es-ES"/>
        </w:rPr>
        <w:lastRenderedPageBreak/>
        <w:t xml:space="preserve">Galarcio </w:t>
      </w:r>
      <w:r w:rsidR="00326811" w:rsidRPr="006E763F">
        <w:rPr>
          <w:rFonts w:ascii="Cambria" w:hAnsi="Cambria"/>
          <w:sz w:val="20"/>
          <w:szCs w:val="20"/>
          <w:lang w:val="es-ES"/>
        </w:rPr>
        <w:t>son del año 2008</w:t>
      </w:r>
      <w:r w:rsidR="00F521C0" w:rsidRPr="006E763F">
        <w:rPr>
          <w:rFonts w:ascii="Cambria" w:hAnsi="Cambria"/>
          <w:sz w:val="20"/>
          <w:szCs w:val="20"/>
          <w:lang w:val="es-ES"/>
        </w:rPr>
        <w:t>,</w:t>
      </w:r>
      <w:r w:rsidR="00894A9D" w:rsidRPr="006E763F">
        <w:rPr>
          <w:rFonts w:ascii="Cambria" w:hAnsi="Cambria"/>
          <w:sz w:val="20"/>
          <w:szCs w:val="20"/>
          <w:lang w:val="es-ES"/>
        </w:rPr>
        <w:t xml:space="preserve"> quince años después,</w:t>
      </w:r>
      <w:r w:rsidR="00F521C0" w:rsidRPr="006E763F">
        <w:rPr>
          <w:rFonts w:ascii="Cambria" w:hAnsi="Cambria"/>
          <w:sz w:val="20"/>
          <w:szCs w:val="20"/>
          <w:lang w:val="es-ES"/>
        </w:rPr>
        <w:t xml:space="preserve"> lo que permite afirmar que en las circunstancias del presente caso, la omisión en buscar diligentemente a la presunta víctima contribuyó al encubrimiento de su detención y destino o paradero. </w:t>
      </w:r>
    </w:p>
    <w:p w14:paraId="750DEED8" w14:textId="77777777" w:rsidR="007E175C" w:rsidRDefault="007E175C" w:rsidP="00E923BB">
      <w:pPr>
        <w:pStyle w:val="ListParagraph"/>
        <w:ind w:left="249" w:firstLine="0"/>
        <w:rPr>
          <w:sz w:val="20"/>
          <w:szCs w:val="20"/>
          <w:lang w:val="es-ES"/>
        </w:rPr>
      </w:pPr>
    </w:p>
    <w:p w14:paraId="69F44441" w14:textId="77777777" w:rsidR="00D90561" w:rsidRPr="006E763F" w:rsidRDefault="00D90561" w:rsidP="00E923BB">
      <w:pPr>
        <w:pStyle w:val="ListParagraph"/>
        <w:ind w:left="249" w:firstLine="0"/>
        <w:rPr>
          <w:sz w:val="20"/>
          <w:szCs w:val="20"/>
          <w:lang w:val="es-ES"/>
        </w:rPr>
      </w:pPr>
    </w:p>
    <w:p w14:paraId="3290BD98" w14:textId="77E5D4B3" w:rsidR="00AF226A" w:rsidRPr="006E763F" w:rsidRDefault="009E7E9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 xml:space="preserve">Asimismo, </w:t>
      </w:r>
      <w:r w:rsidR="00B33D9E" w:rsidRPr="006E763F">
        <w:rPr>
          <w:rFonts w:ascii="Cambria" w:hAnsi="Cambria"/>
          <w:sz w:val="20"/>
          <w:szCs w:val="20"/>
          <w:lang w:val="es-ES"/>
        </w:rPr>
        <w:t>la</w:t>
      </w:r>
      <w:r w:rsidRPr="006E763F">
        <w:rPr>
          <w:rFonts w:ascii="Cambria" w:hAnsi="Cambria"/>
          <w:sz w:val="20"/>
          <w:szCs w:val="20"/>
          <w:lang w:val="es-ES"/>
        </w:rPr>
        <w:t xml:space="preserve"> Comisi</w:t>
      </w:r>
      <w:r w:rsidR="00832F75" w:rsidRPr="006E763F">
        <w:rPr>
          <w:rFonts w:ascii="Cambria" w:hAnsi="Cambria"/>
          <w:sz w:val="20"/>
          <w:szCs w:val="20"/>
          <w:lang w:val="es-ES"/>
        </w:rPr>
        <w:t>ó</w:t>
      </w:r>
      <w:r w:rsidRPr="006E763F">
        <w:rPr>
          <w:rFonts w:ascii="Cambria" w:hAnsi="Cambria"/>
          <w:sz w:val="20"/>
          <w:szCs w:val="20"/>
          <w:lang w:val="es-ES"/>
        </w:rPr>
        <w:t xml:space="preserve">n observa que el Estado </w:t>
      </w:r>
      <w:r w:rsidR="00B33D9E" w:rsidRPr="006E763F">
        <w:rPr>
          <w:rFonts w:ascii="Cambria" w:hAnsi="Cambria"/>
          <w:sz w:val="20"/>
          <w:szCs w:val="20"/>
          <w:lang w:val="es-ES"/>
        </w:rPr>
        <w:t xml:space="preserve">no </w:t>
      </w:r>
      <w:r w:rsidR="00B70AC8" w:rsidRPr="006E763F">
        <w:rPr>
          <w:rFonts w:ascii="Cambria" w:hAnsi="Cambria"/>
          <w:sz w:val="20"/>
          <w:szCs w:val="20"/>
          <w:lang w:val="es-ES"/>
        </w:rPr>
        <w:t xml:space="preserve">logrado </w:t>
      </w:r>
      <w:r w:rsidR="00AF226A" w:rsidRPr="006E763F">
        <w:rPr>
          <w:rFonts w:ascii="Cambria" w:hAnsi="Cambria"/>
          <w:sz w:val="20"/>
          <w:szCs w:val="20"/>
          <w:lang w:val="es-ES"/>
        </w:rPr>
        <w:t xml:space="preserve">explicar </w:t>
      </w:r>
      <w:r w:rsidR="00B33D9E" w:rsidRPr="006E763F">
        <w:rPr>
          <w:rFonts w:ascii="Cambria" w:hAnsi="Cambria"/>
          <w:sz w:val="20"/>
          <w:szCs w:val="20"/>
          <w:lang w:val="es-ES"/>
        </w:rPr>
        <w:t xml:space="preserve">la naturaleza de </w:t>
      </w:r>
      <w:r w:rsidR="00832F75" w:rsidRPr="006E763F">
        <w:rPr>
          <w:rFonts w:ascii="Cambria" w:hAnsi="Cambria"/>
          <w:sz w:val="20"/>
          <w:szCs w:val="20"/>
          <w:lang w:val="es-ES"/>
        </w:rPr>
        <w:t xml:space="preserve">los </w:t>
      </w:r>
      <w:r w:rsidRPr="006E763F">
        <w:rPr>
          <w:rFonts w:ascii="Cambria" w:hAnsi="Cambria"/>
          <w:sz w:val="20"/>
          <w:szCs w:val="20"/>
          <w:lang w:val="es-ES"/>
        </w:rPr>
        <w:t>seguimiento</w:t>
      </w:r>
      <w:r w:rsidR="00832F75" w:rsidRPr="006E763F">
        <w:rPr>
          <w:rFonts w:ascii="Cambria" w:hAnsi="Cambria"/>
          <w:sz w:val="20"/>
          <w:szCs w:val="20"/>
          <w:lang w:val="es-ES"/>
        </w:rPr>
        <w:t>s</w:t>
      </w:r>
      <w:r w:rsidR="00AF226A" w:rsidRPr="006E763F">
        <w:rPr>
          <w:rFonts w:ascii="Cambria" w:hAnsi="Cambria"/>
          <w:sz w:val="20"/>
          <w:szCs w:val="20"/>
          <w:lang w:val="es-ES"/>
        </w:rPr>
        <w:t xml:space="preserve"> y anotaciones de inteligencia</w:t>
      </w:r>
      <w:r w:rsidR="00EF172F" w:rsidRPr="006E763F">
        <w:rPr>
          <w:rFonts w:ascii="Cambria" w:hAnsi="Cambria"/>
          <w:sz w:val="20"/>
          <w:szCs w:val="20"/>
          <w:lang w:val="es-ES"/>
        </w:rPr>
        <w:t xml:space="preserve"> </w:t>
      </w:r>
      <w:r w:rsidR="00AF226A" w:rsidRPr="006E763F">
        <w:rPr>
          <w:rFonts w:ascii="Cambria" w:hAnsi="Cambria"/>
          <w:sz w:val="20"/>
          <w:szCs w:val="20"/>
          <w:lang w:val="es-ES"/>
        </w:rPr>
        <w:t>de P</w:t>
      </w:r>
      <w:r w:rsidR="00EF172F" w:rsidRPr="006E763F">
        <w:rPr>
          <w:rFonts w:ascii="Cambria" w:hAnsi="Cambria"/>
          <w:sz w:val="20"/>
          <w:szCs w:val="20"/>
          <w:lang w:val="es-ES"/>
        </w:rPr>
        <w:t>edro Julio Movilla Galar</w:t>
      </w:r>
      <w:r w:rsidRPr="006E763F">
        <w:rPr>
          <w:rFonts w:ascii="Cambria" w:hAnsi="Cambria"/>
          <w:sz w:val="20"/>
          <w:szCs w:val="20"/>
          <w:lang w:val="es-ES"/>
        </w:rPr>
        <w:t xml:space="preserve">cio y </w:t>
      </w:r>
      <w:r w:rsidR="00AF226A" w:rsidRPr="006E763F">
        <w:rPr>
          <w:rFonts w:ascii="Cambria" w:hAnsi="Cambria"/>
          <w:sz w:val="20"/>
          <w:szCs w:val="20"/>
          <w:lang w:val="es-ES"/>
        </w:rPr>
        <w:t xml:space="preserve">la relación de las mismas con </w:t>
      </w:r>
      <w:r w:rsidRPr="006E763F">
        <w:rPr>
          <w:rFonts w:ascii="Cambria" w:hAnsi="Cambria"/>
          <w:sz w:val="20"/>
          <w:szCs w:val="20"/>
          <w:lang w:val="es-ES"/>
        </w:rPr>
        <w:t xml:space="preserve">su </w:t>
      </w:r>
      <w:r w:rsidR="00EF172F" w:rsidRPr="006E763F">
        <w:rPr>
          <w:rFonts w:ascii="Cambria" w:hAnsi="Cambria"/>
          <w:sz w:val="20"/>
          <w:szCs w:val="20"/>
          <w:lang w:val="es-ES"/>
        </w:rPr>
        <w:t>desaparición</w:t>
      </w:r>
      <w:r w:rsidR="00B70AC8" w:rsidRPr="006E763F">
        <w:rPr>
          <w:rFonts w:ascii="Cambria" w:hAnsi="Cambria"/>
          <w:sz w:val="20"/>
          <w:szCs w:val="20"/>
          <w:lang w:val="es-ES"/>
        </w:rPr>
        <w:t>, contribuyendo a la incertidumbre y encubrimiento de lo sucedido.</w:t>
      </w:r>
      <w:r w:rsidR="00AF226A" w:rsidRPr="006E763F">
        <w:rPr>
          <w:rFonts w:ascii="Cambria" w:hAnsi="Cambria"/>
          <w:sz w:val="20"/>
          <w:szCs w:val="20"/>
          <w:lang w:val="es-ES"/>
        </w:rPr>
        <w:t xml:space="preserve"> </w:t>
      </w:r>
    </w:p>
    <w:p w14:paraId="75C64410" w14:textId="77777777" w:rsidR="00AF226A" w:rsidRPr="006E763F" w:rsidRDefault="00AF226A" w:rsidP="00E923BB">
      <w:pPr>
        <w:rPr>
          <w:rFonts w:ascii="Cambria" w:hAnsi="Cambria"/>
          <w:sz w:val="20"/>
          <w:szCs w:val="20"/>
          <w:lang w:val="es-ES"/>
        </w:rPr>
      </w:pPr>
    </w:p>
    <w:p w14:paraId="522DFD77" w14:textId="7A7E922D" w:rsidR="00EC310A" w:rsidRPr="006E763F" w:rsidRDefault="00B70AC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virtud de las anteriores consid</w:t>
      </w:r>
      <w:r w:rsidR="00501BF0" w:rsidRPr="006E763F">
        <w:rPr>
          <w:rFonts w:ascii="Cambria" w:hAnsi="Cambria"/>
          <w:sz w:val="20"/>
          <w:szCs w:val="20"/>
          <w:lang w:val="es-ES"/>
        </w:rPr>
        <w:t>er</w:t>
      </w:r>
      <w:r w:rsidRPr="006E763F">
        <w:rPr>
          <w:rFonts w:ascii="Cambria" w:hAnsi="Cambria"/>
          <w:sz w:val="20"/>
          <w:szCs w:val="20"/>
          <w:lang w:val="es-ES"/>
        </w:rPr>
        <w:t>aciones, la CIDH entiende que se encuentra</w:t>
      </w:r>
      <w:r w:rsidR="00283897" w:rsidRPr="006E763F">
        <w:rPr>
          <w:rFonts w:ascii="Cambria" w:hAnsi="Cambria"/>
          <w:sz w:val="20"/>
          <w:szCs w:val="20"/>
          <w:lang w:val="es-ES"/>
        </w:rPr>
        <w:t>n</w:t>
      </w:r>
      <w:r w:rsidRPr="006E763F">
        <w:rPr>
          <w:rFonts w:ascii="Cambria" w:hAnsi="Cambria"/>
          <w:sz w:val="20"/>
          <w:szCs w:val="20"/>
          <w:lang w:val="es-ES"/>
        </w:rPr>
        <w:t xml:space="preserve"> suficientemente acreditado</w:t>
      </w:r>
      <w:r w:rsidR="00283897" w:rsidRPr="006E763F">
        <w:rPr>
          <w:rFonts w:ascii="Cambria" w:hAnsi="Cambria"/>
          <w:sz w:val="20"/>
          <w:szCs w:val="20"/>
          <w:lang w:val="es-ES"/>
        </w:rPr>
        <w:t xml:space="preserve">s </w:t>
      </w:r>
      <w:r w:rsidRPr="006E763F">
        <w:rPr>
          <w:rFonts w:ascii="Cambria" w:hAnsi="Cambria"/>
          <w:sz w:val="20"/>
          <w:szCs w:val="20"/>
          <w:lang w:val="es-ES"/>
        </w:rPr>
        <w:t xml:space="preserve">el </w:t>
      </w:r>
      <w:r w:rsidR="00283897" w:rsidRPr="006E763F">
        <w:rPr>
          <w:rFonts w:ascii="Cambria" w:hAnsi="Cambria"/>
          <w:sz w:val="20"/>
          <w:szCs w:val="20"/>
          <w:lang w:val="es-ES"/>
        </w:rPr>
        <w:t xml:space="preserve">segundo y </w:t>
      </w:r>
      <w:r w:rsidRPr="006E763F">
        <w:rPr>
          <w:rFonts w:ascii="Cambria" w:hAnsi="Cambria"/>
          <w:sz w:val="20"/>
          <w:szCs w:val="20"/>
          <w:lang w:val="es-ES"/>
        </w:rPr>
        <w:t xml:space="preserve">tercer elemento de la desaparición forzada. </w:t>
      </w:r>
    </w:p>
    <w:p w14:paraId="24EAAD71" w14:textId="77777777" w:rsidR="00385485" w:rsidRPr="006E763F" w:rsidRDefault="00385485" w:rsidP="00E923BB">
      <w:pPr>
        <w:pStyle w:val="Body"/>
        <w:ind w:firstLine="0"/>
        <w:rPr>
          <w:rFonts w:eastAsia="Times New Roman" w:cs="Times New Roman"/>
          <w:b/>
          <w:bCs/>
          <w:lang w:val="es-ES"/>
        </w:rPr>
      </w:pPr>
    </w:p>
    <w:p w14:paraId="4372156A" w14:textId="2C064BF2" w:rsidR="00EC310A" w:rsidRPr="00EA3E8B" w:rsidRDefault="00547C71" w:rsidP="00685D78">
      <w:pPr>
        <w:pStyle w:val="Heading3"/>
        <w:numPr>
          <w:ilvl w:val="3"/>
          <w:numId w:val="27"/>
        </w:numPr>
        <w:ind w:left="1440" w:hanging="720"/>
        <w:rPr>
          <w:rFonts w:eastAsia="Times New Roman" w:cs="Times New Roman"/>
          <w:bCs w:val="0"/>
        </w:rPr>
      </w:pPr>
      <w:bookmarkStart w:id="20" w:name="_Toc446160"/>
      <w:r w:rsidRPr="00EA3E8B">
        <w:rPr>
          <w:bCs w:val="0"/>
        </w:rPr>
        <w:t>Conclusión</w:t>
      </w:r>
      <w:bookmarkEnd w:id="20"/>
      <w:r w:rsidR="009E7E98" w:rsidRPr="00EA3E8B">
        <w:rPr>
          <w:bCs w:val="0"/>
        </w:rPr>
        <w:t xml:space="preserve"> </w:t>
      </w:r>
    </w:p>
    <w:p w14:paraId="0AAC5436" w14:textId="77777777" w:rsidR="00832F75" w:rsidRPr="006E763F" w:rsidRDefault="00832F75" w:rsidP="00E923BB">
      <w:pPr>
        <w:pStyle w:val="Body"/>
        <w:ind w:left="249" w:firstLine="0"/>
        <w:rPr>
          <w:rFonts w:eastAsia="Times New Roman" w:cs="Times New Roman"/>
          <w:b/>
          <w:bCs/>
          <w:lang w:val="es-ES"/>
        </w:rPr>
      </w:pPr>
    </w:p>
    <w:p w14:paraId="102740C9" w14:textId="6E02AB81" w:rsidR="00EC310A" w:rsidRPr="00575394" w:rsidRDefault="00501BF0"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ES"/>
        </w:rPr>
      </w:pPr>
      <w:r w:rsidRPr="006E763F">
        <w:rPr>
          <w:rFonts w:ascii="Cambria" w:hAnsi="Cambria"/>
          <w:sz w:val="20"/>
          <w:szCs w:val="20"/>
          <w:lang w:val="es-ES"/>
        </w:rPr>
        <w:t>L</w:t>
      </w:r>
      <w:r w:rsidR="009E7E98" w:rsidRPr="006E763F">
        <w:rPr>
          <w:rFonts w:ascii="Cambria" w:hAnsi="Cambria"/>
          <w:sz w:val="20"/>
          <w:szCs w:val="20"/>
          <w:lang w:val="es-ES"/>
        </w:rPr>
        <w:t xml:space="preserve">a Comisión </w:t>
      </w:r>
      <w:r w:rsidRPr="006E763F">
        <w:rPr>
          <w:rFonts w:ascii="Cambria" w:hAnsi="Cambria"/>
          <w:sz w:val="20"/>
          <w:szCs w:val="20"/>
          <w:lang w:val="es-ES"/>
        </w:rPr>
        <w:t xml:space="preserve">concluye que lo sucedido a Pedro Julio Movilla Galarcio constituyó una desaparición forzada y, por </w:t>
      </w:r>
      <w:r w:rsidR="00283897" w:rsidRPr="006E763F">
        <w:rPr>
          <w:rFonts w:ascii="Cambria" w:hAnsi="Cambria"/>
          <w:sz w:val="20"/>
          <w:szCs w:val="20"/>
          <w:lang w:val="es-ES"/>
        </w:rPr>
        <w:t>l</w:t>
      </w:r>
      <w:r w:rsidRPr="006E763F">
        <w:rPr>
          <w:rFonts w:ascii="Cambria" w:hAnsi="Cambria"/>
          <w:sz w:val="20"/>
          <w:szCs w:val="20"/>
          <w:lang w:val="es-ES"/>
        </w:rPr>
        <w:t xml:space="preserve">o tanto, el Estado colombiano es responsable por la violación de </w:t>
      </w:r>
      <w:r w:rsidR="009E7E98" w:rsidRPr="006E763F">
        <w:rPr>
          <w:rFonts w:ascii="Cambria" w:hAnsi="Cambria"/>
          <w:sz w:val="20"/>
          <w:szCs w:val="20"/>
          <w:lang w:val="es-ES"/>
        </w:rPr>
        <w:t xml:space="preserve">los derechos al reconocimiento de la personalidad jurídica, a la vida, a la integridad personal y a la libertad personal establecidos en los artículos 3, 4, 5 y 7 de la Convención Americana en relación con las obligaciones establecidas en </w:t>
      </w:r>
      <w:r w:rsidR="008E5C39" w:rsidRPr="006E763F">
        <w:rPr>
          <w:rFonts w:ascii="Cambria" w:hAnsi="Cambria"/>
          <w:sz w:val="20"/>
          <w:szCs w:val="20"/>
          <w:lang w:val="es-ES"/>
        </w:rPr>
        <w:t xml:space="preserve">los </w:t>
      </w:r>
      <w:r w:rsidR="009E7E98" w:rsidRPr="006E763F">
        <w:rPr>
          <w:rFonts w:ascii="Cambria" w:hAnsi="Cambria"/>
          <w:sz w:val="20"/>
          <w:szCs w:val="20"/>
          <w:lang w:val="es-ES"/>
        </w:rPr>
        <w:t>artículo</w:t>
      </w:r>
      <w:r w:rsidR="008E5C39" w:rsidRPr="006E763F">
        <w:rPr>
          <w:rFonts w:ascii="Cambria" w:hAnsi="Cambria"/>
          <w:sz w:val="20"/>
          <w:szCs w:val="20"/>
          <w:lang w:val="es-ES"/>
        </w:rPr>
        <w:t>s</w:t>
      </w:r>
      <w:r w:rsidR="009E7E98" w:rsidRPr="006E763F">
        <w:rPr>
          <w:rFonts w:ascii="Cambria" w:hAnsi="Cambria"/>
          <w:sz w:val="20"/>
          <w:szCs w:val="20"/>
          <w:lang w:val="es-ES"/>
        </w:rPr>
        <w:t xml:space="preserve"> 1.1 </w:t>
      </w:r>
      <w:r w:rsidR="008E5C39" w:rsidRPr="006E763F">
        <w:rPr>
          <w:rFonts w:ascii="Cambria" w:hAnsi="Cambria"/>
          <w:sz w:val="20"/>
          <w:szCs w:val="20"/>
          <w:lang w:val="es-ES"/>
        </w:rPr>
        <w:t>y 2</w:t>
      </w:r>
      <w:r w:rsidR="001522A5" w:rsidRPr="006E763F">
        <w:rPr>
          <w:rFonts w:ascii="Cambria" w:hAnsi="Cambria"/>
          <w:sz w:val="20"/>
          <w:szCs w:val="20"/>
          <w:lang w:val="es-ES"/>
        </w:rPr>
        <w:t xml:space="preserve"> </w:t>
      </w:r>
      <w:r w:rsidR="009E7E98" w:rsidRPr="006E763F">
        <w:rPr>
          <w:rFonts w:ascii="Cambria" w:hAnsi="Cambria"/>
          <w:sz w:val="20"/>
          <w:szCs w:val="20"/>
          <w:lang w:val="es-ES"/>
        </w:rPr>
        <w:t>del mismo instrumento, en perjuicio d</w:t>
      </w:r>
      <w:r w:rsidR="003E6971" w:rsidRPr="006E763F">
        <w:rPr>
          <w:rFonts w:ascii="Cambria" w:hAnsi="Cambria"/>
          <w:sz w:val="20"/>
          <w:szCs w:val="20"/>
          <w:lang w:val="es-ES"/>
        </w:rPr>
        <w:t>e Pedro Julio Movilla Galarcio.</w:t>
      </w:r>
      <w:r w:rsidRPr="006E763F">
        <w:rPr>
          <w:rFonts w:ascii="Cambria" w:hAnsi="Cambria"/>
          <w:sz w:val="20"/>
          <w:szCs w:val="20"/>
          <w:lang w:val="es-ES"/>
        </w:rPr>
        <w:t xml:space="preserve"> Asimismo, tomando en cuenta que a la fecha de entrada en vigor de la CIDFP para Colombia</w:t>
      </w:r>
      <w:r w:rsidR="00283897" w:rsidRPr="006E763F">
        <w:rPr>
          <w:rStyle w:val="FootnoteReference"/>
          <w:rFonts w:ascii="Cambria" w:hAnsi="Cambria"/>
          <w:sz w:val="20"/>
          <w:szCs w:val="20"/>
          <w:lang w:val="es-ES"/>
        </w:rPr>
        <w:footnoteReference w:id="122"/>
      </w:r>
      <w:r w:rsidRPr="006E763F">
        <w:rPr>
          <w:rFonts w:ascii="Cambria" w:hAnsi="Cambria"/>
          <w:sz w:val="20"/>
          <w:szCs w:val="20"/>
          <w:lang w:val="es-ES"/>
        </w:rPr>
        <w:t xml:space="preserve">, la desaparición forzada continuaba cometiéndose, la CIDH concluye que el Estado también violó el artículo I a) de dicho instrumento. </w:t>
      </w:r>
    </w:p>
    <w:p w14:paraId="14D5C487" w14:textId="77777777" w:rsidR="00575394" w:rsidRPr="006E763F" w:rsidRDefault="00575394" w:rsidP="005753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p>
    <w:p w14:paraId="3794B057" w14:textId="3B9C32AE" w:rsidR="009B6AF2" w:rsidRPr="00EA3E8B" w:rsidRDefault="00E10776" w:rsidP="00685D78">
      <w:pPr>
        <w:pStyle w:val="Heading2"/>
        <w:numPr>
          <w:ilvl w:val="0"/>
          <w:numId w:val="26"/>
        </w:numPr>
        <w:tabs>
          <w:tab w:val="clear" w:pos="86"/>
          <w:tab w:val="num" w:pos="1440"/>
        </w:tabs>
        <w:ind w:left="1440" w:hanging="720"/>
        <w:rPr>
          <w:rFonts w:eastAsia="Times New Roman" w:cs="Times New Roman"/>
          <w:bCs w:val="0"/>
        </w:rPr>
      </w:pPr>
      <w:bookmarkStart w:id="21" w:name="_Toc446161"/>
      <w:r w:rsidRPr="00EA3E8B">
        <w:rPr>
          <w:rFonts w:eastAsia="Times New Roman" w:cs="Times New Roman"/>
          <w:bCs w:val="0"/>
        </w:rPr>
        <w:t>Derecho a la</w:t>
      </w:r>
      <w:r w:rsidR="004D113C" w:rsidRPr="00EA3E8B">
        <w:rPr>
          <w:rFonts w:eastAsia="Times New Roman" w:cs="Times New Roman"/>
          <w:bCs w:val="0"/>
        </w:rPr>
        <w:t xml:space="preserve"> libertad de asociación (artículos 16.1</w:t>
      </w:r>
      <w:r w:rsidR="004D113C" w:rsidRPr="00EA3E8B">
        <w:rPr>
          <w:rStyle w:val="FootnoteReference"/>
          <w:rFonts w:eastAsia="Times New Roman" w:cs="Times New Roman"/>
          <w:bCs w:val="0"/>
        </w:rPr>
        <w:footnoteReference w:id="123"/>
      </w:r>
      <w:r w:rsidR="00AF26DD" w:rsidRPr="00EA3E8B">
        <w:rPr>
          <w:rFonts w:eastAsia="Times New Roman" w:cs="Times New Roman"/>
          <w:bCs w:val="0"/>
        </w:rPr>
        <w:t>,</w:t>
      </w:r>
      <w:r w:rsidR="004D113C" w:rsidRPr="00EA3E8B">
        <w:rPr>
          <w:rFonts w:eastAsia="Times New Roman" w:cs="Times New Roman"/>
          <w:bCs w:val="0"/>
        </w:rPr>
        <w:t xml:space="preserve"> 1.1</w:t>
      </w:r>
      <w:r w:rsidR="00AF26DD" w:rsidRPr="00EA3E8B">
        <w:rPr>
          <w:rFonts w:eastAsia="Times New Roman" w:cs="Times New Roman"/>
          <w:bCs w:val="0"/>
        </w:rPr>
        <w:t xml:space="preserve"> y 2</w:t>
      </w:r>
      <w:r w:rsidR="004D113C" w:rsidRPr="00EA3E8B">
        <w:rPr>
          <w:rFonts w:eastAsia="Times New Roman" w:cs="Times New Roman"/>
          <w:bCs w:val="0"/>
        </w:rPr>
        <w:t xml:space="preserve"> de Convención Americana)</w:t>
      </w:r>
      <w:bookmarkEnd w:id="21"/>
      <w:r w:rsidR="004D113C" w:rsidRPr="00EA3E8B">
        <w:rPr>
          <w:rFonts w:eastAsia="Times New Roman" w:cs="Times New Roman"/>
          <w:bCs w:val="0"/>
        </w:rPr>
        <w:t xml:space="preserve"> </w:t>
      </w:r>
    </w:p>
    <w:p w14:paraId="00600F4D" w14:textId="77777777" w:rsidR="004D113C" w:rsidRPr="006E763F" w:rsidRDefault="004D113C" w:rsidP="00E923BB">
      <w:pPr>
        <w:pStyle w:val="ListParagraph"/>
        <w:ind w:left="249" w:firstLine="0"/>
        <w:rPr>
          <w:rFonts w:eastAsia="Times New Roman" w:cs="Times New Roman"/>
          <w:b/>
          <w:bCs/>
          <w:sz w:val="20"/>
          <w:szCs w:val="20"/>
          <w:lang w:val="es-ES"/>
        </w:rPr>
      </w:pPr>
    </w:p>
    <w:p w14:paraId="05D9E319" w14:textId="4D1CF9AB" w:rsidR="00FE7C33" w:rsidRPr="006E763F" w:rsidRDefault="00D65E34"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Cs/>
          <w:sz w:val="20"/>
          <w:szCs w:val="20"/>
          <w:lang w:val="es-ES"/>
        </w:rPr>
      </w:pPr>
      <w:r w:rsidRPr="006E763F">
        <w:rPr>
          <w:rFonts w:ascii="Cambria" w:eastAsia="Times New Roman" w:hAnsi="Cambria"/>
          <w:bCs/>
          <w:sz w:val="20"/>
          <w:szCs w:val="20"/>
          <w:lang w:val="es-ES"/>
        </w:rPr>
        <w:t>La Convención Americana protege el derecho a asociarse libremente con fines ideológicos</w:t>
      </w:r>
      <w:r w:rsidR="00FE7C33" w:rsidRPr="006E763F">
        <w:rPr>
          <w:rFonts w:ascii="Cambria" w:eastAsia="Times New Roman" w:hAnsi="Cambria"/>
          <w:bCs/>
          <w:sz w:val="20"/>
          <w:szCs w:val="20"/>
          <w:lang w:val="es-ES"/>
        </w:rPr>
        <w:t>. Al respecto</w:t>
      </w:r>
      <w:r w:rsidR="00DA6E9E" w:rsidRPr="006E763F">
        <w:rPr>
          <w:rFonts w:ascii="Cambria" w:eastAsia="Times New Roman" w:hAnsi="Cambria"/>
          <w:bCs/>
          <w:sz w:val="20"/>
          <w:szCs w:val="20"/>
          <w:lang w:val="es-ES"/>
        </w:rPr>
        <w:t>,</w:t>
      </w:r>
      <w:r w:rsidR="00FE7C33" w:rsidRPr="006E763F">
        <w:rPr>
          <w:rFonts w:ascii="Cambria" w:eastAsia="Times New Roman" w:hAnsi="Cambria"/>
          <w:bCs/>
          <w:sz w:val="20"/>
          <w:szCs w:val="20"/>
          <w:lang w:val="es-ES"/>
        </w:rPr>
        <w:t xml:space="preserve"> la Corte Interamericana ha indicado que dicho derecho entraña dos dimensiones, una individual y otra colectiva. En su dimensión individual, </w:t>
      </w:r>
      <w:r w:rsidRPr="006E763F">
        <w:rPr>
          <w:rFonts w:ascii="Cambria" w:eastAsia="Times New Roman" w:hAnsi="Cambria"/>
          <w:bCs/>
          <w:sz w:val="20"/>
          <w:szCs w:val="20"/>
          <w:lang w:val="es-ES"/>
        </w:rPr>
        <w:t>“quienes están bajo la protección de la Convención tienen no sólo el derecho y la libertad de asociarse libremente con otras personas, sin intervención de las autoridades públicas que limiten o entorpezcan”.</w:t>
      </w:r>
      <w:r w:rsidR="00FE7C33" w:rsidRPr="006E763F">
        <w:rPr>
          <w:rFonts w:ascii="Cambria" w:eastAsia="Times New Roman" w:hAnsi="Cambria"/>
          <w:bCs/>
          <w:sz w:val="20"/>
          <w:szCs w:val="20"/>
          <w:lang w:val="es-ES"/>
        </w:rPr>
        <w:t xml:space="preserve"> En dimensión colectiva, </w:t>
      </w:r>
      <w:r w:rsidR="002E4EB5" w:rsidRPr="006E763F">
        <w:rPr>
          <w:rFonts w:ascii="Cambria" w:eastAsia="Times New Roman" w:hAnsi="Cambria"/>
          <w:bCs/>
          <w:sz w:val="20"/>
          <w:szCs w:val="20"/>
          <w:lang w:val="es-ES"/>
        </w:rPr>
        <w:t>“la libertad de asociación es un medio que permite a los integrantes de un grupo o colectividad laboral alcanzar determinados fines en conjunto y beneficiarse de los mismos</w:t>
      </w:r>
      <w:r w:rsidR="002E4EB5" w:rsidRPr="006E763F">
        <w:rPr>
          <w:rStyle w:val="FootnoteReference"/>
          <w:rFonts w:ascii="Cambria" w:eastAsia="Times New Roman" w:hAnsi="Cambria"/>
          <w:bCs/>
          <w:sz w:val="20"/>
          <w:szCs w:val="20"/>
          <w:lang w:val="es-ES"/>
        </w:rPr>
        <w:footnoteReference w:id="124"/>
      </w:r>
      <w:r w:rsidR="002E4EB5" w:rsidRPr="006E763F">
        <w:rPr>
          <w:rFonts w:ascii="Cambria" w:eastAsia="Times New Roman" w:hAnsi="Cambria"/>
          <w:bCs/>
          <w:sz w:val="20"/>
          <w:szCs w:val="20"/>
          <w:lang w:val="es-ES"/>
        </w:rPr>
        <w:t xml:space="preserve">. </w:t>
      </w:r>
    </w:p>
    <w:p w14:paraId="4F2FD041" w14:textId="77777777" w:rsidR="00DE1DEF" w:rsidRPr="006E763F" w:rsidRDefault="00DE1DEF" w:rsidP="00E923BB">
      <w:pPr>
        <w:pStyle w:val="ListParagraph"/>
        <w:ind w:left="249" w:firstLine="0"/>
        <w:rPr>
          <w:rFonts w:eastAsia="Times New Roman" w:cs="Times New Roman"/>
          <w:bCs/>
          <w:sz w:val="20"/>
          <w:szCs w:val="20"/>
          <w:lang w:val="es-ES"/>
        </w:rPr>
      </w:pPr>
    </w:p>
    <w:p w14:paraId="02A8B35A" w14:textId="22D1D960" w:rsidR="00B60134" w:rsidRPr="006E763F" w:rsidRDefault="009B6AF2"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bCs/>
          <w:sz w:val="20"/>
          <w:szCs w:val="20"/>
          <w:lang w:val="es-ES"/>
        </w:rPr>
      </w:pPr>
      <w:r w:rsidRPr="006E763F">
        <w:rPr>
          <w:rFonts w:ascii="Cambria" w:eastAsia="Times New Roman" w:hAnsi="Cambria"/>
          <w:bCs/>
          <w:sz w:val="20"/>
          <w:szCs w:val="20"/>
          <w:lang w:val="es-ES"/>
        </w:rPr>
        <w:t>Como ha quedado establecido</w:t>
      </w:r>
      <w:r w:rsidR="00190FB2" w:rsidRPr="006E763F">
        <w:rPr>
          <w:rFonts w:ascii="Cambria" w:eastAsia="Times New Roman" w:hAnsi="Cambria"/>
          <w:bCs/>
          <w:sz w:val="20"/>
          <w:szCs w:val="20"/>
          <w:lang w:val="es-ES"/>
        </w:rPr>
        <w:t>,</w:t>
      </w:r>
      <w:r w:rsidRPr="006E763F">
        <w:rPr>
          <w:rFonts w:ascii="Cambria" w:eastAsia="Times New Roman" w:hAnsi="Cambria"/>
          <w:bCs/>
          <w:sz w:val="20"/>
          <w:szCs w:val="20"/>
          <w:lang w:val="es-ES"/>
        </w:rPr>
        <w:t xml:space="preserve"> la desaparición </w:t>
      </w:r>
      <w:r w:rsidR="00190FB2" w:rsidRPr="006E763F">
        <w:rPr>
          <w:rFonts w:ascii="Cambria" w:eastAsia="Times New Roman" w:hAnsi="Cambria"/>
          <w:bCs/>
          <w:sz w:val="20"/>
          <w:szCs w:val="20"/>
          <w:lang w:val="es-ES"/>
        </w:rPr>
        <w:t xml:space="preserve">forzada </w:t>
      </w:r>
      <w:r w:rsidRPr="006E763F">
        <w:rPr>
          <w:rFonts w:ascii="Cambria" w:eastAsia="Times New Roman" w:hAnsi="Cambria"/>
          <w:bCs/>
          <w:sz w:val="20"/>
          <w:szCs w:val="20"/>
          <w:lang w:val="es-ES"/>
        </w:rPr>
        <w:t xml:space="preserve">de Pedro Julio Movilla Galarcio respondió a su </w:t>
      </w:r>
      <w:r w:rsidR="00CB55DE" w:rsidRPr="006E763F">
        <w:rPr>
          <w:rFonts w:ascii="Cambria" w:eastAsia="Times New Roman" w:hAnsi="Cambria"/>
          <w:bCs/>
          <w:sz w:val="20"/>
          <w:szCs w:val="20"/>
          <w:lang w:val="es-ES"/>
        </w:rPr>
        <w:t xml:space="preserve">supuesta </w:t>
      </w:r>
      <w:r w:rsidR="002E4EB5" w:rsidRPr="006E763F">
        <w:rPr>
          <w:rFonts w:ascii="Cambria" w:eastAsia="Times New Roman" w:hAnsi="Cambria"/>
          <w:bCs/>
          <w:sz w:val="20"/>
          <w:szCs w:val="20"/>
          <w:lang w:val="es-ES"/>
        </w:rPr>
        <w:t>vinculación a una organización subversiva</w:t>
      </w:r>
      <w:r w:rsidR="00DC6148" w:rsidRPr="006E763F">
        <w:rPr>
          <w:rFonts w:ascii="Cambria" w:eastAsia="Times New Roman" w:hAnsi="Cambria"/>
          <w:bCs/>
          <w:sz w:val="20"/>
          <w:szCs w:val="20"/>
          <w:lang w:val="es-ES"/>
        </w:rPr>
        <w:t xml:space="preserve">, lo que fue derivado, sin que existiera condena penal en firme, del </w:t>
      </w:r>
      <w:r w:rsidRPr="006E763F">
        <w:rPr>
          <w:rFonts w:ascii="Cambria" w:eastAsia="Times New Roman" w:hAnsi="Cambria"/>
          <w:bCs/>
          <w:sz w:val="20"/>
          <w:szCs w:val="20"/>
          <w:lang w:val="es-ES"/>
        </w:rPr>
        <w:t xml:space="preserve">liderazgo </w:t>
      </w:r>
      <w:r w:rsidR="00AF0803" w:rsidRPr="006E763F">
        <w:rPr>
          <w:rFonts w:ascii="Cambria" w:eastAsia="Times New Roman" w:hAnsi="Cambria"/>
          <w:bCs/>
          <w:sz w:val="20"/>
          <w:szCs w:val="20"/>
          <w:lang w:val="es-ES"/>
        </w:rPr>
        <w:t>social</w:t>
      </w:r>
      <w:r w:rsidRPr="006E763F">
        <w:rPr>
          <w:rFonts w:ascii="Cambria" w:eastAsia="Times New Roman" w:hAnsi="Cambria"/>
          <w:bCs/>
          <w:sz w:val="20"/>
          <w:szCs w:val="20"/>
          <w:lang w:val="es-ES"/>
        </w:rPr>
        <w:t xml:space="preserve"> </w:t>
      </w:r>
      <w:r w:rsidR="00C45A93" w:rsidRPr="006E763F">
        <w:rPr>
          <w:rFonts w:ascii="Cambria" w:eastAsia="Times New Roman" w:hAnsi="Cambria"/>
          <w:bCs/>
          <w:sz w:val="20"/>
          <w:szCs w:val="20"/>
          <w:lang w:val="es-ES"/>
        </w:rPr>
        <w:t xml:space="preserve">de la presunta víctima </w:t>
      </w:r>
      <w:r w:rsidR="00D117C7" w:rsidRPr="006E763F">
        <w:rPr>
          <w:rFonts w:ascii="Cambria" w:eastAsia="Times New Roman" w:hAnsi="Cambria"/>
          <w:bCs/>
          <w:sz w:val="20"/>
          <w:szCs w:val="20"/>
          <w:lang w:val="es-ES"/>
        </w:rPr>
        <w:t xml:space="preserve">y </w:t>
      </w:r>
      <w:r w:rsidR="00C45A93" w:rsidRPr="006E763F">
        <w:rPr>
          <w:rFonts w:ascii="Cambria" w:eastAsia="Times New Roman" w:hAnsi="Cambria"/>
          <w:bCs/>
          <w:sz w:val="20"/>
          <w:szCs w:val="20"/>
          <w:lang w:val="es-ES"/>
        </w:rPr>
        <w:t xml:space="preserve">su </w:t>
      </w:r>
      <w:r w:rsidR="00D117C7" w:rsidRPr="006E763F">
        <w:rPr>
          <w:rFonts w:ascii="Cambria" w:eastAsia="Times New Roman" w:hAnsi="Cambria"/>
          <w:bCs/>
          <w:sz w:val="20"/>
          <w:szCs w:val="20"/>
          <w:lang w:val="es-ES"/>
        </w:rPr>
        <w:t>pertenencia a organizaciones</w:t>
      </w:r>
      <w:r w:rsidR="00AF0803" w:rsidRPr="006E763F">
        <w:rPr>
          <w:rFonts w:ascii="Cambria" w:eastAsia="Times New Roman" w:hAnsi="Cambria"/>
          <w:bCs/>
          <w:sz w:val="20"/>
          <w:szCs w:val="20"/>
          <w:lang w:val="es-ES"/>
        </w:rPr>
        <w:t xml:space="preserve"> sindicales y</w:t>
      </w:r>
      <w:r w:rsidR="00D117C7" w:rsidRPr="006E763F">
        <w:rPr>
          <w:rFonts w:ascii="Cambria" w:eastAsia="Times New Roman" w:hAnsi="Cambria"/>
          <w:bCs/>
          <w:sz w:val="20"/>
          <w:szCs w:val="20"/>
          <w:lang w:val="es-ES"/>
        </w:rPr>
        <w:t xml:space="preserve"> </w:t>
      </w:r>
      <w:r w:rsidRPr="006E763F">
        <w:rPr>
          <w:rFonts w:ascii="Cambria" w:eastAsia="Times New Roman" w:hAnsi="Cambria"/>
          <w:bCs/>
          <w:sz w:val="20"/>
          <w:szCs w:val="20"/>
          <w:lang w:val="es-ES"/>
        </w:rPr>
        <w:t>política</w:t>
      </w:r>
      <w:r w:rsidR="00B63C19" w:rsidRPr="006E763F">
        <w:rPr>
          <w:rFonts w:ascii="Cambria" w:eastAsia="Times New Roman" w:hAnsi="Cambria"/>
          <w:bCs/>
          <w:sz w:val="20"/>
          <w:szCs w:val="20"/>
          <w:lang w:val="es-ES"/>
        </w:rPr>
        <w:t>s de ideología</w:t>
      </w:r>
      <w:r w:rsidR="00D117C7" w:rsidRPr="006E763F">
        <w:rPr>
          <w:rFonts w:ascii="Cambria" w:eastAsia="Times New Roman" w:hAnsi="Cambria"/>
          <w:bCs/>
          <w:sz w:val="20"/>
          <w:szCs w:val="20"/>
          <w:lang w:val="es-ES"/>
        </w:rPr>
        <w:t xml:space="preserve"> de izquierda</w:t>
      </w:r>
      <w:r w:rsidRPr="006E763F">
        <w:rPr>
          <w:rFonts w:ascii="Cambria" w:eastAsia="Times New Roman" w:hAnsi="Cambria"/>
          <w:bCs/>
          <w:sz w:val="20"/>
          <w:szCs w:val="20"/>
          <w:lang w:val="es-ES"/>
        </w:rPr>
        <w:t xml:space="preserve">. </w:t>
      </w:r>
      <w:r w:rsidR="00D117C7" w:rsidRPr="006E763F">
        <w:rPr>
          <w:rFonts w:ascii="Cambria" w:eastAsia="Times New Roman" w:hAnsi="Cambria"/>
          <w:bCs/>
          <w:sz w:val="20"/>
          <w:szCs w:val="20"/>
          <w:lang w:val="es-ES"/>
        </w:rPr>
        <w:t>Para la Comisión, e</w:t>
      </w:r>
      <w:r w:rsidRPr="006E763F">
        <w:rPr>
          <w:rFonts w:ascii="Cambria" w:eastAsia="Times New Roman" w:hAnsi="Cambria"/>
          <w:bCs/>
          <w:sz w:val="20"/>
          <w:szCs w:val="20"/>
          <w:lang w:val="es-ES"/>
        </w:rPr>
        <w:t>sta correlación establecida por los órganos de inteligencia militar se enmarca en el contexto en el que se produjeron los hechos descritos en este informe, y responde a un</w:t>
      </w:r>
      <w:r w:rsidR="00D117C7" w:rsidRPr="006E763F">
        <w:rPr>
          <w:rFonts w:ascii="Cambria" w:eastAsia="Times New Roman" w:hAnsi="Cambria"/>
          <w:bCs/>
          <w:sz w:val="20"/>
          <w:szCs w:val="20"/>
          <w:lang w:val="es-ES"/>
        </w:rPr>
        <w:t>a</w:t>
      </w:r>
      <w:r w:rsidRPr="006E763F">
        <w:rPr>
          <w:rFonts w:ascii="Cambria" w:eastAsia="Times New Roman" w:hAnsi="Cambria"/>
          <w:bCs/>
          <w:sz w:val="20"/>
          <w:szCs w:val="20"/>
          <w:lang w:val="es-ES"/>
        </w:rPr>
        <w:t xml:space="preserve"> lógica </w:t>
      </w:r>
      <w:r w:rsidR="00F2479A" w:rsidRPr="006E763F">
        <w:rPr>
          <w:rFonts w:ascii="Cambria" w:eastAsia="Times New Roman" w:hAnsi="Cambria"/>
          <w:bCs/>
          <w:sz w:val="20"/>
          <w:szCs w:val="20"/>
          <w:lang w:val="es-ES"/>
        </w:rPr>
        <w:t xml:space="preserve">selectiva </w:t>
      </w:r>
      <w:r w:rsidR="008535B1" w:rsidRPr="006E763F">
        <w:rPr>
          <w:rFonts w:ascii="Cambria" w:eastAsia="Times New Roman" w:hAnsi="Cambria"/>
          <w:bCs/>
          <w:sz w:val="20"/>
          <w:szCs w:val="20"/>
          <w:lang w:val="es-ES"/>
        </w:rPr>
        <w:t>de las operaciones de seguridad nacional</w:t>
      </w:r>
      <w:r w:rsidR="00AF0803" w:rsidRPr="006E763F">
        <w:rPr>
          <w:rFonts w:ascii="Cambria" w:eastAsia="Times New Roman" w:hAnsi="Cambria"/>
          <w:bCs/>
          <w:sz w:val="20"/>
          <w:szCs w:val="20"/>
          <w:lang w:val="es-ES"/>
        </w:rPr>
        <w:t xml:space="preserve"> </w:t>
      </w:r>
      <w:r w:rsidR="006A0AC5" w:rsidRPr="006E763F">
        <w:rPr>
          <w:rFonts w:ascii="Cambria" w:eastAsia="Times New Roman" w:hAnsi="Cambria"/>
          <w:bCs/>
          <w:sz w:val="20"/>
          <w:szCs w:val="20"/>
          <w:lang w:val="es-ES"/>
        </w:rPr>
        <w:t>que criminalizó</w:t>
      </w:r>
      <w:r w:rsidRPr="006E763F">
        <w:rPr>
          <w:rFonts w:ascii="Cambria" w:eastAsia="Times New Roman" w:hAnsi="Cambria"/>
          <w:bCs/>
          <w:sz w:val="20"/>
          <w:szCs w:val="20"/>
          <w:lang w:val="es-ES"/>
        </w:rPr>
        <w:t xml:space="preserve"> </w:t>
      </w:r>
      <w:r w:rsidR="008535B1" w:rsidRPr="006E763F">
        <w:rPr>
          <w:rFonts w:ascii="Cambria" w:eastAsia="Times New Roman" w:hAnsi="Cambria"/>
          <w:bCs/>
          <w:sz w:val="20"/>
          <w:szCs w:val="20"/>
          <w:lang w:val="es-ES"/>
        </w:rPr>
        <w:t>la</w:t>
      </w:r>
      <w:r w:rsidR="00D117C7" w:rsidRPr="006E763F">
        <w:rPr>
          <w:rFonts w:ascii="Cambria" w:eastAsia="Times New Roman" w:hAnsi="Cambria"/>
          <w:bCs/>
          <w:sz w:val="20"/>
          <w:szCs w:val="20"/>
          <w:lang w:val="es-ES"/>
        </w:rPr>
        <w:t xml:space="preserve"> participación </w:t>
      </w:r>
      <w:r w:rsidR="008535B1" w:rsidRPr="006E763F">
        <w:rPr>
          <w:rFonts w:ascii="Cambria" w:eastAsia="Times New Roman" w:hAnsi="Cambria"/>
          <w:bCs/>
          <w:sz w:val="20"/>
          <w:szCs w:val="20"/>
          <w:lang w:val="es-ES"/>
        </w:rPr>
        <w:t xml:space="preserve">de Pedro Julio Movilla Galarcio </w:t>
      </w:r>
      <w:r w:rsidR="00D117C7" w:rsidRPr="006E763F">
        <w:rPr>
          <w:rFonts w:ascii="Cambria" w:eastAsia="Times New Roman" w:hAnsi="Cambria"/>
          <w:bCs/>
          <w:sz w:val="20"/>
          <w:szCs w:val="20"/>
          <w:lang w:val="es-ES"/>
        </w:rPr>
        <w:t>en organizaciones</w:t>
      </w:r>
      <w:r w:rsidR="00967945" w:rsidRPr="006E763F">
        <w:rPr>
          <w:rFonts w:ascii="Cambria" w:eastAsia="Times New Roman" w:hAnsi="Cambria"/>
          <w:bCs/>
          <w:sz w:val="20"/>
          <w:szCs w:val="20"/>
          <w:lang w:val="es-ES"/>
        </w:rPr>
        <w:t xml:space="preserve"> sindicales y políticas. </w:t>
      </w:r>
    </w:p>
    <w:p w14:paraId="678CF384" w14:textId="77777777" w:rsidR="00CE205F" w:rsidRPr="006E763F" w:rsidRDefault="00CE205F" w:rsidP="00E9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lang w:val="es-ES"/>
        </w:rPr>
      </w:pPr>
    </w:p>
    <w:p w14:paraId="27DBE61C" w14:textId="0E9E47B1" w:rsidR="00B60134" w:rsidRPr="006E763F" w:rsidRDefault="00B60134"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bCs/>
          <w:sz w:val="20"/>
          <w:szCs w:val="20"/>
          <w:lang w:val="es-ES"/>
        </w:rPr>
      </w:pPr>
      <w:r w:rsidRPr="006E763F">
        <w:rPr>
          <w:rFonts w:ascii="Cambria" w:hAnsi="Cambria"/>
          <w:sz w:val="20"/>
          <w:szCs w:val="20"/>
          <w:lang w:val="es-ES_tradnl"/>
        </w:rPr>
        <w:t xml:space="preserve">En virtud de las anteriores consideraciones, la Comisión </w:t>
      </w:r>
      <w:r w:rsidR="00713795" w:rsidRPr="006E763F">
        <w:rPr>
          <w:rFonts w:ascii="Cambria" w:hAnsi="Cambria"/>
          <w:sz w:val="20"/>
          <w:szCs w:val="20"/>
          <w:lang w:val="es-ES_tradnl"/>
        </w:rPr>
        <w:t>concluye que en at</w:t>
      </w:r>
      <w:r w:rsidRPr="006E763F">
        <w:rPr>
          <w:rFonts w:ascii="Cambria" w:hAnsi="Cambria"/>
          <w:sz w:val="20"/>
          <w:szCs w:val="20"/>
          <w:lang w:val="es-ES_tradnl"/>
        </w:rPr>
        <w:t>e</w:t>
      </w:r>
      <w:r w:rsidR="00713795" w:rsidRPr="006E763F">
        <w:rPr>
          <w:rFonts w:ascii="Cambria" w:hAnsi="Cambria"/>
          <w:sz w:val="20"/>
          <w:szCs w:val="20"/>
          <w:lang w:val="es-ES_tradnl"/>
        </w:rPr>
        <w:t xml:space="preserve">nción al móvil y carácter selectivo de la desaparición forzada, el Estado colombiano también es responsable por la violación del derecho a la libertad de asociación establecido en el artículo 16 de la Convención Americana, en relación con los artículos 1.1 y 2 del mismo instrumento. </w:t>
      </w:r>
    </w:p>
    <w:p w14:paraId="1079FE18" w14:textId="0B198279" w:rsidR="009A7F2C" w:rsidRDefault="009A7F2C" w:rsidP="00E923BB">
      <w:pPr>
        <w:pStyle w:val="ListParagraph"/>
        <w:ind w:left="249" w:firstLine="0"/>
        <w:rPr>
          <w:rFonts w:eastAsia="Times New Roman" w:cs="Times New Roman"/>
          <w:b/>
          <w:bCs/>
          <w:sz w:val="20"/>
          <w:szCs w:val="20"/>
          <w:lang w:val="es-ES"/>
        </w:rPr>
      </w:pPr>
    </w:p>
    <w:p w14:paraId="31DB0414" w14:textId="77777777" w:rsidR="00D90561" w:rsidRDefault="00D90561" w:rsidP="00E923BB">
      <w:pPr>
        <w:pStyle w:val="ListParagraph"/>
        <w:ind w:left="249" w:firstLine="0"/>
        <w:rPr>
          <w:rFonts w:eastAsia="Times New Roman" w:cs="Times New Roman"/>
          <w:b/>
          <w:bCs/>
          <w:sz w:val="20"/>
          <w:szCs w:val="20"/>
          <w:lang w:val="es-ES"/>
        </w:rPr>
      </w:pPr>
    </w:p>
    <w:p w14:paraId="3A383C9A" w14:textId="1A79BAFC" w:rsidR="00D90561" w:rsidRDefault="00D90561">
      <w:pPr>
        <w:rPr>
          <w:rFonts w:ascii="Cambria" w:eastAsia="Times New Roman" w:hAnsi="Cambria"/>
          <w:b/>
          <w:bCs/>
          <w:color w:val="000000"/>
          <w:sz w:val="20"/>
          <w:szCs w:val="20"/>
          <w:u w:color="000000"/>
          <w:lang w:val="es-ES" w:eastAsia="es-CL"/>
        </w:rPr>
      </w:pPr>
      <w:r>
        <w:rPr>
          <w:rFonts w:eastAsia="Times New Roman"/>
          <w:b/>
          <w:bCs/>
          <w:sz w:val="20"/>
          <w:szCs w:val="20"/>
          <w:lang w:val="es-ES"/>
        </w:rPr>
        <w:br w:type="page"/>
      </w:r>
    </w:p>
    <w:p w14:paraId="4B07239F" w14:textId="77777777" w:rsidR="00D90561" w:rsidRDefault="00D90561" w:rsidP="00E923BB">
      <w:pPr>
        <w:pStyle w:val="ListParagraph"/>
        <w:ind w:left="249" w:firstLine="0"/>
        <w:rPr>
          <w:rFonts w:eastAsia="Times New Roman" w:cs="Times New Roman"/>
          <w:b/>
          <w:bCs/>
          <w:sz w:val="20"/>
          <w:szCs w:val="20"/>
          <w:lang w:val="es-ES"/>
        </w:rPr>
      </w:pPr>
    </w:p>
    <w:p w14:paraId="3315A5D4" w14:textId="34380FD4" w:rsidR="00EC310A" w:rsidRPr="00EA3E8B" w:rsidRDefault="00547C71" w:rsidP="00685D78">
      <w:pPr>
        <w:pStyle w:val="Heading2"/>
        <w:numPr>
          <w:ilvl w:val="0"/>
          <w:numId w:val="26"/>
        </w:numPr>
        <w:tabs>
          <w:tab w:val="clear" w:pos="86"/>
          <w:tab w:val="num" w:pos="1440"/>
        </w:tabs>
        <w:ind w:left="1440" w:hanging="720"/>
        <w:rPr>
          <w:rFonts w:eastAsia="Times New Roman" w:cs="Times New Roman"/>
          <w:bCs w:val="0"/>
        </w:rPr>
      </w:pPr>
      <w:bookmarkStart w:id="22" w:name="_Toc446162"/>
      <w:r w:rsidRPr="00EA3E8B">
        <w:rPr>
          <w:bCs w:val="0"/>
        </w:rPr>
        <w:t>El derecho a las garantías judiciales y la protección judicial (artículos 8</w:t>
      </w:r>
      <w:r w:rsidR="009A5637" w:rsidRPr="00EA3E8B">
        <w:rPr>
          <w:bCs w:val="0"/>
        </w:rPr>
        <w:t>.1</w:t>
      </w:r>
      <w:r w:rsidR="009E7E98" w:rsidRPr="00EA3E8B">
        <w:rPr>
          <w:bCs w:val="0"/>
          <w:vertAlign w:val="superscript"/>
        </w:rPr>
        <w:footnoteReference w:id="125"/>
      </w:r>
      <w:r w:rsidR="009A5637" w:rsidRPr="00EA3E8B">
        <w:rPr>
          <w:bCs w:val="0"/>
        </w:rPr>
        <w:t xml:space="preserve">, </w:t>
      </w:r>
      <w:r w:rsidRPr="00EA3E8B">
        <w:rPr>
          <w:bCs w:val="0"/>
        </w:rPr>
        <w:t>25.1</w:t>
      </w:r>
      <w:r w:rsidR="009E7E98" w:rsidRPr="00EA3E8B">
        <w:rPr>
          <w:bCs w:val="0"/>
          <w:vertAlign w:val="superscript"/>
        </w:rPr>
        <w:footnoteReference w:id="126"/>
      </w:r>
      <w:r w:rsidR="009A5637" w:rsidRPr="00EA3E8B">
        <w:rPr>
          <w:bCs w:val="0"/>
        </w:rPr>
        <w:t xml:space="preserve"> y 1.1 de</w:t>
      </w:r>
      <w:r w:rsidRPr="00EA3E8B">
        <w:rPr>
          <w:bCs w:val="0"/>
        </w:rPr>
        <w:t xml:space="preserve"> la Convención Americana</w:t>
      </w:r>
      <w:r w:rsidR="00023074" w:rsidRPr="00EA3E8B">
        <w:rPr>
          <w:bCs w:val="0"/>
        </w:rPr>
        <w:t xml:space="preserve"> y I. b de la</w:t>
      </w:r>
      <w:r w:rsidR="009A5637" w:rsidRPr="00EA3E8B">
        <w:rPr>
          <w:bCs w:val="0"/>
        </w:rPr>
        <w:t xml:space="preserve"> CIDFP</w:t>
      </w:r>
      <w:r w:rsidR="00023074" w:rsidRPr="00EA3E8B">
        <w:rPr>
          <w:rStyle w:val="FootnoteReference"/>
          <w:bCs w:val="0"/>
        </w:rPr>
        <w:footnoteReference w:id="127"/>
      </w:r>
      <w:bookmarkEnd w:id="22"/>
    </w:p>
    <w:p w14:paraId="67203BB3" w14:textId="77777777" w:rsidR="004E072C" w:rsidRPr="006E763F" w:rsidRDefault="004E072C" w:rsidP="00E923BB">
      <w:pPr>
        <w:pStyle w:val="Body"/>
        <w:ind w:firstLine="0"/>
        <w:rPr>
          <w:b/>
          <w:bCs/>
          <w:lang w:val="es-ES"/>
        </w:rPr>
      </w:pPr>
    </w:p>
    <w:p w14:paraId="5A9F3232" w14:textId="77777777" w:rsidR="004E072C" w:rsidRPr="006E763F" w:rsidRDefault="004E072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ES" w:eastAsia="es-ES"/>
        </w:rPr>
      </w:pPr>
      <w:r w:rsidRPr="006E763F">
        <w:rPr>
          <w:rFonts w:ascii="Cambria" w:eastAsia="Times New Roman" w:hAnsi="Cambria"/>
          <w:sz w:val="20"/>
          <w:szCs w:val="20"/>
          <w:lang w:val="es-ES" w:eastAsia="es-ES"/>
        </w:rPr>
        <w:t xml:space="preserve">La jurisprudencia interamericana sostiene que cuando se trata de la denuncia de la desaparición de una persona, existe un vínculo inescindible entre la respuesta estatal y la protección de la vida e integridad de la persona que se denuncia desaparecida. La naturaleza inmediata y exhaustiva de la respuesta </w:t>
      </w:r>
      <w:r w:rsidRPr="006E763F">
        <w:rPr>
          <w:rFonts w:ascii="Cambria" w:hAnsi="Cambria"/>
          <w:sz w:val="20"/>
          <w:szCs w:val="20"/>
          <w:lang w:val="es-ES_tradnl"/>
        </w:rPr>
        <w:t>estatal</w:t>
      </w:r>
      <w:r w:rsidRPr="006E763F">
        <w:rPr>
          <w:rFonts w:ascii="Cambria" w:eastAsia="Times New Roman" w:hAnsi="Cambria"/>
          <w:sz w:val="20"/>
          <w:szCs w:val="20"/>
          <w:lang w:val="es-ES" w:eastAsia="es-ES"/>
        </w:rPr>
        <w:t xml:space="preserve"> es independiente de si se trata de una posible desaparición de manos de particulares o de manos de agentes estatales. 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bookmarkStart w:id="23" w:name="_Ref280106061"/>
      <w:r w:rsidRPr="006E763F">
        <w:rPr>
          <w:rFonts w:ascii="Cambria" w:eastAsia="Times New Roman" w:hAnsi="Cambria"/>
          <w:sz w:val="20"/>
          <w:szCs w:val="20"/>
          <w:vertAlign w:val="superscript"/>
          <w:lang w:val="es-ES" w:eastAsia="es-ES"/>
        </w:rPr>
        <w:footnoteReference w:id="128"/>
      </w:r>
      <w:bookmarkEnd w:id="23"/>
      <w:r w:rsidRPr="006E763F">
        <w:rPr>
          <w:rFonts w:ascii="Cambria" w:eastAsia="Times New Roman" w:hAnsi="Cambria"/>
          <w:sz w:val="20"/>
          <w:szCs w:val="20"/>
          <w:lang w:val="es-ES" w:eastAsia="es-ES"/>
        </w:rPr>
        <w:t xml:space="preserve">. </w:t>
      </w:r>
    </w:p>
    <w:p w14:paraId="28557EC8" w14:textId="77777777" w:rsidR="004E072C" w:rsidRPr="006E763F" w:rsidRDefault="004E072C" w:rsidP="00E923BB">
      <w:pPr>
        <w:ind w:left="720"/>
        <w:jc w:val="both"/>
        <w:rPr>
          <w:rFonts w:ascii="Cambria" w:eastAsia="Times New Roman" w:hAnsi="Cambria"/>
          <w:sz w:val="20"/>
          <w:szCs w:val="20"/>
          <w:lang w:val="es-ES" w:eastAsia="es-ES"/>
        </w:rPr>
      </w:pPr>
    </w:p>
    <w:p w14:paraId="55485C27" w14:textId="0664291A" w:rsidR="00E91E49" w:rsidRPr="006E763F" w:rsidRDefault="004E072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ES" w:eastAsia="es-ES"/>
        </w:rPr>
      </w:pPr>
      <w:r w:rsidRPr="006E763F">
        <w:rPr>
          <w:rFonts w:ascii="Cambria" w:hAnsi="Cambria"/>
          <w:spacing w:val="-2"/>
          <w:sz w:val="20"/>
          <w:szCs w:val="20"/>
          <w:lang w:val="es-ES"/>
        </w:rPr>
        <w:t xml:space="preserve">En esta línea, la Corte ha señalado que la obligación de investigar implica que una vez que las autoridades estatales tengan conocimiento del hecho, </w:t>
      </w:r>
      <w:r w:rsidRPr="006E763F">
        <w:rPr>
          <w:rFonts w:ascii="Cambria" w:hAnsi="Cambria"/>
          <w:bCs/>
          <w:spacing w:val="-2"/>
          <w:sz w:val="20"/>
          <w:szCs w:val="20"/>
          <w:lang w:val="es-ES"/>
        </w:rPr>
        <w:t>deben</w:t>
      </w:r>
      <w:r w:rsidRPr="006E763F">
        <w:rPr>
          <w:rFonts w:ascii="Cambria" w:hAnsi="Cambria"/>
          <w:spacing w:val="-2"/>
          <w:sz w:val="20"/>
          <w:szCs w:val="20"/>
          <w:lang w:val="es-ES"/>
        </w:rPr>
        <w:t xml:space="preserve"> iniciar</w:t>
      </w:r>
      <w:r w:rsidRPr="006E763F">
        <w:rPr>
          <w:rFonts w:ascii="Cambria" w:hAnsi="Cambria"/>
          <w:i/>
          <w:spacing w:val="-2"/>
          <w:sz w:val="20"/>
          <w:szCs w:val="20"/>
          <w:lang w:val="es-ES"/>
        </w:rPr>
        <w:t xml:space="preserve"> ex officio</w:t>
      </w:r>
      <w:r w:rsidRPr="006E763F">
        <w:rPr>
          <w:rFonts w:ascii="Cambria" w:hAnsi="Cambria"/>
          <w:spacing w:val="-2"/>
          <w:sz w:val="20"/>
          <w:szCs w:val="20"/>
          <w:lang w:val="es-ES"/>
        </w:rPr>
        <w:t xml:space="preserve"> y sin dilación, una investigación seria, imparcial y </w:t>
      </w:r>
      <w:r w:rsidRPr="006E763F">
        <w:rPr>
          <w:rFonts w:ascii="Cambria" w:hAnsi="Cambria"/>
          <w:sz w:val="20"/>
          <w:szCs w:val="20"/>
          <w:lang w:val="es-ES_tradnl"/>
        </w:rPr>
        <w:t>efectiva</w:t>
      </w:r>
      <w:r w:rsidRPr="006E763F">
        <w:rPr>
          <w:rFonts w:ascii="Cambria" w:hAnsi="Cambria"/>
          <w:spacing w:val="-2"/>
          <w:sz w:val="20"/>
          <w:szCs w:val="20"/>
          <w:lang w:val="es-ES"/>
        </w:rPr>
        <w:t xml:space="preserve"> por todos los medios legales disponibles y orientada a la determinación de la verdad y a la persecución, captura, enjuiciamiento y eventual castigo de todos los autores de los hechos</w:t>
      </w:r>
      <w:r w:rsidRPr="006E763F">
        <w:rPr>
          <w:rFonts w:ascii="Cambria" w:hAnsi="Cambria"/>
          <w:spacing w:val="-2"/>
          <w:sz w:val="20"/>
          <w:szCs w:val="20"/>
          <w:vertAlign w:val="superscript"/>
          <w:lang w:val="es-ES"/>
        </w:rPr>
        <w:footnoteReference w:id="129"/>
      </w:r>
      <w:r w:rsidR="00283897" w:rsidRPr="006E763F">
        <w:rPr>
          <w:rFonts w:ascii="Cambria" w:hAnsi="Cambria"/>
          <w:spacing w:val="-2"/>
          <w:sz w:val="20"/>
          <w:szCs w:val="20"/>
          <w:lang w:val="es-ES"/>
        </w:rPr>
        <w:t>, especialmente cuando esté</w:t>
      </w:r>
      <w:r w:rsidRPr="006E763F">
        <w:rPr>
          <w:rFonts w:ascii="Cambria" w:hAnsi="Cambria"/>
          <w:spacing w:val="-2"/>
          <w:sz w:val="20"/>
          <w:szCs w:val="20"/>
          <w:lang w:val="es-ES"/>
        </w:rPr>
        <w:t>n o puedan estar involucrados agentes estatales</w:t>
      </w:r>
      <w:r w:rsidRPr="006E763F">
        <w:rPr>
          <w:rFonts w:ascii="Cambria" w:hAnsi="Cambria"/>
          <w:spacing w:val="-2"/>
          <w:sz w:val="20"/>
          <w:szCs w:val="20"/>
          <w:vertAlign w:val="superscript"/>
          <w:lang w:val="es-ES"/>
        </w:rPr>
        <w:footnoteReference w:id="130"/>
      </w:r>
      <w:r w:rsidRPr="006E763F">
        <w:rPr>
          <w:rFonts w:ascii="Cambria" w:hAnsi="Cambria"/>
          <w:spacing w:val="-2"/>
          <w:sz w:val="20"/>
          <w:szCs w:val="20"/>
          <w:lang w:val="es-ES"/>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6E763F">
        <w:rPr>
          <w:rFonts w:ascii="Cambria" w:hAnsi="Cambria"/>
          <w:spacing w:val="-2"/>
          <w:sz w:val="20"/>
          <w:szCs w:val="20"/>
          <w:vertAlign w:val="superscript"/>
          <w:lang w:val="es-ES"/>
        </w:rPr>
        <w:footnoteReference w:id="131"/>
      </w:r>
      <w:r w:rsidRPr="006E763F">
        <w:rPr>
          <w:rFonts w:ascii="Cambria" w:hAnsi="Cambria"/>
          <w:spacing w:val="-2"/>
          <w:sz w:val="20"/>
          <w:szCs w:val="20"/>
          <w:lang w:val="es-ES"/>
        </w:rPr>
        <w:t>. La obligación del Estado de investigar debe cumplirse diligentemente para evitar la impunidad y que este tipo de hechos vuelvan a repetirse</w:t>
      </w:r>
      <w:r w:rsidRPr="006E763F">
        <w:rPr>
          <w:rFonts w:ascii="Cambria" w:hAnsi="Cambria"/>
          <w:spacing w:val="-2"/>
          <w:sz w:val="20"/>
          <w:szCs w:val="20"/>
          <w:vertAlign w:val="superscript"/>
          <w:lang w:val="es-ES"/>
        </w:rPr>
        <w:footnoteReference w:id="132"/>
      </w:r>
      <w:r w:rsidRPr="006E763F">
        <w:rPr>
          <w:rFonts w:ascii="Cambria" w:hAnsi="Cambria"/>
          <w:spacing w:val="-2"/>
          <w:sz w:val="20"/>
          <w:szCs w:val="20"/>
          <w:lang w:val="es-ES"/>
        </w:rPr>
        <w:t xml:space="preserve">. </w:t>
      </w:r>
    </w:p>
    <w:p w14:paraId="54041C82" w14:textId="77777777" w:rsidR="00E91E49" w:rsidRPr="006E763F" w:rsidRDefault="00E91E49" w:rsidP="00E923BB">
      <w:pPr>
        <w:pStyle w:val="ListParagraph"/>
        <w:rPr>
          <w:rFonts w:cs="Arial"/>
          <w:sz w:val="20"/>
          <w:szCs w:val="20"/>
          <w:lang w:val="es-ES"/>
        </w:rPr>
      </w:pPr>
    </w:p>
    <w:p w14:paraId="126B150E" w14:textId="4C5789A5" w:rsidR="004E072C" w:rsidRPr="006E763F" w:rsidRDefault="004E072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ES" w:eastAsia="es-ES"/>
        </w:rPr>
      </w:pPr>
      <w:r w:rsidRPr="006E763F">
        <w:rPr>
          <w:rFonts w:ascii="Cambria" w:hAnsi="Cambria" w:cs="Arial"/>
          <w:sz w:val="20"/>
          <w:szCs w:val="20"/>
          <w:lang w:val="es-ES"/>
        </w:rPr>
        <w:t>Además, en cuanto a la debida diligencia durante el desarrollo de la investigación, la Comisión y la Corte Interamericana han establecido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6E763F">
        <w:rPr>
          <w:rStyle w:val="FootnoteReference"/>
          <w:rFonts w:ascii="Cambria" w:hAnsi="Cambria"/>
          <w:sz w:val="20"/>
          <w:szCs w:val="20"/>
          <w:lang w:val="es-ES"/>
        </w:rPr>
        <w:footnoteReference w:id="133"/>
      </w:r>
      <w:r w:rsidRPr="006E763F">
        <w:rPr>
          <w:rFonts w:ascii="Cambria" w:hAnsi="Cambria" w:cs="Arial"/>
          <w:sz w:val="20"/>
          <w:szCs w:val="20"/>
          <w:lang w:val="es-ES"/>
        </w:rPr>
        <w:t xml:space="preserve">. A </w:t>
      </w:r>
      <w:r w:rsidRPr="006E763F">
        <w:rPr>
          <w:rFonts w:ascii="Cambria" w:hAnsi="Cambria"/>
          <w:sz w:val="20"/>
          <w:szCs w:val="20"/>
          <w:lang w:val="es-ES"/>
        </w:rPr>
        <w:t xml:space="preserve">ese respecto, el Estado tiene que </w:t>
      </w:r>
      <w:r w:rsidRPr="006E763F">
        <w:rPr>
          <w:rFonts w:ascii="Cambria" w:hAnsi="Cambria"/>
          <w:spacing w:val="-2"/>
          <w:sz w:val="20"/>
          <w:szCs w:val="20"/>
          <w:lang w:val="es-ES"/>
        </w:rPr>
        <w:t xml:space="preserve">demostrar que ha realizado una investigación </w:t>
      </w:r>
      <w:r w:rsidRPr="006E763F">
        <w:rPr>
          <w:rFonts w:ascii="Cambria" w:hAnsi="Cambria"/>
          <w:sz w:val="20"/>
          <w:szCs w:val="20"/>
          <w:lang w:val="es-ES"/>
        </w:rPr>
        <w:t>inmediata</w:t>
      </w:r>
      <w:r w:rsidRPr="006E763F">
        <w:rPr>
          <w:rFonts w:ascii="Cambria" w:hAnsi="Cambria"/>
          <w:spacing w:val="-2"/>
          <w:sz w:val="20"/>
          <w:szCs w:val="20"/>
          <w:lang w:val="es-ES"/>
        </w:rPr>
        <w:t xml:space="preserve">, exhaustiva, </w:t>
      </w:r>
      <w:r w:rsidRPr="006E763F">
        <w:rPr>
          <w:rFonts w:ascii="Cambria" w:hAnsi="Cambria"/>
          <w:spacing w:val="-2"/>
          <w:sz w:val="20"/>
          <w:szCs w:val="20"/>
          <w:lang w:val="es-ES"/>
        </w:rPr>
        <w:lastRenderedPageBreak/>
        <w:t>seria e imparcial</w:t>
      </w:r>
      <w:r w:rsidRPr="006E763F">
        <w:rPr>
          <w:rStyle w:val="FootnoteReference"/>
          <w:rFonts w:ascii="Cambria" w:hAnsi="Cambria"/>
          <w:sz w:val="20"/>
          <w:szCs w:val="20"/>
          <w:lang w:val="es-ES"/>
        </w:rPr>
        <w:footnoteReference w:id="134"/>
      </w:r>
      <w:r w:rsidRPr="006E763F">
        <w:rPr>
          <w:rFonts w:ascii="Cambria" w:hAnsi="Cambria"/>
          <w:spacing w:val="-2"/>
          <w:sz w:val="20"/>
          <w:szCs w:val="20"/>
          <w:lang w:val="es-ES"/>
        </w:rPr>
        <w:t>,</w:t>
      </w:r>
      <w:r w:rsidRPr="006E763F">
        <w:rPr>
          <w:rFonts w:ascii="Cambria" w:hAnsi="Cambria"/>
          <w:sz w:val="20"/>
          <w:szCs w:val="20"/>
          <w:lang w:val="es-ES"/>
        </w:rPr>
        <w:t xml:space="preserve"> la cual debe estar orientada a explorar todas las líneas investigativas posibles</w:t>
      </w:r>
      <w:r w:rsidRPr="006E763F">
        <w:rPr>
          <w:rStyle w:val="FootnoteReference"/>
          <w:rFonts w:ascii="Cambria" w:hAnsi="Cambria" w:cs="Arial"/>
          <w:sz w:val="20"/>
          <w:szCs w:val="20"/>
          <w:lang w:val="es-ES"/>
        </w:rPr>
        <w:footnoteReference w:id="135"/>
      </w:r>
      <w:r w:rsidRPr="006E763F">
        <w:rPr>
          <w:rFonts w:ascii="Cambria" w:hAnsi="Cambria"/>
          <w:sz w:val="20"/>
          <w:szCs w:val="20"/>
          <w:lang w:val="es-ES"/>
        </w:rPr>
        <w:t>. El Estado puede ser responsable por no “ordenar, practicar o valorar pruebas” que pueden ser fundamentales para el debido esclarecimiento de los hechos</w:t>
      </w:r>
      <w:r w:rsidRPr="006E763F">
        <w:rPr>
          <w:rStyle w:val="FootnoteReference"/>
          <w:rFonts w:ascii="Cambria" w:hAnsi="Cambria"/>
          <w:sz w:val="20"/>
          <w:szCs w:val="20"/>
          <w:lang w:val="es-ES"/>
        </w:rPr>
        <w:footnoteReference w:id="136"/>
      </w:r>
      <w:r w:rsidRPr="006E763F">
        <w:rPr>
          <w:rFonts w:ascii="Cambria" w:hAnsi="Cambria"/>
          <w:sz w:val="20"/>
          <w:szCs w:val="20"/>
          <w:lang w:val="es-ES"/>
        </w:rPr>
        <w:t xml:space="preserve">. </w:t>
      </w:r>
    </w:p>
    <w:p w14:paraId="31136B64" w14:textId="77777777" w:rsidR="004E072C" w:rsidRPr="006E763F" w:rsidRDefault="004E072C" w:rsidP="00E923BB">
      <w:pPr>
        <w:pStyle w:val="ListParagraph"/>
        <w:rPr>
          <w:sz w:val="20"/>
          <w:szCs w:val="20"/>
          <w:lang w:val="es-ES"/>
        </w:rPr>
      </w:pPr>
    </w:p>
    <w:p w14:paraId="510BA2BC" w14:textId="77777777" w:rsidR="004E072C" w:rsidRPr="006E763F" w:rsidRDefault="004E072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línea con lo anterior, la Corte ha reiterado, específicamente para el caso colombiano, la importancia de que las investigaciones de este tipo de responsabilidades sean conducidas en el marco de la jurisdicción penal principalmente y que otro tipo de indagaciones coadyuvantes, como las llevadas a cabo por la Procuraduría General en el ámbito de los procesos disciplinarios, pueden complementar, pero no sustituir el carácter penal de las investigaciones de graves violaciones de derechos humanos</w:t>
      </w:r>
      <w:r w:rsidRPr="006E763F">
        <w:rPr>
          <w:rStyle w:val="FootnoteReference"/>
          <w:rFonts w:ascii="Cambria" w:hAnsi="Cambria"/>
          <w:sz w:val="20"/>
          <w:szCs w:val="20"/>
          <w:lang w:val="es-ES"/>
        </w:rPr>
        <w:footnoteReference w:id="137"/>
      </w:r>
      <w:r w:rsidRPr="006E763F">
        <w:rPr>
          <w:rFonts w:ascii="Cambria" w:hAnsi="Cambria"/>
          <w:sz w:val="20"/>
          <w:szCs w:val="20"/>
          <w:lang w:val="es-ES"/>
        </w:rPr>
        <w:t xml:space="preserve">. </w:t>
      </w:r>
    </w:p>
    <w:p w14:paraId="466EE41B" w14:textId="77777777" w:rsidR="004E072C" w:rsidRPr="006E763F" w:rsidRDefault="004E072C" w:rsidP="00E923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731C989" w14:textId="77777777" w:rsidR="004E072C" w:rsidRPr="006E763F" w:rsidRDefault="004E072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lang w:val="es-ES" w:eastAsia="es-ES"/>
        </w:rPr>
      </w:pPr>
      <w:r w:rsidRPr="006E763F">
        <w:rPr>
          <w:rFonts w:ascii="Cambria" w:hAnsi="Cambria"/>
          <w:sz w:val="20"/>
          <w:szCs w:val="20"/>
          <w:lang w:val="es-ES"/>
        </w:rPr>
        <w:t>Asimismo, la Corte ha establecido el deber del Estado de investigar los hechos mientras se mantenga la incertidumbre sobre la suerte de la persona desaparecida y la necesidad de brindar un recurso sencillo y rápido para el caso, con las debidas garantías</w:t>
      </w:r>
      <w:r w:rsidRPr="006E763F">
        <w:rPr>
          <w:rFonts w:ascii="Cambria" w:hAnsi="Cambria"/>
          <w:sz w:val="20"/>
          <w:szCs w:val="20"/>
          <w:vertAlign w:val="superscript"/>
          <w:lang w:val="es-ES" w:bidi="x-none"/>
        </w:rPr>
        <w:footnoteReference w:id="138"/>
      </w:r>
      <w:r w:rsidRPr="006E763F">
        <w:rPr>
          <w:rFonts w:ascii="Cambria" w:hAnsi="Cambria"/>
          <w:sz w:val="20"/>
          <w:szCs w:val="20"/>
          <w:lang w:val="es-ES"/>
        </w:rPr>
        <w:t>. La Comisión recuerda en este sentido que los Estados deben garantizar el derecho a la verdad de la víctima o de sus familiares a través de la investigación y el juzgamiento que previenen los artículos 8 y 25 de la Convención</w:t>
      </w:r>
      <w:r w:rsidRPr="006E763F">
        <w:rPr>
          <w:rFonts w:ascii="Cambria" w:hAnsi="Cambria"/>
          <w:sz w:val="20"/>
          <w:szCs w:val="20"/>
          <w:vertAlign w:val="superscript"/>
          <w:lang w:val="es-ES"/>
        </w:rPr>
        <w:footnoteReference w:id="139"/>
      </w:r>
      <w:r w:rsidRPr="006E763F">
        <w:rPr>
          <w:rFonts w:ascii="Cambria" w:hAnsi="Cambria"/>
          <w:sz w:val="20"/>
          <w:szCs w:val="20"/>
          <w:lang w:val="es-ES"/>
        </w:rPr>
        <w:t>.</w:t>
      </w:r>
    </w:p>
    <w:p w14:paraId="7A33F6D3" w14:textId="77777777" w:rsidR="00207848" w:rsidRPr="006E763F" w:rsidRDefault="00207848" w:rsidP="00E923BB">
      <w:pPr>
        <w:rPr>
          <w:rFonts w:ascii="Cambria" w:hAnsi="Cambria" w:cs="Verdana"/>
          <w:sz w:val="20"/>
          <w:szCs w:val="20"/>
          <w:lang w:val="es-ES"/>
        </w:rPr>
      </w:pPr>
    </w:p>
    <w:p w14:paraId="36910373" w14:textId="60979253" w:rsidR="00207848" w:rsidRPr="006E763F" w:rsidRDefault="0020784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Finalmente, con respecto al principio de</w:t>
      </w:r>
      <w:r w:rsidR="00FE56BC" w:rsidRPr="006E763F">
        <w:rPr>
          <w:rFonts w:ascii="Cambria" w:hAnsi="Cambria" w:cs="Verdana"/>
          <w:sz w:val="20"/>
          <w:szCs w:val="20"/>
          <w:lang w:val="es-ES"/>
        </w:rPr>
        <w:t>l</w:t>
      </w:r>
      <w:r w:rsidRPr="006E763F">
        <w:rPr>
          <w:rFonts w:ascii="Cambria" w:hAnsi="Cambria" w:cs="Verdana"/>
          <w:sz w:val="20"/>
          <w:szCs w:val="20"/>
          <w:lang w:val="es-ES"/>
        </w:rPr>
        <w:t xml:space="preserve"> plazo razonable contemplado en el artículo 8.1 de la </w:t>
      </w:r>
      <w:r w:rsidRPr="006E763F">
        <w:rPr>
          <w:rFonts w:ascii="Cambria" w:hAnsi="Cambria"/>
          <w:sz w:val="20"/>
          <w:szCs w:val="20"/>
          <w:lang w:val="es-ES"/>
        </w:rPr>
        <w:t>Convención</w:t>
      </w:r>
      <w:r w:rsidRPr="006E763F">
        <w:rPr>
          <w:rFonts w:ascii="Cambria" w:hAnsi="Cambria" w:cs="Verdana"/>
          <w:sz w:val="20"/>
          <w:szCs w:val="20"/>
          <w:lang w:val="es-ES"/>
        </w:rPr>
        <w:t xml:space="preserve">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6E763F">
        <w:rPr>
          <w:rFonts w:ascii="Cambria" w:hAnsi="Cambria" w:cs="Verdana"/>
          <w:sz w:val="20"/>
          <w:szCs w:val="20"/>
          <w:vertAlign w:val="superscript"/>
          <w:lang w:val="es-ES"/>
        </w:rPr>
        <w:footnoteReference w:id="140"/>
      </w:r>
      <w:r w:rsidRPr="006E763F">
        <w:rPr>
          <w:rFonts w:ascii="Cambria" w:hAnsi="Cambria" w:cs="Verdana"/>
          <w:sz w:val="20"/>
          <w:szCs w:val="20"/>
          <w:lang w:val="es-ES"/>
        </w:rPr>
        <w:t xml:space="preserve">. Asimismo, la Comisión y la Corte han considerado también el interés </w:t>
      </w:r>
      <w:r w:rsidR="00FE56BC" w:rsidRPr="006E763F">
        <w:rPr>
          <w:rFonts w:ascii="Cambria" w:hAnsi="Cambria" w:cs="Verdana"/>
          <w:sz w:val="20"/>
          <w:szCs w:val="20"/>
          <w:lang w:val="es-ES"/>
        </w:rPr>
        <w:t xml:space="preserve">del </w:t>
      </w:r>
      <w:r w:rsidRPr="006E763F">
        <w:rPr>
          <w:rFonts w:ascii="Cambria" w:hAnsi="Cambria" w:cs="Verdana"/>
          <w:sz w:val="20"/>
          <w:szCs w:val="20"/>
          <w:lang w:val="es-ES"/>
        </w:rPr>
        <w:t>afectado</w:t>
      </w:r>
      <w:r w:rsidRPr="006E763F">
        <w:rPr>
          <w:rFonts w:ascii="Cambria" w:hAnsi="Cambria" w:cs="Verdana"/>
          <w:sz w:val="20"/>
          <w:szCs w:val="20"/>
          <w:vertAlign w:val="superscript"/>
          <w:lang w:val="es-ES"/>
        </w:rPr>
        <w:footnoteReference w:id="141"/>
      </w:r>
      <w:r w:rsidRPr="006E763F">
        <w:rPr>
          <w:rFonts w:ascii="Cambria" w:hAnsi="Cambria" w:cs="Verdana"/>
          <w:sz w:val="20"/>
          <w:szCs w:val="20"/>
          <w:lang w:val="es-ES"/>
        </w:rPr>
        <w:t xml:space="preserve">. </w:t>
      </w:r>
    </w:p>
    <w:p w14:paraId="743E23EC" w14:textId="77777777" w:rsidR="00EC310A" w:rsidRPr="006E763F" w:rsidRDefault="00EC310A" w:rsidP="00E923BB">
      <w:pPr>
        <w:rPr>
          <w:rFonts w:ascii="Cambria" w:eastAsia="Times New Roman" w:hAnsi="Cambria"/>
          <w:sz w:val="20"/>
          <w:szCs w:val="20"/>
          <w:lang w:val="es-ES" w:eastAsia="es-ES"/>
        </w:rPr>
      </w:pPr>
    </w:p>
    <w:p w14:paraId="69903FC2" w14:textId="47157B24" w:rsidR="004E072C" w:rsidRPr="006E763F" w:rsidRDefault="00547AB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A continuación</w:t>
      </w:r>
      <w:r w:rsidR="00A232E9" w:rsidRPr="006E763F">
        <w:rPr>
          <w:rFonts w:ascii="Cambria" w:hAnsi="Cambria" w:cs="Verdana"/>
          <w:sz w:val="20"/>
          <w:szCs w:val="20"/>
          <w:lang w:val="es-ES"/>
        </w:rPr>
        <w:t>,</w:t>
      </w:r>
      <w:r w:rsidRPr="006E763F">
        <w:rPr>
          <w:rFonts w:ascii="Cambria" w:hAnsi="Cambria" w:cs="Verdana"/>
          <w:sz w:val="20"/>
          <w:szCs w:val="20"/>
          <w:lang w:val="es-ES"/>
        </w:rPr>
        <w:t xml:space="preserve"> la Comisión analizará la debida diligencia en la investigación de la desaparición forzada de Pedro Julio M</w:t>
      </w:r>
      <w:r w:rsidR="00B83922" w:rsidRPr="006E763F">
        <w:rPr>
          <w:rFonts w:ascii="Cambria" w:hAnsi="Cambria" w:cs="Verdana"/>
          <w:sz w:val="20"/>
          <w:szCs w:val="20"/>
          <w:lang w:val="es-ES"/>
        </w:rPr>
        <w:t>o</w:t>
      </w:r>
      <w:r w:rsidRPr="006E763F">
        <w:rPr>
          <w:rFonts w:ascii="Cambria" w:hAnsi="Cambria" w:cs="Verdana"/>
          <w:sz w:val="20"/>
          <w:szCs w:val="20"/>
          <w:lang w:val="es-ES"/>
        </w:rPr>
        <w:t>villa</w:t>
      </w:r>
      <w:r w:rsidR="00B83922" w:rsidRPr="006E763F">
        <w:rPr>
          <w:rFonts w:ascii="Cambria" w:hAnsi="Cambria" w:cs="Verdana"/>
          <w:sz w:val="20"/>
          <w:szCs w:val="20"/>
          <w:lang w:val="es-ES"/>
        </w:rPr>
        <w:t xml:space="preserve"> Galarcio</w:t>
      </w:r>
      <w:r w:rsidRPr="006E763F">
        <w:rPr>
          <w:rFonts w:ascii="Cambria" w:hAnsi="Cambria" w:cs="Verdana"/>
          <w:sz w:val="20"/>
          <w:szCs w:val="20"/>
          <w:lang w:val="es-ES"/>
        </w:rPr>
        <w:t xml:space="preserve"> </w:t>
      </w:r>
      <w:r w:rsidR="00293991" w:rsidRPr="006E763F">
        <w:rPr>
          <w:rFonts w:ascii="Cambria" w:hAnsi="Cambria" w:cs="Verdana"/>
          <w:sz w:val="20"/>
          <w:szCs w:val="20"/>
          <w:lang w:val="es-ES"/>
        </w:rPr>
        <w:t xml:space="preserve">tomando en cuenta </w:t>
      </w:r>
      <w:r w:rsidRPr="006E763F">
        <w:rPr>
          <w:rFonts w:ascii="Cambria" w:hAnsi="Cambria" w:cs="Verdana"/>
          <w:sz w:val="20"/>
          <w:szCs w:val="20"/>
          <w:lang w:val="es-ES"/>
        </w:rPr>
        <w:t xml:space="preserve">las líneas que condujeron la investigación, la conducción de la investigación y la participación de los familiares en las diligencias. </w:t>
      </w:r>
    </w:p>
    <w:p w14:paraId="5DEAF2E8" w14:textId="77777777" w:rsidR="00547ABC" w:rsidRPr="006E763F" w:rsidRDefault="00547ABC" w:rsidP="00E923BB">
      <w:pPr>
        <w:pStyle w:val="ListParagraph"/>
        <w:ind w:left="249" w:firstLine="0"/>
        <w:rPr>
          <w:rFonts w:cs="Verdana"/>
          <w:sz w:val="20"/>
          <w:szCs w:val="20"/>
          <w:lang w:val="es-ES"/>
        </w:rPr>
      </w:pPr>
    </w:p>
    <w:p w14:paraId="19CF122C" w14:textId="7BA9CC12" w:rsidR="00A728DD" w:rsidRPr="006E763F" w:rsidRDefault="0020784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 xml:space="preserve">En primer lugar, </w:t>
      </w:r>
      <w:r w:rsidR="00B83922" w:rsidRPr="006E763F">
        <w:rPr>
          <w:rFonts w:ascii="Cambria" w:hAnsi="Cambria" w:cs="Verdana"/>
          <w:sz w:val="20"/>
          <w:szCs w:val="20"/>
          <w:bdr w:val="none" w:sz="0" w:space="0" w:color="auto" w:frame="1"/>
          <w:lang w:val="es-ES"/>
        </w:rPr>
        <w:t>la Comisión encuen</w:t>
      </w:r>
      <w:r w:rsidR="006534C1" w:rsidRPr="006E763F">
        <w:rPr>
          <w:rFonts w:ascii="Cambria" w:hAnsi="Cambria" w:cs="Verdana"/>
          <w:sz w:val="20"/>
          <w:szCs w:val="20"/>
          <w:bdr w:val="none" w:sz="0" w:space="0" w:color="auto" w:frame="1"/>
          <w:lang w:val="es-ES"/>
        </w:rPr>
        <w:t xml:space="preserve">tra que </w:t>
      </w:r>
      <w:r w:rsidR="00177309" w:rsidRPr="006E763F">
        <w:rPr>
          <w:rFonts w:ascii="Cambria" w:hAnsi="Cambria" w:cs="Verdana"/>
          <w:sz w:val="20"/>
          <w:szCs w:val="20"/>
          <w:bdr w:val="none" w:sz="0" w:space="0" w:color="auto" w:frame="1"/>
          <w:lang w:val="es-ES"/>
        </w:rPr>
        <w:t xml:space="preserve">las finalidades esenciales </w:t>
      </w:r>
      <w:r w:rsidR="0035272E" w:rsidRPr="006E763F">
        <w:rPr>
          <w:rFonts w:ascii="Cambria" w:hAnsi="Cambria" w:cs="Verdana"/>
          <w:sz w:val="20"/>
          <w:szCs w:val="20"/>
          <w:bdr w:val="none" w:sz="0" w:space="0" w:color="auto" w:frame="1"/>
          <w:lang w:val="es-ES"/>
        </w:rPr>
        <w:t xml:space="preserve">de la investigación </w:t>
      </w:r>
      <w:r w:rsidR="00177309" w:rsidRPr="006E763F">
        <w:rPr>
          <w:rFonts w:ascii="Cambria" w:hAnsi="Cambria" w:cs="Verdana"/>
          <w:sz w:val="20"/>
          <w:szCs w:val="20"/>
          <w:bdr w:val="none" w:sz="0" w:space="0" w:color="auto" w:frame="1"/>
          <w:lang w:val="es-ES"/>
        </w:rPr>
        <w:t xml:space="preserve">eran </w:t>
      </w:r>
      <w:r w:rsidR="0035272E" w:rsidRPr="006E763F">
        <w:rPr>
          <w:rFonts w:ascii="Cambria" w:hAnsi="Cambria" w:cs="Arial"/>
          <w:sz w:val="20"/>
          <w:szCs w:val="20"/>
          <w:lang w:val="es-ES"/>
        </w:rPr>
        <w:t>la identificación del parader</w:t>
      </w:r>
      <w:r w:rsidR="0010443A" w:rsidRPr="006E763F">
        <w:rPr>
          <w:rFonts w:ascii="Cambria" w:hAnsi="Cambria" w:cs="Arial"/>
          <w:sz w:val="20"/>
          <w:szCs w:val="20"/>
          <w:lang w:val="es-ES"/>
        </w:rPr>
        <w:t>o de Pedro Julio Movilla Galarci</w:t>
      </w:r>
      <w:r w:rsidR="0035272E" w:rsidRPr="006E763F">
        <w:rPr>
          <w:rFonts w:ascii="Cambria" w:hAnsi="Cambria" w:cs="Arial"/>
          <w:sz w:val="20"/>
          <w:szCs w:val="20"/>
          <w:lang w:val="es-ES"/>
        </w:rPr>
        <w:t>o y la individualización de los</w:t>
      </w:r>
      <w:r w:rsidR="00024CBF" w:rsidRPr="006E763F">
        <w:rPr>
          <w:rFonts w:ascii="Cambria" w:hAnsi="Cambria" w:cs="Arial"/>
          <w:sz w:val="20"/>
          <w:szCs w:val="20"/>
          <w:lang w:val="es-ES"/>
        </w:rPr>
        <w:t xml:space="preserve"> responsables. </w:t>
      </w:r>
      <w:r w:rsidR="0035272E" w:rsidRPr="006E763F">
        <w:rPr>
          <w:rFonts w:ascii="Cambria" w:hAnsi="Cambria" w:cs="Verdana"/>
          <w:sz w:val="20"/>
          <w:szCs w:val="20"/>
          <w:bdr w:val="none" w:sz="0" w:space="0" w:color="auto" w:frame="1"/>
          <w:lang w:val="es-ES"/>
        </w:rPr>
        <w:t xml:space="preserve">En este sentido, la Comisión reconoce que, tras la denuncia, </w:t>
      </w:r>
      <w:r w:rsidR="006534C1" w:rsidRPr="006E763F">
        <w:rPr>
          <w:rFonts w:ascii="Cambria" w:hAnsi="Cambria" w:cs="Verdana"/>
          <w:sz w:val="20"/>
          <w:szCs w:val="20"/>
          <w:bdr w:val="none" w:sz="0" w:space="0" w:color="auto" w:frame="1"/>
          <w:lang w:val="es-ES"/>
        </w:rPr>
        <w:t xml:space="preserve">se </w:t>
      </w:r>
      <w:r w:rsidR="0035272E" w:rsidRPr="006E763F">
        <w:rPr>
          <w:rFonts w:ascii="Cambria" w:hAnsi="Cambria" w:cs="Verdana"/>
          <w:sz w:val="20"/>
          <w:szCs w:val="20"/>
          <w:bdr w:val="none" w:sz="0" w:space="0" w:color="auto" w:frame="1"/>
          <w:lang w:val="es-ES"/>
        </w:rPr>
        <w:t>practicaron diversas diligencias, en las fechas cercanas a la desaparición, concentradas en la determinación de si</w:t>
      </w:r>
      <w:r w:rsidR="00024CBF" w:rsidRPr="006E763F">
        <w:rPr>
          <w:rFonts w:ascii="Cambria" w:hAnsi="Cambria" w:cs="Verdana"/>
          <w:sz w:val="20"/>
          <w:szCs w:val="20"/>
          <w:bdr w:val="none" w:sz="0" w:space="0" w:color="auto" w:frame="1"/>
          <w:lang w:val="es-ES"/>
        </w:rPr>
        <w:t xml:space="preserve"> el señor </w:t>
      </w:r>
      <w:r w:rsidR="0035272E" w:rsidRPr="006E763F">
        <w:rPr>
          <w:rFonts w:ascii="Cambria" w:hAnsi="Cambria" w:cs="Verdana"/>
          <w:sz w:val="20"/>
          <w:szCs w:val="20"/>
          <w:bdr w:val="none" w:sz="0" w:space="0" w:color="auto" w:frame="1"/>
          <w:lang w:val="es-ES"/>
        </w:rPr>
        <w:t xml:space="preserve">Movilla Galarcio </w:t>
      </w:r>
      <w:r w:rsidR="00024CBF" w:rsidRPr="006E763F">
        <w:rPr>
          <w:rFonts w:ascii="Cambria" w:hAnsi="Cambria" w:cs="Verdana"/>
          <w:sz w:val="20"/>
          <w:szCs w:val="20"/>
          <w:bdr w:val="none" w:sz="0" w:space="0" w:color="auto" w:frame="1"/>
          <w:lang w:val="es-ES"/>
        </w:rPr>
        <w:t xml:space="preserve">estaba detenido </w:t>
      </w:r>
      <w:r w:rsidR="0035272E" w:rsidRPr="006E763F">
        <w:rPr>
          <w:rFonts w:ascii="Cambria" w:hAnsi="Cambria" w:cs="Verdana"/>
          <w:sz w:val="20"/>
          <w:szCs w:val="20"/>
          <w:bdr w:val="none" w:sz="0" w:space="0" w:color="auto" w:frame="1"/>
          <w:lang w:val="es-ES"/>
        </w:rPr>
        <w:t>y la identificación de posibles testigos de su</w:t>
      </w:r>
      <w:r w:rsidR="00024CBF" w:rsidRPr="006E763F">
        <w:rPr>
          <w:rFonts w:ascii="Cambria" w:hAnsi="Cambria" w:cs="Verdana"/>
          <w:sz w:val="20"/>
          <w:szCs w:val="20"/>
          <w:bdr w:val="none" w:sz="0" w:space="0" w:color="auto" w:frame="1"/>
          <w:lang w:val="es-ES"/>
        </w:rPr>
        <w:t xml:space="preserve"> desaparición</w:t>
      </w:r>
      <w:r w:rsidR="0035272E" w:rsidRPr="006E763F">
        <w:rPr>
          <w:rFonts w:ascii="Cambria" w:hAnsi="Cambria" w:cs="Verdana"/>
          <w:sz w:val="20"/>
          <w:szCs w:val="20"/>
          <w:bdr w:val="none" w:sz="0" w:space="0" w:color="auto" w:frame="1"/>
          <w:lang w:val="es-ES"/>
        </w:rPr>
        <w:t xml:space="preserve">. </w:t>
      </w:r>
      <w:r w:rsidR="00A728DD" w:rsidRPr="006E763F">
        <w:rPr>
          <w:rFonts w:ascii="Cambria" w:hAnsi="Cambria" w:cs="Verdana"/>
          <w:sz w:val="20"/>
          <w:szCs w:val="20"/>
          <w:bdr w:val="none" w:sz="0" w:space="0" w:color="auto" w:frame="1"/>
          <w:lang w:val="es-ES"/>
        </w:rPr>
        <w:t xml:space="preserve">Sin embargo, estas diligencias se realizaron durante unos pocos días y luego pasaron quince años para que se volvieran a disponer labores de búsqueda. </w:t>
      </w:r>
    </w:p>
    <w:p w14:paraId="37F8EFC3" w14:textId="77777777" w:rsidR="00A728DD" w:rsidRPr="006E763F" w:rsidRDefault="00A728DD" w:rsidP="00E923BB">
      <w:pPr>
        <w:pStyle w:val="ListParagraph"/>
        <w:rPr>
          <w:rFonts w:cs="Verdana"/>
          <w:sz w:val="20"/>
          <w:szCs w:val="20"/>
          <w:bdr w:val="none" w:sz="0" w:space="0" w:color="auto" w:frame="1"/>
          <w:lang w:val="es-ES"/>
        </w:rPr>
      </w:pPr>
    </w:p>
    <w:p w14:paraId="23C843D0" w14:textId="77777777" w:rsidR="006C2206" w:rsidRPr="006E763F" w:rsidRDefault="00341C05"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bdr w:val="none" w:sz="0" w:space="0" w:color="auto" w:frame="1"/>
          <w:lang w:val="es-ES"/>
        </w:rPr>
        <w:t xml:space="preserve">En segundo lugar, </w:t>
      </w:r>
      <w:r w:rsidR="0035272E" w:rsidRPr="006E763F">
        <w:rPr>
          <w:rFonts w:ascii="Cambria" w:hAnsi="Cambria" w:cs="Verdana"/>
          <w:sz w:val="20"/>
          <w:szCs w:val="20"/>
          <w:bdr w:val="none" w:sz="0" w:space="0" w:color="auto" w:frame="1"/>
          <w:lang w:val="es-ES"/>
        </w:rPr>
        <w:t>la</w:t>
      </w:r>
      <w:r w:rsidR="00D337C9" w:rsidRPr="006E763F">
        <w:rPr>
          <w:rFonts w:ascii="Cambria" w:hAnsi="Cambria" w:cs="Verdana"/>
          <w:sz w:val="20"/>
          <w:szCs w:val="20"/>
          <w:bdr w:val="none" w:sz="0" w:space="0" w:color="auto" w:frame="1"/>
          <w:lang w:val="es-ES"/>
        </w:rPr>
        <w:t xml:space="preserve"> CIDH</w:t>
      </w:r>
      <w:r w:rsidR="0035272E" w:rsidRPr="006E763F">
        <w:rPr>
          <w:rFonts w:ascii="Cambria" w:hAnsi="Cambria" w:cs="Verdana"/>
          <w:sz w:val="20"/>
          <w:szCs w:val="20"/>
          <w:bdr w:val="none" w:sz="0" w:space="0" w:color="auto" w:frame="1"/>
          <w:lang w:val="es-ES"/>
        </w:rPr>
        <w:t xml:space="preserve"> encuentra que</w:t>
      </w:r>
      <w:r w:rsidR="003E0A07" w:rsidRPr="006E763F">
        <w:rPr>
          <w:rFonts w:ascii="Cambria" w:hAnsi="Cambria" w:cs="Verdana"/>
          <w:sz w:val="20"/>
          <w:szCs w:val="20"/>
          <w:bdr w:val="none" w:sz="0" w:space="0" w:color="auto" w:frame="1"/>
          <w:lang w:val="es-ES"/>
        </w:rPr>
        <w:t xml:space="preserve"> el Estado no desplegó</w:t>
      </w:r>
      <w:r w:rsidR="00AF377F" w:rsidRPr="006E763F">
        <w:rPr>
          <w:rFonts w:ascii="Cambria" w:hAnsi="Cambria" w:cs="Verdana"/>
          <w:sz w:val="20"/>
          <w:szCs w:val="20"/>
          <w:bdr w:val="none" w:sz="0" w:space="0" w:color="auto" w:frame="1"/>
          <w:lang w:val="es-ES"/>
        </w:rPr>
        <w:t xml:space="preserve"> sus máximos esfuerzos para identificar </w:t>
      </w:r>
      <w:r w:rsidR="00A728DD" w:rsidRPr="006E763F">
        <w:rPr>
          <w:rFonts w:ascii="Cambria" w:hAnsi="Cambria" w:cs="Verdana"/>
          <w:sz w:val="20"/>
          <w:szCs w:val="20"/>
          <w:bdr w:val="none" w:sz="0" w:space="0" w:color="auto" w:frame="1"/>
          <w:lang w:val="es-ES"/>
        </w:rPr>
        <w:t xml:space="preserve">el carácter selectivo de la </w:t>
      </w:r>
      <w:r w:rsidR="00AF377F" w:rsidRPr="006E763F">
        <w:rPr>
          <w:rFonts w:ascii="Cambria" w:hAnsi="Cambria" w:cs="Verdana"/>
          <w:sz w:val="20"/>
          <w:szCs w:val="20"/>
          <w:bdr w:val="none" w:sz="0" w:space="0" w:color="auto" w:frame="1"/>
          <w:lang w:val="es-ES"/>
        </w:rPr>
        <w:t>desaparición y su relación</w:t>
      </w:r>
      <w:r w:rsidRPr="006E763F">
        <w:rPr>
          <w:rFonts w:ascii="Cambria" w:hAnsi="Cambria" w:cs="Verdana"/>
          <w:sz w:val="20"/>
          <w:szCs w:val="20"/>
          <w:bdr w:val="none" w:sz="0" w:space="0" w:color="auto" w:frame="1"/>
          <w:lang w:val="es-ES"/>
        </w:rPr>
        <w:t xml:space="preserve"> tanto con las actividades sindicales y políticas de Pedro Julio Movilla Galarcio, como con las </w:t>
      </w:r>
      <w:r w:rsidR="00AF377F" w:rsidRPr="006E763F">
        <w:rPr>
          <w:rFonts w:ascii="Cambria" w:hAnsi="Cambria" w:cs="Verdana"/>
          <w:sz w:val="20"/>
          <w:szCs w:val="20"/>
          <w:bdr w:val="none" w:sz="0" w:space="0" w:color="auto" w:frame="1"/>
          <w:lang w:val="es-ES"/>
        </w:rPr>
        <w:t xml:space="preserve">anotaciones de inteligencia. En este sentido, la Comisión observa que existe </w:t>
      </w:r>
      <w:r w:rsidR="0011404E" w:rsidRPr="006E763F">
        <w:rPr>
          <w:rFonts w:ascii="Cambria" w:hAnsi="Cambria" w:cs="Verdana"/>
          <w:sz w:val="20"/>
          <w:szCs w:val="20"/>
          <w:bdr w:val="none" w:sz="0" w:space="0" w:color="auto" w:frame="1"/>
          <w:lang w:val="es-ES"/>
        </w:rPr>
        <w:t xml:space="preserve">falta de </w:t>
      </w:r>
      <w:r w:rsidR="0011404E" w:rsidRPr="006E763F">
        <w:rPr>
          <w:rFonts w:ascii="Cambria" w:hAnsi="Cambria" w:cs="Verdana"/>
          <w:sz w:val="20"/>
          <w:szCs w:val="20"/>
          <w:lang w:val="es-ES"/>
        </w:rPr>
        <w:t>esclarecimiento</w:t>
      </w:r>
      <w:r w:rsidR="0011404E" w:rsidRPr="006E763F">
        <w:rPr>
          <w:rFonts w:ascii="Cambria" w:hAnsi="Cambria" w:cs="Verdana"/>
          <w:sz w:val="20"/>
          <w:szCs w:val="20"/>
          <w:bdr w:val="none" w:sz="0" w:space="0" w:color="auto" w:frame="1"/>
          <w:lang w:val="es-ES"/>
        </w:rPr>
        <w:t xml:space="preserve"> acerca de</w:t>
      </w:r>
      <w:r w:rsidR="00780561" w:rsidRPr="006E763F">
        <w:rPr>
          <w:rFonts w:ascii="Cambria" w:hAnsi="Cambria" w:cs="Verdana"/>
          <w:sz w:val="20"/>
          <w:szCs w:val="20"/>
          <w:bdr w:val="none" w:sz="0" w:space="0" w:color="auto" w:frame="1"/>
          <w:lang w:val="es-ES"/>
        </w:rPr>
        <w:t xml:space="preserve">l fundamento de tales </w:t>
      </w:r>
      <w:r w:rsidR="00AF377F" w:rsidRPr="006E763F">
        <w:rPr>
          <w:rFonts w:ascii="Cambria" w:hAnsi="Cambria" w:cs="Verdana"/>
          <w:sz w:val="20"/>
          <w:szCs w:val="20"/>
          <w:bdr w:val="none" w:sz="0" w:space="0" w:color="auto" w:frame="1"/>
          <w:lang w:val="es-ES"/>
        </w:rPr>
        <w:t>anotaciones, y que se practicaron</w:t>
      </w:r>
      <w:r w:rsidR="0011404E" w:rsidRPr="006E763F">
        <w:rPr>
          <w:rFonts w:ascii="Cambria" w:hAnsi="Cambria" w:cs="Verdana"/>
          <w:sz w:val="20"/>
          <w:szCs w:val="20"/>
          <w:bdr w:val="none" w:sz="0" w:space="0" w:color="auto" w:frame="1"/>
          <w:lang w:val="es-ES"/>
        </w:rPr>
        <w:t xml:space="preserve"> escasas diligencias investigativas destinadas a</w:t>
      </w:r>
      <w:r w:rsidR="00AF377F" w:rsidRPr="006E763F">
        <w:rPr>
          <w:rFonts w:ascii="Cambria" w:hAnsi="Cambria" w:cs="Verdana"/>
          <w:sz w:val="20"/>
          <w:szCs w:val="20"/>
          <w:bdr w:val="none" w:sz="0" w:space="0" w:color="auto" w:frame="1"/>
          <w:lang w:val="es-ES"/>
        </w:rPr>
        <w:t xml:space="preserve"> tal</w:t>
      </w:r>
      <w:r w:rsidR="0011404E" w:rsidRPr="006E763F">
        <w:rPr>
          <w:rFonts w:ascii="Cambria" w:hAnsi="Cambria" w:cs="Verdana"/>
          <w:sz w:val="20"/>
          <w:szCs w:val="20"/>
          <w:bdr w:val="none" w:sz="0" w:space="0" w:color="auto" w:frame="1"/>
          <w:lang w:val="es-ES"/>
        </w:rPr>
        <w:t xml:space="preserve"> efecto</w:t>
      </w:r>
      <w:r w:rsidR="00AF377F" w:rsidRPr="006E763F">
        <w:rPr>
          <w:rFonts w:ascii="Cambria" w:hAnsi="Cambria" w:cs="Verdana"/>
          <w:sz w:val="20"/>
          <w:szCs w:val="20"/>
          <w:bdr w:val="none" w:sz="0" w:space="0" w:color="auto" w:frame="1"/>
          <w:lang w:val="es-ES"/>
        </w:rPr>
        <w:t xml:space="preserve">. </w:t>
      </w:r>
      <w:r w:rsidR="004D5498" w:rsidRPr="006E763F">
        <w:rPr>
          <w:rFonts w:ascii="Cambria" w:hAnsi="Cambria" w:cs="Verdana"/>
          <w:sz w:val="20"/>
          <w:szCs w:val="20"/>
          <w:bdr w:val="none" w:sz="0" w:space="0" w:color="auto" w:frame="1"/>
          <w:lang w:val="es-ES"/>
        </w:rPr>
        <w:t xml:space="preserve">La </w:t>
      </w:r>
      <w:r w:rsidR="00AF377F" w:rsidRPr="006E763F">
        <w:rPr>
          <w:rFonts w:ascii="Cambria" w:hAnsi="Cambria" w:cs="Verdana"/>
          <w:sz w:val="20"/>
          <w:szCs w:val="20"/>
          <w:bdr w:val="none" w:sz="0" w:space="0" w:color="auto" w:frame="1"/>
          <w:lang w:val="es-ES"/>
        </w:rPr>
        <w:t>C</w:t>
      </w:r>
      <w:r w:rsidR="00FE56BC" w:rsidRPr="006E763F">
        <w:rPr>
          <w:rFonts w:ascii="Cambria" w:hAnsi="Cambria" w:cs="Verdana"/>
          <w:sz w:val="20"/>
          <w:szCs w:val="20"/>
          <w:bdr w:val="none" w:sz="0" w:space="0" w:color="auto" w:frame="1"/>
          <w:lang w:val="es-ES"/>
        </w:rPr>
        <w:t>IDH</w:t>
      </w:r>
      <w:r w:rsidR="00AC712F" w:rsidRPr="006E763F">
        <w:rPr>
          <w:rFonts w:ascii="Cambria" w:hAnsi="Cambria" w:cs="Verdana"/>
          <w:sz w:val="20"/>
          <w:szCs w:val="20"/>
          <w:bdr w:val="none" w:sz="0" w:space="0" w:color="auto" w:frame="1"/>
          <w:lang w:val="es-ES"/>
        </w:rPr>
        <w:t xml:space="preserve"> considera que esta línea de investigación, que resultaba crucial a la luz de los indicios consistentes ya descritos, no fue impulsada ni agotada exhaustivamente por parte del Estado. </w:t>
      </w:r>
      <w:r w:rsidR="0073347B" w:rsidRPr="006E763F">
        <w:rPr>
          <w:rFonts w:ascii="Cambria" w:hAnsi="Cambria" w:cs="Verdana"/>
          <w:sz w:val="20"/>
          <w:szCs w:val="20"/>
          <w:bdr w:val="none" w:sz="0" w:space="0" w:color="auto" w:frame="1"/>
          <w:lang w:val="es-ES"/>
        </w:rPr>
        <w:lastRenderedPageBreak/>
        <w:t>M</w:t>
      </w:r>
      <w:r w:rsidR="00AF377F" w:rsidRPr="006E763F">
        <w:rPr>
          <w:rFonts w:ascii="Cambria" w:hAnsi="Cambria" w:cs="Verdana"/>
          <w:sz w:val="20"/>
          <w:szCs w:val="20"/>
          <w:bdr w:val="none" w:sz="0" w:space="0" w:color="auto" w:frame="1"/>
          <w:lang w:val="es-ES"/>
        </w:rPr>
        <w:t xml:space="preserve">ás bien la Fiscalía General, dio por aceptadas las declaraciones de los exfuncionarios de inteligencia </w:t>
      </w:r>
      <w:r w:rsidR="00C20459" w:rsidRPr="006E763F">
        <w:rPr>
          <w:rFonts w:ascii="Cambria" w:hAnsi="Cambria" w:cs="Verdana"/>
          <w:sz w:val="20"/>
          <w:szCs w:val="20"/>
          <w:bdr w:val="none" w:sz="0" w:space="0" w:color="auto" w:frame="1"/>
          <w:lang w:val="es-ES"/>
        </w:rPr>
        <w:t xml:space="preserve">a pesar de que no aportaban explicaciones satisfactorias y claras sobre las labores de inteligencia contra la víctima. </w:t>
      </w:r>
      <w:r w:rsidR="00557993" w:rsidRPr="006E763F">
        <w:rPr>
          <w:rFonts w:ascii="Cambria" w:hAnsi="Cambria" w:cs="Verdana"/>
          <w:sz w:val="20"/>
          <w:szCs w:val="20"/>
          <w:bdr w:val="none" w:sz="0" w:space="0" w:color="auto" w:frame="1"/>
          <w:lang w:val="es-ES"/>
        </w:rPr>
        <w:t>Tampoco constan diligencias dirigidas a profundizar en las actividades de la víctima, los intereses que las mismas pudieran estar afectando, ni su relación con los contextos más generales ya señalados en el presente informe.</w:t>
      </w:r>
    </w:p>
    <w:p w14:paraId="1C2563B1" w14:textId="6CFC4082" w:rsidR="00A232E9" w:rsidRPr="006E763F" w:rsidRDefault="00A232E9" w:rsidP="00E923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val="es-ES"/>
        </w:rPr>
      </w:pPr>
    </w:p>
    <w:p w14:paraId="1A2650C0" w14:textId="605D0101" w:rsidR="006C2206" w:rsidRPr="006E763F" w:rsidRDefault="006C2206"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 xml:space="preserve">En tercer lugar, del expediente no se desprende que el Estado hubiese esclarecido la cuestión de los tiros al aire en las cercanías de lugar de la desaparición, por parte de una persona con un arma de pertenencia de un teniente de la Policía. La CIDH observa que a pesar de que dicho teniente indicó haber denunciado la pérdida del arma, la Fiscalía General no logró acreditar tal denuncia y no se observa el diseño y agotamiento diligente de una línea de investigación con relación a esta cuestión que permanece sin ser esclarecida.  </w:t>
      </w:r>
    </w:p>
    <w:p w14:paraId="5BFE8C34" w14:textId="77777777" w:rsidR="00A232E9" w:rsidRPr="006E763F" w:rsidRDefault="00A232E9" w:rsidP="00E923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val="es-ES"/>
        </w:rPr>
      </w:pPr>
    </w:p>
    <w:p w14:paraId="0FC9838E" w14:textId="321757A5" w:rsidR="007F1720" w:rsidRPr="006E763F" w:rsidRDefault="00021667"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 xml:space="preserve">En </w:t>
      </w:r>
      <w:r w:rsidR="006C2206" w:rsidRPr="006E763F">
        <w:rPr>
          <w:rFonts w:ascii="Cambria" w:hAnsi="Cambria" w:cs="Verdana"/>
          <w:sz w:val="20"/>
          <w:szCs w:val="20"/>
          <w:lang w:val="es-ES"/>
        </w:rPr>
        <w:t xml:space="preserve">cuarto </w:t>
      </w:r>
      <w:r w:rsidRPr="006E763F">
        <w:rPr>
          <w:rFonts w:ascii="Cambria" w:hAnsi="Cambria" w:cs="Verdana"/>
          <w:sz w:val="20"/>
          <w:szCs w:val="20"/>
          <w:lang w:val="es-ES"/>
        </w:rPr>
        <w:t xml:space="preserve">lugar, la Comisión encuentra </w:t>
      </w:r>
      <w:r w:rsidR="00B926E3" w:rsidRPr="006E763F">
        <w:rPr>
          <w:rFonts w:ascii="Cambria" w:hAnsi="Cambria" w:cs="Verdana"/>
          <w:sz w:val="20"/>
          <w:szCs w:val="20"/>
          <w:lang w:val="es-ES"/>
        </w:rPr>
        <w:t xml:space="preserve">que la investigación fue impulsada separadamente por la PGN y Fiscalía General, </w:t>
      </w:r>
      <w:r w:rsidR="00897E13" w:rsidRPr="006E763F">
        <w:rPr>
          <w:rFonts w:ascii="Cambria" w:hAnsi="Cambria" w:cs="Verdana"/>
          <w:sz w:val="20"/>
          <w:szCs w:val="20"/>
          <w:lang w:val="es-ES"/>
        </w:rPr>
        <w:t xml:space="preserve">y </w:t>
      </w:r>
      <w:r w:rsidR="00B926E3" w:rsidRPr="006E763F">
        <w:rPr>
          <w:rFonts w:ascii="Cambria" w:hAnsi="Cambria" w:cs="Verdana"/>
          <w:sz w:val="20"/>
          <w:szCs w:val="20"/>
          <w:lang w:val="es-ES"/>
        </w:rPr>
        <w:t xml:space="preserve">que si bien los </w:t>
      </w:r>
      <w:r w:rsidR="00897E13" w:rsidRPr="006E763F">
        <w:rPr>
          <w:rFonts w:ascii="Cambria" w:hAnsi="Cambria" w:cs="Verdana"/>
          <w:sz w:val="20"/>
          <w:szCs w:val="20"/>
          <w:lang w:val="es-ES"/>
        </w:rPr>
        <w:t>avances</w:t>
      </w:r>
      <w:r w:rsidR="00B926E3" w:rsidRPr="006E763F">
        <w:rPr>
          <w:rFonts w:ascii="Cambria" w:hAnsi="Cambria" w:cs="Verdana"/>
          <w:sz w:val="20"/>
          <w:szCs w:val="20"/>
          <w:lang w:val="es-ES"/>
        </w:rPr>
        <w:t xml:space="preserve"> de las mismas</w:t>
      </w:r>
      <w:r w:rsidR="00897E13" w:rsidRPr="006E763F">
        <w:rPr>
          <w:rFonts w:ascii="Cambria" w:hAnsi="Cambria" w:cs="Verdana"/>
          <w:sz w:val="20"/>
          <w:szCs w:val="20"/>
          <w:lang w:val="es-ES"/>
        </w:rPr>
        <w:t xml:space="preserve"> fueron comunicados entre sí</w:t>
      </w:r>
      <w:r w:rsidR="00B926E3" w:rsidRPr="006E763F">
        <w:rPr>
          <w:rFonts w:ascii="Cambria" w:hAnsi="Cambria" w:cs="Verdana"/>
          <w:sz w:val="20"/>
          <w:szCs w:val="20"/>
          <w:lang w:val="es-ES"/>
        </w:rPr>
        <w:t xml:space="preserve">, </w:t>
      </w:r>
      <w:r w:rsidR="00A232E9" w:rsidRPr="006E763F">
        <w:rPr>
          <w:rFonts w:ascii="Cambria" w:hAnsi="Cambria" w:cs="Verdana"/>
          <w:sz w:val="20"/>
          <w:szCs w:val="20"/>
          <w:lang w:val="es-ES"/>
        </w:rPr>
        <w:t xml:space="preserve">se observa una </w:t>
      </w:r>
      <w:r w:rsidR="00B926E3" w:rsidRPr="006E763F">
        <w:rPr>
          <w:rFonts w:ascii="Cambria" w:hAnsi="Cambria" w:cs="Verdana"/>
          <w:sz w:val="20"/>
          <w:szCs w:val="20"/>
          <w:lang w:val="es-ES"/>
        </w:rPr>
        <w:t>fragmentación</w:t>
      </w:r>
      <w:r w:rsidR="00F325FA" w:rsidRPr="006E763F">
        <w:rPr>
          <w:rFonts w:ascii="Cambria" w:hAnsi="Cambria" w:cs="Verdana"/>
          <w:sz w:val="20"/>
          <w:szCs w:val="20"/>
          <w:lang w:val="es-ES"/>
        </w:rPr>
        <w:t xml:space="preserve"> de las diligencias</w:t>
      </w:r>
      <w:r w:rsidR="00201B1C" w:rsidRPr="006E763F">
        <w:rPr>
          <w:rFonts w:ascii="Cambria" w:hAnsi="Cambria" w:cs="Verdana"/>
          <w:sz w:val="20"/>
          <w:szCs w:val="20"/>
          <w:lang w:val="es-ES"/>
        </w:rPr>
        <w:t>, llevando a la repetición de muchas de ellas en ambos procesos</w:t>
      </w:r>
      <w:r w:rsidR="009E456A" w:rsidRPr="006E763F">
        <w:rPr>
          <w:rFonts w:ascii="Cambria" w:hAnsi="Cambria" w:cs="Verdana"/>
          <w:sz w:val="20"/>
          <w:szCs w:val="20"/>
          <w:lang w:val="es-ES"/>
        </w:rPr>
        <w:t xml:space="preserve">, con </w:t>
      </w:r>
      <w:r w:rsidR="00B21C47" w:rsidRPr="006E763F">
        <w:rPr>
          <w:rFonts w:ascii="Cambria" w:hAnsi="Cambria" w:cs="Verdana"/>
          <w:sz w:val="20"/>
          <w:szCs w:val="20"/>
          <w:lang w:val="es-ES"/>
        </w:rPr>
        <w:t>un</w:t>
      </w:r>
      <w:r w:rsidR="009E456A" w:rsidRPr="006E763F">
        <w:rPr>
          <w:rFonts w:ascii="Cambria" w:hAnsi="Cambria" w:cs="Verdana"/>
          <w:sz w:val="20"/>
          <w:szCs w:val="20"/>
          <w:lang w:val="es-ES"/>
        </w:rPr>
        <w:t xml:space="preserve"> impacto en la dilación de las investigaciones. </w:t>
      </w:r>
      <w:r w:rsidR="00F325FA" w:rsidRPr="006E763F">
        <w:rPr>
          <w:rFonts w:ascii="Cambria" w:hAnsi="Cambria" w:cs="Verdana"/>
          <w:sz w:val="20"/>
          <w:szCs w:val="20"/>
          <w:lang w:val="es-ES"/>
        </w:rPr>
        <w:t xml:space="preserve">La </w:t>
      </w:r>
      <w:r w:rsidR="00201B1C" w:rsidRPr="006E763F">
        <w:rPr>
          <w:rFonts w:ascii="Cambria" w:hAnsi="Cambria" w:cs="Verdana"/>
          <w:sz w:val="20"/>
          <w:szCs w:val="20"/>
          <w:lang w:val="es-ES"/>
        </w:rPr>
        <w:t xml:space="preserve">Comisión </w:t>
      </w:r>
      <w:r w:rsidR="00F325FA" w:rsidRPr="006E763F">
        <w:rPr>
          <w:rFonts w:ascii="Cambria" w:hAnsi="Cambria" w:cs="Verdana"/>
          <w:sz w:val="20"/>
          <w:szCs w:val="20"/>
          <w:lang w:val="es-ES"/>
        </w:rPr>
        <w:t xml:space="preserve">observa </w:t>
      </w:r>
      <w:r w:rsidR="00201B1C" w:rsidRPr="006E763F">
        <w:rPr>
          <w:rFonts w:ascii="Cambria" w:hAnsi="Cambria" w:cs="Verdana"/>
          <w:sz w:val="20"/>
          <w:szCs w:val="20"/>
          <w:lang w:val="es-ES"/>
        </w:rPr>
        <w:t xml:space="preserve">que incluso </w:t>
      </w:r>
      <w:r w:rsidR="00F325FA" w:rsidRPr="006E763F">
        <w:rPr>
          <w:rFonts w:ascii="Cambria" w:hAnsi="Cambria" w:cs="Verdana"/>
          <w:sz w:val="20"/>
          <w:szCs w:val="20"/>
          <w:lang w:val="es-ES"/>
        </w:rPr>
        <w:t>en la propia investigación fiscal</w:t>
      </w:r>
      <w:r w:rsidR="00201B1C" w:rsidRPr="006E763F">
        <w:rPr>
          <w:rFonts w:ascii="Cambria" w:hAnsi="Cambria" w:cs="Verdana"/>
          <w:sz w:val="20"/>
          <w:szCs w:val="20"/>
          <w:lang w:val="es-ES"/>
        </w:rPr>
        <w:t xml:space="preserve"> </w:t>
      </w:r>
      <w:r w:rsidR="00F325FA" w:rsidRPr="006E763F">
        <w:rPr>
          <w:rFonts w:ascii="Cambria" w:hAnsi="Cambria" w:cs="Verdana"/>
          <w:sz w:val="20"/>
          <w:szCs w:val="20"/>
          <w:lang w:val="es-ES"/>
        </w:rPr>
        <w:t xml:space="preserve">se percibe </w:t>
      </w:r>
      <w:r w:rsidR="00201B1C" w:rsidRPr="006E763F">
        <w:rPr>
          <w:rFonts w:ascii="Cambria" w:hAnsi="Cambria" w:cs="Verdana"/>
          <w:sz w:val="20"/>
          <w:szCs w:val="20"/>
          <w:lang w:val="es-ES"/>
        </w:rPr>
        <w:t xml:space="preserve">una dispersión en </w:t>
      </w:r>
      <w:r w:rsidR="00F325FA" w:rsidRPr="006E763F">
        <w:rPr>
          <w:rFonts w:ascii="Cambria" w:hAnsi="Cambria" w:cs="Verdana"/>
          <w:sz w:val="20"/>
          <w:szCs w:val="20"/>
          <w:lang w:val="es-ES"/>
        </w:rPr>
        <w:t xml:space="preserve">el desarrollo de </w:t>
      </w:r>
      <w:r w:rsidR="00201B1C" w:rsidRPr="006E763F">
        <w:rPr>
          <w:rFonts w:ascii="Cambria" w:hAnsi="Cambria" w:cs="Verdana"/>
          <w:sz w:val="20"/>
          <w:szCs w:val="20"/>
          <w:lang w:val="es-ES"/>
        </w:rPr>
        <w:t xml:space="preserve">la investigación, </w:t>
      </w:r>
      <w:r w:rsidR="00F325FA" w:rsidRPr="006E763F">
        <w:rPr>
          <w:rFonts w:ascii="Cambria" w:hAnsi="Cambria" w:cs="Verdana"/>
          <w:sz w:val="20"/>
          <w:szCs w:val="20"/>
          <w:lang w:val="es-ES"/>
        </w:rPr>
        <w:t>dado que las diligencias fueron avocadas a</w:t>
      </w:r>
      <w:r w:rsidR="00201B1C" w:rsidRPr="006E763F">
        <w:rPr>
          <w:rFonts w:ascii="Cambria" w:hAnsi="Cambria" w:cs="Verdana"/>
          <w:sz w:val="20"/>
          <w:szCs w:val="20"/>
          <w:lang w:val="es-ES"/>
        </w:rPr>
        <w:t xml:space="preserve"> </w:t>
      </w:r>
      <w:r w:rsidR="00F325FA" w:rsidRPr="006E763F">
        <w:rPr>
          <w:rFonts w:ascii="Cambria" w:hAnsi="Cambria" w:cs="Verdana"/>
          <w:sz w:val="20"/>
          <w:szCs w:val="20"/>
          <w:lang w:val="es-ES"/>
        </w:rPr>
        <w:t>múltiples</w:t>
      </w:r>
      <w:r w:rsidR="00201B1C" w:rsidRPr="006E763F">
        <w:rPr>
          <w:rFonts w:ascii="Cambria" w:hAnsi="Cambria" w:cs="Verdana"/>
          <w:sz w:val="20"/>
          <w:szCs w:val="20"/>
          <w:lang w:val="es-ES"/>
        </w:rPr>
        <w:t xml:space="preserve"> unidades dentro de la Fiscalía General, hasta su </w:t>
      </w:r>
      <w:r w:rsidR="00F325FA" w:rsidRPr="006E763F">
        <w:rPr>
          <w:rFonts w:ascii="Cambria" w:hAnsi="Cambria" w:cs="Verdana"/>
          <w:sz w:val="20"/>
          <w:szCs w:val="20"/>
          <w:lang w:val="es-ES"/>
        </w:rPr>
        <w:t xml:space="preserve">última </w:t>
      </w:r>
      <w:r w:rsidR="00201B1C" w:rsidRPr="006E763F">
        <w:rPr>
          <w:rFonts w:ascii="Cambria" w:hAnsi="Cambria" w:cs="Verdana"/>
          <w:sz w:val="20"/>
          <w:szCs w:val="20"/>
          <w:lang w:val="es-ES"/>
        </w:rPr>
        <w:t xml:space="preserve">radicación en la Fiscalía 12 </w:t>
      </w:r>
      <w:r w:rsidR="00D81696" w:rsidRPr="006E763F">
        <w:rPr>
          <w:rFonts w:ascii="Cambria" w:hAnsi="Cambria" w:cs="Verdana"/>
          <w:sz w:val="20"/>
          <w:szCs w:val="20"/>
          <w:lang w:val="es-ES"/>
        </w:rPr>
        <w:t>de la Unidad Nacional de Derechos Humanos y Derecho Internacional Humanitario</w:t>
      </w:r>
      <w:r w:rsidR="00201B1C" w:rsidRPr="006E763F">
        <w:rPr>
          <w:rFonts w:ascii="Cambria" w:hAnsi="Cambria" w:cs="Verdana"/>
          <w:sz w:val="20"/>
          <w:szCs w:val="20"/>
          <w:lang w:val="es-ES"/>
        </w:rPr>
        <w:t xml:space="preserve"> en el año </w:t>
      </w:r>
      <w:r w:rsidR="00D81696" w:rsidRPr="006E763F">
        <w:rPr>
          <w:rFonts w:ascii="Cambria" w:hAnsi="Cambria" w:cs="Verdana"/>
          <w:sz w:val="20"/>
          <w:szCs w:val="20"/>
          <w:lang w:val="es-ES"/>
        </w:rPr>
        <w:t>2013.</w:t>
      </w:r>
      <w:r w:rsidR="00F325FA" w:rsidRPr="006E763F">
        <w:rPr>
          <w:rFonts w:ascii="Cambria" w:hAnsi="Cambria" w:cs="Verdana"/>
          <w:sz w:val="20"/>
          <w:szCs w:val="20"/>
          <w:lang w:val="es-ES"/>
        </w:rPr>
        <w:t xml:space="preserve"> Asimismo</w:t>
      </w:r>
      <w:r w:rsidR="00201B1C" w:rsidRPr="006E763F">
        <w:rPr>
          <w:rFonts w:ascii="Cambria" w:hAnsi="Cambria" w:cs="Verdana"/>
          <w:sz w:val="20"/>
          <w:szCs w:val="20"/>
          <w:lang w:val="es-ES"/>
        </w:rPr>
        <w:t xml:space="preserve">, la CIDH </w:t>
      </w:r>
      <w:r w:rsidR="00F325FA" w:rsidRPr="006E763F">
        <w:rPr>
          <w:rFonts w:ascii="Cambria" w:hAnsi="Cambria" w:cs="Verdana"/>
          <w:sz w:val="20"/>
          <w:szCs w:val="20"/>
          <w:lang w:val="es-ES"/>
        </w:rPr>
        <w:t xml:space="preserve">nota que </w:t>
      </w:r>
      <w:r w:rsidR="00201B1C" w:rsidRPr="006E763F">
        <w:rPr>
          <w:rFonts w:ascii="Cambria" w:hAnsi="Cambria" w:cs="Verdana"/>
          <w:sz w:val="20"/>
          <w:szCs w:val="20"/>
          <w:lang w:val="es-ES"/>
        </w:rPr>
        <w:t xml:space="preserve">en la primera etapa de la investigación, la mayor cantidad de diligencias fueron practicadas por la PGN, cuando </w:t>
      </w:r>
      <w:r w:rsidR="006C2206" w:rsidRPr="006E763F">
        <w:rPr>
          <w:rFonts w:ascii="Cambria" w:hAnsi="Cambria" w:cs="Verdana"/>
          <w:sz w:val="20"/>
          <w:szCs w:val="20"/>
          <w:lang w:val="es-ES"/>
        </w:rPr>
        <w:t xml:space="preserve">como se indicó, </w:t>
      </w:r>
      <w:r w:rsidR="00201B1C" w:rsidRPr="006E763F">
        <w:rPr>
          <w:rFonts w:ascii="Cambria" w:hAnsi="Cambria" w:cs="Verdana"/>
          <w:sz w:val="20"/>
          <w:szCs w:val="20"/>
          <w:lang w:val="es-ES"/>
        </w:rPr>
        <w:t xml:space="preserve">este tipo de investigaciones </w:t>
      </w:r>
      <w:r w:rsidR="00CD0305" w:rsidRPr="006E763F">
        <w:rPr>
          <w:rFonts w:ascii="Cambria" w:hAnsi="Cambria" w:cs="Verdana"/>
          <w:sz w:val="20"/>
          <w:szCs w:val="20"/>
          <w:lang w:val="es-ES"/>
        </w:rPr>
        <w:t xml:space="preserve">tienen un carácter </w:t>
      </w:r>
      <w:r w:rsidR="00201B1C" w:rsidRPr="006E763F">
        <w:rPr>
          <w:rFonts w:ascii="Cambria" w:hAnsi="Cambria" w:cs="Verdana"/>
          <w:sz w:val="20"/>
          <w:szCs w:val="20"/>
          <w:lang w:val="es-ES"/>
        </w:rPr>
        <w:t>coadyuvante</w:t>
      </w:r>
      <w:r w:rsidR="00E77F49" w:rsidRPr="006E763F">
        <w:rPr>
          <w:rFonts w:ascii="Cambria" w:hAnsi="Cambria" w:cs="Verdana"/>
          <w:sz w:val="20"/>
          <w:szCs w:val="20"/>
          <w:lang w:val="es-ES"/>
        </w:rPr>
        <w:t xml:space="preserve"> de la jurisdicción penal</w:t>
      </w:r>
      <w:r w:rsidR="00201B1C" w:rsidRPr="006E763F">
        <w:rPr>
          <w:rFonts w:ascii="Cambria" w:hAnsi="Cambria" w:cs="Verdana"/>
          <w:sz w:val="20"/>
          <w:szCs w:val="20"/>
          <w:lang w:val="es-ES"/>
        </w:rPr>
        <w:t xml:space="preserve">. </w:t>
      </w:r>
    </w:p>
    <w:p w14:paraId="40C8A086" w14:textId="77777777" w:rsidR="007F1720" w:rsidRPr="006E763F" w:rsidRDefault="007F1720" w:rsidP="00E923BB">
      <w:pPr>
        <w:pStyle w:val="ListParagraph"/>
        <w:ind w:left="249" w:firstLine="0"/>
        <w:rPr>
          <w:rFonts w:eastAsia="Calibri" w:cs="MinionPro-Regular"/>
          <w:color w:val="FF0000"/>
          <w:sz w:val="20"/>
          <w:szCs w:val="20"/>
          <w:bdr w:val="none" w:sz="0" w:space="0" w:color="auto"/>
          <w:lang w:val="es-ES"/>
        </w:rPr>
      </w:pPr>
    </w:p>
    <w:p w14:paraId="6BC30886" w14:textId="6B4E993B" w:rsidR="006E6CC9" w:rsidRPr="006E763F" w:rsidRDefault="007F1720"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cs="MinionPro-Regular"/>
          <w:color w:val="FF0000"/>
          <w:sz w:val="20"/>
          <w:szCs w:val="20"/>
          <w:bdr w:val="none" w:sz="0" w:space="0" w:color="auto"/>
          <w:lang w:val="es-ES"/>
        </w:rPr>
      </w:pPr>
      <w:r w:rsidRPr="006E763F">
        <w:rPr>
          <w:rFonts w:ascii="Cambria" w:hAnsi="Cambria" w:cs="Verdana"/>
          <w:sz w:val="20"/>
          <w:szCs w:val="20"/>
          <w:lang w:val="es-ES"/>
        </w:rPr>
        <w:t xml:space="preserve">En </w:t>
      </w:r>
      <w:r w:rsidR="0050756C" w:rsidRPr="006E763F">
        <w:rPr>
          <w:rFonts w:ascii="Cambria" w:hAnsi="Cambria" w:cs="Verdana"/>
          <w:sz w:val="20"/>
          <w:szCs w:val="20"/>
          <w:lang w:val="es-ES"/>
        </w:rPr>
        <w:t xml:space="preserve">quinto </w:t>
      </w:r>
      <w:r w:rsidRPr="006E763F">
        <w:rPr>
          <w:rFonts w:ascii="Cambria" w:hAnsi="Cambria" w:cs="Verdana"/>
          <w:sz w:val="20"/>
          <w:szCs w:val="20"/>
          <w:lang w:val="es-ES"/>
        </w:rPr>
        <w:t xml:space="preserve">lugar, la Comisión encuentra que la participación de los familiares en la investigación de los hechos fue limitada y restringida por varios años, siendo rechazados sus intentos de </w:t>
      </w:r>
      <w:r w:rsidR="00CD0305" w:rsidRPr="006E763F">
        <w:rPr>
          <w:rFonts w:ascii="Cambria" w:hAnsi="Cambria" w:cs="Verdana"/>
          <w:sz w:val="20"/>
          <w:szCs w:val="20"/>
          <w:lang w:val="es-ES"/>
        </w:rPr>
        <w:t xml:space="preserve">constituirse </w:t>
      </w:r>
      <w:r w:rsidRPr="006E763F">
        <w:rPr>
          <w:rFonts w:ascii="Cambria" w:hAnsi="Cambria" w:cs="Verdana"/>
          <w:sz w:val="20"/>
          <w:szCs w:val="20"/>
          <w:lang w:val="es-ES"/>
        </w:rPr>
        <w:t>como parte civil</w:t>
      </w:r>
      <w:r w:rsidR="00CD0305" w:rsidRPr="006E763F">
        <w:rPr>
          <w:rFonts w:ascii="Cambria" w:hAnsi="Cambria" w:cs="Verdana"/>
          <w:sz w:val="20"/>
          <w:szCs w:val="20"/>
          <w:lang w:val="es-ES"/>
        </w:rPr>
        <w:t xml:space="preserve"> en el proceso</w:t>
      </w:r>
      <w:r w:rsidR="0050756C" w:rsidRPr="006E763F">
        <w:rPr>
          <w:rFonts w:ascii="Cambria" w:hAnsi="Cambria" w:cs="Verdana"/>
          <w:sz w:val="20"/>
          <w:szCs w:val="20"/>
          <w:lang w:val="es-ES"/>
        </w:rPr>
        <w:t xml:space="preserve">, lo que ocurrió </w:t>
      </w:r>
      <w:r w:rsidRPr="006E763F">
        <w:rPr>
          <w:rFonts w:ascii="Cambria" w:hAnsi="Cambria" w:cs="Verdana"/>
          <w:sz w:val="20"/>
          <w:szCs w:val="20"/>
          <w:lang w:val="es-ES"/>
        </w:rPr>
        <w:t>recién en 2011</w:t>
      </w:r>
      <w:r w:rsidR="0050756C" w:rsidRPr="006E763F">
        <w:rPr>
          <w:rFonts w:ascii="Cambria" w:hAnsi="Cambria" w:cs="Verdana"/>
          <w:sz w:val="20"/>
          <w:szCs w:val="20"/>
          <w:lang w:val="es-ES"/>
        </w:rPr>
        <w:t>.</w:t>
      </w:r>
      <w:r w:rsidRPr="006E763F">
        <w:rPr>
          <w:rFonts w:ascii="Cambria" w:hAnsi="Cambria" w:cs="Verdana"/>
          <w:sz w:val="20"/>
          <w:szCs w:val="20"/>
          <w:lang w:val="es-ES"/>
        </w:rPr>
        <w:t xml:space="preserve"> </w:t>
      </w:r>
    </w:p>
    <w:p w14:paraId="342AE056" w14:textId="77777777" w:rsidR="006E6CC9" w:rsidRPr="006E763F" w:rsidRDefault="006E6CC9" w:rsidP="00E923BB">
      <w:pPr>
        <w:rPr>
          <w:rFonts w:ascii="Cambria" w:eastAsia="Calibri" w:hAnsi="Cambria" w:cs="MinionPro-Regular"/>
          <w:color w:val="FF0000"/>
          <w:sz w:val="20"/>
          <w:szCs w:val="20"/>
          <w:bdr w:val="none" w:sz="0" w:space="0" w:color="auto"/>
          <w:lang w:val="es-ES"/>
        </w:rPr>
      </w:pPr>
    </w:p>
    <w:p w14:paraId="6BED0D32" w14:textId="6E2BFE99" w:rsidR="005A0756" w:rsidRPr="006E763F" w:rsidRDefault="007F1720"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cs="MinionPro-Regular"/>
          <w:sz w:val="20"/>
          <w:szCs w:val="20"/>
          <w:bdr w:val="none" w:sz="0" w:space="0" w:color="auto"/>
          <w:lang w:val="es-ES"/>
        </w:rPr>
      </w:pPr>
      <w:r w:rsidRPr="006E763F">
        <w:rPr>
          <w:rFonts w:ascii="Cambria" w:eastAsia="Calibri" w:hAnsi="Cambria" w:cs="MinionPro-Regular"/>
          <w:sz w:val="20"/>
          <w:szCs w:val="20"/>
          <w:bdr w:val="none" w:sz="0" w:space="0" w:color="auto"/>
          <w:lang w:val="es-ES"/>
        </w:rPr>
        <w:t>En</w:t>
      </w:r>
      <w:r w:rsidR="004078B7" w:rsidRPr="006E763F">
        <w:rPr>
          <w:rFonts w:ascii="Cambria" w:eastAsia="Calibri" w:hAnsi="Cambria" w:cs="MinionPro-Regular"/>
          <w:sz w:val="20"/>
          <w:szCs w:val="20"/>
          <w:bdr w:val="none" w:sz="0" w:space="0" w:color="auto"/>
          <w:lang w:val="es-ES"/>
        </w:rPr>
        <w:t xml:space="preserve"> sexto lugar, </w:t>
      </w:r>
      <w:r w:rsidR="006E6CC9" w:rsidRPr="006E763F">
        <w:rPr>
          <w:rFonts w:ascii="Cambria" w:eastAsia="Calibri" w:hAnsi="Cambria" w:cs="MinionPro-Regular"/>
          <w:sz w:val="20"/>
          <w:szCs w:val="20"/>
          <w:bdr w:val="none" w:sz="0" w:space="0" w:color="auto"/>
          <w:lang w:val="es-ES"/>
        </w:rPr>
        <w:t>la Comisión</w:t>
      </w:r>
      <w:r w:rsidR="004078B7" w:rsidRPr="006E763F">
        <w:rPr>
          <w:rFonts w:ascii="Cambria" w:eastAsia="Calibri" w:hAnsi="Cambria" w:cs="MinionPro-Regular"/>
          <w:sz w:val="20"/>
          <w:szCs w:val="20"/>
          <w:bdr w:val="none" w:sz="0" w:space="0" w:color="auto"/>
          <w:lang w:val="es-ES"/>
        </w:rPr>
        <w:t xml:space="preserve"> recuerda </w:t>
      </w:r>
      <w:r w:rsidR="006E6CC9" w:rsidRPr="006E763F">
        <w:rPr>
          <w:rFonts w:ascii="Cambria" w:eastAsia="Calibri" w:hAnsi="Cambria" w:cs="MinionPro-Regular"/>
          <w:sz w:val="20"/>
          <w:szCs w:val="20"/>
          <w:bdr w:val="none" w:sz="0" w:space="0" w:color="auto"/>
          <w:lang w:val="es-ES"/>
        </w:rPr>
        <w:t xml:space="preserve">que el </w:t>
      </w:r>
      <w:r w:rsidR="006E6CC9" w:rsidRPr="006E763F">
        <w:rPr>
          <w:rFonts w:ascii="Cambria" w:eastAsia="Calibri" w:hAnsi="Cambria" w:cs="MinionPro-Regular"/>
          <w:i/>
          <w:sz w:val="20"/>
          <w:szCs w:val="20"/>
          <w:bdr w:val="none" w:sz="0" w:space="0" w:color="auto"/>
          <w:lang w:val="es-ES"/>
        </w:rPr>
        <w:t>hábeas corpus</w:t>
      </w:r>
      <w:r w:rsidR="006E6CC9" w:rsidRPr="006E763F">
        <w:rPr>
          <w:rFonts w:ascii="Cambria" w:eastAsia="Calibri" w:hAnsi="Cambria" w:cs="MinionPro-Regular"/>
          <w:sz w:val="20"/>
          <w:szCs w:val="20"/>
          <w:bdr w:val="none" w:sz="0" w:space="0" w:color="auto"/>
          <w:lang w:val="es-ES"/>
        </w:rPr>
        <w:t xml:space="preserve"> fue inadmitido por un requisito formal</w:t>
      </w:r>
      <w:r w:rsidR="004078B7" w:rsidRPr="006E763F">
        <w:rPr>
          <w:rFonts w:ascii="Cambria" w:eastAsia="Calibri" w:hAnsi="Cambria" w:cs="MinionPro-Regular"/>
          <w:sz w:val="20"/>
          <w:szCs w:val="20"/>
          <w:bdr w:val="none" w:sz="0" w:space="0" w:color="auto"/>
          <w:lang w:val="es-ES"/>
        </w:rPr>
        <w:t>, inconsistente con la razón de ser y finalidad esencial del recurso.</w:t>
      </w:r>
    </w:p>
    <w:p w14:paraId="69A989C4" w14:textId="1CCB1D70" w:rsidR="00CD0305" w:rsidRPr="006E763F" w:rsidRDefault="00207848" w:rsidP="00E923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354"/>
        <w:rPr>
          <w:rFonts w:ascii="Cambria" w:eastAsia="Calibri" w:hAnsi="Cambria" w:cs="MinionPro-Regular"/>
          <w:color w:val="FF0000"/>
          <w:sz w:val="20"/>
          <w:szCs w:val="20"/>
          <w:bdr w:val="none" w:sz="0" w:space="0" w:color="auto"/>
          <w:lang w:val="es-ES"/>
        </w:rPr>
      </w:pPr>
      <w:r w:rsidRPr="006E763F">
        <w:rPr>
          <w:rFonts w:ascii="Cambria" w:eastAsia="Calibri" w:hAnsi="Cambria" w:cs="MinionPro-Regular"/>
          <w:color w:val="FF0000"/>
          <w:sz w:val="20"/>
          <w:szCs w:val="20"/>
          <w:bdr w:val="none" w:sz="0" w:space="0" w:color="auto"/>
          <w:lang w:val="es-ES"/>
        </w:rPr>
        <w:t xml:space="preserve"> </w:t>
      </w:r>
    </w:p>
    <w:p w14:paraId="47DD80A6" w14:textId="3E6F1804" w:rsidR="006C2C11" w:rsidRPr="006E763F" w:rsidRDefault="00A858AC"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lang w:val="es-ES"/>
        </w:rPr>
      </w:pPr>
      <w:r w:rsidRPr="006E763F">
        <w:rPr>
          <w:rFonts w:ascii="Cambria" w:hAnsi="Cambria" w:cs="Verdana"/>
          <w:sz w:val="20"/>
          <w:szCs w:val="20"/>
          <w:lang w:val="es-ES"/>
        </w:rPr>
        <w:t>Por último y en cuanto al plazo razonable, l</w:t>
      </w:r>
      <w:r w:rsidR="006C2C11" w:rsidRPr="006E763F">
        <w:rPr>
          <w:rFonts w:ascii="Cambria" w:hAnsi="Cambria" w:cs="Verdana"/>
          <w:sz w:val="20"/>
          <w:szCs w:val="20"/>
          <w:lang w:val="es-ES"/>
        </w:rPr>
        <w:t xml:space="preserve">a Comisión toma nota de que la investigación de la PGN se desarrolló por casi </w:t>
      </w:r>
      <w:r w:rsidR="0079336E" w:rsidRPr="006E763F">
        <w:rPr>
          <w:rFonts w:ascii="Cambria" w:hAnsi="Cambria" w:cs="Verdana"/>
          <w:sz w:val="20"/>
          <w:szCs w:val="20"/>
          <w:lang w:val="es-ES"/>
        </w:rPr>
        <w:t>8 años (1993</w:t>
      </w:r>
      <w:r w:rsidR="006C2C11" w:rsidRPr="006E763F">
        <w:rPr>
          <w:rFonts w:ascii="Cambria" w:hAnsi="Cambria" w:cs="Verdana"/>
          <w:sz w:val="20"/>
          <w:szCs w:val="20"/>
          <w:lang w:val="es-ES"/>
        </w:rPr>
        <w:t xml:space="preserve"> – 20</w:t>
      </w:r>
      <w:r w:rsidR="0079336E" w:rsidRPr="006E763F">
        <w:rPr>
          <w:rFonts w:ascii="Cambria" w:hAnsi="Cambria" w:cs="Verdana"/>
          <w:sz w:val="20"/>
          <w:szCs w:val="20"/>
          <w:lang w:val="es-ES"/>
        </w:rPr>
        <w:t>01</w:t>
      </w:r>
      <w:r w:rsidR="006C2C11" w:rsidRPr="006E763F">
        <w:rPr>
          <w:rFonts w:ascii="Cambria" w:hAnsi="Cambria" w:cs="Verdana"/>
          <w:sz w:val="20"/>
          <w:szCs w:val="20"/>
          <w:lang w:val="es-ES"/>
        </w:rPr>
        <w:t xml:space="preserve">) y que la </w:t>
      </w:r>
      <w:r w:rsidR="006C2C11" w:rsidRPr="006E763F">
        <w:rPr>
          <w:rFonts w:ascii="Cambria" w:eastAsia="Calibri" w:hAnsi="Cambria" w:cs="MinionPro-Regular"/>
          <w:sz w:val="20"/>
          <w:szCs w:val="20"/>
          <w:bdr w:val="none" w:sz="0" w:space="0" w:color="auto"/>
          <w:lang w:val="es-ES"/>
        </w:rPr>
        <w:t>investigación</w:t>
      </w:r>
      <w:r w:rsidR="006C2C11" w:rsidRPr="006E763F">
        <w:rPr>
          <w:rFonts w:ascii="Cambria" w:hAnsi="Cambria" w:cs="Verdana"/>
          <w:sz w:val="20"/>
          <w:szCs w:val="20"/>
          <w:lang w:val="es-ES"/>
        </w:rPr>
        <w:t xml:space="preserve"> de la Fiscalía General por casi</w:t>
      </w:r>
      <w:r w:rsidR="0079336E" w:rsidRPr="006E763F">
        <w:rPr>
          <w:rFonts w:ascii="Cambria" w:hAnsi="Cambria" w:cs="Verdana"/>
          <w:sz w:val="20"/>
          <w:szCs w:val="20"/>
          <w:lang w:val="es-ES"/>
        </w:rPr>
        <w:t xml:space="preserve"> 25</w:t>
      </w:r>
      <w:r w:rsidR="006C2C11" w:rsidRPr="006E763F">
        <w:rPr>
          <w:rFonts w:ascii="Cambria" w:hAnsi="Cambria" w:cs="Verdana"/>
          <w:sz w:val="20"/>
          <w:szCs w:val="20"/>
          <w:lang w:val="es-ES"/>
        </w:rPr>
        <w:t xml:space="preserve"> años (19</w:t>
      </w:r>
      <w:r w:rsidR="0079336E" w:rsidRPr="006E763F">
        <w:rPr>
          <w:rFonts w:ascii="Cambria" w:hAnsi="Cambria" w:cs="Verdana"/>
          <w:sz w:val="20"/>
          <w:szCs w:val="20"/>
          <w:lang w:val="es-ES"/>
        </w:rPr>
        <w:t>93</w:t>
      </w:r>
      <w:r w:rsidR="006C2C11" w:rsidRPr="006E763F">
        <w:rPr>
          <w:rFonts w:ascii="Cambria" w:hAnsi="Cambria" w:cs="Verdana"/>
          <w:sz w:val="20"/>
          <w:szCs w:val="20"/>
          <w:lang w:val="es-ES"/>
        </w:rPr>
        <w:t xml:space="preserve"> – 20</w:t>
      </w:r>
      <w:r w:rsidR="0079336E" w:rsidRPr="006E763F">
        <w:rPr>
          <w:rFonts w:ascii="Cambria" w:hAnsi="Cambria" w:cs="Verdana"/>
          <w:sz w:val="20"/>
          <w:szCs w:val="20"/>
          <w:lang w:val="es-ES"/>
        </w:rPr>
        <w:t>18</w:t>
      </w:r>
      <w:r w:rsidR="008B5B16" w:rsidRPr="006E763F">
        <w:rPr>
          <w:rFonts w:ascii="Cambria" w:hAnsi="Cambria" w:cs="Verdana"/>
          <w:sz w:val="20"/>
          <w:szCs w:val="20"/>
          <w:lang w:val="es-ES"/>
        </w:rPr>
        <w:t xml:space="preserve">). Particularmente en cuanto a la investigación penal, la misma </w:t>
      </w:r>
      <w:r w:rsidR="001C294E" w:rsidRPr="006E763F">
        <w:rPr>
          <w:rFonts w:ascii="Cambria" w:hAnsi="Cambria" w:cs="Verdana"/>
          <w:sz w:val="20"/>
          <w:szCs w:val="20"/>
          <w:lang w:val="es-ES"/>
        </w:rPr>
        <w:t xml:space="preserve">ha tardado más de 25 años y permanece en etapa preliminar. </w:t>
      </w:r>
      <w:r w:rsidR="006C2C11" w:rsidRPr="006E763F">
        <w:rPr>
          <w:rFonts w:ascii="Cambria" w:hAnsi="Cambria" w:cs="Verdana"/>
          <w:sz w:val="20"/>
          <w:szCs w:val="20"/>
          <w:lang w:val="es-ES"/>
        </w:rPr>
        <w:t>En cuanto a la complejidad del asunto, la Comisión observa que el Estado ha manifestado que “existen dificultades que se han visto reflejadas en la falta de resultado satisfactorios desde la ocurrencia de los hechos las cuales ha insistido en superar a través de las acciones que ha ejecutado”</w:t>
      </w:r>
      <w:r w:rsidR="00BF74A5" w:rsidRPr="006E763F">
        <w:rPr>
          <w:rFonts w:ascii="Cambria" w:hAnsi="Cambria" w:cs="Verdana"/>
          <w:sz w:val="20"/>
          <w:szCs w:val="20"/>
          <w:lang w:val="es-ES"/>
        </w:rPr>
        <w:t xml:space="preserve">. Al respecto, </w:t>
      </w:r>
      <w:r w:rsidR="006C2C11" w:rsidRPr="006E763F">
        <w:rPr>
          <w:rFonts w:ascii="Cambria" w:eastAsia="Batang" w:hAnsi="Cambria"/>
          <w:sz w:val="20"/>
          <w:szCs w:val="20"/>
          <w:bdr w:val="none" w:sz="0" w:space="0" w:color="auto" w:frame="1"/>
          <w:lang w:val="es-ES"/>
        </w:rPr>
        <w:t>a fin de que un argumento de complejidad sea procedente, no es suficiente con que los Estados invoquen en términos genéric</w:t>
      </w:r>
      <w:r w:rsidR="00BF74A5" w:rsidRPr="006E763F">
        <w:rPr>
          <w:rFonts w:ascii="Cambria" w:eastAsia="Batang" w:hAnsi="Cambria"/>
          <w:sz w:val="20"/>
          <w:szCs w:val="20"/>
          <w:bdr w:val="none" w:sz="0" w:space="0" w:color="auto" w:frame="1"/>
          <w:lang w:val="es-ES"/>
        </w:rPr>
        <w:t>os la complejidad de un asunto, sino que e</w:t>
      </w:r>
      <w:r w:rsidR="006C2C11" w:rsidRPr="006E763F">
        <w:rPr>
          <w:rFonts w:ascii="Cambria" w:eastAsia="Batang" w:hAnsi="Cambria"/>
          <w:sz w:val="20"/>
          <w:szCs w:val="20"/>
          <w:bdr w:val="none" w:sz="0" w:space="0" w:color="auto" w:frame="1"/>
          <w:lang w:val="es-ES"/>
        </w:rPr>
        <w:t>s necesario que se presente información específica que vincule en cada caso la complejidad con la demora</w:t>
      </w:r>
      <w:r w:rsidR="006C2C11" w:rsidRPr="006E763F">
        <w:rPr>
          <w:rFonts w:ascii="Cambria" w:eastAsia="Batang" w:hAnsi="Cambria"/>
          <w:sz w:val="20"/>
          <w:szCs w:val="20"/>
          <w:bdr w:val="none" w:sz="0" w:space="0" w:color="auto" w:frame="1"/>
          <w:vertAlign w:val="superscript"/>
          <w:lang w:val="es-ES"/>
        </w:rPr>
        <w:footnoteReference w:id="142"/>
      </w:r>
      <w:r w:rsidR="006C2C11" w:rsidRPr="006E763F">
        <w:rPr>
          <w:rFonts w:ascii="Cambria" w:eastAsia="Batang" w:hAnsi="Cambria"/>
          <w:sz w:val="20"/>
          <w:szCs w:val="20"/>
          <w:bdr w:val="none" w:sz="0" w:space="0" w:color="auto" w:frame="1"/>
          <w:lang w:val="es-ES"/>
        </w:rPr>
        <w:t>, lo que no ha sucedido en el presente cas</w:t>
      </w:r>
      <w:r w:rsidR="005F0E78" w:rsidRPr="006E763F">
        <w:rPr>
          <w:rFonts w:ascii="Cambria" w:eastAsia="Batang" w:hAnsi="Cambria"/>
          <w:sz w:val="20"/>
          <w:szCs w:val="20"/>
          <w:bdr w:val="none" w:sz="0" w:space="0" w:color="auto" w:frame="1"/>
          <w:lang w:val="es-ES"/>
        </w:rPr>
        <w:t xml:space="preserve">o. </w:t>
      </w:r>
      <w:r w:rsidR="006C2C11" w:rsidRPr="006E763F">
        <w:rPr>
          <w:rFonts w:ascii="Cambria" w:hAnsi="Cambria" w:cs="Verdana"/>
          <w:sz w:val="20"/>
          <w:szCs w:val="20"/>
          <w:lang w:val="es-ES"/>
        </w:rPr>
        <w:t>En cuanto a las actuaciones de la parte interesada, la Comisión observa que no se desprende del expediente información alguna que indique que las presuntas víctimas obstaculizaron las investigaciones. Respecto de la conducta de las autoridades estatales, la Comisión se atiene a</w:t>
      </w:r>
      <w:r w:rsidR="005C7BA1" w:rsidRPr="006E763F">
        <w:rPr>
          <w:rFonts w:ascii="Cambria" w:hAnsi="Cambria" w:cs="Verdana"/>
          <w:sz w:val="20"/>
          <w:szCs w:val="20"/>
          <w:lang w:val="es-ES"/>
        </w:rPr>
        <w:t xml:space="preserve"> todo lo dicho en la presente sección. </w:t>
      </w:r>
      <w:r w:rsidR="006C2C11" w:rsidRPr="006E763F">
        <w:rPr>
          <w:rFonts w:ascii="Cambria" w:hAnsi="Cambria" w:cs="Verdana"/>
          <w:sz w:val="20"/>
          <w:szCs w:val="20"/>
          <w:lang w:val="es-ES"/>
        </w:rPr>
        <w:t>Además, la CIDH observa que</w:t>
      </w:r>
      <w:r w:rsidR="00F90A44" w:rsidRPr="006E763F">
        <w:rPr>
          <w:rFonts w:ascii="Cambria" w:hAnsi="Cambria" w:cs="Verdana"/>
          <w:sz w:val="20"/>
          <w:szCs w:val="20"/>
          <w:lang w:val="es-ES"/>
        </w:rPr>
        <w:t xml:space="preserve"> </w:t>
      </w:r>
      <w:r w:rsidR="006C2C11" w:rsidRPr="006E763F">
        <w:rPr>
          <w:rFonts w:ascii="Cambria" w:hAnsi="Cambria" w:cs="Verdana"/>
          <w:sz w:val="20"/>
          <w:szCs w:val="20"/>
          <w:lang w:val="es-ES"/>
        </w:rPr>
        <w:t>existieron periodos de inactividad no justificados por el Estado</w:t>
      </w:r>
      <w:r w:rsidR="005C7BA1" w:rsidRPr="006E763F">
        <w:rPr>
          <w:rFonts w:ascii="Cambria" w:hAnsi="Cambria" w:cs="Verdana"/>
          <w:sz w:val="20"/>
          <w:szCs w:val="20"/>
          <w:lang w:val="es-ES"/>
        </w:rPr>
        <w:t xml:space="preserve">, particularmente los archivos, cierres y reaperturas de las investigaciones. </w:t>
      </w:r>
    </w:p>
    <w:p w14:paraId="0385BDDB" w14:textId="77777777" w:rsidR="00C458F1" w:rsidRPr="006E763F" w:rsidRDefault="00C458F1" w:rsidP="00E923BB">
      <w:pPr>
        <w:pStyle w:val="Body"/>
        <w:ind w:firstLine="0"/>
        <w:rPr>
          <w:rFonts w:eastAsia="Times New Roman" w:cs="Times New Roman"/>
          <w:b/>
          <w:bCs/>
          <w:lang w:val="es-ES"/>
        </w:rPr>
      </w:pPr>
    </w:p>
    <w:p w14:paraId="3CD12126" w14:textId="20FAE7FD" w:rsidR="00EC310A" w:rsidRPr="006E763F" w:rsidRDefault="00C458F1"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bCs/>
          <w:color w:val="FF0000"/>
          <w:sz w:val="20"/>
          <w:szCs w:val="20"/>
          <w:u w:color="FF0000"/>
          <w:lang w:val="es-ES"/>
        </w:rPr>
      </w:pPr>
      <w:r w:rsidRPr="006E763F">
        <w:rPr>
          <w:rFonts w:ascii="Cambria" w:hAnsi="Cambria"/>
          <w:sz w:val="20"/>
          <w:szCs w:val="20"/>
          <w:bdr w:val="none" w:sz="0" w:space="0" w:color="auto" w:frame="1"/>
          <w:lang w:val="es-ES"/>
        </w:rPr>
        <w:t>En virtud de</w:t>
      </w:r>
      <w:r w:rsidR="001D5261" w:rsidRPr="006E763F">
        <w:rPr>
          <w:rFonts w:ascii="Cambria" w:hAnsi="Cambria"/>
          <w:sz w:val="20"/>
          <w:szCs w:val="20"/>
          <w:bdr w:val="none" w:sz="0" w:space="0" w:color="auto" w:frame="1"/>
          <w:lang w:val="es-ES"/>
        </w:rPr>
        <w:t xml:space="preserve"> lo anterior, l</w:t>
      </w:r>
      <w:r w:rsidRPr="006E763F">
        <w:rPr>
          <w:rFonts w:ascii="Cambria" w:hAnsi="Cambria"/>
          <w:sz w:val="20"/>
          <w:szCs w:val="20"/>
          <w:bdr w:val="none" w:sz="0" w:space="0" w:color="auto" w:frame="1"/>
          <w:lang w:val="es-ES"/>
        </w:rPr>
        <w:t xml:space="preserve">a Comisión concluye que el Estado colombiano </w:t>
      </w:r>
      <w:r w:rsidR="00035CCC" w:rsidRPr="006E763F">
        <w:rPr>
          <w:rFonts w:ascii="Cambria" w:hAnsi="Cambria"/>
          <w:sz w:val="20"/>
          <w:szCs w:val="20"/>
          <w:bdr w:val="none" w:sz="0" w:space="0" w:color="auto" w:frame="1"/>
          <w:lang w:val="es-ES"/>
        </w:rPr>
        <w:t xml:space="preserve">incumplió </w:t>
      </w:r>
      <w:r w:rsidRPr="006E763F">
        <w:rPr>
          <w:rFonts w:ascii="Cambria" w:hAnsi="Cambria"/>
          <w:sz w:val="20"/>
          <w:szCs w:val="20"/>
          <w:bdr w:val="none" w:sz="0" w:space="0" w:color="auto" w:frame="1"/>
          <w:lang w:val="es-ES"/>
        </w:rPr>
        <w:t>su obligación de investigar, juzgar y sancionar, en un plazo razonable y con la debida diligencia, la desaparición forzada analizada en el presente informe. En consecuencia, la Comisión concluye que el Estado colombiano es responsable por la violación de los derechos a las garantías judiciales y a la protección judicial establecidos en los artículos 8</w:t>
      </w:r>
      <w:r w:rsidR="005F0E78" w:rsidRPr="006E763F">
        <w:rPr>
          <w:rFonts w:ascii="Cambria" w:hAnsi="Cambria"/>
          <w:sz w:val="20"/>
          <w:szCs w:val="20"/>
          <w:bdr w:val="none" w:sz="0" w:space="0" w:color="auto" w:frame="1"/>
          <w:lang w:val="es-ES"/>
        </w:rPr>
        <w:t>.</w:t>
      </w:r>
      <w:r w:rsidRPr="006E763F">
        <w:rPr>
          <w:rFonts w:ascii="Cambria" w:hAnsi="Cambria"/>
          <w:sz w:val="20"/>
          <w:szCs w:val="20"/>
          <w:bdr w:val="none" w:sz="0" w:space="0" w:color="auto" w:frame="1"/>
          <w:lang w:val="es-ES"/>
        </w:rPr>
        <w:t xml:space="preserve">1 y 25.1 de la Convención Americana, en relación con las obligaciones establecidas en los artículos 1.1 del mismo instrumento, en perjuicio de Pedro Julio Movilla Galarcio y sus familiares </w:t>
      </w:r>
      <w:r w:rsidR="005F0E78" w:rsidRPr="006E763F">
        <w:rPr>
          <w:rFonts w:ascii="Cambria" w:hAnsi="Cambria"/>
          <w:sz w:val="20"/>
          <w:szCs w:val="20"/>
          <w:bdr w:val="none" w:sz="0" w:space="0" w:color="auto" w:frame="1"/>
          <w:lang w:val="es-ES"/>
        </w:rPr>
        <w:t>identificados en el</w:t>
      </w:r>
      <w:r w:rsidRPr="006E763F">
        <w:rPr>
          <w:rFonts w:ascii="Cambria" w:hAnsi="Cambria"/>
          <w:sz w:val="20"/>
          <w:szCs w:val="20"/>
          <w:bdr w:val="none" w:sz="0" w:space="0" w:color="auto" w:frame="1"/>
          <w:lang w:val="es-ES"/>
        </w:rPr>
        <w:t xml:space="preserve"> presente informe. Asimismo, el Estado colombiano es responsable por la violación del artículo I</w:t>
      </w:r>
      <w:r w:rsidR="007F1CC2" w:rsidRPr="006E763F">
        <w:rPr>
          <w:rFonts w:ascii="Cambria" w:hAnsi="Cambria"/>
          <w:sz w:val="20"/>
          <w:szCs w:val="20"/>
          <w:bdr w:val="none" w:sz="0" w:space="0" w:color="auto" w:frame="1"/>
          <w:lang w:val="es-ES"/>
        </w:rPr>
        <w:t>.</w:t>
      </w:r>
      <w:r w:rsidRPr="006E763F">
        <w:rPr>
          <w:rFonts w:ascii="Cambria" w:hAnsi="Cambria"/>
          <w:sz w:val="20"/>
          <w:szCs w:val="20"/>
          <w:bdr w:val="none" w:sz="0" w:space="0" w:color="auto" w:frame="1"/>
          <w:lang w:val="es-ES"/>
        </w:rPr>
        <w:t>b</w:t>
      </w:r>
      <w:r w:rsidR="005F0E78" w:rsidRPr="006E763F">
        <w:rPr>
          <w:rFonts w:ascii="Cambria" w:hAnsi="Cambria"/>
          <w:sz w:val="20"/>
          <w:szCs w:val="20"/>
          <w:bdr w:val="none" w:sz="0" w:space="0" w:color="auto" w:frame="1"/>
          <w:lang w:val="es-ES"/>
        </w:rPr>
        <w:t>)</w:t>
      </w:r>
      <w:r w:rsidRPr="006E763F">
        <w:rPr>
          <w:rFonts w:ascii="Cambria" w:hAnsi="Cambria"/>
          <w:sz w:val="20"/>
          <w:szCs w:val="20"/>
          <w:bdr w:val="none" w:sz="0" w:space="0" w:color="auto" w:frame="1"/>
          <w:lang w:val="es-ES"/>
        </w:rPr>
        <w:t xml:space="preserve"> de la C</w:t>
      </w:r>
      <w:r w:rsidR="005F0E78" w:rsidRPr="006E763F">
        <w:rPr>
          <w:rFonts w:ascii="Cambria" w:hAnsi="Cambria"/>
          <w:sz w:val="20"/>
          <w:szCs w:val="20"/>
          <w:bdr w:val="none" w:sz="0" w:space="0" w:color="auto" w:frame="1"/>
          <w:lang w:val="es-ES"/>
        </w:rPr>
        <w:t>IDFP</w:t>
      </w:r>
      <w:r w:rsidRPr="006E763F">
        <w:rPr>
          <w:rFonts w:ascii="Cambria" w:hAnsi="Cambria"/>
          <w:sz w:val="20"/>
          <w:szCs w:val="20"/>
          <w:bdr w:val="none" w:sz="0" w:space="0" w:color="auto" w:frame="1"/>
          <w:lang w:val="es-ES"/>
        </w:rPr>
        <w:t>.</w:t>
      </w:r>
    </w:p>
    <w:p w14:paraId="3DF17730" w14:textId="77777777" w:rsidR="00EC310A" w:rsidRDefault="00EC310A" w:rsidP="00E923BB">
      <w:pPr>
        <w:pStyle w:val="Body"/>
        <w:ind w:firstLine="249"/>
        <w:rPr>
          <w:lang w:val="es-ES"/>
        </w:rPr>
      </w:pPr>
    </w:p>
    <w:p w14:paraId="6BEE6EF0" w14:textId="77777777" w:rsidR="00D90561" w:rsidRDefault="00D90561" w:rsidP="00E923BB">
      <w:pPr>
        <w:pStyle w:val="Body"/>
        <w:ind w:firstLine="249"/>
        <w:rPr>
          <w:lang w:val="es-ES"/>
        </w:rPr>
      </w:pPr>
    </w:p>
    <w:p w14:paraId="3522E7C5" w14:textId="77777777" w:rsidR="00D90561" w:rsidRPr="006E763F" w:rsidRDefault="00D90561" w:rsidP="00E923BB">
      <w:pPr>
        <w:pStyle w:val="Body"/>
        <w:ind w:firstLine="249"/>
        <w:rPr>
          <w:lang w:val="es-ES"/>
        </w:rPr>
      </w:pPr>
    </w:p>
    <w:p w14:paraId="737631BE" w14:textId="12ABAAE6" w:rsidR="00EC310A" w:rsidRPr="006E763F" w:rsidRDefault="004411DD" w:rsidP="00685D78">
      <w:pPr>
        <w:pStyle w:val="Heading2"/>
        <w:numPr>
          <w:ilvl w:val="0"/>
          <w:numId w:val="26"/>
        </w:numPr>
        <w:tabs>
          <w:tab w:val="clear" w:pos="86"/>
          <w:tab w:val="num" w:pos="1440"/>
        </w:tabs>
        <w:ind w:left="1440" w:hanging="720"/>
        <w:rPr>
          <w:rFonts w:eastAsia="Times New Roman" w:cs="Times New Roman"/>
        </w:rPr>
      </w:pPr>
      <w:bookmarkStart w:id="24" w:name="_Toc446163"/>
      <w:r w:rsidRPr="006E763F">
        <w:t>El derecho a la integridad personal de l</w:t>
      </w:r>
      <w:r w:rsidR="00B745C4" w:rsidRPr="006E763F">
        <w:t>os familiares</w:t>
      </w:r>
      <w:r w:rsidRPr="006E763F">
        <w:t xml:space="preserve"> (artículo</w:t>
      </w:r>
      <w:r w:rsidR="00B745C4" w:rsidRPr="006E763F">
        <w:t>s</w:t>
      </w:r>
      <w:r w:rsidRPr="006E763F">
        <w:t xml:space="preserve"> 5.1</w:t>
      </w:r>
      <w:r w:rsidR="00B745C4" w:rsidRPr="006E763F">
        <w:t xml:space="preserve"> y 1.1 de la Convención</w:t>
      </w:r>
      <w:r w:rsidR="001D5F78" w:rsidRPr="006E763F">
        <w:t>)</w:t>
      </w:r>
      <w:bookmarkEnd w:id="24"/>
    </w:p>
    <w:p w14:paraId="185F46E7" w14:textId="77777777" w:rsidR="00EC310A" w:rsidRPr="006E763F" w:rsidRDefault="00EC310A" w:rsidP="00E923BB">
      <w:pPr>
        <w:pStyle w:val="Body"/>
        <w:ind w:firstLine="249"/>
        <w:rPr>
          <w:lang w:val="es-ES"/>
        </w:rPr>
      </w:pPr>
    </w:p>
    <w:p w14:paraId="1A2FCF95" w14:textId="77777777" w:rsidR="00EC310A" w:rsidRPr="006E763F" w:rsidRDefault="009E7E9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 xml:space="preserve">Con respecto a los familiares de víctimas de ciertas violaciones de derechos humanos, la Comisión y la Corte </w:t>
      </w:r>
      <w:r w:rsidRPr="006E763F">
        <w:rPr>
          <w:rFonts w:ascii="Cambria" w:hAnsi="Cambria"/>
          <w:sz w:val="20"/>
          <w:szCs w:val="20"/>
          <w:bdr w:val="none" w:sz="0" w:space="0" w:color="auto" w:frame="1"/>
          <w:lang w:val="es-ES"/>
        </w:rPr>
        <w:t>Interamericana</w:t>
      </w:r>
      <w:r w:rsidRPr="006E763F">
        <w:rPr>
          <w:rFonts w:ascii="Cambria" w:hAnsi="Cambria"/>
          <w:sz w:val="20"/>
          <w:szCs w:val="20"/>
          <w:lang w:val="es-ES"/>
        </w:rPr>
        <w:t xml:space="preserve"> han indicado que éstos pueden ser considerados, a su vez, como víctimas</w:t>
      </w:r>
      <w:r w:rsidRPr="006E763F">
        <w:rPr>
          <w:rFonts w:ascii="Cambria" w:hAnsi="Cambria"/>
          <w:sz w:val="20"/>
          <w:szCs w:val="20"/>
          <w:vertAlign w:val="superscript"/>
          <w:lang w:val="es-ES"/>
        </w:rPr>
        <w:footnoteReference w:id="143"/>
      </w:r>
      <w:r w:rsidRPr="006E763F">
        <w:rPr>
          <w:rFonts w:ascii="Cambria" w:hAnsi="Cambria"/>
          <w:sz w:val="20"/>
          <w:szCs w:val="20"/>
          <w:lang w:val="es-ES"/>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6E763F">
        <w:rPr>
          <w:rFonts w:ascii="Cambria" w:hAnsi="Cambria"/>
          <w:sz w:val="20"/>
          <w:szCs w:val="20"/>
          <w:vertAlign w:val="superscript"/>
          <w:lang w:val="es-ES"/>
        </w:rPr>
        <w:footnoteReference w:id="144"/>
      </w:r>
      <w:r w:rsidRPr="006E763F">
        <w:rPr>
          <w:rFonts w:ascii="Cambria" w:hAnsi="Cambria"/>
          <w:sz w:val="20"/>
          <w:szCs w:val="20"/>
          <w:lang w:val="es-ES"/>
        </w:rPr>
        <w:t>.</w:t>
      </w:r>
    </w:p>
    <w:p w14:paraId="373B3B6E" w14:textId="77777777" w:rsidR="00EC310A" w:rsidRPr="006E763F" w:rsidRDefault="00EC310A" w:rsidP="00E923BB">
      <w:pPr>
        <w:pStyle w:val="Body"/>
        <w:ind w:firstLine="249"/>
        <w:rPr>
          <w:lang w:val="es-ES"/>
        </w:rPr>
      </w:pPr>
    </w:p>
    <w:p w14:paraId="7663BC8E" w14:textId="7703AFCF" w:rsidR="00EC310A" w:rsidRPr="006E763F" w:rsidRDefault="009E7E98"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r w:rsidRPr="006E763F">
        <w:rPr>
          <w:rFonts w:ascii="Cambria" w:hAnsi="Cambria"/>
          <w:sz w:val="20"/>
          <w:szCs w:val="20"/>
          <w:lang w:val="es-ES"/>
        </w:rPr>
        <w:t>En el presente caso la Comisión dio por establecido que Pedro Julio Movilla Gala</w:t>
      </w:r>
      <w:r w:rsidR="0010443A" w:rsidRPr="006E763F">
        <w:rPr>
          <w:rFonts w:ascii="Cambria" w:hAnsi="Cambria"/>
          <w:sz w:val="20"/>
          <w:szCs w:val="20"/>
          <w:lang w:val="es-ES"/>
        </w:rPr>
        <w:t>r</w:t>
      </w:r>
      <w:r w:rsidRPr="006E763F">
        <w:rPr>
          <w:rFonts w:ascii="Cambria" w:hAnsi="Cambria"/>
          <w:sz w:val="20"/>
          <w:szCs w:val="20"/>
          <w:lang w:val="es-ES"/>
        </w:rPr>
        <w:t xml:space="preserve">cio </w:t>
      </w:r>
      <w:r w:rsidR="00627065" w:rsidRPr="006E763F">
        <w:rPr>
          <w:rFonts w:ascii="Cambria" w:hAnsi="Cambria"/>
          <w:sz w:val="20"/>
          <w:szCs w:val="20"/>
          <w:lang w:val="es-ES"/>
        </w:rPr>
        <w:t>fue desaparecido forzadamente</w:t>
      </w:r>
      <w:r w:rsidR="00627065" w:rsidRPr="006E763F">
        <w:rPr>
          <w:lang w:val="es-ES"/>
        </w:rPr>
        <w:t xml:space="preserve"> </w:t>
      </w:r>
      <w:r w:rsidRPr="006E763F">
        <w:rPr>
          <w:rFonts w:ascii="Cambria" w:hAnsi="Cambria"/>
          <w:sz w:val="20"/>
          <w:szCs w:val="20"/>
          <w:lang w:val="es-ES"/>
        </w:rPr>
        <w:t xml:space="preserve">en circunstancias no esclarecidas ni investigadas con la debida diligencia. Estas circunstancias constituyen de modo autónomo una fuente de sufrimiento e impotencia para sus familiares, quienes a la fecha no tienen certeza de la causa y las circunstancias de su paradero. En ese tipo de circunstancias, la Corte ha indicado que: […] la ausencia de una </w:t>
      </w:r>
      <w:r w:rsidR="0010443A" w:rsidRPr="006E763F">
        <w:rPr>
          <w:rFonts w:ascii="Cambria" w:hAnsi="Cambria"/>
          <w:sz w:val="20"/>
          <w:szCs w:val="20"/>
          <w:lang w:val="es-ES"/>
        </w:rPr>
        <w:t>investigación</w:t>
      </w:r>
      <w:r w:rsidRPr="006E763F">
        <w:rPr>
          <w:rFonts w:ascii="Cambria" w:hAnsi="Cambria"/>
          <w:sz w:val="20"/>
          <w:szCs w:val="20"/>
          <w:lang w:val="es-ES"/>
        </w:rPr>
        <w:t xml:space="preserve">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6E763F">
        <w:rPr>
          <w:rFonts w:ascii="Cambria" w:hAnsi="Cambria"/>
          <w:sz w:val="20"/>
          <w:szCs w:val="20"/>
          <w:vertAlign w:val="superscript"/>
          <w:lang w:val="es-ES"/>
        </w:rPr>
        <w:footnoteReference w:id="145"/>
      </w:r>
      <w:r w:rsidRPr="006E763F">
        <w:rPr>
          <w:rFonts w:ascii="Cambria" w:hAnsi="Cambria"/>
          <w:sz w:val="20"/>
          <w:szCs w:val="20"/>
          <w:vertAlign w:val="superscript"/>
          <w:lang w:val="es-ES"/>
        </w:rPr>
        <w:t>.</w:t>
      </w:r>
    </w:p>
    <w:p w14:paraId="6B458C5E" w14:textId="77777777" w:rsidR="00EC310A" w:rsidRPr="006E763F" w:rsidRDefault="00EC310A" w:rsidP="00E923BB">
      <w:pPr>
        <w:pStyle w:val="Body"/>
        <w:ind w:firstLine="249"/>
        <w:rPr>
          <w:lang w:val="es-ES"/>
        </w:rPr>
      </w:pPr>
    </w:p>
    <w:p w14:paraId="1D2E9953" w14:textId="7E6B4255" w:rsidR="00E923BB" w:rsidRPr="00CB5BBF" w:rsidRDefault="00271583" w:rsidP="001B27E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b/>
          <w:bCs/>
          <w:color w:val="000000"/>
          <w:sz w:val="20"/>
          <w:szCs w:val="20"/>
          <w:u w:color="000000"/>
          <w:lang w:val="es-ES" w:eastAsia="es-CL"/>
        </w:rPr>
      </w:pPr>
      <w:r w:rsidRPr="00CB5BBF">
        <w:rPr>
          <w:rFonts w:ascii="Cambria" w:hAnsi="Cambria"/>
          <w:sz w:val="20"/>
          <w:szCs w:val="20"/>
          <w:lang w:val="es-ES"/>
        </w:rPr>
        <w:t>L</w:t>
      </w:r>
      <w:r w:rsidR="009E7E98" w:rsidRPr="00CB5BBF">
        <w:rPr>
          <w:rFonts w:ascii="Cambria" w:hAnsi="Cambria"/>
          <w:sz w:val="20"/>
          <w:szCs w:val="20"/>
          <w:lang w:val="es-ES"/>
        </w:rPr>
        <w:t>a Comisión considera que la</w:t>
      </w:r>
      <w:r w:rsidR="00FC333F" w:rsidRPr="00CB5BBF">
        <w:rPr>
          <w:rFonts w:ascii="Cambria" w:hAnsi="Cambria"/>
          <w:sz w:val="20"/>
          <w:szCs w:val="20"/>
          <w:lang w:val="es-ES"/>
        </w:rPr>
        <w:t xml:space="preserve"> desaparición </w:t>
      </w:r>
      <w:r w:rsidR="009E7E98" w:rsidRPr="00CB5BBF">
        <w:rPr>
          <w:rFonts w:ascii="Cambria" w:hAnsi="Cambria"/>
          <w:sz w:val="20"/>
          <w:szCs w:val="20"/>
          <w:lang w:val="es-ES"/>
        </w:rPr>
        <w:t>de su ser querido</w:t>
      </w:r>
      <w:r w:rsidR="00FC333F" w:rsidRPr="00CB5BBF">
        <w:rPr>
          <w:rFonts w:ascii="Cambria" w:hAnsi="Cambria"/>
          <w:sz w:val="20"/>
          <w:szCs w:val="20"/>
          <w:lang w:val="es-ES"/>
        </w:rPr>
        <w:t>, la incertidumbre de su destino o paradero,</w:t>
      </w:r>
      <w:r w:rsidR="009E7E98" w:rsidRPr="00CB5BBF">
        <w:rPr>
          <w:rFonts w:ascii="Cambria" w:hAnsi="Cambria"/>
          <w:sz w:val="20"/>
          <w:szCs w:val="20"/>
          <w:lang w:val="es-ES"/>
        </w:rPr>
        <w:t xml:space="preserve"> así como la ausencia de verdad y justicia, ocasionaron sufrimiento y angustia en perjuicio de los familiares de Pedro Julio Movilla Galarcio, en violación de su derecho a la integridad psíquica y moral establecido en el artículo 5.1 de la Convención Americana en relación con </w:t>
      </w:r>
      <w:r w:rsidR="00CC7516" w:rsidRPr="00CB5BBF">
        <w:rPr>
          <w:rFonts w:ascii="Cambria" w:hAnsi="Cambria"/>
          <w:sz w:val="20"/>
          <w:szCs w:val="20"/>
          <w:lang w:val="es-ES"/>
        </w:rPr>
        <w:t xml:space="preserve">el artículo 1.1 del mismo instrumento. </w:t>
      </w:r>
    </w:p>
    <w:p w14:paraId="73DCA638" w14:textId="77777777" w:rsidR="00CB5BBF" w:rsidRPr="00CB5BBF" w:rsidRDefault="00CB5BBF" w:rsidP="00CB5B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b/>
          <w:bCs/>
          <w:color w:val="000000"/>
          <w:sz w:val="20"/>
          <w:szCs w:val="20"/>
          <w:u w:color="000000"/>
          <w:lang w:val="es-ES" w:eastAsia="es-CL"/>
        </w:rPr>
      </w:pPr>
    </w:p>
    <w:p w14:paraId="4AFCCA58" w14:textId="5E37C933" w:rsidR="00EC310A" w:rsidRPr="00E923BB" w:rsidRDefault="009E7E98" w:rsidP="00E923BB">
      <w:pPr>
        <w:pStyle w:val="Heading1"/>
      </w:pPr>
      <w:bookmarkStart w:id="25" w:name="_Toc446164"/>
      <w:r w:rsidRPr="00E923BB">
        <w:t>CONCLUSIONES Y RECOMENDACIONES</w:t>
      </w:r>
      <w:bookmarkEnd w:id="25"/>
      <w:r w:rsidRPr="00E923BB">
        <w:t xml:space="preserve"> </w:t>
      </w:r>
    </w:p>
    <w:p w14:paraId="5EEB5D1F" w14:textId="77777777" w:rsidR="00EC310A" w:rsidRPr="006E763F" w:rsidRDefault="00EC310A" w:rsidP="00E923BB">
      <w:pPr>
        <w:pStyle w:val="Body"/>
        <w:suppressAutoHyphens/>
        <w:ind w:firstLine="249"/>
        <w:rPr>
          <w:b/>
          <w:bCs/>
          <w:lang w:val="es-ES"/>
        </w:rPr>
      </w:pPr>
    </w:p>
    <w:p w14:paraId="06604F39" w14:textId="6807B325" w:rsidR="007F1CC2" w:rsidRPr="006E763F" w:rsidRDefault="000D3296" w:rsidP="00E923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bdr w:val="none" w:sz="0" w:space="0" w:color="auto" w:frame="1"/>
          <w:lang w:val="es-ES"/>
        </w:rPr>
      </w:pPr>
      <w:r w:rsidRPr="006E763F">
        <w:rPr>
          <w:rFonts w:ascii="Cambria" w:hAnsi="Cambria"/>
          <w:sz w:val="20"/>
          <w:szCs w:val="20"/>
          <w:u w:color="548DD4"/>
          <w:lang w:val="es-ES"/>
        </w:rPr>
        <w:t>La Comisión concluye que el Estado colombiano es responsable por la violación de los derechos a</w:t>
      </w:r>
      <w:r w:rsidR="002C0E55" w:rsidRPr="006E763F">
        <w:rPr>
          <w:rFonts w:ascii="Cambria" w:hAnsi="Cambria"/>
          <w:sz w:val="20"/>
          <w:szCs w:val="20"/>
          <w:u w:color="548DD4"/>
          <w:lang w:val="es-ES"/>
        </w:rPr>
        <w:t>l reconocimiento de</w:t>
      </w:r>
      <w:r w:rsidRPr="006E763F">
        <w:rPr>
          <w:rFonts w:ascii="Cambria" w:hAnsi="Cambria"/>
          <w:sz w:val="20"/>
          <w:szCs w:val="20"/>
          <w:u w:color="548DD4"/>
          <w:lang w:val="es-ES"/>
        </w:rPr>
        <w:t xml:space="preserve"> la personalidad jurídica, a la vida, a la integridad personal, a la libertad personal, a las garantías judici</w:t>
      </w:r>
      <w:r w:rsidR="00097B36" w:rsidRPr="006E763F">
        <w:rPr>
          <w:rFonts w:ascii="Cambria" w:hAnsi="Cambria"/>
          <w:sz w:val="20"/>
          <w:szCs w:val="20"/>
          <w:u w:color="548DD4"/>
          <w:lang w:val="es-ES"/>
        </w:rPr>
        <w:t>ale</w:t>
      </w:r>
      <w:r w:rsidR="004B4638" w:rsidRPr="006E763F">
        <w:rPr>
          <w:rFonts w:ascii="Cambria" w:hAnsi="Cambria"/>
          <w:sz w:val="20"/>
          <w:szCs w:val="20"/>
          <w:u w:color="548DD4"/>
          <w:lang w:val="es-ES"/>
        </w:rPr>
        <w:t>s</w:t>
      </w:r>
      <w:r w:rsidR="009E5684" w:rsidRPr="006E763F">
        <w:rPr>
          <w:rFonts w:ascii="Cambria" w:hAnsi="Cambria"/>
          <w:sz w:val="20"/>
          <w:szCs w:val="20"/>
          <w:u w:color="548DD4"/>
          <w:lang w:val="es-ES"/>
        </w:rPr>
        <w:t>, a la libertad de asociación y</w:t>
      </w:r>
      <w:r w:rsidR="004B4638" w:rsidRPr="006E763F">
        <w:rPr>
          <w:rFonts w:ascii="Cambria" w:hAnsi="Cambria"/>
          <w:sz w:val="20"/>
          <w:szCs w:val="20"/>
          <w:u w:color="548DD4"/>
          <w:lang w:val="es-ES"/>
        </w:rPr>
        <w:t xml:space="preserve"> a la protección judicial</w:t>
      </w:r>
      <w:r w:rsidR="002C0E55" w:rsidRPr="006E763F">
        <w:rPr>
          <w:rFonts w:ascii="Cambria" w:hAnsi="Cambria"/>
          <w:sz w:val="20"/>
          <w:szCs w:val="20"/>
          <w:u w:color="548DD4"/>
          <w:lang w:val="es-ES"/>
        </w:rPr>
        <w:t xml:space="preserve"> </w:t>
      </w:r>
      <w:r w:rsidRPr="006E763F">
        <w:rPr>
          <w:rFonts w:ascii="Cambria" w:hAnsi="Cambria"/>
          <w:sz w:val="20"/>
          <w:szCs w:val="20"/>
          <w:u w:color="548DD4"/>
          <w:lang w:val="es-ES"/>
        </w:rPr>
        <w:t xml:space="preserve">consagrados en los artículos </w:t>
      </w:r>
      <w:r w:rsidR="004B4638" w:rsidRPr="006E763F">
        <w:rPr>
          <w:rFonts w:ascii="Cambria" w:hAnsi="Cambria" w:cs="Verdana"/>
          <w:sz w:val="20"/>
          <w:szCs w:val="20"/>
          <w:bdr w:val="none" w:sz="0" w:space="0" w:color="auto" w:frame="1"/>
          <w:lang w:val="es-ES"/>
        </w:rPr>
        <w:t>3, 4</w:t>
      </w:r>
      <w:r w:rsidR="002C0E55" w:rsidRPr="006E763F">
        <w:rPr>
          <w:rFonts w:ascii="Cambria" w:hAnsi="Cambria" w:cs="Verdana"/>
          <w:sz w:val="20"/>
          <w:szCs w:val="20"/>
          <w:bdr w:val="none" w:sz="0" w:space="0" w:color="auto" w:frame="1"/>
          <w:lang w:val="es-ES"/>
        </w:rPr>
        <w:t>.1</w:t>
      </w:r>
      <w:r w:rsidR="004B4638" w:rsidRPr="006E763F">
        <w:rPr>
          <w:rFonts w:ascii="Cambria" w:hAnsi="Cambria" w:cs="Verdana"/>
          <w:sz w:val="20"/>
          <w:szCs w:val="20"/>
          <w:bdr w:val="none" w:sz="0" w:space="0" w:color="auto" w:frame="1"/>
          <w:lang w:val="es-ES"/>
        </w:rPr>
        <w:t>, 5</w:t>
      </w:r>
      <w:r w:rsidR="002C0E55" w:rsidRPr="006E763F">
        <w:rPr>
          <w:rFonts w:ascii="Cambria" w:hAnsi="Cambria" w:cs="Verdana"/>
          <w:sz w:val="20"/>
          <w:szCs w:val="20"/>
          <w:bdr w:val="none" w:sz="0" w:space="0" w:color="auto" w:frame="1"/>
          <w:lang w:val="es-ES"/>
        </w:rPr>
        <w:t>.1</w:t>
      </w:r>
      <w:r w:rsidR="004B4638" w:rsidRPr="006E763F">
        <w:rPr>
          <w:rFonts w:ascii="Cambria" w:hAnsi="Cambria" w:cs="Verdana"/>
          <w:sz w:val="20"/>
          <w:szCs w:val="20"/>
          <w:bdr w:val="none" w:sz="0" w:space="0" w:color="auto" w:frame="1"/>
          <w:lang w:val="es-ES"/>
        </w:rPr>
        <w:t>, 7</w:t>
      </w:r>
      <w:r w:rsidR="002C0E55" w:rsidRPr="006E763F">
        <w:rPr>
          <w:rFonts w:ascii="Cambria" w:hAnsi="Cambria" w:cs="Verdana"/>
          <w:sz w:val="20"/>
          <w:szCs w:val="20"/>
          <w:bdr w:val="none" w:sz="0" w:space="0" w:color="auto" w:frame="1"/>
          <w:lang w:val="es-ES"/>
        </w:rPr>
        <w:t>.1</w:t>
      </w:r>
      <w:r w:rsidR="004B4638" w:rsidRPr="006E763F">
        <w:rPr>
          <w:rFonts w:ascii="Cambria" w:hAnsi="Cambria" w:cs="Verdana"/>
          <w:sz w:val="20"/>
          <w:szCs w:val="20"/>
          <w:bdr w:val="none" w:sz="0" w:space="0" w:color="auto" w:frame="1"/>
          <w:lang w:val="es-ES"/>
        </w:rPr>
        <w:t>, 8</w:t>
      </w:r>
      <w:r w:rsidR="002C0E55" w:rsidRPr="006E763F">
        <w:rPr>
          <w:rFonts w:ascii="Cambria" w:hAnsi="Cambria" w:cs="Verdana"/>
          <w:sz w:val="20"/>
          <w:szCs w:val="20"/>
          <w:bdr w:val="none" w:sz="0" w:space="0" w:color="auto" w:frame="1"/>
          <w:lang w:val="es-ES"/>
        </w:rPr>
        <w:t>.1, 16 y</w:t>
      </w:r>
      <w:r w:rsidR="004B4638" w:rsidRPr="006E763F">
        <w:rPr>
          <w:rFonts w:ascii="Cambria" w:hAnsi="Cambria" w:cs="Verdana"/>
          <w:sz w:val="20"/>
          <w:szCs w:val="20"/>
          <w:bdr w:val="none" w:sz="0" w:space="0" w:color="auto" w:frame="1"/>
          <w:lang w:val="es-ES"/>
        </w:rPr>
        <w:t xml:space="preserve"> 25</w:t>
      </w:r>
      <w:r w:rsidR="002C0E55" w:rsidRPr="006E763F">
        <w:rPr>
          <w:rFonts w:ascii="Cambria" w:hAnsi="Cambria" w:cs="Verdana"/>
          <w:sz w:val="20"/>
          <w:szCs w:val="20"/>
          <w:bdr w:val="none" w:sz="0" w:space="0" w:color="auto" w:frame="1"/>
          <w:lang w:val="es-ES"/>
        </w:rPr>
        <w:t>.1</w:t>
      </w:r>
      <w:r w:rsidR="004B4638" w:rsidRPr="006E763F">
        <w:rPr>
          <w:rFonts w:ascii="Cambria" w:hAnsi="Cambria" w:cs="Verdana"/>
          <w:sz w:val="20"/>
          <w:szCs w:val="20"/>
          <w:bdr w:val="none" w:sz="0" w:space="0" w:color="auto" w:frame="1"/>
          <w:lang w:val="es-ES"/>
        </w:rPr>
        <w:t xml:space="preserve"> </w:t>
      </w:r>
      <w:r w:rsidRPr="006E763F">
        <w:rPr>
          <w:rFonts w:ascii="Cambria" w:hAnsi="Cambria" w:cs="Verdana"/>
          <w:sz w:val="20"/>
          <w:szCs w:val="20"/>
          <w:bdr w:val="none" w:sz="0" w:space="0" w:color="auto" w:frame="1"/>
          <w:lang w:val="es-ES"/>
        </w:rPr>
        <w:t xml:space="preserve">en relación con los </w:t>
      </w:r>
      <w:r w:rsidRPr="006E763F">
        <w:rPr>
          <w:rFonts w:ascii="Cambria" w:hAnsi="Cambria"/>
          <w:sz w:val="20"/>
          <w:szCs w:val="20"/>
          <w:lang w:val="es-ES"/>
        </w:rPr>
        <w:t>artículos</w:t>
      </w:r>
      <w:r w:rsidRPr="006E763F">
        <w:rPr>
          <w:rFonts w:ascii="Cambria" w:hAnsi="Cambria" w:cs="Verdana"/>
          <w:sz w:val="20"/>
          <w:szCs w:val="20"/>
          <w:bdr w:val="none" w:sz="0" w:space="0" w:color="auto" w:frame="1"/>
          <w:lang w:val="es-ES"/>
        </w:rPr>
        <w:t xml:space="preserve"> 1.1 </w:t>
      </w:r>
      <w:r w:rsidR="002C0E55" w:rsidRPr="006E763F">
        <w:rPr>
          <w:rFonts w:ascii="Cambria" w:hAnsi="Cambria" w:cs="Verdana"/>
          <w:sz w:val="20"/>
          <w:szCs w:val="20"/>
          <w:bdr w:val="none" w:sz="0" w:space="0" w:color="auto" w:frame="1"/>
          <w:lang w:val="es-ES"/>
        </w:rPr>
        <w:t xml:space="preserve">y 2 </w:t>
      </w:r>
      <w:r w:rsidRPr="006E763F">
        <w:rPr>
          <w:rFonts w:ascii="Cambria" w:hAnsi="Cambria" w:cs="Verdana"/>
          <w:sz w:val="20"/>
          <w:szCs w:val="20"/>
          <w:bdr w:val="none" w:sz="0" w:space="0" w:color="auto" w:frame="1"/>
          <w:lang w:val="es-ES"/>
        </w:rPr>
        <w:t>del mismo instrumento en perjuicio de las personas que se indican a lo largo del presente informe. Asimismo, la Comisión concluye que el Estado es responsable por la violación de</w:t>
      </w:r>
      <w:r w:rsidR="004478EF" w:rsidRPr="006E763F">
        <w:rPr>
          <w:rFonts w:ascii="Cambria" w:hAnsi="Cambria" w:cs="Verdana"/>
          <w:sz w:val="20"/>
          <w:szCs w:val="20"/>
          <w:bdr w:val="none" w:sz="0" w:space="0" w:color="auto" w:frame="1"/>
          <w:lang w:val="es-ES"/>
        </w:rPr>
        <w:t xml:space="preserve"> </w:t>
      </w:r>
      <w:r w:rsidR="007F1CC2" w:rsidRPr="006E763F">
        <w:rPr>
          <w:rFonts w:ascii="Cambria" w:hAnsi="Cambria" w:cs="Verdana"/>
          <w:sz w:val="20"/>
          <w:szCs w:val="20"/>
          <w:bdr w:val="none" w:sz="0" w:space="0" w:color="auto" w:frame="1"/>
          <w:lang w:val="es-ES"/>
        </w:rPr>
        <w:t>l</w:t>
      </w:r>
      <w:r w:rsidR="004478EF" w:rsidRPr="006E763F">
        <w:rPr>
          <w:rFonts w:ascii="Cambria" w:hAnsi="Cambria" w:cs="Verdana"/>
          <w:sz w:val="20"/>
          <w:szCs w:val="20"/>
          <w:bdr w:val="none" w:sz="0" w:space="0" w:color="auto" w:frame="1"/>
          <w:lang w:val="es-ES"/>
        </w:rPr>
        <w:t>os</w:t>
      </w:r>
      <w:r w:rsidRPr="006E763F">
        <w:rPr>
          <w:rFonts w:ascii="Cambria" w:hAnsi="Cambria" w:cs="Verdana"/>
          <w:sz w:val="20"/>
          <w:szCs w:val="20"/>
          <w:bdr w:val="none" w:sz="0" w:space="0" w:color="auto" w:frame="1"/>
          <w:lang w:val="es-ES"/>
        </w:rPr>
        <w:t xml:space="preserve"> artículo</w:t>
      </w:r>
      <w:r w:rsidR="004478EF" w:rsidRPr="006E763F">
        <w:rPr>
          <w:rFonts w:ascii="Cambria" w:hAnsi="Cambria" w:cs="Verdana"/>
          <w:sz w:val="20"/>
          <w:szCs w:val="20"/>
          <w:bdr w:val="none" w:sz="0" w:space="0" w:color="auto" w:frame="1"/>
          <w:lang w:val="es-ES"/>
        </w:rPr>
        <w:t>s</w:t>
      </w:r>
      <w:r w:rsidR="007F1CC2" w:rsidRPr="006E763F">
        <w:rPr>
          <w:rFonts w:ascii="Cambria" w:hAnsi="Cambria" w:cs="Verdana"/>
          <w:sz w:val="20"/>
          <w:szCs w:val="20"/>
          <w:bdr w:val="none" w:sz="0" w:space="0" w:color="auto" w:frame="1"/>
          <w:lang w:val="es-ES"/>
        </w:rPr>
        <w:t xml:space="preserve"> I.</w:t>
      </w:r>
      <w:r w:rsidR="004478EF" w:rsidRPr="006E763F">
        <w:rPr>
          <w:rFonts w:ascii="Cambria" w:hAnsi="Cambria" w:cs="Verdana"/>
          <w:sz w:val="20"/>
          <w:szCs w:val="20"/>
          <w:bdr w:val="none" w:sz="0" w:space="0" w:color="auto" w:frame="1"/>
          <w:lang w:val="es-ES"/>
        </w:rPr>
        <w:t>a) y b)</w:t>
      </w:r>
      <w:r w:rsidRPr="006E763F">
        <w:rPr>
          <w:rFonts w:ascii="Cambria" w:hAnsi="Cambria" w:cs="Verdana"/>
          <w:sz w:val="20"/>
          <w:szCs w:val="20"/>
          <w:bdr w:val="none" w:sz="0" w:space="0" w:color="auto" w:frame="1"/>
          <w:lang w:val="es-ES"/>
        </w:rPr>
        <w:t xml:space="preserve"> de la Convención Interamericana sobre De</w:t>
      </w:r>
      <w:r w:rsidR="007F1CC2" w:rsidRPr="006E763F">
        <w:rPr>
          <w:rFonts w:ascii="Cambria" w:hAnsi="Cambria" w:cs="Verdana"/>
          <w:sz w:val="20"/>
          <w:szCs w:val="20"/>
          <w:bdr w:val="none" w:sz="0" w:space="0" w:color="auto" w:frame="1"/>
          <w:lang w:val="es-ES"/>
        </w:rPr>
        <w:t>saparición Forzada de Personas.</w:t>
      </w:r>
    </w:p>
    <w:p w14:paraId="37CBF2D5" w14:textId="77777777" w:rsidR="007F1CC2" w:rsidRPr="006E763F" w:rsidRDefault="007F1CC2" w:rsidP="00E923BB">
      <w:pPr>
        <w:pStyle w:val="Body"/>
        <w:ind w:left="249" w:firstLine="0"/>
        <w:rPr>
          <w:rFonts w:cs="Verdana"/>
          <w:bdr w:val="none" w:sz="0" w:space="0" w:color="auto" w:frame="1"/>
          <w:lang w:val="es-ES"/>
        </w:rPr>
      </w:pPr>
    </w:p>
    <w:p w14:paraId="07E18DFC" w14:textId="77777777" w:rsidR="00EC310A" w:rsidRPr="006E763F" w:rsidRDefault="009E7E98" w:rsidP="00E923BB">
      <w:pPr>
        <w:pStyle w:val="Body"/>
        <w:ind w:firstLine="249"/>
        <w:rPr>
          <w:b/>
          <w:bCs/>
          <w:lang w:val="es-ES"/>
        </w:rPr>
      </w:pPr>
      <w:r w:rsidRPr="006E763F">
        <w:rPr>
          <w:b/>
          <w:bCs/>
          <w:lang w:val="es-ES"/>
        </w:rPr>
        <w:tab/>
        <w:t xml:space="preserve">LA COMISIÓN INTERAMERICANA DE DERECHOS HUMANOS, RECOMIENDA AL ESTADO DE </w:t>
      </w:r>
      <w:r w:rsidR="007F1CC2" w:rsidRPr="006E763F">
        <w:rPr>
          <w:b/>
          <w:bCs/>
          <w:color w:val="auto"/>
          <w:u w:color="FF0000"/>
          <w:lang w:val="es-ES"/>
        </w:rPr>
        <w:t>COLOMBIA</w:t>
      </w:r>
      <w:r w:rsidRPr="006E763F">
        <w:rPr>
          <w:b/>
          <w:bCs/>
          <w:lang w:val="es-ES"/>
        </w:rPr>
        <w:t>,</w:t>
      </w:r>
    </w:p>
    <w:p w14:paraId="7310A12F" w14:textId="77777777" w:rsidR="00EC310A" w:rsidRPr="006E763F" w:rsidRDefault="00EC310A" w:rsidP="00E923BB">
      <w:pPr>
        <w:pStyle w:val="Body"/>
        <w:ind w:firstLine="567"/>
        <w:rPr>
          <w:b/>
          <w:bCs/>
          <w:lang w:val="es-ES"/>
        </w:rPr>
      </w:pPr>
    </w:p>
    <w:p w14:paraId="60048175" w14:textId="77777777" w:rsidR="00EC310A" w:rsidRPr="006E763F" w:rsidRDefault="009E7E98" w:rsidP="00685D78">
      <w:pPr>
        <w:pStyle w:val="ListParagraph"/>
        <w:numPr>
          <w:ilvl w:val="0"/>
          <w:numId w:val="19"/>
        </w:numPr>
        <w:tabs>
          <w:tab w:val="clear" w:pos="806"/>
        </w:tabs>
        <w:ind w:left="0" w:firstLine="720"/>
        <w:rPr>
          <w:sz w:val="20"/>
          <w:szCs w:val="20"/>
          <w:lang w:val="es-ES"/>
        </w:rPr>
      </w:pPr>
      <w:r w:rsidRPr="006E763F">
        <w:rPr>
          <w:sz w:val="20"/>
          <w:szCs w:val="20"/>
          <w:lang w:val="es-ES"/>
        </w:rPr>
        <w:t xml:space="preserve">Reparar integralmente las violaciones de derechos humanos declaradas en el presente informe tanto en el aspecto material como inmaterial. El Estado deberá adoptar las medidas de compensación económica y satisfacción. </w:t>
      </w:r>
    </w:p>
    <w:p w14:paraId="27E7493C" w14:textId="77777777" w:rsidR="00EC310A" w:rsidRPr="006E763F" w:rsidRDefault="00EC310A" w:rsidP="00E923BB">
      <w:pPr>
        <w:pStyle w:val="ListParagraph"/>
        <w:ind w:left="0" w:firstLine="720"/>
        <w:rPr>
          <w:sz w:val="20"/>
          <w:szCs w:val="20"/>
          <w:lang w:val="es-ES"/>
        </w:rPr>
      </w:pPr>
    </w:p>
    <w:p w14:paraId="6EF15391" w14:textId="77777777" w:rsidR="00EC310A" w:rsidRPr="006E763F" w:rsidRDefault="009E7E98" w:rsidP="00685D78">
      <w:pPr>
        <w:pStyle w:val="ListParagraph"/>
        <w:numPr>
          <w:ilvl w:val="0"/>
          <w:numId w:val="19"/>
        </w:numPr>
        <w:tabs>
          <w:tab w:val="clear" w:pos="806"/>
        </w:tabs>
        <w:ind w:left="0" w:firstLine="720"/>
        <w:rPr>
          <w:sz w:val="20"/>
          <w:szCs w:val="20"/>
          <w:lang w:val="es-ES"/>
        </w:rPr>
      </w:pPr>
      <w:r w:rsidRPr="006E763F">
        <w:rPr>
          <w:sz w:val="20"/>
          <w:szCs w:val="20"/>
          <w:lang w:val="es-ES"/>
        </w:rPr>
        <w:t>Disponer las medidas de atención en salud física y mental necesarias para la rehabilitación de los familiares de Pedro Julio Movilla Galarcio, de ser su voluntad y de manera concertada.</w:t>
      </w:r>
    </w:p>
    <w:p w14:paraId="3B1FDA89" w14:textId="77777777" w:rsidR="00EC310A" w:rsidRDefault="00EC310A" w:rsidP="00E923BB">
      <w:pPr>
        <w:pStyle w:val="ListParagraph"/>
        <w:ind w:left="0" w:firstLine="720"/>
        <w:rPr>
          <w:sz w:val="20"/>
          <w:szCs w:val="20"/>
          <w:lang w:val="es-ES"/>
        </w:rPr>
      </w:pPr>
    </w:p>
    <w:p w14:paraId="12B40D00" w14:textId="77777777" w:rsidR="009F7596" w:rsidRDefault="009F7596" w:rsidP="00E923BB">
      <w:pPr>
        <w:pStyle w:val="ListParagraph"/>
        <w:ind w:left="0" w:firstLine="720"/>
        <w:rPr>
          <w:sz w:val="20"/>
          <w:szCs w:val="20"/>
          <w:lang w:val="es-ES"/>
        </w:rPr>
      </w:pPr>
    </w:p>
    <w:p w14:paraId="20638401" w14:textId="77777777" w:rsidR="009F7596" w:rsidRPr="006E763F" w:rsidRDefault="009F7596" w:rsidP="00E923BB">
      <w:pPr>
        <w:pStyle w:val="ListParagraph"/>
        <w:ind w:left="0" w:firstLine="720"/>
        <w:rPr>
          <w:sz w:val="20"/>
          <w:szCs w:val="20"/>
          <w:lang w:val="es-ES"/>
        </w:rPr>
      </w:pPr>
    </w:p>
    <w:p w14:paraId="500F9329" w14:textId="1C249FB6" w:rsidR="00EC310A" w:rsidRPr="006E763F" w:rsidRDefault="009E7E98" w:rsidP="00685D78">
      <w:pPr>
        <w:pStyle w:val="ListParagraph"/>
        <w:numPr>
          <w:ilvl w:val="0"/>
          <w:numId w:val="19"/>
        </w:numPr>
        <w:tabs>
          <w:tab w:val="clear" w:pos="806"/>
        </w:tabs>
        <w:ind w:left="0" w:firstLine="720"/>
        <w:rPr>
          <w:sz w:val="20"/>
          <w:szCs w:val="20"/>
          <w:lang w:val="es-ES"/>
        </w:rPr>
      </w:pPr>
      <w:r w:rsidRPr="006E763F">
        <w:rPr>
          <w:sz w:val="20"/>
          <w:szCs w:val="20"/>
          <w:lang w:val="es-ES"/>
        </w:rPr>
        <w:t>Investigar el destino o paradero de Pedro Julio Movilla Galarcio y, de ser el caso, adoptar las medidas necesarias para identificar y entregar a sus familiares los restos mortales</w:t>
      </w:r>
      <w:r w:rsidR="00D43193" w:rsidRPr="006E763F">
        <w:rPr>
          <w:sz w:val="20"/>
          <w:szCs w:val="20"/>
          <w:lang w:val="es-ES"/>
        </w:rPr>
        <w:t xml:space="preserve">, de ser el caso. </w:t>
      </w:r>
    </w:p>
    <w:p w14:paraId="008D5A20" w14:textId="77777777" w:rsidR="00EC310A" w:rsidRPr="006E763F" w:rsidRDefault="00EC310A" w:rsidP="00E923BB">
      <w:pPr>
        <w:pStyle w:val="Body"/>
        <w:ind w:firstLine="720"/>
        <w:rPr>
          <w:lang w:val="es-ES"/>
        </w:rPr>
      </w:pPr>
    </w:p>
    <w:p w14:paraId="49C72304" w14:textId="6C337AB3" w:rsidR="00EC310A" w:rsidRPr="006E763F" w:rsidRDefault="007F1CC2" w:rsidP="00685D78">
      <w:pPr>
        <w:pStyle w:val="ListParagraph"/>
        <w:numPr>
          <w:ilvl w:val="0"/>
          <w:numId w:val="19"/>
        </w:numPr>
        <w:tabs>
          <w:tab w:val="clear" w:pos="806"/>
        </w:tabs>
        <w:ind w:left="0" w:firstLine="720"/>
        <w:rPr>
          <w:sz w:val="20"/>
          <w:szCs w:val="20"/>
          <w:lang w:val="es-ES"/>
        </w:rPr>
      </w:pPr>
      <w:r w:rsidRPr="006E763F">
        <w:rPr>
          <w:color w:val="auto"/>
          <w:sz w:val="20"/>
          <w:szCs w:val="20"/>
          <w:lang w:val="es-ES"/>
        </w:rPr>
        <w:t>Concluir</w:t>
      </w:r>
      <w:r w:rsidR="009E7E98" w:rsidRPr="006E763F">
        <w:rPr>
          <w:color w:val="auto"/>
          <w:sz w:val="20"/>
          <w:szCs w:val="20"/>
          <w:lang w:val="es-ES"/>
        </w:rPr>
        <w:t xml:space="preserve"> l</w:t>
      </w:r>
      <w:r w:rsidR="009E7E98" w:rsidRPr="006E763F">
        <w:rPr>
          <w:sz w:val="20"/>
          <w:szCs w:val="20"/>
          <w:lang w:val="es-ES"/>
        </w:rPr>
        <w:t>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w:t>
      </w:r>
    </w:p>
    <w:p w14:paraId="77971C6E" w14:textId="77777777" w:rsidR="00EC310A" w:rsidRPr="006E763F" w:rsidRDefault="00EC310A" w:rsidP="00E923BB">
      <w:pPr>
        <w:pStyle w:val="ListParagraph"/>
        <w:ind w:left="0" w:firstLine="720"/>
        <w:rPr>
          <w:sz w:val="20"/>
          <w:szCs w:val="20"/>
          <w:lang w:val="es-ES"/>
        </w:rPr>
      </w:pPr>
    </w:p>
    <w:p w14:paraId="7B2A944E" w14:textId="2DD6EB5A" w:rsidR="00EC310A" w:rsidRPr="006E763F" w:rsidRDefault="009E7E98" w:rsidP="00685D78">
      <w:pPr>
        <w:pStyle w:val="ListParagraph"/>
        <w:numPr>
          <w:ilvl w:val="0"/>
          <w:numId w:val="19"/>
        </w:numPr>
        <w:tabs>
          <w:tab w:val="clear" w:pos="806"/>
        </w:tabs>
        <w:ind w:left="0" w:firstLine="720"/>
        <w:rPr>
          <w:sz w:val="20"/>
          <w:szCs w:val="20"/>
          <w:lang w:val="es-ES"/>
        </w:rPr>
      </w:pPr>
      <w:r w:rsidRPr="006E763F">
        <w:rPr>
          <w:sz w:val="20"/>
          <w:szCs w:val="20"/>
          <w:lang w:val="es-ES"/>
        </w:rPr>
        <w:t>Disponer mecanismos de no repetición que incluyan:</w:t>
      </w:r>
      <w:r w:rsidR="006F20F0" w:rsidRPr="006E763F">
        <w:rPr>
          <w:sz w:val="20"/>
          <w:szCs w:val="20"/>
          <w:lang w:val="es-ES"/>
        </w:rPr>
        <w:t xml:space="preserve"> </w:t>
      </w:r>
      <w:r w:rsidR="00105DF5" w:rsidRPr="006E763F">
        <w:rPr>
          <w:sz w:val="20"/>
          <w:szCs w:val="20"/>
          <w:lang w:val="es-ES"/>
        </w:rPr>
        <w:t>i) la derogación de los reglamentos y manuales militares</w:t>
      </w:r>
      <w:r w:rsidR="006E763F">
        <w:rPr>
          <w:sz w:val="20"/>
          <w:szCs w:val="20"/>
          <w:lang w:val="es-ES"/>
        </w:rPr>
        <w:t xml:space="preserve"> indicados en el presente informe</w:t>
      </w:r>
      <w:r w:rsidR="001161A6">
        <w:rPr>
          <w:sz w:val="20"/>
          <w:szCs w:val="20"/>
          <w:lang w:val="es-ES"/>
        </w:rPr>
        <w:t xml:space="preserve"> y otros que puedan identificarse</w:t>
      </w:r>
      <w:r w:rsidR="00105DF5" w:rsidRPr="006E763F">
        <w:rPr>
          <w:sz w:val="20"/>
          <w:szCs w:val="20"/>
          <w:lang w:val="es-ES"/>
        </w:rPr>
        <w:t xml:space="preserve">, ii) </w:t>
      </w:r>
      <w:r w:rsidR="00F76ED6" w:rsidRPr="006E763F">
        <w:rPr>
          <w:sz w:val="20"/>
          <w:szCs w:val="20"/>
          <w:lang w:val="es-ES"/>
        </w:rPr>
        <w:t xml:space="preserve">la instrucción explícita del alto mando militar y policial a todas las instancias jerárquicas de la imposibilidad de la aplicación de los reglamentos y manuales militares </w:t>
      </w:r>
      <w:r w:rsidR="001161A6">
        <w:rPr>
          <w:sz w:val="20"/>
          <w:szCs w:val="20"/>
          <w:lang w:val="es-ES"/>
        </w:rPr>
        <w:t xml:space="preserve">indicados </w:t>
      </w:r>
      <w:r w:rsidR="007B4E89" w:rsidRPr="006E763F">
        <w:rPr>
          <w:sz w:val="20"/>
          <w:szCs w:val="20"/>
          <w:lang w:val="es-ES"/>
        </w:rPr>
        <w:t>por su incompatibilidad con la Convención Americana</w:t>
      </w:r>
      <w:r w:rsidR="00F76ED6" w:rsidRPr="006E763F">
        <w:rPr>
          <w:sz w:val="20"/>
          <w:szCs w:val="20"/>
          <w:lang w:val="es-ES"/>
        </w:rPr>
        <w:t xml:space="preserve">; y iii) </w:t>
      </w:r>
      <w:r w:rsidR="00105DF5" w:rsidRPr="006E763F">
        <w:rPr>
          <w:sz w:val="20"/>
          <w:szCs w:val="20"/>
          <w:lang w:val="es-ES"/>
        </w:rPr>
        <w:t xml:space="preserve">asegurar la discontinuidad </w:t>
      </w:r>
      <w:r w:rsidR="00F76ED6" w:rsidRPr="006E763F">
        <w:rPr>
          <w:sz w:val="20"/>
          <w:szCs w:val="20"/>
          <w:lang w:val="es-ES"/>
        </w:rPr>
        <w:t xml:space="preserve">de las prácticas instaladas por el </w:t>
      </w:r>
      <w:r w:rsidR="00105DF5" w:rsidRPr="006E763F">
        <w:rPr>
          <w:sz w:val="20"/>
          <w:szCs w:val="20"/>
          <w:lang w:val="es-ES"/>
        </w:rPr>
        <w:t xml:space="preserve">uso de dichos reglamentos y manuales </w:t>
      </w:r>
      <w:r w:rsidR="007B4E89" w:rsidRPr="006E763F">
        <w:rPr>
          <w:sz w:val="20"/>
          <w:szCs w:val="20"/>
          <w:lang w:val="es-ES"/>
        </w:rPr>
        <w:t xml:space="preserve">y la noción de “enemigo interno” </w:t>
      </w:r>
      <w:r w:rsidR="00105DF5" w:rsidRPr="006E763F">
        <w:rPr>
          <w:sz w:val="20"/>
          <w:szCs w:val="20"/>
          <w:lang w:val="es-ES"/>
        </w:rPr>
        <w:t>a trav</w:t>
      </w:r>
      <w:r w:rsidR="00F76ED6" w:rsidRPr="006E763F">
        <w:rPr>
          <w:sz w:val="20"/>
          <w:szCs w:val="20"/>
          <w:lang w:val="es-ES"/>
        </w:rPr>
        <w:t>és de</w:t>
      </w:r>
      <w:r w:rsidR="007B4E89" w:rsidRPr="006E763F">
        <w:rPr>
          <w:sz w:val="20"/>
          <w:szCs w:val="20"/>
          <w:lang w:val="es-ES"/>
        </w:rPr>
        <w:t xml:space="preserve"> la incorporación del presente caso en las </w:t>
      </w:r>
      <w:r w:rsidR="00F76ED6" w:rsidRPr="006E763F">
        <w:rPr>
          <w:sz w:val="20"/>
          <w:szCs w:val="20"/>
          <w:lang w:val="es-ES"/>
        </w:rPr>
        <w:t xml:space="preserve">capacitaciones </w:t>
      </w:r>
      <w:r w:rsidR="007B4E89" w:rsidRPr="006E763F">
        <w:rPr>
          <w:sz w:val="20"/>
          <w:szCs w:val="20"/>
          <w:lang w:val="es-ES"/>
        </w:rPr>
        <w:t xml:space="preserve">relativas a derechos humanos que se dirigen </w:t>
      </w:r>
      <w:r w:rsidR="00F76ED6" w:rsidRPr="006E763F">
        <w:rPr>
          <w:sz w:val="20"/>
          <w:szCs w:val="20"/>
          <w:lang w:val="es-ES"/>
        </w:rPr>
        <w:t>al personal policial, militar y órganos de inteligencia.</w:t>
      </w:r>
    </w:p>
    <w:p w14:paraId="1D389E56" w14:textId="77777777" w:rsidR="009F7596" w:rsidRDefault="009F7596" w:rsidP="009F7596">
      <w:pPr>
        <w:suppressAutoHyphens/>
        <w:jc w:val="both"/>
        <w:rPr>
          <w:rFonts w:ascii="Cambria" w:hAnsi="Cambria"/>
          <w:sz w:val="20"/>
          <w:szCs w:val="20"/>
          <w:lang w:val="es-AR"/>
        </w:rPr>
      </w:pPr>
    </w:p>
    <w:p w14:paraId="201F0590" w14:textId="77777777" w:rsidR="009F7596" w:rsidRDefault="009F7596" w:rsidP="009F7596">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Washington, D.C. a los 7 días del mes de diciembre de 2018.  (Firmado): Margarette May Macaulay, Presidenta; Esmeralda Arosemena de Troitiño, Primera Vicepresidenta; Francisco José Eguiguren Praeli, Joel Hernández García, Antonia Urrejola y Flavia Piovesan, Miembros de la Comisión.</w:t>
      </w:r>
      <w:r>
        <w:rPr>
          <w:rFonts w:ascii="Cambria" w:hAnsi="Cambria"/>
          <w:sz w:val="20"/>
          <w:szCs w:val="20"/>
          <w:lang w:val="es-CL"/>
        </w:rPr>
        <w:t xml:space="preserve"> </w:t>
      </w:r>
    </w:p>
    <w:p w14:paraId="61252141" w14:textId="77777777" w:rsidR="009F7596" w:rsidRDefault="009F7596" w:rsidP="009F7596">
      <w:pPr>
        <w:ind w:firstLine="720"/>
        <w:jc w:val="both"/>
        <w:rPr>
          <w:rFonts w:ascii="Cambria" w:hAnsi="Cambria"/>
          <w:spacing w:val="-2"/>
          <w:sz w:val="20"/>
          <w:szCs w:val="20"/>
          <w:lang w:val="es-CL"/>
        </w:rPr>
      </w:pPr>
    </w:p>
    <w:p w14:paraId="6879A070" w14:textId="42B74062" w:rsidR="009F7596" w:rsidRDefault="009F7596" w:rsidP="009F7596">
      <w:pPr>
        <w:ind w:firstLine="720"/>
        <w:jc w:val="both"/>
        <w:rPr>
          <w:rFonts w:ascii="Cambria" w:hAnsi="Cambria"/>
          <w:sz w:val="20"/>
          <w:szCs w:val="20"/>
          <w:lang w:val="es-CL"/>
        </w:rPr>
      </w:pPr>
      <w:r>
        <w:rPr>
          <w:rFonts w:ascii="Cambria" w:hAnsi="Cambria"/>
          <w:sz w:val="20"/>
          <w:szCs w:val="20"/>
          <w:lang w:val="es-CL"/>
        </w:rPr>
        <w:t xml:space="preserve">El que suscribe, </w:t>
      </w:r>
      <w:r w:rsidR="00F72634">
        <w:rPr>
          <w:rFonts w:ascii="Cambria" w:hAnsi="Cambria" w:cs="Arial"/>
          <w:sz w:val="20"/>
          <w:szCs w:val="20"/>
          <w:lang w:val="es-PE"/>
        </w:rPr>
        <w:t>Mario López-Garelli</w:t>
      </w:r>
      <w:r>
        <w:rPr>
          <w:rFonts w:ascii="Cambria" w:hAnsi="Cambria"/>
          <w:sz w:val="20"/>
          <w:szCs w:val="20"/>
          <w:lang w:val="es-CL"/>
        </w:rPr>
        <w:t xml:space="preserve">, </w:t>
      </w:r>
      <w:r w:rsidR="00F72634">
        <w:rPr>
          <w:rFonts w:ascii="Cambria" w:hAnsi="Cambria"/>
          <w:sz w:val="20"/>
          <w:szCs w:val="20"/>
          <w:lang w:val="es-CL"/>
        </w:rPr>
        <w:t xml:space="preserve">por autorización del </w:t>
      </w:r>
      <w:r>
        <w:rPr>
          <w:rFonts w:ascii="Cambria" w:hAnsi="Cambria"/>
          <w:sz w:val="20"/>
          <w:szCs w:val="20"/>
          <w:lang w:val="es-CL"/>
        </w:rPr>
        <w:t>Secretario Ejecutivo, de conformidad con el artículo 49 del Reglamento de la Comisión, certifica que es copia fiel del original depositado en los archivos de la Secretaría de la CIDH.</w:t>
      </w:r>
    </w:p>
    <w:p w14:paraId="1D0CE31F" w14:textId="77777777" w:rsidR="009F7596" w:rsidRPr="0066757A" w:rsidRDefault="009F7596" w:rsidP="009F7596">
      <w:pPr>
        <w:rPr>
          <w:rFonts w:ascii="Cambria" w:hAnsi="Cambria"/>
          <w:sz w:val="20"/>
          <w:szCs w:val="20"/>
          <w:lang w:val="es-PE"/>
        </w:rPr>
      </w:pPr>
    </w:p>
    <w:p w14:paraId="1271EE76" w14:textId="77777777" w:rsidR="009F7596" w:rsidRPr="0066757A" w:rsidRDefault="009F7596" w:rsidP="009F7596">
      <w:pPr>
        <w:rPr>
          <w:rFonts w:ascii="Cambria" w:hAnsi="Cambria"/>
          <w:sz w:val="20"/>
          <w:szCs w:val="20"/>
          <w:lang w:val="es-PE"/>
        </w:rPr>
      </w:pPr>
    </w:p>
    <w:p w14:paraId="37D5E24F" w14:textId="77777777" w:rsidR="009F7596" w:rsidRPr="0066757A" w:rsidRDefault="009F7596" w:rsidP="009F7596">
      <w:pPr>
        <w:rPr>
          <w:rFonts w:ascii="Cambria" w:hAnsi="Cambria"/>
          <w:sz w:val="20"/>
          <w:szCs w:val="20"/>
          <w:lang w:val="es-PE"/>
        </w:rPr>
      </w:pPr>
    </w:p>
    <w:p w14:paraId="2357C871" w14:textId="77777777" w:rsidR="009F7596" w:rsidRPr="0066757A" w:rsidRDefault="009F7596" w:rsidP="009F7596">
      <w:pPr>
        <w:rPr>
          <w:rFonts w:ascii="Cambria" w:hAnsi="Cambria"/>
          <w:sz w:val="20"/>
          <w:szCs w:val="20"/>
          <w:lang w:val="es-PE"/>
        </w:rPr>
      </w:pPr>
    </w:p>
    <w:p w14:paraId="79B1656C" w14:textId="77777777" w:rsidR="009F7596" w:rsidRPr="0066757A" w:rsidRDefault="009F7596" w:rsidP="009F7596">
      <w:pPr>
        <w:rPr>
          <w:rFonts w:ascii="Cambria" w:hAnsi="Cambria"/>
          <w:sz w:val="20"/>
          <w:szCs w:val="20"/>
          <w:lang w:val="es-PE"/>
        </w:rPr>
      </w:pPr>
    </w:p>
    <w:p w14:paraId="258CE04A" w14:textId="77777777" w:rsidR="009F7596" w:rsidRPr="009F7596" w:rsidRDefault="009F7596" w:rsidP="009F7596">
      <w:pPr>
        <w:ind w:left="2160" w:firstLine="720"/>
        <w:jc w:val="center"/>
        <w:rPr>
          <w:rFonts w:ascii="Cambria" w:hAnsi="Cambria"/>
          <w:sz w:val="20"/>
          <w:szCs w:val="20"/>
          <w:lang w:val="es-PE"/>
        </w:rPr>
      </w:pPr>
      <w:r w:rsidRPr="009F7596">
        <w:rPr>
          <w:rFonts w:ascii="Cambria" w:hAnsi="Cambria" w:cs="Arial"/>
          <w:sz w:val="20"/>
          <w:szCs w:val="20"/>
          <w:lang w:val="es-PE"/>
        </w:rPr>
        <w:t>Mario López-Garelli</w:t>
      </w:r>
    </w:p>
    <w:p w14:paraId="28853AB2" w14:textId="77777777" w:rsidR="009F7596" w:rsidRPr="009F7596" w:rsidRDefault="009F7596" w:rsidP="009F7596">
      <w:pPr>
        <w:ind w:left="2160" w:firstLine="720"/>
        <w:jc w:val="center"/>
        <w:rPr>
          <w:rFonts w:ascii="Cambria" w:hAnsi="Cambria"/>
          <w:sz w:val="20"/>
          <w:szCs w:val="20"/>
          <w:lang w:val="es-PE"/>
        </w:rPr>
      </w:pPr>
      <w:r w:rsidRPr="009F7596">
        <w:rPr>
          <w:rFonts w:ascii="Cambria" w:hAnsi="Cambria"/>
          <w:sz w:val="20"/>
          <w:szCs w:val="20"/>
          <w:lang w:val="es-PE"/>
        </w:rPr>
        <w:t>Por autorización del Secretario Ejecutivo</w:t>
      </w:r>
    </w:p>
    <w:p w14:paraId="1A2980E7" w14:textId="77777777" w:rsidR="009F7596" w:rsidRPr="009F7596" w:rsidRDefault="009F7596" w:rsidP="009F7596">
      <w:pPr>
        <w:jc w:val="both"/>
        <w:rPr>
          <w:rFonts w:ascii="Cambria" w:hAnsi="Cambria"/>
          <w:sz w:val="20"/>
          <w:szCs w:val="20"/>
          <w:lang w:val="es-PE"/>
        </w:rPr>
      </w:pPr>
    </w:p>
    <w:sectPr w:rsidR="009F7596" w:rsidRPr="009F7596" w:rsidSect="001A3AB4">
      <w:type w:val="oddPage"/>
      <w:pgSz w:w="12240" w:h="15840"/>
      <w:pgMar w:top="1440" w:right="1183"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18D8" w14:textId="77777777" w:rsidR="00B934ED" w:rsidRDefault="00B934ED">
      <w:r>
        <w:separator/>
      </w:r>
    </w:p>
  </w:endnote>
  <w:endnote w:type="continuationSeparator" w:id="0">
    <w:p w14:paraId="2AD60719" w14:textId="77777777" w:rsidR="00B934ED" w:rsidRDefault="00B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7169" w14:textId="77777777" w:rsidR="00B934ED" w:rsidRDefault="00B934ED">
    <w:pPr>
      <w:pStyle w:val="Footer"/>
      <w:jc w:val="center"/>
    </w:pPr>
    <w:r>
      <w:rPr>
        <w:sz w:val="16"/>
        <w:szCs w:val="16"/>
      </w:rPr>
      <w:fldChar w:fldCharType="begin"/>
    </w:r>
    <w:r>
      <w:rPr>
        <w:sz w:val="16"/>
        <w:szCs w:val="16"/>
      </w:rPr>
      <w:instrText xml:space="preserve"> PAGE </w:instrText>
    </w:r>
    <w:r>
      <w:rPr>
        <w:sz w:val="16"/>
        <w:szCs w:val="16"/>
      </w:rPr>
      <w:fldChar w:fldCharType="separate"/>
    </w:r>
    <w:r w:rsidR="00F72634">
      <w:rPr>
        <w:noProof/>
        <w:sz w:val="16"/>
        <w:szCs w:val="16"/>
      </w:rPr>
      <w:t>24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183D" w14:textId="77777777" w:rsidR="00B934ED" w:rsidRDefault="00B934ED">
      <w:r>
        <w:separator/>
      </w:r>
    </w:p>
  </w:footnote>
  <w:footnote w:type="continuationSeparator" w:id="0">
    <w:p w14:paraId="138310D7" w14:textId="77777777" w:rsidR="00B934ED" w:rsidRDefault="00B934ED">
      <w:r>
        <w:continuationSeparator/>
      </w:r>
    </w:p>
  </w:footnote>
  <w:footnote w:type="continuationNotice" w:id="1">
    <w:p w14:paraId="29CBF7C7" w14:textId="77777777" w:rsidR="00B934ED" w:rsidRDefault="00B934ED"/>
  </w:footnote>
  <w:footnote w:id="2">
    <w:p w14:paraId="13A00349" w14:textId="515BA2FE"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CIDH. Informe de Admisibilidad No. 48/14. Caso 11.641. Pedro Julio Movilla Galarcio. Colombia. 21 de julio de 2014. Se declaró la admisibilidad de los artículo 3, 4, 5, 7, 8, 16, y 25 de la Convención Americana y el I.b) de la CIDF.</w:t>
      </w:r>
    </w:p>
  </w:footnote>
  <w:footnote w:id="3">
    <w:p w14:paraId="5CED7396" w14:textId="427F631C" w:rsidR="00B934ED" w:rsidRPr="006E763F" w:rsidRDefault="00B934ED" w:rsidP="0080128A">
      <w:pPr>
        <w:tabs>
          <w:tab w:val="left" w:pos="9356"/>
        </w:tabs>
        <w:jc w:val="both"/>
        <w:rPr>
          <w:rFonts w:ascii="Cambria" w:hAnsi="Cambria"/>
          <w:sz w:val="16"/>
          <w:szCs w:val="16"/>
          <w:lang w:val="es-CO"/>
        </w:rPr>
      </w:pPr>
      <w:r w:rsidRPr="006E763F">
        <w:rPr>
          <w:rStyle w:val="FootnoteReference"/>
          <w:rFonts w:ascii="Cambria" w:hAnsi="Cambria"/>
          <w:sz w:val="16"/>
          <w:szCs w:val="16"/>
        </w:rPr>
        <w:footnoteRef/>
      </w:r>
      <w:r w:rsidRPr="006E763F">
        <w:rPr>
          <w:rFonts w:ascii="Cambria" w:hAnsi="Cambria"/>
          <w:sz w:val="16"/>
          <w:szCs w:val="16"/>
          <w:lang w:val="es-CO"/>
        </w:rPr>
        <w:t xml:space="preserve"> </w:t>
      </w:r>
      <w:hyperlink r:id="rId1" w:history="1">
        <w:r w:rsidRPr="006E763F">
          <w:rPr>
            <w:rStyle w:val="Hyperlink"/>
            <w:rFonts w:ascii="Cambria" w:hAnsi="Cambria"/>
            <w:sz w:val="16"/>
            <w:szCs w:val="16"/>
            <w:lang w:val="es-CO"/>
          </w:rPr>
          <w:t>Huellas y Rostros de la Desaparición Forzada (1970-2010). Tomo II. Centro Nacional de Memoria Histórica. Caso 4.  Víctor Manuel Isaza Uribe: Desaparición Forzada y Represión Antisindical.</w:t>
        </w:r>
      </w:hyperlink>
      <w:r w:rsidRPr="006E763F">
        <w:rPr>
          <w:rFonts w:ascii="Cambria" w:hAnsi="Cambria"/>
          <w:sz w:val="16"/>
          <w:szCs w:val="16"/>
          <w:lang w:val="es-CO"/>
        </w:rPr>
        <w:t xml:space="preserve"> </w:t>
      </w:r>
    </w:p>
  </w:footnote>
  <w:footnote w:id="4">
    <w:p w14:paraId="1C782FDD" w14:textId="106D0C59" w:rsidR="00B934ED" w:rsidRPr="006E763F" w:rsidRDefault="00B934ED" w:rsidP="0080128A">
      <w:pPr>
        <w:pStyle w:val="FootnoteText"/>
        <w:tabs>
          <w:tab w:val="left" w:pos="9356"/>
        </w:tabs>
        <w:ind w:firstLine="0"/>
        <w:rPr>
          <w:lang w:val="es-CO"/>
        </w:rPr>
      </w:pPr>
      <w:r w:rsidRPr="006E763F">
        <w:rPr>
          <w:rStyle w:val="FootnoteReference"/>
        </w:rPr>
        <w:footnoteRef/>
      </w:r>
      <w:r w:rsidRPr="006E763F">
        <w:rPr>
          <w:lang w:val="es-CO"/>
        </w:rPr>
        <w:t xml:space="preserve"> </w:t>
      </w:r>
      <w:hyperlink r:id="rId2" w:history="1">
        <w:r w:rsidRPr="006E763F">
          <w:rPr>
            <w:rStyle w:val="Hyperlink"/>
            <w:lang w:val="es-CO"/>
          </w:rPr>
          <w:t>Huellas y Rostros de la Desaparición Forzada (1970-2010). Tomo II. Centro Nacional de Memoria Histórica. Caso 4.  Víctor Manuel Isaza Uribe: Desaparición Forzada y Represión Antisindical.</w:t>
        </w:r>
      </w:hyperlink>
      <w:r w:rsidRPr="006E763F">
        <w:rPr>
          <w:lang w:val="es-CO"/>
        </w:rPr>
        <w:t xml:space="preserve"> Este informe destaca los siguientes: a) Reglamento de combate de contraguerrillas – EJC 3-10, del Comando General de las Fuerzas Militares, Disposición No. 005 de 9 de abril de 1969; b) El Manual de Guerrillas y Contraguerrillas urbanas – EJC 3-18, del Ejército Nacional, Disposición No. 00006 de 1977; c) Las Instrucciones generales para operaciones de contraguerrillas, del Comando General del Ejército de 1979; d) El Manual ECJ-3-101, del Comando General del Ejército, de 25 de junio de 1982; y e) el Reglamento de combate de contraguerrilla – EJC-3-10, del Comando General de las Fuerzas Militares, de 1987. </w:t>
      </w:r>
    </w:p>
  </w:footnote>
  <w:footnote w:id="5">
    <w:p w14:paraId="711819A7" w14:textId="100E9F86" w:rsidR="00B934ED" w:rsidRPr="006E763F" w:rsidRDefault="00B934ED" w:rsidP="0080128A">
      <w:pPr>
        <w:tabs>
          <w:tab w:val="left" w:pos="9356"/>
        </w:tabs>
        <w:jc w:val="both"/>
        <w:rPr>
          <w:rFonts w:ascii="Cambria" w:hAnsi="Cambria"/>
          <w:sz w:val="16"/>
          <w:szCs w:val="16"/>
          <w:lang w:val="es-CO"/>
        </w:rPr>
      </w:pPr>
      <w:r w:rsidRPr="006E763F">
        <w:rPr>
          <w:rStyle w:val="FootnoteReference"/>
          <w:rFonts w:ascii="Cambria" w:hAnsi="Cambria"/>
          <w:sz w:val="16"/>
          <w:szCs w:val="16"/>
        </w:rPr>
        <w:footnoteRef/>
      </w:r>
      <w:r w:rsidRPr="006E763F">
        <w:rPr>
          <w:rFonts w:ascii="Cambria" w:hAnsi="Cambria"/>
          <w:sz w:val="16"/>
          <w:szCs w:val="16"/>
          <w:lang w:val="es-CO"/>
        </w:rPr>
        <w:t xml:space="preserve"> </w:t>
      </w:r>
      <w:hyperlink r:id="rId3" w:history="1">
        <w:r w:rsidRPr="006E763F">
          <w:rPr>
            <w:rStyle w:val="Hyperlink"/>
            <w:rFonts w:ascii="Cambria" w:hAnsi="Cambria"/>
            <w:sz w:val="16"/>
            <w:szCs w:val="16"/>
            <w:lang w:val="es-CO"/>
          </w:rPr>
          <w:t>Huellas y Rostros de la Desaparición Forzada (1970-2010). Tomo II. Centro Nacional de Memoria Histórica. Caso 4.  Víctor Manuel Isaza Uribe: Desaparición Forzada y Represión Antisindical.</w:t>
        </w:r>
      </w:hyperlink>
    </w:p>
  </w:footnote>
  <w:footnote w:id="6">
    <w:p w14:paraId="449D03D1" w14:textId="41F7362B" w:rsidR="00B934ED" w:rsidRPr="006E763F" w:rsidRDefault="00B934ED" w:rsidP="0080128A">
      <w:pPr>
        <w:pStyle w:val="FootnoteText"/>
        <w:tabs>
          <w:tab w:val="left" w:pos="9356"/>
        </w:tabs>
        <w:ind w:firstLine="0"/>
        <w:rPr>
          <w:lang w:val="es-CO"/>
        </w:rPr>
      </w:pPr>
      <w:r w:rsidRPr="006E763F">
        <w:rPr>
          <w:rStyle w:val="FootnoteReference"/>
        </w:rPr>
        <w:footnoteRef/>
      </w:r>
      <w:r>
        <w:rPr>
          <w:lang w:val="es-CO"/>
        </w:rPr>
        <w:t xml:space="preserve"> Ver: </w:t>
      </w:r>
      <w:r w:rsidRPr="006E763F">
        <w:rPr>
          <w:lang w:val="es-CO"/>
        </w:rPr>
        <w:t xml:space="preserve">Consejo de Estado. Sala de lo Contencioso Administrativo. Sección Primera. 5 de febrero de 2009. Expediente 11001-03-15-000-2008-01400-01. Actor, Javier Giraldo Moreno. Entre los manuales que se destacan por la parte peticionaria se encuentran: El Reglamento de combate de contraguerrilla- EJC 3-10, del Comando General de las Fuerzas Militares, Disposición No. 005 de 9 de abril de 1969; El Manual de Guerrillas y Contraguerrillas Urbanas -EJC 3-18, del Ejército Nacional, Disposición No. 00006 de 1977; Las Instrucciones generales para operaciones de contraguerrilla, del Comando General del Ejército de 1979; El Manual ECJ-3-101, del Comando General del Ejército, de 25 de junio de 1982; y El Reglamento de combate de contraguerrilla EJC-1-10, del Comando General de las Fuerzas Militares, de 1987. Cfr. Centro Nacional de Memoria Histórica (2013). pp. 133-136. En el mismo sentido ilustró la declaración del perito Sr. Alberto Yepes propuesto por la CIDH en la Audiencia del caso </w:t>
      </w:r>
      <w:r w:rsidRPr="006E763F">
        <w:rPr>
          <w:iCs/>
          <w:lang w:val="es-CO"/>
        </w:rPr>
        <w:t>Isaza Uribe vs Colombia</w:t>
      </w:r>
      <w:r w:rsidRPr="006E763F">
        <w:rPr>
          <w:lang w:val="es-CO"/>
        </w:rPr>
        <w:t>, de fecha 31 de enero de 2018.</w:t>
      </w:r>
    </w:p>
  </w:footnote>
  <w:footnote w:id="7">
    <w:p w14:paraId="12D94B10" w14:textId="33261D4A" w:rsidR="00B934ED" w:rsidRPr="006E763F" w:rsidRDefault="00B934ED" w:rsidP="0080128A">
      <w:pPr>
        <w:tabs>
          <w:tab w:val="left" w:pos="9356"/>
        </w:tabs>
        <w:jc w:val="both"/>
        <w:rPr>
          <w:rFonts w:ascii="Cambria" w:hAnsi="Cambria"/>
          <w:sz w:val="16"/>
          <w:szCs w:val="16"/>
          <w:lang w:val="es-CO"/>
        </w:rPr>
      </w:pPr>
      <w:r w:rsidRPr="006E763F">
        <w:rPr>
          <w:rStyle w:val="FootnoteReference"/>
          <w:rFonts w:ascii="Cambria" w:hAnsi="Cambria"/>
          <w:sz w:val="16"/>
          <w:szCs w:val="16"/>
        </w:rPr>
        <w:footnoteRef/>
      </w:r>
      <w:r w:rsidRPr="006E763F">
        <w:rPr>
          <w:rFonts w:ascii="Cambria" w:hAnsi="Cambria"/>
          <w:sz w:val="16"/>
          <w:szCs w:val="16"/>
          <w:lang w:val="es-CO"/>
        </w:rPr>
        <w:t xml:space="preserve"> </w:t>
      </w:r>
      <w:hyperlink r:id="rId4" w:history="1">
        <w:r w:rsidRPr="006E763F">
          <w:rPr>
            <w:rStyle w:val="Hyperlink"/>
            <w:rFonts w:ascii="Cambria" w:hAnsi="Cambria"/>
            <w:sz w:val="16"/>
            <w:szCs w:val="16"/>
            <w:lang w:val="es-CO"/>
          </w:rPr>
          <w:t>Huellas y Rostros de la Desaparición Forzada (1970-2010). Tomo II. Centro Nacional de Memoria Histórica. Caso 4.  Víctor Manuel Isaza Uribe: Desaparición Forzada y Represión Antisindical</w:t>
        </w:r>
      </w:hyperlink>
      <w:r w:rsidRPr="006E763F">
        <w:rPr>
          <w:rFonts w:ascii="Cambria" w:hAnsi="Cambria"/>
          <w:sz w:val="16"/>
          <w:szCs w:val="16"/>
          <w:lang w:val="es-CO"/>
        </w:rPr>
        <w:t xml:space="preserve">. Citando. Informe Conjunto del Relator Especial encargado de la cuestión de la tortura, Sr. Nigel S. Rodley, y del Relator Especial encargado de la cuestión de las ejecuciones extrajudiciales, sumarias o arbitrarias, Sr. Bacre Waly Ndiaye. E/CN.4/1995/111 de 16 de enero de 1995. </w:t>
      </w:r>
    </w:p>
  </w:footnote>
  <w:footnote w:id="8">
    <w:p w14:paraId="35216DDE" w14:textId="128D7524" w:rsidR="00B934ED" w:rsidRPr="006E763F" w:rsidRDefault="00B934ED" w:rsidP="0080128A">
      <w:pPr>
        <w:pStyle w:val="FootnoteText"/>
        <w:tabs>
          <w:tab w:val="left" w:pos="9356"/>
        </w:tabs>
        <w:ind w:firstLine="0"/>
        <w:rPr>
          <w:lang w:val="es-MX"/>
        </w:rPr>
      </w:pPr>
      <w:r w:rsidRPr="006E763F">
        <w:rPr>
          <w:rStyle w:val="FootnoteReference"/>
        </w:rPr>
        <w:footnoteRef/>
      </w:r>
      <w:r w:rsidRPr="006E763F">
        <w:rPr>
          <w:lang w:val="es-MX"/>
        </w:rPr>
        <w:t xml:space="preserve"> </w:t>
      </w:r>
      <w:r w:rsidRPr="006E763F">
        <w:rPr>
          <w:lang w:val="es-AR"/>
        </w:rPr>
        <w:t xml:space="preserve">CIDH. </w:t>
      </w:r>
      <w:hyperlink r:id="rId5" w:history="1">
        <w:r w:rsidRPr="006E763F">
          <w:rPr>
            <w:rStyle w:val="Hyperlink"/>
            <w:iCs/>
            <w:lang w:val="es-ES_tradnl"/>
          </w:rPr>
          <w:t>Segundo Informe sobre la Situación de los Derechos Humanos en Colombia.</w:t>
        </w:r>
        <w:r w:rsidRPr="006E763F">
          <w:rPr>
            <w:rStyle w:val="Hyperlink"/>
            <w:lang w:val="es-ES_tradnl"/>
          </w:rPr>
          <w:t xml:space="preserve"> OEA/Ser.L/V/II.84 Doc.39 rev., 14 de octubre de 1993, Cap. VIII.</w:t>
        </w:r>
      </w:hyperlink>
      <w:r w:rsidRPr="006E763F">
        <w:rPr>
          <w:lang w:val="es-ES_tradnl"/>
        </w:rPr>
        <w:t xml:space="preserve"> </w:t>
      </w:r>
    </w:p>
  </w:footnote>
  <w:footnote w:id="9">
    <w:p w14:paraId="5E80BB4F" w14:textId="5E79CEF8" w:rsidR="00B934ED" w:rsidRPr="006E763F" w:rsidRDefault="00B934ED" w:rsidP="0080128A">
      <w:pPr>
        <w:pStyle w:val="FootnoteText"/>
        <w:tabs>
          <w:tab w:val="left" w:pos="9356"/>
        </w:tabs>
        <w:ind w:firstLine="0"/>
        <w:rPr>
          <w:lang w:val="es-MX"/>
        </w:rPr>
      </w:pPr>
      <w:r w:rsidRPr="006E763F">
        <w:rPr>
          <w:rStyle w:val="FootnoteReference"/>
        </w:rPr>
        <w:footnoteRef/>
      </w:r>
      <w:r w:rsidRPr="006E763F">
        <w:rPr>
          <w:lang w:val="es-MX"/>
        </w:rPr>
        <w:t xml:space="preserve"> Anexo 1. Nota de prensa “En el último año murieron asesinados 32 sindicalistas” publicada por El Colombiano el 1 de mayo de 1987. Anexo a comunicación de los peticionarios recibida el 18 de febrero de 1992.</w:t>
      </w:r>
    </w:p>
  </w:footnote>
  <w:footnote w:id="10">
    <w:p w14:paraId="643E1B3B" w14:textId="5ACDDF2A"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w:t>
      </w:r>
      <w:r>
        <w:rPr>
          <w:sz w:val="16"/>
          <w:szCs w:val="16"/>
        </w:rPr>
        <w:t>CNMH</w:t>
      </w:r>
      <w:r w:rsidRPr="006E763F">
        <w:rPr>
          <w:sz w:val="16"/>
          <w:szCs w:val="16"/>
        </w:rPr>
        <w:t xml:space="preserve"> (2016), </w:t>
      </w:r>
      <w:r w:rsidRPr="006E763F">
        <w:rPr>
          <w:iCs/>
          <w:sz w:val="16"/>
          <w:szCs w:val="16"/>
        </w:rPr>
        <w:t>Hasta encontrarlos. El drama de la desaparición forzada en Colombia</w:t>
      </w:r>
      <w:r w:rsidRPr="006E763F">
        <w:rPr>
          <w:sz w:val="16"/>
          <w:szCs w:val="16"/>
        </w:rPr>
        <w:t>, CNMH, Bogotá. p. 74.</w:t>
      </w:r>
    </w:p>
  </w:footnote>
  <w:footnote w:id="11">
    <w:p w14:paraId="3DA7A044" w14:textId="3639C6C6"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w:t>
      </w:r>
      <w:r>
        <w:rPr>
          <w:sz w:val="16"/>
          <w:szCs w:val="16"/>
        </w:rPr>
        <w:t>CNMH</w:t>
      </w:r>
      <w:r w:rsidRPr="006E763F">
        <w:rPr>
          <w:sz w:val="16"/>
          <w:szCs w:val="16"/>
        </w:rPr>
        <w:t xml:space="preserve"> (2016), Ibíd. p. 86. </w:t>
      </w:r>
    </w:p>
  </w:footnote>
  <w:footnote w:id="12">
    <w:p w14:paraId="69B89125" w14:textId="50BA6CD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w:t>
      </w:r>
      <w:r>
        <w:rPr>
          <w:sz w:val="16"/>
          <w:szCs w:val="16"/>
        </w:rPr>
        <w:t>CNMH</w:t>
      </w:r>
      <w:r w:rsidRPr="006E763F">
        <w:rPr>
          <w:sz w:val="16"/>
          <w:szCs w:val="16"/>
        </w:rPr>
        <w:t xml:space="preserve">. Desaparición forzada Tomo II: Huellas y rostros de la desaparición forzada (1970-2010). Bogotá: Imprenta Nacional, 2013. pp. 137. </w:t>
      </w:r>
    </w:p>
  </w:footnote>
  <w:footnote w:id="13">
    <w:p w14:paraId="24B76C69" w14:textId="0E9AAA0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CIDH. </w:t>
      </w:r>
      <w:r w:rsidRPr="006E763F">
        <w:rPr>
          <w:iCs/>
          <w:sz w:val="16"/>
          <w:szCs w:val="16"/>
        </w:rPr>
        <w:t xml:space="preserve">Informe Anual de </w:t>
      </w:r>
      <w:r>
        <w:rPr>
          <w:iCs/>
          <w:sz w:val="16"/>
          <w:szCs w:val="16"/>
        </w:rPr>
        <w:t>la CIDH de</w:t>
      </w:r>
      <w:r w:rsidRPr="006E763F">
        <w:rPr>
          <w:iCs/>
          <w:sz w:val="16"/>
          <w:szCs w:val="16"/>
        </w:rPr>
        <w:t xml:space="preserve"> 2016. Capítulo V.</w:t>
      </w:r>
      <w:r>
        <w:rPr>
          <w:sz w:val="16"/>
          <w:szCs w:val="16"/>
        </w:rPr>
        <w:t xml:space="preserve"> OEA/Ser.L/V/II.</w:t>
      </w:r>
      <w:r w:rsidRPr="006E763F">
        <w:rPr>
          <w:sz w:val="16"/>
          <w:szCs w:val="16"/>
        </w:rPr>
        <w:t>Doc. 2015 marzo 2017. párr. 47.</w:t>
      </w:r>
    </w:p>
  </w:footnote>
  <w:footnote w:id="14">
    <w:p w14:paraId="5F6C045E" w14:textId="379F07E3" w:rsidR="00B934ED" w:rsidRPr="006E763F" w:rsidRDefault="00B934ED" w:rsidP="0080128A">
      <w:pPr>
        <w:pStyle w:val="FootnoteText"/>
        <w:tabs>
          <w:tab w:val="left" w:pos="9356"/>
        </w:tabs>
        <w:ind w:firstLine="0"/>
        <w:rPr>
          <w:lang w:val="es-CO"/>
        </w:rPr>
      </w:pPr>
      <w:r w:rsidRPr="006E763F">
        <w:rPr>
          <w:rStyle w:val="FootnoteReference"/>
        </w:rPr>
        <w:footnoteRef/>
      </w:r>
      <w:r>
        <w:rPr>
          <w:lang w:val="es-CO"/>
        </w:rPr>
        <w:t xml:space="preserve"> CIDH. </w:t>
      </w:r>
      <w:hyperlink r:id="rId6" w:history="1">
        <w:r w:rsidRPr="006E763F">
          <w:rPr>
            <w:rStyle w:val="Hyperlink"/>
            <w:lang w:val="es-CO"/>
          </w:rPr>
          <w:t>Segundo Informe sobre la Situación de los Derechos Humanos en Colombia</w:t>
        </w:r>
      </w:hyperlink>
      <w:r w:rsidRPr="006E763F">
        <w:rPr>
          <w:lang w:val="es-CO"/>
        </w:rPr>
        <w:t xml:space="preserve">, 14 de octubre de 1993. </w:t>
      </w:r>
    </w:p>
  </w:footnote>
  <w:footnote w:id="15">
    <w:p w14:paraId="4DF082C8" w14:textId="70C998E0" w:rsidR="00B934ED" w:rsidRPr="006E763F" w:rsidRDefault="00B934ED" w:rsidP="0080128A">
      <w:pPr>
        <w:pStyle w:val="FootnoteText"/>
        <w:tabs>
          <w:tab w:val="left" w:pos="9356"/>
        </w:tabs>
        <w:ind w:firstLine="0"/>
        <w:rPr>
          <w:lang w:val="es-CO"/>
        </w:rPr>
      </w:pPr>
      <w:r w:rsidRPr="006E763F">
        <w:rPr>
          <w:rStyle w:val="FootnoteReference"/>
        </w:rPr>
        <w:footnoteRef/>
      </w:r>
      <w:r>
        <w:rPr>
          <w:lang w:val="es-CO"/>
        </w:rPr>
        <w:t xml:space="preserve"> CIDH. </w:t>
      </w:r>
      <w:r w:rsidRPr="006E763F">
        <w:rPr>
          <w:lang w:val="es-CO"/>
        </w:rPr>
        <w:t>Informe Anual de la Comisión Interamericana de Derechos Humanos de 1996, OEA/Ser.L/V/II.95. doc. 7 rev., 14 de marzo de 1997, pág. 663.</w:t>
      </w:r>
    </w:p>
  </w:footnote>
  <w:footnote w:id="16">
    <w:p w14:paraId="1ED61D6E" w14:textId="296BE0D9" w:rsidR="00B934ED" w:rsidRPr="006E763F" w:rsidRDefault="00B934ED" w:rsidP="0080128A">
      <w:pPr>
        <w:pStyle w:val="FootnoteText"/>
        <w:tabs>
          <w:tab w:val="left" w:pos="9356"/>
        </w:tabs>
        <w:ind w:firstLine="0"/>
        <w:rPr>
          <w:lang w:val="es-CO"/>
        </w:rPr>
      </w:pPr>
      <w:r w:rsidRPr="006E763F">
        <w:rPr>
          <w:rStyle w:val="FootnoteReference"/>
        </w:rPr>
        <w:footnoteRef/>
      </w:r>
      <w:r>
        <w:rPr>
          <w:lang w:val="es-CO"/>
        </w:rPr>
        <w:t xml:space="preserve"> CIDH. </w:t>
      </w:r>
      <w:hyperlink r:id="rId7" w:history="1">
        <w:r w:rsidRPr="006E763F">
          <w:rPr>
            <w:rStyle w:val="Hyperlink"/>
            <w:lang w:val="es-CO"/>
          </w:rPr>
          <w:t>Segundo Informe sobre la Situación de los Derechos Humanos en Colombia</w:t>
        </w:r>
      </w:hyperlink>
      <w:r w:rsidRPr="006E763F">
        <w:rPr>
          <w:lang w:val="es-CO"/>
        </w:rPr>
        <w:t xml:space="preserve">, 14 de octubre de 1993. </w:t>
      </w:r>
    </w:p>
  </w:footnote>
  <w:footnote w:id="17">
    <w:p w14:paraId="1733D895" w14:textId="15BFBE7D" w:rsidR="00B934ED" w:rsidRPr="006E763F" w:rsidRDefault="00B934ED" w:rsidP="0080128A">
      <w:pPr>
        <w:pStyle w:val="FootnoteText"/>
        <w:tabs>
          <w:tab w:val="left" w:pos="9356"/>
        </w:tabs>
        <w:ind w:firstLine="0"/>
        <w:rPr>
          <w:lang w:val="es-CO"/>
        </w:rPr>
      </w:pPr>
      <w:r w:rsidRPr="006E763F">
        <w:rPr>
          <w:rStyle w:val="FootnoteReference"/>
        </w:rPr>
        <w:footnoteRef/>
      </w:r>
      <w:r>
        <w:rPr>
          <w:lang w:val="es-CO"/>
        </w:rPr>
        <w:t xml:space="preserve"> CIDH. </w:t>
      </w:r>
      <w:r w:rsidRPr="006E763F">
        <w:rPr>
          <w:lang w:val="es-CO"/>
        </w:rPr>
        <w:t>Tercer Informe sobre la Situación de los Derechos Humanos en Colombia, OEA/Ser.L/V/II. 102 Doc. 9 rev. 1 del 26 de febrero de 1999, Capitulo IX, La Libertad de Asociación y los Derechos Políticos, E. Partidos Políticos Alternativos, p</w:t>
      </w:r>
      <w:r w:rsidRPr="006E763F">
        <w:rPr>
          <w:lang w:val="es-MX"/>
        </w:rPr>
        <w:t>árrs. 36, 47 y 48</w:t>
      </w:r>
      <w:r w:rsidRPr="006E763F">
        <w:rPr>
          <w:lang w:val="es-CO"/>
        </w:rPr>
        <w:t>.</w:t>
      </w:r>
    </w:p>
  </w:footnote>
  <w:footnote w:id="18">
    <w:p w14:paraId="3B089AE1" w14:textId="77777777" w:rsidR="00B934ED" w:rsidRPr="006E763F" w:rsidRDefault="00B934ED" w:rsidP="0080128A">
      <w:pPr>
        <w:pStyle w:val="FootnoteText"/>
        <w:tabs>
          <w:tab w:val="left" w:pos="9356"/>
        </w:tabs>
        <w:ind w:firstLine="0"/>
        <w:rPr>
          <w:lang w:val="es-CO"/>
        </w:rPr>
      </w:pPr>
      <w:r w:rsidRPr="006E763F">
        <w:rPr>
          <w:rStyle w:val="FootnoteReference"/>
        </w:rPr>
        <w:footnoteRef/>
      </w:r>
      <w:r w:rsidRPr="006E763F">
        <w:rPr>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19">
    <w:p w14:paraId="542A7FE8" w14:textId="77777777" w:rsidR="00B934ED" w:rsidRPr="006E763F" w:rsidRDefault="00B934ED" w:rsidP="0080128A">
      <w:pPr>
        <w:pStyle w:val="FootnoteText"/>
        <w:tabs>
          <w:tab w:val="left" w:pos="9356"/>
        </w:tabs>
        <w:ind w:firstLine="0"/>
        <w:rPr>
          <w:lang w:val="es-CO"/>
        </w:rPr>
      </w:pPr>
      <w:r w:rsidRPr="006E763F">
        <w:rPr>
          <w:rStyle w:val="FootnoteReference"/>
        </w:rPr>
        <w:footnoteRef/>
      </w:r>
      <w:r w:rsidRPr="006E763F">
        <w:rPr>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20">
    <w:p w14:paraId="7D79BCC5" w14:textId="77777777" w:rsidR="00B934ED" w:rsidRPr="006E763F" w:rsidRDefault="00B934ED" w:rsidP="0080128A">
      <w:pPr>
        <w:pStyle w:val="FootnoteText"/>
        <w:tabs>
          <w:tab w:val="left" w:pos="9356"/>
        </w:tabs>
        <w:ind w:firstLine="0"/>
        <w:rPr>
          <w:lang w:val="es-CO"/>
        </w:rPr>
      </w:pPr>
      <w:r w:rsidRPr="006E763F">
        <w:rPr>
          <w:rStyle w:val="FootnoteReference"/>
        </w:rPr>
        <w:footnoteRef/>
      </w:r>
      <w:r w:rsidRPr="006E763F">
        <w:rPr>
          <w:lang w:val="es-CO"/>
        </w:rPr>
        <w:t xml:space="preserve"> Naciones Unidas, Informe conjunto de la visita a Colombia del Relator Especial encargado de la cuestión de la tortura, Sr. Nigel S. Rodley, y del Relator Especial encargado de la cuestión de las ejecuciones extrajudiciales, sumarias o arbitrarias, Sr. Bacre Waly Ndiaye, E/CN.4/1995/111, 16 de enero de 1995.</w:t>
      </w:r>
    </w:p>
  </w:footnote>
  <w:footnote w:id="21">
    <w:p w14:paraId="732E138D" w14:textId="77777777" w:rsidR="00B934ED" w:rsidRPr="006E763F" w:rsidRDefault="00B934ED" w:rsidP="0080128A">
      <w:pPr>
        <w:pStyle w:val="FootnoteText"/>
        <w:tabs>
          <w:tab w:val="left" w:pos="720"/>
          <w:tab w:val="left" w:pos="9356"/>
        </w:tabs>
        <w:ind w:firstLine="0"/>
        <w:rPr>
          <w:lang w:val="es-CO"/>
        </w:rPr>
      </w:pPr>
      <w:r w:rsidRPr="006E763F">
        <w:rPr>
          <w:rStyle w:val="FootnoteReference"/>
        </w:rPr>
        <w:footnoteRef/>
      </w:r>
      <w:r w:rsidRPr="006E763F">
        <w:rPr>
          <w:lang w:val="es-CO"/>
        </w:rPr>
        <w:t xml:space="preserve"> </w:t>
      </w:r>
      <w:r w:rsidRPr="006E763F">
        <w:rPr>
          <w:lang w:val="es-ES"/>
        </w:rPr>
        <w:t>Corte Constitucional colombiana, Sentencia T-439 de 1992, 2 de julio de 1992. Magistrado Ponente Eduardo Cifuentes Muñoz.</w:t>
      </w:r>
    </w:p>
  </w:footnote>
  <w:footnote w:id="22">
    <w:p w14:paraId="0161F10A" w14:textId="23DFDB7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Al respecto, esta Comisión identifica lo constatado por la PGN en los registros de la DAS, en que aparece la anotación de una condena a arresto de 25 días por el inspector 5 de Policía de Montería a Pedro Julio Movilla Galarcio de marzo de 1976. Anexo 5. </w:t>
      </w:r>
      <w:r>
        <w:rPr>
          <w:sz w:val="16"/>
          <w:szCs w:val="16"/>
        </w:rPr>
        <w:t>PGN.</w:t>
      </w:r>
      <w:r w:rsidRPr="006E763F">
        <w:rPr>
          <w:sz w:val="16"/>
          <w:szCs w:val="16"/>
        </w:rPr>
        <w:t xml:space="preserve"> Radicación No. 008-139893. Acta de visita practicada en la Oficina de Archivos especializados de la DAS. 5 de agosto de 1993. Anexo a escrito de la parte peticionaria de 28 de </w:t>
      </w:r>
      <w:r>
        <w:rPr>
          <w:sz w:val="16"/>
          <w:szCs w:val="16"/>
        </w:rPr>
        <w:t>enero de 2012</w:t>
      </w:r>
      <w:r w:rsidRPr="006E763F">
        <w:rPr>
          <w:sz w:val="16"/>
          <w:szCs w:val="16"/>
        </w:rPr>
        <w:t>.</w:t>
      </w:r>
    </w:p>
  </w:footnote>
  <w:footnote w:id="23">
    <w:p w14:paraId="2568BB51" w14:textId="335054F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2</w:t>
      </w:r>
      <w:r w:rsidRPr="006E763F">
        <w:rPr>
          <w:sz w:val="16"/>
          <w:szCs w:val="16"/>
        </w:rPr>
        <w:t>. Fi</w:t>
      </w:r>
      <w:r>
        <w:rPr>
          <w:sz w:val="16"/>
          <w:szCs w:val="16"/>
        </w:rPr>
        <w:t xml:space="preserve">scalía General. </w:t>
      </w:r>
      <w:r w:rsidRPr="006E763F">
        <w:rPr>
          <w:sz w:val="16"/>
          <w:szCs w:val="16"/>
        </w:rPr>
        <w:t xml:space="preserve">Rad. 096. </w:t>
      </w:r>
      <w:r>
        <w:rPr>
          <w:sz w:val="16"/>
          <w:szCs w:val="16"/>
        </w:rPr>
        <w:t>D</w:t>
      </w:r>
      <w:r w:rsidRPr="006E763F">
        <w:rPr>
          <w:sz w:val="16"/>
          <w:szCs w:val="16"/>
        </w:rPr>
        <w:t>eclaración de Candelaria Nurys Vergara Carri</w:t>
      </w:r>
      <w:r>
        <w:rPr>
          <w:sz w:val="16"/>
          <w:szCs w:val="16"/>
        </w:rPr>
        <w:t>azo. 7 de junio de 2012; Anexo 3</w:t>
      </w:r>
      <w:r w:rsidRPr="006E763F">
        <w:rPr>
          <w:sz w:val="16"/>
          <w:szCs w:val="16"/>
        </w:rPr>
        <w:t xml:space="preserve">. </w:t>
      </w:r>
      <w:r>
        <w:rPr>
          <w:sz w:val="16"/>
          <w:szCs w:val="16"/>
        </w:rPr>
        <w:t>Fiscalía General.</w:t>
      </w:r>
      <w:r w:rsidRPr="006E763F">
        <w:rPr>
          <w:sz w:val="16"/>
          <w:szCs w:val="16"/>
        </w:rPr>
        <w:t xml:space="preserve"> Rad. 096. </w:t>
      </w:r>
      <w:r>
        <w:rPr>
          <w:sz w:val="16"/>
          <w:szCs w:val="16"/>
        </w:rPr>
        <w:t>D</w:t>
      </w:r>
      <w:r w:rsidRPr="006E763F">
        <w:rPr>
          <w:sz w:val="16"/>
          <w:szCs w:val="16"/>
        </w:rPr>
        <w:t xml:space="preserve">eclaración Candelaria Nurys Vergara Carriazo ante la Fiscalía General. 13 de abril de 1994. Anexos a escrito de la parte peticionaria de 28 de enero </w:t>
      </w:r>
      <w:r>
        <w:rPr>
          <w:sz w:val="16"/>
          <w:szCs w:val="16"/>
        </w:rPr>
        <w:t xml:space="preserve">de </w:t>
      </w:r>
      <w:r w:rsidRPr="006E763F">
        <w:rPr>
          <w:sz w:val="16"/>
          <w:szCs w:val="16"/>
        </w:rPr>
        <w:t xml:space="preserve">2012. </w:t>
      </w:r>
    </w:p>
  </w:footnote>
  <w:footnote w:id="24">
    <w:p w14:paraId="3DE6CC1F" w14:textId="3847E6E0"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w:t>
      </w:r>
      <w:r w:rsidRPr="006E763F">
        <w:rPr>
          <w:sz w:val="16"/>
          <w:szCs w:val="16"/>
        </w:rPr>
        <w:t xml:space="preserve">Anexo </w:t>
      </w:r>
      <w:r>
        <w:rPr>
          <w:sz w:val="16"/>
          <w:szCs w:val="16"/>
        </w:rPr>
        <w:t>2</w:t>
      </w:r>
      <w:r w:rsidRPr="006E763F">
        <w:rPr>
          <w:sz w:val="16"/>
          <w:szCs w:val="16"/>
        </w:rPr>
        <w:t>. Fi</w:t>
      </w:r>
      <w:r>
        <w:rPr>
          <w:sz w:val="16"/>
          <w:szCs w:val="16"/>
        </w:rPr>
        <w:t xml:space="preserve">scalía General. </w:t>
      </w:r>
      <w:r w:rsidRPr="006E763F">
        <w:rPr>
          <w:sz w:val="16"/>
          <w:szCs w:val="16"/>
        </w:rPr>
        <w:t xml:space="preserve">Rad. 096. </w:t>
      </w:r>
      <w:r>
        <w:rPr>
          <w:sz w:val="16"/>
          <w:szCs w:val="16"/>
        </w:rPr>
        <w:t>D</w:t>
      </w:r>
      <w:r w:rsidRPr="006E763F">
        <w:rPr>
          <w:sz w:val="16"/>
          <w:szCs w:val="16"/>
        </w:rPr>
        <w:t>eclaración de Candelaria Nurys Vergara Carri</w:t>
      </w:r>
      <w:r>
        <w:rPr>
          <w:sz w:val="16"/>
          <w:szCs w:val="16"/>
        </w:rPr>
        <w:t>azo. 7 de junio de 2012</w:t>
      </w:r>
      <w:r w:rsidRPr="006E763F">
        <w:rPr>
          <w:sz w:val="16"/>
          <w:szCs w:val="16"/>
        </w:rPr>
        <w:t xml:space="preserve">. Anexo a escrito de la parte peticionaria de 28 de enero </w:t>
      </w:r>
      <w:r>
        <w:rPr>
          <w:sz w:val="16"/>
          <w:szCs w:val="16"/>
        </w:rPr>
        <w:t xml:space="preserve">de </w:t>
      </w:r>
      <w:r w:rsidRPr="006E763F">
        <w:rPr>
          <w:sz w:val="16"/>
          <w:szCs w:val="16"/>
        </w:rPr>
        <w:t>2012.</w:t>
      </w:r>
    </w:p>
  </w:footnote>
  <w:footnote w:id="25">
    <w:p w14:paraId="5A31A15B" w14:textId="1E5931E0"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w:t>
      </w:r>
      <w:r w:rsidRPr="006E763F">
        <w:rPr>
          <w:sz w:val="16"/>
          <w:szCs w:val="16"/>
        </w:rPr>
        <w:t>Escrito de la parte peticionaria de 15 de junio de 2016.</w:t>
      </w:r>
    </w:p>
  </w:footnote>
  <w:footnote w:id="26">
    <w:p w14:paraId="78A88017" w14:textId="69DD1253"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 xml:space="preserve">4. PGN. </w:t>
      </w:r>
      <w:r w:rsidRPr="006E763F">
        <w:rPr>
          <w:sz w:val="16"/>
          <w:szCs w:val="16"/>
        </w:rPr>
        <w:t xml:space="preserve">Radicación No. 008-139893. Diligencia de declaración rendida por el señor Humberto Javier Callejas Rua. 22 de junio de 1993. Anexo a escrito de la parte peticionaria de 28 de enero </w:t>
      </w:r>
      <w:r>
        <w:rPr>
          <w:sz w:val="16"/>
          <w:szCs w:val="16"/>
        </w:rPr>
        <w:t xml:space="preserve">de </w:t>
      </w:r>
      <w:r w:rsidRPr="006E763F">
        <w:rPr>
          <w:sz w:val="16"/>
          <w:szCs w:val="16"/>
        </w:rPr>
        <w:t>2012.</w:t>
      </w:r>
    </w:p>
  </w:footnote>
  <w:footnote w:id="27">
    <w:p w14:paraId="7346F0FB" w14:textId="5B563868"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5. Fiscalía Genera. </w:t>
      </w:r>
      <w:r w:rsidRPr="006E763F">
        <w:rPr>
          <w:sz w:val="16"/>
          <w:szCs w:val="16"/>
        </w:rPr>
        <w:t xml:space="preserve">Rad. 096. Diligencia de declaración de Humberto Javier Callejas Rua. 25 de octubre de 2012. Anexo a escrito parte peticionaria de 28 de enero </w:t>
      </w:r>
      <w:r>
        <w:rPr>
          <w:sz w:val="16"/>
          <w:szCs w:val="16"/>
        </w:rPr>
        <w:t xml:space="preserve">de </w:t>
      </w:r>
      <w:r w:rsidRPr="006E763F">
        <w:rPr>
          <w:sz w:val="16"/>
          <w:szCs w:val="16"/>
        </w:rPr>
        <w:t>2012.</w:t>
      </w:r>
    </w:p>
  </w:footnote>
  <w:footnote w:id="28">
    <w:p w14:paraId="0397CC7E" w14:textId="30FAD75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w:t>
      </w:r>
      <w:r w:rsidRPr="006E763F">
        <w:rPr>
          <w:sz w:val="16"/>
          <w:szCs w:val="16"/>
        </w:rPr>
        <w:t>. PGN</w:t>
      </w:r>
      <w:r>
        <w:rPr>
          <w:sz w:val="16"/>
          <w:szCs w:val="16"/>
        </w:rPr>
        <w:t>.</w:t>
      </w:r>
      <w:r w:rsidRPr="006E763F">
        <w:rPr>
          <w:sz w:val="16"/>
          <w:szCs w:val="16"/>
        </w:rPr>
        <w:t xml:space="preserve"> Radicación No. 008-139893. Hojas de anotaciones del Ejército Nacional con datos generales de Pedro Julio Movilla Galarcio. Emitido el 28 de mayo de 1993 y firmado por el Brigadier General Iván Ramírez Quintero, director de inteligencia del ejército. Anexo a escrito de la parte peticionaria de 28 de enero</w:t>
      </w:r>
      <w:r>
        <w:rPr>
          <w:sz w:val="16"/>
          <w:szCs w:val="16"/>
        </w:rPr>
        <w:t xml:space="preserve"> de</w:t>
      </w:r>
      <w:r w:rsidRPr="006E763F">
        <w:rPr>
          <w:sz w:val="16"/>
          <w:szCs w:val="16"/>
        </w:rPr>
        <w:t xml:space="preserve"> 2012.</w:t>
      </w:r>
    </w:p>
  </w:footnote>
  <w:footnote w:id="29">
    <w:p w14:paraId="718CA243" w14:textId="1720BB4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Anexo </w:t>
      </w:r>
      <w:r>
        <w:rPr>
          <w:sz w:val="16"/>
          <w:szCs w:val="16"/>
        </w:rPr>
        <w:t>7. PGN.</w:t>
      </w:r>
      <w:r w:rsidRPr="006E763F">
        <w:rPr>
          <w:sz w:val="16"/>
          <w:szCs w:val="16"/>
        </w:rPr>
        <w:t xml:space="preserve"> Radicación No. 008-139893. Acta de visita especial realizada en la Oficina de Dijin. 2 de junio de 1993. Anexo a escrito parte peticionaria de 28 de enero </w:t>
      </w:r>
      <w:r>
        <w:rPr>
          <w:sz w:val="16"/>
          <w:szCs w:val="16"/>
        </w:rPr>
        <w:t xml:space="preserve">de </w:t>
      </w:r>
      <w:r w:rsidRPr="006E763F">
        <w:rPr>
          <w:sz w:val="16"/>
          <w:szCs w:val="16"/>
        </w:rPr>
        <w:t>2012.</w:t>
      </w:r>
    </w:p>
  </w:footnote>
  <w:footnote w:id="30">
    <w:p w14:paraId="3B39CFCA" w14:textId="3844798F" w:rsidR="00B934ED" w:rsidRPr="00925B44" w:rsidRDefault="00B934ED" w:rsidP="00925B44">
      <w:pPr>
        <w:pStyle w:val="FootnoteText"/>
        <w:tabs>
          <w:tab w:val="left" w:pos="9356"/>
        </w:tabs>
        <w:ind w:firstLine="0"/>
        <w:rPr>
          <w:lang w:val="es-ES"/>
        </w:rPr>
      </w:pPr>
      <w:r w:rsidRPr="006E763F">
        <w:rPr>
          <w:vertAlign w:val="superscript"/>
        </w:rPr>
        <w:footnoteRef/>
      </w:r>
      <w:r w:rsidRPr="002B27F9">
        <w:rPr>
          <w:lang w:val="es-ES"/>
        </w:rPr>
        <w:t xml:space="preserve">Anexo </w:t>
      </w:r>
      <w:r>
        <w:rPr>
          <w:lang w:val="es-ES"/>
        </w:rPr>
        <w:t>2</w:t>
      </w:r>
      <w:r w:rsidRPr="002B27F9">
        <w:rPr>
          <w:lang w:val="es-ES"/>
        </w:rPr>
        <w:t>. Fi</w:t>
      </w:r>
      <w:r>
        <w:rPr>
          <w:lang w:val="es-ES"/>
        </w:rPr>
        <w:t xml:space="preserve">scalía General. </w:t>
      </w:r>
      <w:r w:rsidRPr="002B27F9">
        <w:rPr>
          <w:lang w:val="es-ES"/>
        </w:rPr>
        <w:t xml:space="preserve"> Rad. 096. </w:t>
      </w:r>
      <w:r>
        <w:rPr>
          <w:lang w:val="es-ES"/>
        </w:rPr>
        <w:t>D</w:t>
      </w:r>
      <w:r w:rsidRPr="002B27F9">
        <w:rPr>
          <w:lang w:val="es-ES"/>
        </w:rPr>
        <w:t>eclaración de Candelaria Nurys Vergar</w:t>
      </w:r>
      <w:r>
        <w:rPr>
          <w:lang w:val="es-ES"/>
        </w:rPr>
        <w:t xml:space="preserve">a Carriazo. 7 de junio de 2012. </w:t>
      </w:r>
      <w:r w:rsidRPr="002B27F9">
        <w:rPr>
          <w:lang w:val="es-ES"/>
        </w:rPr>
        <w:t xml:space="preserve">Anexo a escrito de la parte peticionaria de 28 de enero </w:t>
      </w:r>
      <w:r>
        <w:rPr>
          <w:lang w:val="es-ES"/>
        </w:rPr>
        <w:t xml:space="preserve">de </w:t>
      </w:r>
      <w:r w:rsidRPr="002B27F9">
        <w:rPr>
          <w:lang w:val="es-ES"/>
        </w:rPr>
        <w:t>2012.</w:t>
      </w:r>
    </w:p>
  </w:footnote>
  <w:footnote w:id="31">
    <w:p w14:paraId="33E53E24" w14:textId="07B2FB73"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w:t>
      </w:r>
      <w:r w:rsidRPr="006E763F">
        <w:rPr>
          <w:sz w:val="16"/>
          <w:szCs w:val="16"/>
        </w:rPr>
        <w:t xml:space="preserve">Anexo </w:t>
      </w:r>
      <w:r>
        <w:rPr>
          <w:sz w:val="16"/>
          <w:szCs w:val="16"/>
        </w:rPr>
        <w:t>7. PGN.</w:t>
      </w:r>
      <w:r w:rsidRPr="006E763F">
        <w:rPr>
          <w:sz w:val="16"/>
          <w:szCs w:val="16"/>
        </w:rPr>
        <w:t xml:space="preserve"> Radicación No. 008-139893. Acta de visita especial realizada en la Oficina de Dijin. 2 de junio de 1993. Anexo a escrito parte peticionaria de 28 de enero </w:t>
      </w:r>
      <w:r>
        <w:rPr>
          <w:sz w:val="16"/>
          <w:szCs w:val="16"/>
        </w:rPr>
        <w:t xml:space="preserve">de </w:t>
      </w:r>
      <w:r w:rsidRPr="006E763F">
        <w:rPr>
          <w:sz w:val="16"/>
          <w:szCs w:val="16"/>
        </w:rPr>
        <w:t>2012.</w:t>
      </w:r>
    </w:p>
  </w:footnote>
  <w:footnote w:id="32">
    <w:p w14:paraId="666655EE" w14:textId="4639B79C"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8. PGN. </w:t>
      </w:r>
      <w:r w:rsidRPr="006E763F">
        <w:rPr>
          <w:sz w:val="16"/>
          <w:szCs w:val="16"/>
        </w:rPr>
        <w:t>Radicación No. 008-139893. Declaración de Germán Chávez Murcia. 25</w:t>
      </w:r>
      <w:r>
        <w:rPr>
          <w:sz w:val="16"/>
          <w:szCs w:val="16"/>
        </w:rPr>
        <w:t xml:space="preserve"> de mayo de 1993; Anexo 9. PGN.</w:t>
      </w:r>
      <w:r w:rsidRPr="006E763F">
        <w:rPr>
          <w:sz w:val="16"/>
          <w:szCs w:val="16"/>
        </w:rPr>
        <w:t xml:space="preserve"> Radicación No. 008-139893. Declaración de Hugo León Peña.</w:t>
      </w:r>
      <w:r>
        <w:rPr>
          <w:sz w:val="16"/>
          <w:szCs w:val="16"/>
        </w:rPr>
        <w:t xml:space="preserve"> 25 de mayo 1993; Anexo 10. PGN.</w:t>
      </w:r>
      <w:r w:rsidRPr="006E763F">
        <w:rPr>
          <w:sz w:val="16"/>
          <w:szCs w:val="16"/>
        </w:rPr>
        <w:t xml:space="preserve"> Radicación No. 008-139893. Declaración de Ana Elvina Fernández. 26 </w:t>
      </w:r>
      <w:r>
        <w:rPr>
          <w:sz w:val="16"/>
          <w:szCs w:val="16"/>
        </w:rPr>
        <w:t xml:space="preserve">de mayo de 1993; Anexo 11. PGN. </w:t>
      </w:r>
      <w:r w:rsidRPr="006E763F">
        <w:rPr>
          <w:sz w:val="16"/>
          <w:szCs w:val="16"/>
        </w:rPr>
        <w:t>Radicación No. 008-139893. Declaración de Olga Inés Galeano. 18 de junio de 1993. Anexos a escrito de la parte peticionaria de 28 de enero</w:t>
      </w:r>
      <w:r>
        <w:rPr>
          <w:sz w:val="16"/>
          <w:szCs w:val="16"/>
        </w:rPr>
        <w:t xml:space="preserve"> de </w:t>
      </w:r>
      <w:r w:rsidRPr="006E763F">
        <w:rPr>
          <w:sz w:val="16"/>
          <w:szCs w:val="16"/>
        </w:rPr>
        <w:t>2012.</w:t>
      </w:r>
    </w:p>
  </w:footnote>
  <w:footnote w:id="33">
    <w:p w14:paraId="7EFB6872" w14:textId="7777777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La Comisión deja constancia de que el número exacto de motocicletas reportadas por los testigos difieren entre sí entre una, dos o tres. </w:t>
      </w:r>
    </w:p>
  </w:footnote>
  <w:footnote w:id="34">
    <w:p w14:paraId="0DE2C737" w14:textId="7777777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Algunos testimonios indican que el rostro estaba cubierto por capuchas y, otros, por cascos. </w:t>
      </w:r>
    </w:p>
  </w:footnote>
  <w:footnote w:id="35">
    <w:p w14:paraId="50014EBD" w14:textId="228EC170"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12. PGN. </w:t>
      </w:r>
      <w:r w:rsidRPr="006E763F">
        <w:rPr>
          <w:sz w:val="16"/>
          <w:szCs w:val="16"/>
        </w:rPr>
        <w:t xml:space="preserve">Radicación No. 008-139893. Informe evaluativo sobre diligencias de investigación. 4 de junio de 1993. Anexo a escrito parte peticionaria de 28 de enero </w:t>
      </w:r>
      <w:r>
        <w:rPr>
          <w:sz w:val="16"/>
          <w:szCs w:val="16"/>
        </w:rPr>
        <w:t xml:space="preserve">de </w:t>
      </w:r>
      <w:r w:rsidRPr="006E763F">
        <w:rPr>
          <w:sz w:val="16"/>
          <w:szCs w:val="16"/>
        </w:rPr>
        <w:t>2012.</w:t>
      </w:r>
    </w:p>
  </w:footnote>
  <w:footnote w:id="36">
    <w:p w14:paraId="24E49E7F" w14:textId="599FA8F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w:t>
      </w:r>
      <w:r>
        <w:rPr>
          <w:sz w:val="16"/>
          <w:szCs w:val="16"/>
        </w:rPr>
        <w:t xml:space="preserve">Anexo 12. PGN. </w:t>
      </w:r>
      <w:r w:rsidRPr="006E763F">
        <w:rPr>
          <w:sz w:val="16"/>
          <w:szCs w:val="16"/>
        </w:rPr>
        <w:t>Radicación No. 008-139893. Informe evaluativo sobre diligencias de investigación. 4 de junio de 1993. Anexo a escrito parte peticionaria de 28 de enero</w:t>
      </w:r>
      <w:r>
        <w:rPr>
          <w:sz w:val="16"/>
          <w:szCs w:val="16"/>
        </w:rPr>
        <w:t xml:space="preserve"> de</w:t>
      </w:r>
      <w:r w:rsidRPr="006E763F">
        <w:rPr>
          <w:sz w:val="16"/>
          <w:szCs w:val="16"/>
        </w:rPr>
        <w:t xml:space="preserve"> 2012.</w:t>
      </w:r>
      <w:r>
        <w:rPr>
          <w:sz w:val="16"/>
          <w:szCs w:val="16"/>
        </w:rPr>
        <w:t xml:space="preserve"> </w:t>
      </w:r>
      <w:r w:rsidRPr="006E763F">
        <w:rPr>
          <w:sz w:val="16"/>
          <w:szCs w:val="16"/>
        </w:rPr>
        <w:t>Dicha información se refiere al reporte de Policía metropolitana de Santa Fe de Bogotá, Estación Cien, de Incidente de “Porte ilegal de armas” en AV. 1 de mayo &amp;CR 50 el 13 de mayo de 1993: “Se decomisa revolver llama CASIDI, 38 largo, pavonado, con tres cartuchos y tres vainillas para el mismo, N° IM-9753g, portado por el Sr. Pedro Luis Pabón Díaz, (…)”</w:t>
      </w:r>
    </w:p>
  </w:footnote>
  <w:footnote w:id="37">
    <w:p w14:paraId="71A1255C" w14:textId="7B6CBE2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vertAlign w:val="superscript"/>
        </w:rPr>
        <w:t xml:space="preserve"> </w:t>
      </w:r>
      <w:r w:rsidRPr="006E763F">
        <w:rPr>
          <w:sz w:val="16"/>
          <w:szCs w:val="16"/>
        </w:rPr>
        <w:t xml:space="preserve">Anexo </w:t>
      </w:r>
      <w:r>
        <w:rPr>
          <w:sz w:val="16"/>
          <w:szCs w:val="16"/>
        </w:rPr>
        <w:t>13. PGN.</w:t>
      </w:r>
      <w:r w:rsidRPr="006E763F">
        <w:rPr>
          <w:sz w:val="16"/>
          <w:szCs w:val="16"/>
        </w:rPr>
        <w:t xml:space="preserve"> Radicación No. 008-139893. Acta visita especial en oficina jurídica del Departamento de control de Comercio de Armas, municiones y explosivos de Fuerzas Militares de Colombia. 4 de noviembre de 1993.  </w:t>
      </w:r>
      <w:r w:rsidRPr="006E763F">
        <w:rPr>
          <w:sz w:val="16"/>
          <w:szCs w:val="16"/>
          <w:lang w:val="es-CL"/>
        </w:rPr>
        <w:t xml:space="preserve">Anexo a escrito de la parte peticionaria de 28 de enero </w:t>
      </w:r>
      <w:r>
        <w:rPr>
          <w:sz w:val="16"/>
          <w:szCs w:val="16"/>
          <w:lang w:val="es-CL"/>
        </w:rPr>
        <w:t xml:space="preserve"> de </w:t>
      </w:r>
      <w:r w:rsidRPr="006E763F">
        <w:rPr>
          <w:sz w:val="16"/>
          <w:szCs w:val="16"/>
          <w:lang w:val="es-CL"/>
        </w:rPr>
        <w:t>2012.</w:t>
      </w:r>
    </w:p>
  </w:footnote>
  <w:footnote w:id="38">
    <w:p w14:paraId="4E23263E" w14:textId="3252EEE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14</w:t>
      </w:r>
      <w:r w:rsidRPr="006E763F">
        <w:rPr>
          <w:sz w:val="16"/>
          <w:szCs w:val="16"/>
        </w:rPr>
        <w:t xml:space="preserve">. </w:t>
      </w:r>
      <w:r>
        <w:rPr>
          <w:sz w:val="16"/>
          <w:szCs w:val="16"/>
        </w:rPr>
        <w:t>Fiscalía General.</w:t>
      </w:r>
      <w:r w:rsidRPr="006E763F">
        <w:rPr>
          <w:sz w:val="16"/>
          <w:szCs w:val="16"/>
        </w:rPr>
        <w:t xml:space="preserve"> Rad. No. 096. Informe del Departamento Control Comercio de Armas, municiones y explosivos de Fuerzas Militares de Colombia. 2 de marzo de 2009.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39">
    <w:p w14:paraId="357F010D" w14:textId="7BEED5E6"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w:t>
      </w:r>
      <w:r>
        <w:rPr>
          <w:sz w:val="16"/>
          <w:szCs w:val="16"/>
        </w:rPr>
        <w:t xml:space="preserve"> 15. PGN.</w:t>
      </w:r>
      <w:r w:rsidRPr="006E763F">
        <w:rPr>
          <w:sz w:val="16"/>
          <w:szCs w:val="16"/>
        </w:rPr>
        <w:t xml:space="preserve"> Radicación No. 008-139893. Informe de División Procedimientos de personal sección oficiales. 8 de noviembre de 1993.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40">
    <w:p w14:paraId="6458121B" w14:textId="5B836580"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Escrito </w:t>
      </w:r>
      <w:r w:rsidRPr="006E763F">
        <w:rPr>
          <w:sz w:val="16"/>
          <w:szCs w:val="16"/>
        </w:rPr>
        <w:t>del Estado de 16 de noviembre de 2017.</w:t>
      </w:r>
    </w:p>
  </w:footnote>
  <w:footnote w:id="41">
    <w:p w14:paraId="21BB9377" w14:textId="3C9473A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16</w:t>
      </w:r>
      <w:r w:rsidRPr="006E763F">
        <w:rPr>
          <w:sz w:val="16"/>
          <w:szCs w:val="16"/>
        </w:rPr>
        <w:t xml:space="preserve">. Resolución del 54 Penal del Circuito sobre recurso de Habeas Corpus en favor de Pedro Julio Movilla Galarcio. 19 de mayo de 1993. Rechaza el recurso en virtud del art. 432 del Código de Procedimiento Penal que señala que en la “solicitud se debe manifestar el lugar en donde se encuentra el capturado y en lo posible, el nombre del funcionario que ha ordenado la captura”.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42">
    <w:p w14:paraId="34150729" w14:textId="74E56F7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17</w:t>
      </w:r>
      <w:r w:rsidRPr="006E763F">
        <w:rPr>
          <w:sz w:val="16"/>
          <w:szCs w:val="16"/>
        </w:rPr>
        <w:t xml:space="preserve">. Resolución de Investigación previa de la Fiscalía Regional de Medellín. 7 de septiembre de 1993.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43">
    <w:p w14:paraId="25C07BF3" w14:textId="4578FB5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18</w:t>
      </w:r>
      <w:r w:rsidRPr="006E763F">
        <w:rPr>
          <w:sz w:val="16"/>
          <w:szCs w:val="16"/>
        </w:rPr>
        <w:t xml:space="preserve">. Carta de FESUTRAN dirigida a PGN. 10 de junio de 1993. </w:t>
      </w:r>
      <w:r w:rsidRPr="006E763F">
        <w:rPr>
          <w:sz w:val="16"/>
          <w:szCs w:val="16"/>
          <w:lang w:val="es-CL"/>
        </w:rPr>
        <w:t xml:space="preserve">Anexo a escrito de la parte peticionaria de 28 de </w:t>
      </w:r>
      <w:r>
        <w:rPr>
          <w:sz w:val="16"/>
          <w:szCs w:val="16"/>
          <w:lang w:val="es-CL"/>
        </w:rPr>
        <w:t>enero de 2012</w:t>
      </w:r>
      <w:r w:rsidRPr="006E763F">
        <w:rPr>
          <w:sz w:val="16"/>
          <w:szCs w:val="16"/>
          <w:lang w:val="es-CL"/>
        </w:rPr>
        <w:t>.</w:t>
      </w:r>
    </w:p>
  </w:footnote>
  <w:footnote w:id="44">
    <w:p w14:paraId="645FDAC3" w14:textId="20F2593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19</w:t>
      </w:r>
      <w:r w:rsidRPr="006E763F">
        <w:rPr>
          <w:sz w:val="16"/>
          <w:szCs w:val="16"/>
        </w:rPr>
        <w:t xml:space="preserve">. Remisión por competencia de la Fiscalía Regional de Medellín. 19 de octubre de 1993.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45">
    <w:p w14:paraId="591C8C32" w14:textId="1A894AE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 xml:space="preserve">20. PGN. </w:t>
      </w:r>
      <w:r w:rsidRPr="006E763F">
        <w:rPr>
          <w:sz w:val="16"/>
          <w:szCs w:val="16"/>
        </w:rPr>
        <w:t xml:space="preserve">Radicación No. 008-139893. Queja presentada por Candelaria Vergara. 19 de mayo 1995. </w:t>
      </w:r>
      <w:r w:rsidRPr="006E763F">
        <w:rPr>
          <w:sz w:val="16"/>
          <w:szCs w:val="16"/>
          <w:lang w:val="es-CL"/>
        </w:rPr>
        <w:t xml:space="preserve">Anexo a escrito de la parte peticionaria de 28 de enero </w:t>
      </w:r>
      <w:r>
        <w:rPr>
          <w:sz w:val="16"/>
          <w:szCs w:val="16"/>
          <w:lang w:val="es-CL"/>
        </w:rPr>
        <w:t xml:space="preserve">de </w:t>
      </w:r>
      <w:r w:rsidRPr="006E763F">
        <w:rPr>
          <w:sz w:val="16"/>
          <w:szCs w:val="16"/>
          <w:lang w:val="es-CL"/>
        </w:rPr>
        <w:t>2012.</w:t>
      </w:r>
    </w:p>
  </w:footnote>
  <w:footnote w:id="46">
    <w:p w14:paraId="1E783D4D" w14:textId="03FA21C1"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21. PGN. </w:t>
      </w:r>
      <w:r w:rsidRPr="006E763F">
        <w:rPr>
          <w:sz w:val="16"/>
          <w:szCs w:val="16"/>
        </w:rPr>
        <w:t xml:space="preserve">Radicación No. 008-139893. Informe de labores de indagación preliminar ordenada el 17 de junio de 1993. Anexo a escrito de la parte peticionaria de 28 de enero </w:t>
      </w:r>
      <w:r>
        <w:rPr>
          <w:sz w:val="16"/>
          <w:szCs w:val="16"/>
        </w:rPr>
        <w:t xml:space="preserve">de </w:t>
      </w:r>
      <w:r w:rsidRPr="006E763F">
        <w:rPr>
          <w:sz w:val="16"/>
          <w:szCs w:val="16"/>
        </w:rPr>
        <w:t>2012.</w:t>
      </w:r>
    </w:p>
  </w:footnote>
  <w:footnote w:id="47">
    <w:p w14:paraId="74642CC8" w14:textId="0CAEE04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22. PGN. Radicación No. 008-139893. </w:t>
      </w:r>
      <w:r w:rsidRPr="006E763F">
        <w:rPr>
          <w:sz w:val="16"/>
          <w:szCs w:val="16"/>
        </w:rPr>
        <w:t xml:space="preserve">Comunicación de 05 de abril de 1995. Anexo a escrito de la parte peticionaria de 28 de enero </w:t>
      </w:r>
      <w:r>
        <w:rPr>
          <w:sz w:val="16"/>
          <w:szCs w:val="16"/>
        </w:rPr>
        <w:t xml:space="preserve">de </w:t>
      </w:r>
      <w:r w:rsidRPr="006E763F">
        <w:rPr>
          <w:sz w:val="16"/>
          <w:szCs w:val="16"/>
        </w:rPr>
        <w:t>2012.</w:t>
      </w:r>
    </w:p>
  </w:footnote>
  <w:footnote w:id="48">
    <w:p w14:paraId="2B999AB2" w14:textId="654831B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23. PGN. </w:t>
      </w:r>
      <w:r w:rsidRPr="006E763F">
        <w:rPr>
          <w:sz w:val="16"/>
          <w:szCs w:val="16"/>
        </w:rPr>
        <w:t xml:space="preserve">Radicación No. 008-139893. Oficio de la Policía Metropolitana, Estación 100 a la PGN. 27 de mayo de 1993. Anexo a escrito de la parte peticionaria de 28 de enero </w:t>
      </w:r>
      <w:r>
        <w:rPr>
          <w:sz w:val="16"/>
          <w:szCs w:val="16"/>
        </w:rPr>
        <w:t xml:space="preserve">de </w:t>
      </w:r>
      <w:r w:rsidRPr="006E763F">
        <w:rPr>
          <w:sz w:val="16"/>
          <w:szCs w:val="16"/>
        </w:rPr>
        <w:t xml:space="preserve">2012; Anexo </w:t>
      </w:r>
      <w:r>
        <w:rPr>
          <w:sz w:val="16"/>
          <w:szCs w:val="16"/>
        </w:rPr>
        <w:t xml:space="preserve">24. PGN. </w:t>
      </w:r>
      <w:r w:rsidRPr="006E763F">
        <w:rPr>
          <w:sz w:val="16"/>
          <w:szCs w:val="16"/>
        </w:rPr>
        <w:t xml:space="preserve">Radicación No. 008-139893. Informe evaluativo sobre diligencias de investigación. 4 de junio de 1993. Anexo a escrito de la parte peticionaria de 28 de enero </w:t>
      </w:r>
      <w:r>
        <w:rPr>
          <w:sz w:val="16"/>
          <w:szCs w:val="16"/>
        </w:rPr>
        <w:t xml:space="preserve">de </w:t>
      </w:r>
      <w:r w:rsidRPr="006E763F">
        <w:rPr>
          <w:sz w:val="16"/>
          <w:szCs w:val="16"/>
        </w:rPr>
        <w:t xml:space="preserve">2012; y Anexo </w:t>
      </w:r>
      <w:r>
        <w:rPr>
          <w:sz w:val="16"/>
          <w:szCs w:val="16"/>
        </w:rPr>
        <w:t>25. PGN.</w:t>
      </w:r>
      <w:r w:rsidRPr="006E763F">
        <w:rPr>
          <w:sz w:val="16"/>
          <w:szCs w:val="16"/>
        </w:rPr>
        <w:t xml:space="preserve"> Radicación No. 008-139893. Declaración juramentada rendida por Ramiro Bohórquez Neuta. 15 de diciembre 1993. Anexo a escrito de la parte peticionaria de 28 de enero </w:t>
      </w:r>
      <w:r>
        <w:rPr>
          <w:sz w:val="16"/>
          <w:szCs w:val="16"/>
        </w:rPr>
        <w:t xml:space="preserve">de </w:t>
      </w:r>
      <w:r w:rsidRPr="006E763F">
        <w:rPr>
          <w:sz w:val="16"/>
          <w:szCs w:val="16"/>
        </w:rPr>
        <w:t xml:space="preserve">2012. </w:t>
      </w:r>
    </w:p>
  </w:footnote>
  <w:footnote w:id="49">
    <w:p w14:paraId="36C483F4" w14:textId="2D022088"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26</w:t>
      </w:r>
      <w:r w:rsidRPr="006E763F">
        <w:rPr>
          <w:sz w:val="16"/>
          <w:szCs w:val="16"/>
        </w:rPr>
        <w:t>. PGN</w:t>
      </w:r>
      <w:r>
        <w:rPr>
          <w:sz w:val="16"/>
          <w:szCs w:val="16"/>
        </w:rPr>
        <w:t>.</w:t>
      </w:r>
      <w:r w:rsidRPr="006E763F">
        <w:rPr>
          <w:sz w:val="16"/>
          <w:szCs w:val="16"/>
        </w:rPr>
        <w:t xml:space="preserve"> Radicación No. 008-139893. Acta de visita especial adelantada en el Juzgado 51 Penal del Circuito. Proceso penal C-545 contra Pedro Julián Pabón Díaz por los delitos de Porte ilegal de Armas, Cohecho, Usurpación de funciones Públicas y Circulación de moneda falsa. Oficina de Investigaciones Especiales de la PGN. 14 de diciembre de 1993. Anexo a escrito de la parte peticionaria de 28 de enero </w:t>
      </w:r>
      <w:r>
        <w:rPr>
          <w:sz w:val="16"/>
          <w:szCs w:val="16"/>
        </w:rPr>
        <w:t xml:space="preserve">de </w:t>
      </w:r>
      <w:r w:rsidRPr="006E763F">
        <w:rPr>
          <w:sz w:val="16"/>
          <w:szCs w:val="16"/>
        </w:rPr>
        <w:t>2012.</w:t>
      </w:r>
    </w:p>
  </w:footnote>
  <w:footnote w:id="50">
    <w:p w14:paraId="2016484B" w14:textId="5E397E43"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w:t>
      </w:r>
      <w:r>
        <w:rPr>
          <w:sz w:val="16"/>
          <w:szCs w:val="16"/>
        </w:rPr>
        <w:t xml:space="preserve">Anexo 22. PGN. Radicación No. 008-139893. </w:t>
      </w:r>
      <w:r w:rsidRPr="006E763F">
        <w:rPr>
          <w:sz w:val="16"/>
          <w:szCs w:val="16"/>
        </w:rPr>
        <w:t xml:space="preserve">Comunicación de 05 de abril de 1995. Anexo a escrito de la parte peticionaria de 28 de enero </w:t>
      </w:r>
      <w:r>
        <w:rPr>
          <w:sz w:val="16"/>
          <w:szCs w:val="16"/>
        </w:rPr>
        <w:t xml:space="preserve">de </w:t>
      </w:r>
      <w:r w:rsidRPr="006E763F">
        <w:rPr>
          <w:sz w:val="16"/>
          <w:szCs w:val="16"/>
        </w:rPr>
        <w:t>2012.</w:t>
      </w:r>
    </w:p>
  </w:footnote>
  <w:footnote w:id="51">
    <w:p w14:paraId="11E031C0" w14:textId="17666782"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 xml:space="preserve">27. PGN. </w:t>
      </w:r>
      <w:r w:rsidRPr="006E763F">
        <w:rPr>
          <w:sz w:val="16"/>
          <w:szCs w:val="16"/>
        </w:rPr>
        <w:t xml:space="preserve">Radicación No. 008-139893. Acta Visita especial en Oficina de División de Documentación Grupo de Archivos de Impuestos y Aduanas Nacionales de Personas naturales, Santa Fe. Bogotá. 4 de noviembre de 1993. Anexo a escrito de la parte peticionaria de 28 de enero </w:t>
      </w:r>
      <w:r>
        <w:rPr>
          <w:sz w:val="16"/>
          <w:szCs w:val="16"/>
        </w:rPr>
        <w:t xml:space="preserve">de </w:t>
      </w:r>
      <w:r w:rsidRPr="006E763F">
        <w:rPr>
          <w:sz w:val="16"/>
          <w:szCs w:val="16"/>
        </w:rPr>
        <w:t>2012.</w:t>
      </w:r>
    </w:p>
  </w:footnote>
  <w:footnote w:id="52">
    <w:p w14:paraId="60E157AF" w14:textId="7A9B3A0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28</w:t>
      </w:r>
      <w:r w:rsidRPr="006E763F">
        <w:rPr>
          <w:sz w:val="16"/>
          <w:szCs w:val="16"/>
        </w:rPr>
        <w:t>. PGN</w:t>
      </w:r>
      <w:r>
        <w:rPr>
          <w:sz w:val="16"/>
          <w:szCs w:val="16"/>
        </w:rPr>
        <w:t>.</w:t>
      </w:r>
      <w:r w:rsidRPr="006E763F">
        <w:rPr>
          <w:sz w:val="16"/>
          <w:szCs w:val="16"/>
        </w:rPr>
        <w:t xml:space="preserve"> Radicación No. 008-139893. Acta de Visita especial practicada en la Oficina de Castrato de la ciudad de Fusagasuga (Cundinamarca). 18 de junio de 1993; Anexo </w:t>
      </w:r>
      <w:r>
        <w:rPr>
          <w:sz w:val="16"/>
          <w:szCs w:val="16"/>
        </w:rPr>
        <w:t>29</w:t>
      </w:r>
      <w:r w:rsidRPr="006E763F">
        <w:rPr>
          <w:sz w:val="16"/>
          <w:szCs w:val="16"/>
        </w:rPr>
        <w:t>. PGN</w:t>
      </w:r>
      <w:r>
        <w:rPr>
          <w:sz w:val="16"/>
          <w:szCs w:val="16"/>
        </w:rPr>
        <w:t>.</w:t>
      </w:r>
      <w:r w:rsidRPr="006E763F">
        <w:rPr>
          <w:sz w:val="16"/>
          <w:szCs w:val="16"/>
        </w:rPr>
        <w:t xml:space="preserve"> Radicación No. 008-139893. Notificación de comparecencia a Pedro Julián Pabón Díaz. 18 de julio</w:t>
      </w:r>
      <w:r>
        <w:rPr>
          <w:sz w:val="16"/>
          <w:szCs w:val="16"/>
        </w:rPr>
        <w:t xml:space="preserve"> de </w:t>
      </w:r>
      <w:r w:rsidRPr="006E763F">
        <w:rPr>
          <w:sz w:val="16"/>
          <w:szCs w:val="16"/>
        </w:rPr>
        <w:t xml:space="preserve">1993; Anexo </w:t>
      </w:r>
      <w:r>
        <w:rPr>
          <w:sz w:val="16"/>
          <w:szCs w:val="16"/>
        </w:rPr>
        <w:t>29</w:t>
      </w:r>
      <w:r w:rsidRPr="006E763F">
        <w:rPr>
          <w:sz w:val="16"/>
          <w:szCs w:val="16"/>
        </w:rPr>
        <w:t>. PGN</w:t>
      </w:r>
      <w:r>
        <w:rPr>
          <w:sz w:val="16"/>
          <w:szCs w:val="16"/>
        </w:rPr>
        <w:t>.</w:t>
      </w:r>
      <w:r w:rsidRPr="006E763F">
        <w:rPr>
          <w:sz w:val="16"/>
          <w:szCs w:val="16"/>
        </w:rPr>
        <w:t xml:space="preserve"> Radicación No. 008-139893. Acta visita especial en Oficina de División de Archivo de Catastro Distrital. 5 de noviembre de 1993. Anexos a escrito de la parte peticionaria de 28 de enero </w:t>
      </w:r>
      <w:r>
        <w:rPr>
          <w:sz w:val="16"/>
          <w:szCs w:val="16"/>
        </w:rPr>
        <w:t xml:space="preserve">de </w:t>
      </w:r>
      <w:r w:rsidRPr="006E763F">
        <w:rPr>
          <w:sz w:val="16"/>
          <w:szCs w:val="16"/>
        </w:rPr>
        <w:t>2012.</w:t>
      </w:r>
    </w:p>
  </w:footnote>
  <w:footnote w:id="53">
    <w:p w14:paraId="3FEDB29C" w14:textId="5EACA17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30. Fiscalía General.</w:t>
      </w:r>
      <w:r w:rsidRPr="006E763F">
        <w:rPr>
          <w:sz w:val="16"/>
          <w:szCs w:val="16"/>
        </w:rPr>
        <w:t xml:space="preserve"> Rad. 096. Resolución No. 003 de 29 de octubre de 1993. Anexo a escrito de la parte peticionaria de 28 de enero </w:t>
      </w:r>
      <w:r>
        <w:rPr>
          <w:sz w:val="16"/>
          <w:szCs w:val="16"/>
        </w:rPr>
        <w:t xml:space="preserve">de </w:t>
      </w:r>
      <w:r w:rsidRPr="006E763F">
        <w:rPr>
          <w:sz w:val="16"/>
          <w:szCs w:val="16"/>
        </w:rPr>
        <w:t>2012.</w:t>
      </w:r>
    </w:p>
  </w:footnote>
  <w:footnote w:id="54">
    <w:p w14:paraId="1CE9E2F1" w14:textId="54F42D7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31</w:t>
      </w:r>
      <w:r w:rsidRPr="006E763F">
        <w:rPr>
          <w:sz w:val="16"/>
          <w:szCs w:val="16"/>
        </w:rPr>
        <w:t>. PGN</w:t>
      </w:r>
      <w:r>
        <w:rPr>
          <w:sz w:val="16"/>
          <w:szCs w:val="16"/>
        </w:rPr>
        <w:t>.</w:t>
      </w:r>
      <w:r w:rsidRPr="006E763F">
        <w:rPr>
          <w:sz w:val="16"/>
          <w:szCs w:val="16"/>
        </w:rPr>
        <w:t xml:space="preserve"> Radicación No. 008-139893. Acta de visita practicada en Oficina de información de la Registraduría Nacional. 12 de julio de 1993. Anexo a escrito de la parte peticionaria de 28 de enero </w:t>
      </w:r>
      <w:r>
        <w:rPr>
          <w:sz w:val="16"/>
          <w:szCs w:val="16"/>
        </w:rPr>
        <w:t xml:space="preserve">de </w:t>
      </w:r>
      <w:r w:rsidRPr="006E763F">
        <w:rPr>
          <w:sz w:val="16"/>
          <w:szCs w:val="16"/>
        </w:rPr>
        <w:t>2012.</w:t>
      </w:r>
    </w:p>
  </w:footnote>
  <w:footnote w:id="55">
    <w:p w14:paraId="53B3E9FA" w14:textId="158784F8"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32</w:t>
      </w:r>
      <w:r w:rsidRPr="006E763F">
        <w:rPr>
          <w:sz w:val="16"/>
          <w:szCs w:val="16"/>
        </w:rPr>
        <w:t>. PGN</w:t>
      </w:r>
      <w:r>
        <w:rPr>
          <w:sz w:val="16"/>
          <w:szCs w:val="16"/>
        </w:rPr>
        <w:t>.</w:t>
      </w:r>
      <w:r w:rsidRPr="006E763F">
        <w:rPr>
          <w:sz w:val="16"/>
          <w:szCs w:val="16"/>
        </w:rPr>
        <w:t xml:space="preserve"> Radicación No. 008-139893. Informe de la Oficina de Identificación y personas desaparecidas del Instituto Nacional de Medicina Legal y Ciencias Forenses. 9 de julio de 1993. Anexo a escrito de la parte peticionaria de 28 de enero </w:t>
      </w:r>
      <w:r>
        <w:rPr>
          <w:sz w:val="16"/>
          <w:szCs w:val="16"/>
        </w:rPr>
        <w:t xml:space="preserve">de </w:t>
      </w:r>
      <w:r w:rsidRPr="006E763F">
        <w:rPr>
          <w:sz w:val="16"/>
          <w:szCs w:val="16"/>
        </w:rPr>
        <w:t>2012.</w:t>
      </w:r>
    </w:p>
  </w:footnote>
  <w:footnote w:id="56">
    <w:p w14:paraId="3823FF07" w14:textId="28A82AAD"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33. PGN.</w:t>
      </w:r>
      <w:r w:rsidRPr="006E763F">
        <w:rPr>
          <w:sz w:val="16"/>
          <w:szCs w:val="16"/>
        </w:rPr>
        <w:t xml:space="preserve"> Radicación No. 008-139893. Acta de visita practicada en la Oficina de archivos especializados de la DAS. 5 de agosto de 1993. Anexo a escrito de la parte peticionaria de 28 de enero </w:t>
      </w:r>
      <w:r>
        <w:rPr>
          <w:sz w:val="16"/>
          <w:szCs w:val="16"/>
        </w:rPr>
        <w:t xml:space="preserve">de </w:t>
      </w:r>
      <w:r w:rsidRPr="006E763F">
        <w:rPr>
          <w:sz w:val="16"/>
          <w:szCs w:val="16"/>
        </w:rPr>
        <w:t>2012.</w:t>
      </w:r>
    </w:p>
  </w:footnote>
  <w:footnote w:id="57">
    <w:p w14:paraId="57FB75E6" w14:textId="6B5E010C"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34. PGN.</w:t>
      </w:r>
      <w:r w:rsidRPr="006E763F">
        <w:rPr>
          <w:sz w:val="16"/>
          <w:szCs w:val="16"/>
        </w:rPr>
        <w:t xml:space="preserve"> Radicación No. 008-139893. Acta visita especial en de la Unidad de Necrodactilias de Dijin, División Criminalística. 4 de agosto de 1993. Anexo a escrito de la parte peticionaria de 28 de enero </w:t>
      </w:r>
      <w:r>
        <w:rPr>
          <w:sz w:val="16"/>
          <w:szCs w:val="16"/>
        </w:rPr>
        <w:t xml:space="preserve">de </w:t>
      </w:r>
      <w:r w:rsidRPr="006E763F">
        <w:rPr>
          <w:sz w:val="16"/>
          <w:szCs w:val="16"/>
        </w:rPr>
        <w:t>2012.</w:t>
      </w:r>
    </w:p>
  </w:footnote>
  <w:footnote w:id="58">
    <w:p w14:paraId="64E6E7E5" w14:textId="6D7107F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35</w:t>
      </w:r>
      <w:r w:rsidRPr="006E763F">
        <w:rPr>
          <w:sz w:val="16"/>
          <w:szCs w:val="16"/>
        </w:rPr>
        <w:t>. PGN</w:t>
      </w:r>
      <w:r>
        <w:rPr>
          <w:sz w:val="16"/>
          <w:szCs w:val="16"/>
        </w:rPr>
        <w:t>.</w:t>
      </w:r>
      <w:r w:rsidRPr="006E763F">
        <w:rPr>
          <w:sz w:val="16"/>
          <w:szCs w:val="16"/>
        </w:rPr>
        <w:t xml:space="preserve"> Radicación No. 008-139893. Informe de la Sección Nacional N.N y Desaparecidos del Cuerpo Técnico de Investigación División Criminalística de la Fiscalía General. 26 de agosto de 1993. Anexo a escrito de la parte peticionaria de 28 de </w:t>
      </w:r>
      <w:r>
        <w:rPr>
          <w:sz w:val="16"/>
          <w:szCs w:val="16"/>
        </w:rPr>
        <w:t>enero de 2012</w:t>
      </w:r>
      <w:r w:rsidRPr="006E763F">
        <w:rPr>
          <w:sz w:val="16"/>
          <w:szCs w:val="16"/>
        </w:rPr>
        <w:t>.</w:t>
      </w:r>
    </w:p>
  </w:footnote>
  <w:footnote w:id="59">
    <w:p w14:paraId="095B3940" w14:textId="6C08923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36</w:t>
      </w:r>
      <w:r w:rsidRPr="006E763F">
        <w:rPr>
          <w:sz w:val="16"/>
          <w:szCs w:val="16"/>
        </w:rPr>
        <w:t>. PGN</w:t>
      </w:r>
      <w:r>
        <w:rPr>
          <w:sz w:val="16"/>
          <w:szCs w:val="16"/>
        </w:rPr>
        <w:t>.</w:t>
      </w:r>
      <w:r w:rsidRPr="006E763F">
        <w:rPr>
          <w:sz w:val="16"/>
          <w:szCs w:val="16"/>
        </w:rPr>
        <w:t xml:space="preserve"> Radicación No. 008-139893. Oficio de Oficina de Identificación y Personas Desaparecidas. Oficio No. 092-93-OPD de 9 de julio de 1993. Anexo a escrito de la parte peticionaria de 28 de </w:t>
      </w:r>
      <w:r>
        <w:rPr>
          <w:sz w:val="16"/>
          <w:szCs w:val="16"/>
        </w:rPr>
        <w:t>enero de 2012</w:t>
      </w:r>
      <w:r w:rsidRPr="006E763F">
        <w:rPr>
          <w:sz w:val="16"/>
          <w:szCs w:val="16"/>
        </w:rPr>
        <w:t>.</w:t>
      </w:r>
    </w:p>
  </w:footnote>
  <w:footnote w:id="60">
    <w:p w14:paraId="0BB005CC" w14:textId="35ADC6BA"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37</w:t>
      </w:r>
      <w:r w:rsidRPr="006E763F">
        <w:rPr>
          <w:sz w:val="16"/>
          <w:szCs w:val="16"/>
        </w:rPr>
        <w:t xml:space="preserve">. </w:t>
      </w:r>
      <w:r>
        <w:rPr>
          <w:sz w:val="16"/>
          <w:szCs w:val="16"/>
        </w:rPr>
        <w:t>PGN.</w:t>
      </w:r>
      <w:r w:rsidRPr="006E763F">
        <w:rPr>
          <w:sz w:val="16"/>
          <w:szCs w:val="16"/>
        </w:rPr>
        <w:t xml:space="preserve"> Radicación No. 008-139893. Acta de visita practicada en Laboratorio de dactiloscopia del Instituto Nacional de Medicina Legal y Ciencias Forenses. 1 de septiembre de 1993. Anexo a escrito de la parte peticionaria de 28 de </w:t>
      </w:r>
      <w:r>
        <w:rPr>
          <w:sz w:val="16"/>
          <w:szCs w:val="16"/>
        </w:rPr>
        <w:t>enero de 2012</w:t>
      </w:r>
      <w:r w:rsidRPr="006E763F">
        <w:rPr>
          <w:sz w:val="16"/>
          <w:szCs w:val="16"/>
        </w:rPr>
        <w:t>.</w:t>
      </w:r>
    </w:p>
  </w:footnote>
  <w:footnote w:id="61">
    <w:p w14:paraId="7ADB29C3" w14:textId="5F74F96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38</w:t>
      </w:r>
      <w:r w:rsidRPr="006E763F">
        <w:rPr>
          <w:sz w:val="16"/>
          <w:szCs w:val="16"/>
        </w:rPr>
        <w:t xml:space="preserve">. </w:t>
      </w:r>
      <w:r>
        <w:rPr>
          <w:sz w:val="16"/>
          <w:szCs w:val="16"/>
        </w:rPr>
        <w:t>PGN.</w:t>
      </w:r>
      <w:r w:rsidRPr="006E763F">
        <w:rPr>
          <w:sz w:val="16"/>
          <w:szCs w:val="16"/>
        </w:rPr>
        <w:t xml:space="preserve"> Radicación No. 008-139893. Acta de inspección al CAI 72. 20 de mayo de 1993; Anexo </w:t>
      </w:r>
      <w:r>
        <w:rPr>
          <w:sz w:val="16"/>
          <w:szCs w:val="16"/>
        </w:rPr>
        <w:t>39</w:t>
      </w:r>
      <w:r w:rsidRPr="006E763F">
        <w:rPr>
          <w:sz w:val="16"/>
          <w:szCs w:val="16"/>
        </w:rPr>
        <w:t xml:space="preserve">. </w:t>
      </w:r>
      <w:r>
        <w:rPr>
          <w:sz w:val="16"/>
          <w:szCs w:val="16"/>
        </w:rPr>
        <w:t>PGN.</w:t>
      </w:r>
      <w:r w:rsidRPr="006E763F">
        <w:rPr>
          <w:sz w:val="16"/>
          <w:szCs w:val="16"/>
        </w:rPr>
        <w:t xml:space="preserve"> Radicación No. 008-139893. Acta de visita especial en el comando de la Estación Cien “C.A.D” de la Policía Nacional, en Santa fe de Bogotá. 26 de mayo de 1993; Anexo </w:t>
      </w:r>
      <w:r>
        <w:rPr>
          <w:sz w:val="16"/>
          <w:szCs w:val="16"/>
        </w:rPr>
        <w:t>40</w:t>
      </w:r>
      <w:r w:rsidRPr="006E763F">
        <w:rPr>
          <w:sz w:val="16"/>
          <w:szCs w:val="16"/>
        </w:rPr>
        <w:t xml:space="preserve">. </w:t>
      </w:r>
      <w:r>
        <w:rPr>
          <w:sz w:val="16"/>
          <w:szCs w:val="16"/>
        </w:rPr>
        <w:t>PGN.</w:t>
      </w:r>
      <w:r w:rsidRPr="006E763F">
        <w:rPr>
          <w:sz w:val="16"/>
          <w:szCs w:val="16"/>
        </w:rPr>
        <w:t xml:space="preserve"> Radicación No. 008-139893. Acta de visita especial practicada en la sala de retenidos de la DAS, Santa Fe de Bogotá D.C. 28 de mayo de 1993; Anexo </w:t>
      </w:r>
      <w:r>
        <w:rPr>
          <w:sz w:val="16"/>
          <w:szCs w:val="16"/>
        </w:rPr>
        <w:t>41</w:t>
      </w:r>
      <w:r w:rsidRPr="006E763F">
        <w:rPr>
          <w:sz w:val="16"/>
          <w:szCs w:val="16"/>
        </w:rPr>
        <w:t xml:space="preserve">. </w:t>
      </w:r>
      <w:r>
        <w:rPr>
          <w:sz w:val="16"/>
          <w:szCs w:val="16"/>
        </w:rPr>
        <w:t>PGN.</w:t>
      </w:r>
      <w:r w:rsidRPr="006E763F">
        <w:rPr>
          <w:sz w:val="16"/>
          <w:szCs w:val="16"/>
        </w:rPr>
        <w:t xml:space="preserve"> Radicación No. 008-139893. Acta de visita especial en la sala de retenidos del Sijin y DAS. 28 de mayo de 1993; Anexo </w:t>
      </w:r>
      <w:r>
        <w:rPr>
          <w:sz w:val="16"/>
          <w:szCs w:val="16"/>
        </w:rPr>
        <w:t>42</w:t>
      </w:r>
      <w:r w:rsidRPr="006E763F">
        <w:rPr>
          <w:sz w:val="16"/>
          <w:szCs w:val="16"/>
        </w:rPr>
        <w:t>. Fiscalía General</w:t>
      </w:r>
      <w:r>
        <w:rPr>
          <w:sz w:val="16"/>
          <w:szCs w:val="16"/>
        </w:rPr>
        <w:t>.</w:t>
      </w:r>
      <w:r w:rsidRPr="006E763F">
        <w:rPr>
          <w:sz w:val="16"/>
          <w:szCs w:val="16"/>
        </w:rPr>
        <w:t xml:space="preserve"> Rad. 096. Informe de Fiscalía General de 31 de mayo de 1993. Anexos a escrito de la parte peticionaria de 28 de </w:t>
      </w:r>
      <w:r>
        <w:rPr>
          <w:sz w:val="16"/>
          <w:szCs w:val="16"/>
        </w:rPr>
        <w:t>enero de 2012</w:t>
      </w:r>
      <w:r w:rsidRPr="006E763F">
        <w:rPr>
          <w:sz w:val="16"/>
          <w:szCs w:val="16"/>
        </w:rPr>
        <w:t>.</w:t>
      </w:r>
    </w:p>
  </w:footnote>
  <w:footnote w:id="62">
    <w:p w14:paraId="38B7FB97" w14:textId="100B948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Anexo 43</w:t>
      </w:r>
      <w:r w:rsidRPr="006E763F">
        <w:rPr>
          <w:sz w:val="16"/>
          <w:szCs w:val="16"/>
        </w:rPr>
        <w:t xml:space="preserve">. </w:t>
      </w:r>
      <w:r>
        <w:rPr>
          <w:sz w:val="16"/>
          <w:szCs w:val="16"/>
        </w:rPr>
        <w:t>PGN.</w:t>
      </w:r>
      <w:r w:rsidRPr="006E763F">
        <w:rPr>
          <w:sz w:val="16"/>
          <w:szCs w:val="16"/>
        </w:rPr>
        <w:t xml:space="preserve"> Radicación No. 008-139893. Informe de Procuraduría Delegada para la Defensa de los Derechos Humanos sobre revocación de decisión de archivo de 27 de marzo de 1998. Notificada el 24 de agosto de 1998. </w:t>
      </w:r>
      <w:r w:rsidRPr="006E763F">
        <w:rPr>
          <w:sz w:val="16"/>
          <w:szCs w:val="16"/>
          <w:lang w:val="es-CL"/>
        </w:rPr>
        <w:t xml:space="preserve">Anexo a escrito de la parte peticionaria de 28 de </w:t>
      </w:r>
      <w:r>
        <w:rPr>
          <w:sz w:val="16"/>
          <w:szCs w:val="16"/>
          <w:lang w:val="es-CL"/>
        </w:rPr>
        <w:t>enero de 2012</w:t>
      </w:r>
      <w:r w:rsidRPr="006E763F">
        <w:rPr>
          <w:sz w:val="16"/>
          <w:szCs w:val="16"/>
          <w:lang w:val="es-CL"/>
        </w:rPr>
        <w:t>.</w:t>
      </w:r>
    </w:p>
  </w:footnote>
  <w:footnote w:id="63">
    <w:p w14:paraId="053B9CD0" w14:textId="7977D77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Escrito</w:t>
      </w:r>
      <w:r w:rsidRPr="006E763F">
        <w:rPr>
          <w:sz w:val="16"/>
          <w:szCs w:val="16"/>
        </w:rPr>
        <w:t xml:space="preserve"> del Estado de 16 noviembre de 2017.</w:t>
      </w:r>
    </w:p>
  </w:footnote>
  <w:footnote w:id="64">
    <w:p w14:paraId="44DE290F" w14:textId="327CEB0C"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44. Fiscalía General. </w:t>
      </w:r>
      <w:r w:rsidRPr="006E763F">
        <w:rPr>
          <w:sz w:val="16"/>
          <w:szCs w:val="16"/>
        </w:rPr>
        <w:t xml:space="preserve">Rad. 096. Informe de la Fiscalía General de 31 de marzo de 1993. Se informan dos declaraciones testimoniales de Candelaria Vergara, Olga Inés Medina, visitas a instalaciones de Medicina Legal, Dijin, Sijin, DAS y Fuerzas Militares. Anexos a escrito de la parte peticionaria de 28 de </w:t>
      </w:r>
      <w:r>
        <w:rPr>
          <w:sz w:val="16"/>
          <w:szCs w:val="16"/>
        </w:rPr>
        <w:t>enero de 2012</w:t>
      </w:r>
      <w:r w:rsidRPr="006E763F">
        <w:rPr>
          <w:sz w:val="16"/>
          <w:szCs w:val="16"/>
        </w:rPr>
        <w:t>.</w:t>
      </w:r>
    </w:p>
  </w:footnote>
  <w:footnote w:id="65">
    <w:p w14:paraId="19D9EACF" w14:textId="6D79965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45. Fiscalía General.</w:t>
      </w:r>
      <w:r w:rsidRPr="006E763F">
        <w:rPr>
          <w:sz w:val="16"/>
          <w:szCs w:val="16"/>
        </w:rPr>
        <w:t xml:space="preserve"> Rad. No. 096. Oficio a ASFADDES. 17 de febrero de 1994; Anexo </w:t>
      </w:r>
      <w:r>
        <w:rPr>
          <w:sz w:val="16"/>
          <w:szCs w:val="16"/>
        </w:rPr>
        <w:t>46</w:t>
      </w:r>
      <w:r w:rsidRPr="006E763F">
        <w:rPr>
          <w:sz w:val="16"/>
          <w:szCs w:val="16"/>
        </w:rPr>
        <w:t xml:space="preserve">. </w:t>
      </w:r>
      <w:r>
        <w:rPr>
          <w:sz w:val="16"/>
          <w:szCs w:val="16"/>
        </w:rPr>
        <w:t>Fiscalía General.</w:t>
      </w:r>
      <w:r w:rsidRPr="006E763F">
        <w:rPr>
          <w:sz w:val="16"/>
          <w:szCs w:val="16"/>
        </w:rPr>
        <w:t xml:space="preserve"> Rad. 096. Oficio a la División de Laboratorio e Identificación. 29 de marzo de 1994; Anexo </w:t>
      </w:r>
      <w:r>
        <w:rPr>
          <w:sz w:val="16"/>
          <w:szCs w:val="16"/>
        </w:rPr>
        <w:t>3.</w:t>
      </w:r>
      <w:r w:rsidRPr="006E763F">
        <w:rPr>
          <w:sz w:val="16"/>
          <w:szCs w:val="16"/>
        </w:rPr>
        <w:t xml:space="preserve"> </w:t>
      </w:r>
      <w:r>
        <w:rPr>
          <w:sz w:val="16"/>
          <w:szCs w:val="16"/>
        </w:rPr>
        <w:t>Fiscalía General.</w:t>
      </w:r>
      <w:r w:rsidRPr="006E763F">
        <w:rPr>
          <w:sz w:val="16"/>
          <w:szCs w:val="16"/>
        </w:rPr>
        <w:t xml:space="preserve"> Rad. 096. Diligencia de declaración de Candelaria Vergara. 13 de abril de 1994. Anexos a escrito de la parte peticionaria de 28 de </w:t>
      </w:r>
      <w:r>
        <w:rPr>
          <w:sz w:val="16"/>
          <w:szCs w:val="16"/>
        </w:rPr>
        <w:t>enero de 2012</w:t>
      </w:r>
      <w:r w:rsidRPr="006E763F">
        <w:rPr>
          <w:sz w:val="16"/>
          <w:szCs w:val="16"/>
        </w:rPr>
        <w:t xml:space="preserve">.  </w:t>
      </w:r>
    </w:p>
  </w:footnote>
  <w:footnote w:id="66">
    <w:p w14:paraId="7B5AC3D6" w14:textId="7348075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w:t>
      </w:r>
      <w:r w:rsidRPr="006E763F">
        <w:rPr>
          <w:sz w:val="16"/>
          <w:szCs w:val="16"/>
        </w:rPr>
        <w:t>Escrito de la parte peticionaria de 15 de junio de 2016.</w:t>
      </w:r>
    </w:p>
  </w:footnote>
  <w:footnote w:id="67">
    <w:p w14:paraId="6417D550" w14:textId="7351E43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47</w:t>
      </w:r>
      <w:r w:rsidRPr="006E763F">
        <w:rPr>
          <w:sz w:val="16"/>
          <w:szCs w:val="16"/>
        </w:rPr>
        <w:t xml:space="preserve">. </w:t>
      </w:r>
      <w:r>
        <w:rPr>
          <w:sz w:val="16"/>
          <w:szCs w:val="16"/>
        </w:rPr>
        <w:t>Fiscalía General.</w:t>
      </w:r>
      <w:r w:rsidRPr="006E763F">
        <w:rPr>
          <w:sz w:val="16"/>
          <w:szCs w:val="16"/>
        </w:rPr>
        <w:t xml:space="preserve"> Rad. No. 096. Resolución UDH de 24 de octubre de 1996. Anexo a escrito de la parte peticionaria de 28 de </w:t>
      </w:r>
      <w:r>
        <w:rPr>
          <w:sz w:val="16"/>
          <w:szCs w:val="16"/>
        </w:rPr>
        <w:t>enero de 2012</w:t>
      </w:r>
      <w:r w:rsidRPr="006E763F">
        <w:rPr>
          <w:sz w:val="16"/>
          <w:szCs w:val="16"/>
        </w:rPr>
        <w:t>.</w:t>
      </w:r>
    </w:p>
  </w:footnote>
  <w:footnote w:id="68">
    <w:p w14:paraId="47EE6C42" w14:textId="3E86E031" w:rsidR="00B934ED" w:rsidRPr="006E763F" w:rsidRDefault="00B934ED" w:rsidP="00F23C31">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48</w:t>
      </w:r>
      <w:r w:rsidRPr="006E763F">
        <w:rPr>
          <w:sz w:val="16"/>
          <w:szCs w:val="16"/>
        </w:rPr>
        <w:t xml:space="preserve">. </w:t>
      </w:r>
      <w:r>
        <w:rPr>
          <w:sz w:val="16"/>
          <w:szCs w:val="16"/>
        </w:rPr>
        <w:t>Fiscalía General.</w:t>
      </w:r>
      <w:r w:rsidRPr="006E763F">
        <w:rPr>
          <w:sz w:val="16"/>
          <w:szCs w:val="16"/>
        </w:rPr>
        <w:t xml:space="preserve"> Rad. No. 096. Oficio al Cuerpo técnico de investigación por la Dirección Nacional de Fiscalías Unidad de Derechos Humanos. 8 de abril de 1997. Anexo a escrito de la parte peticionaria de 28 de </w:t>
      </w:r>
      <w:r>
        <w:rPr>
          <w:sz w:val="16"/>
          <w:szCs w:val="16"/>
        </w:rPr>
        <w:t>enero de 2012</w:t>
      </w:r>
      <w:r w:rsidRPr="006E763F">
        <w:rPr>
          <w:sz w:val="16"/>
          <w:szCs w:val="16"/>
        </w:rPr>
        <w:t>.</w:t>
      </w:r>
    </w:p>
  </w:footnote>
  <w:footnote w:id="69">
    <w:p w14:paraId="015F3F8C" w14:textId="5432396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49</w:t>
      </w:r>
      <w:r w:rsidRPr="006E763F">
        <w:rPr>
          <w:sz w:val="16"/>
          <w:szCs w:val="16"/>
        </w:rPr>
        <w:t xml:space="preserve">. </w:t>
      </w:r>
      <w:r>
        <w:rPr>
          <w:sz w:val="16"/>
          <w:szCs w:val="16"/>
        </w:rPr>
        <w:t>Fiscalía General.</w:t>
      </w:r>
      <w:r w:rsidRPr="006E763F">
        <w:rPr>
          <w:sz w:val="16"/>
          <w:szCs w:val="16"/>
        </w:rPr>
        <w:t xml:space="preserve"> Rad. No. 096. Resolución de Fiscal Especializado U.D.H de 11 de diciembre de 2001, en que resolvió que “teniendo en cuenta que hasta la fecha han transcurrido más de 180 días de proferida la resolución de apertura de investigación previa, resulta pertinente dar aplicación a lo establecido en el artículo 326 del C.P.P., por cuanto no ha sido posible establecer, identificar o individualizar a persona alguna como presunta autora o partícipe en los hechos”. Por Constancia Secretarial de 11 de enero de 2002, en relación a dicha resolución, se informó al fiscal de conocimiento que “a esta no se le dio cumplimiento por parte de la suscrita toda vez que el art. 326 del C.P.P fue declarado inexequible por la Corte Constitucional mediante sentencia C-760 de julio 19 de 2001. Anexos a escrito de la parte peticionaria de 28 de </w:t>
      </w:r>
      <w:r>
        <w:rPr>
          <w:sz w:val="16"/>
          <w:szCs w:val="16"/>
        </w:rPr>
        <w:t>enero de 2012</w:t>
      </w:r>
      <w:r w:rsidRPr="006E763F">
        <w:rPr>
          <w:sz w:val="16"/>
          <w:szCs w:val="16"/>
        </w:rPr>
        <w:t>.</w:t>
      </w:r>
    </w:p>
  </w:footnote>
  <w:footnote w:id="70">
    <w:p w14:paraId="3E159D66" w14:textId="74855ED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50</w:t>
      </w:r>
      <w:r w:rsidRPr="006E763F">
        <w:rPr>
          <w:sz w:val="16"/>
          <w:szCs w:val="16"/>
        </w:rPr>
        <w:t xml:space="preserve">. </w:t>
      </w:r>
      <w:r>
        <w:rPr>
          <w:sz w:val="16"/>
          <w:szCs w:val="16"/>
        </w:rPr>
        <w:t>Fiscalía General.</w:t>
      </w:r>
      <w:r w:rsidRPr="006E763F">
        <w:rPr>
          <w:sz w:val="16"/>
          <w:szCs w:val="16"/>
        </w:rPr>
        <w:t xml:space="preserve"> Rad. No. 096. Auto/resolución Fiscalía 23 especializada avoca conocimiento y ordena la práctica de pruebas. 17 de enero de 2006. Anexo escrito parte peticionaria de 28 de </w:t>
      </w:r>
      <w:r>
        <w:rPr>
          <w:sz w:val="16"/>
          <w:szCs w:val="16"/>
        </w:rPr>
        <w:t>enero de 2012</w:t>
      </w:r>
      <w:r w:rsidRPr="006E763F">
        <w:rPr>
          <w:sz w:val="16"/>
          <w:szCs w:val="16"/>
        </w:rPr>
        <w:t>.</w:t>
      </w:r>
    </w:p>
  </w:footnote>
  <w:footnote w:id="71">
    <w:p w14:paraId="66FA7385" w14:textId="497ABA9C" w:rsidR="00B934ED" w:rsidRPr="006E763F" w:rsidRDefault="00B934ED" w:rsidP="00F23C31">
      <w:pPr>
        <w:pStyle w:val="NoSpacing"/>
        <w:tabs>
          <w:tab w:val="left" w:pos="9356"/>
        </w:tabs>
        <w:ind w:firstLine="0"/>
        <w:rPr>
          <w:sz w:val="16"/>
          <w:szCs w:val="16"/>
        </w:rPr>
      </w:pPr>
      <w:r w:rsidRPr="006E763F">
        <w:rPr>
          <w:sz w:val="16"/>
          <w:szCs w:val="16"/>
          <w:vertAlign w:val="superscript"/>
        </w:rPr>
        <w:footnoteRef/>
      </w:r>
      <w:r>
        <w:rPr>
          <w:sz w:val="16"/>
          <w:szCs w:val="16"/>
        </w:rPr>
        <w:t xml:space="preserve"> Anexo 51.</w:t>
      </w:r>
      <w:r w:rsidRPr="006E763F">
        <w:rPr>
          <w:sz w:val="16"/>
          <w:szCs w:val="16"/>
        </w:rPr>
        <w:t xml:space="preserve"> </w:t>
      </w:r>
      <w:r>
        <w:rPr>
          <w:sz w:val="16"/>
          <w:szCs w:val="16"/>
        </w:rPr>
        <w:t>Fiscalía General.</w:t>
      </w:r>
      <w:r w:rsidRPr="006E763F">
        <w:rPr>
          <w:sz w:val="16"/>
          <w:szCs w:val="16"/>
        </w:rPr>
        <w:t xml:space="preserve"> Rad. No. 096. Oficio de PGN con fotocopia auténtica del expediente 008-139893. 15 abril 1994. Anexo a escrito de la parte peticionaria de 28 de </w:t>
      </w:r>
      <w:r>
        <w:rPr>
          <w:sz w:val="16"/>
          <w:szCs w:val="16"/>
        </w:rPr>
        <w:t>enero de 2012</w:t>
      </w:r>
      <w:r w:rsidRPr="006E763F">
        <w:rPr>
          <w:sz w:val="16"/>
          <w:szCs w:val="16"/>
        </w:rPr>
        <w:t>.</w:t>
      </w:r>
    </w:p>
  </w:footnote>
  <w:footnote w:id="72">
    <w:p w14:paraId="312EA8D2" w14:textId="6B6285F3" w:rsidR="00B934ED" w:rsidRPr="006E763F" w:rsidRDefault="00B934ED" w:rsidP="00F23C31">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52</w:t>
      </w:r>
      <w:r w:rsidRPr="006E763F">
        <w:rPr>
          <w:sz w:val="16"/>
          <w:szCs w:val="16"/>
        </w:rPr>
        <w:t xml:space="preserve">. </w:t>
      </w:r>
      <w:r>
        <w:rPr>
          <w:sz w:val="16"/>
          <w:szCs w:val="16"/>
        </w:rPr>
        <w:t>Fiscalía General.</w:t>
      </w:r>
      <w:r w:rsidRPr="006E763F">
        <w:rPr>
          <w:sz w:val="16"/>
          <w:szCs w:val="16"/>
        </w:rPr>
        <w:t xml:space="preserve"> Rad. No. 096. Oficio a PGN de solicitud de copias de actuaciones adelantadas en proceso 008-139893. 14 de noviembre de 1996. Anexo a escrito de la parte peticionaria de 28 de </w:t>
      </w:r>
      <w:r>
        <w:rPr>
          <w:sz w:val="16"/>
          <w:szCs w:val="16"/>
        </w:rPr>
        <w:t>enero de 2012</w:t>
      </w:r>
      <w:r w:rsidRPr="006E763F">
        <w:rPr>
          <w:sz w:val="16"/>
          <w:szCs w:val="16"/>
        </w:rPr>
        <w:t>.</w:t>
      </w:r>
    </w:p>
  </w:footnote>
  <w:footnote w:id="73">
    <w:p w14:paraId="660F46F2" w14:textId="720DB96F" w:rsidR="00B934ED" w:rsidRPr="006E763F" w:rsidRDefault="00B934ED" w:rsidP="00F23C31">
      <w:pPr>
        <w:pStyle w:val="NoSpacing"/>
        <w:tabs>
          <w:tab w:val="left" w:pos="9356"/>
        </w:tabs>
        <w:ind w:firstLine="0"/>
        <w:rPr>
          <w:sz w:val="16"/>
          <w:szCs w:val="16"/>
        </w:rPr>
      </w:pPr>
      <w:r w:rsidRPr="006E763F">
        <w:rPr>
          <w:sz w:val="16"/>
          <w:szCs w:val="16"/>
          <w:vertAlign w:val="superscript"/>
        </w:rPr>
        <w:footnoteRef/>
      </w:r>
      <w:r>
        <w:rPr>
          <w:sz w:val="16"/>
          <w:szCs w:val="16"/>
        </w:rPr>
        <w:t xml:space="preserve"> Anexo 53</w:t>
      </w:r>
      <w:r w:rsidRPr="006E763F">
        <w:rPr>
          <w:sz w:val="16"/>
          <w:szCs w:val="16"/>
        </w:rPr>
        <w:t xml:space="preserve">. </w:t>
      </w:r>
      <w:r>
        <w:rPr>
          <w:sz w:val="16"/>
          <w:szCs w:val="16"/>
        </w:rPr>
        <w:t>Fiscalía General.</w:t>
      </w:r>
      <w:r w:rsidRPr="006E763F">
        <w:rPr>
          <w:sz w:val="16"/>
          <w:szCs w:val="16"/>
        </w:rPr>
        <w:t xml:space="preserve"> Rad. No. 096. Oficio de remisión de expediente por la PGN.</w:t>
      </w:r>
      <w:r>
        <w:rPr>
          <w:sz w:val="16"/>
          <w:szCs w:val="16"/>
        </w:rPr>
        <w:t xml:space="preserve"> </w:t>
      </w:r>
      <w:r w:rsidRPr="006E763F">
        <w:rPr>
          <w:sz w:val="16"/>
          <w:szCs w:val="16"/>
        </w:rPr>
        <w:t xml:space="preserve">19 de diciembre de 2000. Anexo a escrito de la parte peticionaria de 28 de </w:t>
      </w:r>
      <w:r>
        <w:rPr>
          <w:sz w:val="16"/>
          <w:szCs w:val="16"/>
        </w:rPr>
        <w:t>enero de 2012</w:t>
      </w:r>
      <w:r w:rsidRPr="006E763F">
        <w:rPr>
          <w:sz w:val="16"/>
          <w:szCs w:val="16"/>
        </w:rPr>
        <w:t xml:space="preserve">. </w:t>
      </w:r>
    </w:p>
  </w:footnote>
  <w:footnote w:id="74">
    <w:p w14:paraId="5E442D18" w14:textId="056AB21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Escrito de la parte peticionaria de 15 de junio de 2016. </w:t>
      </w:r>
    </w:p>
  </w:footnote>
  <w:footnote w:id="75">
    <w:p w14:paraId="7882CB41" w14:textId="10311712"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Escrito</w:t>
      </w:r>
      <w:r w:rsidRPr="006E763F">
        <w:rPr>
          <w:sz w:val="16"/>
          <w:szCs w:val="16"/>
        </w:rPr>
        <w:t xml:space="preserve"> del Estado de 16 de noviembre de 2017.</w:t>
      </w:r>
    </w:p>
  </w:footnote>
  <w:footnote w:id="76">
    <w:p w14:paraId="4CBC7F23" w14:textId="70ABFB2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54</w:t>
      </w:r>
      <w:r w:rsidRPr="006E763F">
        <w:rPr>
          <w:sz w:val="16"/>
          <w:szCs w:val="16"/>
        </w:rPr>
        <w:t xml:space="preserve">. </w:t>
      </w:r>
      <w:r>
        <w:rPr>
          <w:sz w:val="16"/>
          <w:szCs w:val="16"/>
        </w:rPr>
        <w:t>Fiscalía General.</w:t>
      </w:r>
      <w:r w:rsidRPr="006E763F">
        <w:rPr>
          <w:sz w:val="16"/>
          <w:szCs w:val="16"/>
        </w:rPr>
        <w:t xml:space="preserve"> Rad. No. 096. Resolución de Fiscalía General en respuesta al derecho de petición presentado por Reinaldo Villalba Vargas. 14 de julio de 2000. Anexo escrito parte peticionaria de 28 de </w:t>
      </w:r>
      <w:r>
        <w:rPr>
          <w:sz w:val="16"/>
          <w:szCs w:val="16"/>
        </w:rPr>
        <w:t>enero de 2012</w:t>
      </w:r>
      <w:r w:rsidRPr="006E763F">
        <w:rPr>
          <w:sz w:val="16"/>
          <w:szCs w:val="16"/>
        </w:rPr>
        <w:t xml:space="preserve">; en el mismo sentido, Anexo </w:t>
      </w:r>
      <w:r>
        <w:rPr>
          <w:sz w:val="16"/>
          <w:szCs w:val="16"/>
        </w:rPr>
        <w:t>55</w:t>
      </w:r>
      <w:r w:rsidRPr="006E763F">
        <w:rPr>
          <w:sz w:val="16"/>
          <w:szCs w:val="16"/>
        </w:rPr>
        <w:t xml:space="preserve">. </w:t>
      </w:r>
      <w:r>
        <w:rPr>
          <w:sz w:val="16"/>
          <w:szCs w:val="16"/>
        </w:rPr>
        <w:t>Fiscalía General.</w:t>
      </w:r>
      <w:r w:rsidRPr="006E763F">
        <w:rPr>
          <w:sz w:val="16"/>
          <w:szCs w:val="16"/>
        </w:rPr>
        <w:t xml:space="preserve"> Rad. 096. Resolución de Fiscalía General en respuesta al derecho de petición presentado por Reinaldo Villalba Vargas. 3 de julio de 2001; Anexo </w:t>
      </w:r>
      <w:r>
        <w:rPr>
          <w:sz w:val="16"/>
          <w:szCs w:val="16"/>
        </w:rPr>
        <w:t>56</w:t>
      </w:r>
      <w:r w:rsidRPr="006E763F">
        <w:rPr>
          <w:sz w:val="16"/>
          <w:szCs w:val="16"/>
        </w:rPr>
        <w:t xml:space="preserve">. </w:t>
      </w:r>
      <w:r>
        <w:rPr>
          <w:sz w:val="16"/>
          <w:szCs w:val="16"/>
        </w:rPr>
        <w:t>Fiscalía General.</w:t>
      </w:r>
      <w:r w:rsidRPr="006E763F">
        <w:rPr>
          <w:sz w:val="16"/>
          <w:szCs w:val="16"/>
        </w:rPr>
        <w:t xml:space="preserve"> Rad. 096. Resolución Fiscalía General de 10 de julio de 2001. Anexos </w:t>
      </w:r>
      <w:r>
        <w:rPr>
          <w:sz w:val="16"/>
          <w:szCs w:val="16"/>
        </w:rPr>
        <w:t xml:space="preserve">a </w:t>
      </w:r>
      <w:r w:rsidRPr="006E763F">
        <w:rPr>
          <w:sz w:val="16"/>
          <w:szCs w:val="16"/>
        </w:rPr>
        <w:t xml:space="preserve">escrito parte peticionaria de 28 de </w:t>
      </w:r>
      <w:r>
        <w:rPr>
          <w:sz w:val="16"/>
          <w:szCs w:val="16"/>
        </w:rPr>
        <w:t>enero de 2012</w:t>
      </w:r>
      <w:r w:rsidRPr="006E763F">
        <w:rPr>
          <w:sz w:val="16"/>
          <w:szCs w:val="16"/>
        </w:rPr>
        <w:t>.</w:t>
      </w:r>
    </w:p>
  </w:footnote>
  <w:footnote w:id="77">
    <w:p w14:paraId="76664BBC" w14:textId="3CBAE616"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57</w:t>
      </w:r>
      <w:r w:rsidRPr="006E763F">
        <w:rPr>
          <w:sz w:val="16"/>
          <w:szCs w:val="16"/>
        </w:rPr>
        <w:t xml:space="preserve">. </w:t>
      </w:r>
      <w:r>
        <w:rPr>
          <w:sz w:val="16"/>
          <w:szCs w:val="16"/>
        </w:rPr>
        <w:t>Fiscalía General.</w:t>
      </w:r>
      <w:r w:rsidRPr="006E763F">
        <w:rPr>
          <w:sz w:val="16"/>
          <w:szCs w:val="16"/>
        </w:rPr>
        <w:t xml:space="preserve"> Rad. No. 096. Resolución de la Fiscalía 48 especializada de la UDH de 26 de mayo de 2011. Anexo a escrito de la parte peticionaria de 28 de </w:t>
      </w:r>
      <w:r>
        <w:rPr>
          <w:sz w:val="16"/>
          <w:szCs w:val="16"/>
        </w:rPr>
        <w:t>enero de 2012</w:t>
      </w:r>
      <w:r w:rsidRPr="006E763F">
        <w:rPr>
          <w:sz w:val="16"/>
          <w:szCs w:val="16"/>
        </w:rPr>
        <w:t>.</w:t>
      </w:r>
    </w:p>
  </w:footnote>
  <w:footnote w:id="78">
    <w:p w14:paraId="4D746C53" w14:textId="1CE909A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58</w:t>
      </w:r>
      <w:r w:rsidRPr="006E763F">
        <w:rPr>
          <w:sz w:val="16"/>
          <w:szCs w:val="16"/>
        </w:rPr>
        <w:t xml:space="preserve">. </w:t>
      </w:r>
      <w:r>
        <w:rPr>
          <w:sz w:val="16"/>
          <w:szCs w:val="16"/>
        </w:rPr>
        <w:t>Fiscalía General.</w:t>
      </w:r>
      <w:r w:rsidRPr="006E763F">
        <w:rPr>
          <w:sz w:val="16"/>
          <w:szCs w:val="16"/>
        </w:rPr>
        <w:t xml:space="preserve"> Rad. No. 096. Decreto de práctica de pruebas por la UDH. 13 de septiembre de 2011. Anexo a escrito de la parte peticionaria de 28 de </w:t>
      </w:r>
      <w:r>
        <w:rPr>
          <w:sz w:val="16"/>
          <w:szCs w:val="16"/>
        </w:rPr>
        <w:t>enero de 2012</w:t>
      </w:r>
      <w:r w:rsidRPr="006E763F">
        <w:rPr>
          <w:sz w:val="16"/>
          <w:szCs w:val="16"/>
        </w:rPr>
        <w:t>.</w:t>
      </w:r>
    </w:p>
  </w:footnote>
  <w:footnote w:id="79">
    <w:p w14:paraId="0B26C0EB" w14:textId="625D08B4" w:rsidR="00B934ED" w:rsidRPr="00947535" w:rsidRDefault="00B934ED" w:rsidP="00947535">
      <w:pPr>
        <w:pStyle w:val="FootnoteText"/>
        <w:tabs>
          <w:tab w:val="left" w:pos="9356"/>
        </w:tabs>
        <w:ind w:firstLine="0"/>
        <w:rPr>
          <w:rFonts w:asciiTheme="majorHAnsi" w:hAnsiTheme="majorHAnsi"/>
          <w:lang w:val="es-MX"/>
        </w:rPr>
      </w:pPr>
      <w:r w:rsidRPr="006E763F">
        <w:rPr>
          <w:vertAlign w:val="superscript"/>
        </w:rPr>
        <w:footnoteRef/>
      </w:r>
      <w:r w:rsidRPr="000D2D54">
        <w:rPr>
          <w:lang w:val="es-PE"/>
        </w:rPr>
        <w:t xml:space="preserve"> </w:t>
      </w:r>
      <w:r w:rsidRPr="002B27F9">
        <w:rPr>
          <w:lang w:val="es-ES"/>
        </w:rPr>
        <w:t xml:space="preserve">Anexo </w:t>
      </w:r>
      <w:r>
        <w:rPr>
          <w:lang w:val="es-ES"/>
        </w:rPr>
        <w:t>2</w:t>
      </w:r>
      <w:r w:rsidRPr="002B27F9">
        <w:rPr>
          <w:lang w:val="es-ES"/>
        </w:rPr>
        <w:t>. Fi</w:t>
      </w:r>
      <w:r>
        <w:rPr>
          <w:lang w:val="es-ES"/>
        </w:rPr>
        <w:t xml:space="preserve">scalía General. </w:t>
      </w:r>
      <w:r w:rsidRPr="002B27F9">
        <w:rPr>
          <w:lang w:val="es-ES"/>
        </w:rPr>
        <w:t xml:space="preserve"> Rad. 096. </w:t>
      </w:r>
      <w:r>
        <w:rPr>
          <w:lang w:val="es-ES"/>
        </w:rPr>
        <w:t>D</w:t>
      </w:r>
      <w:r w:rsidRPr="002B27F9">
        <w:rPr>
          <w:lang w:val="es-ES"/>
        </w:rPr>
        <w:t>eclaración de Candelaria Nurys Vergar</w:t>
      </w:r>
      <w:r>
        <w:rPr>
          <w:lang w:val="es-ES"/>
        </w:rPr>
        <w:t xml:space="preserve">a Carriazo. 7 de junio de 2012. </w:t>
      </w:r>
      <w:r w:rsidRPr="002B27F9">
        <w:rPr>
          <w:lang w:val="es-ES"/>
        </w:rPr>
        <w:t xml:space="preserve">Anexo a escrito de la parte peticionaria de 28 de enero </w:t>
      </w:r>
      <w:r>
        <w:rPr>
          <w:lang w:val="es-ES"/>
        </w:rPr>
        <w:t xml:space="preserve">de 2012; y Anexo 3. Fiscalía General. </w:t>
      </w:r>
      <w:r w:rsidRPr="002B27F9">
        <w:rPr>
          <w:lang w:val="es-ES"/>
        </w:rPr>
        <w:t xml:space="preserve"> Rad. 096. Diligencia de declaración Candelaria Nurys Vergara Carriazo ante la Fiscalía General. </w:t>
      </w:r>
      <w:r w:rsidRPr="00054BFE">
        <w:rPr>
          <w:lang w:val="es-ES"/>
        </w:rPr>
        <w:t>13 de abril de 1994. Anexo a escrito de la parte peticionaria de 28 de enero de 2012.</w:t>
      </w:r>
    </w:p>
  </w:footnote>
  <w:footnote w:id="80">
    <w:p w14:paraId="68C39B1C" w14:textId="0A497C36"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59</w:t>
      </w:r>
      <w:r w:rsidRPr="006E763F">
        <w:rPr>
          <w:sz w:val="16"/>
          <w:szCs w:val="16"/>
        </w:rPr>
        <w:t xml:space="preserve">. </w:t>
      </w:r>
      <w:r>
        <w:rPr>
          <w:sz w:val="16"/>
          <w:szCs w:val="16"/>
        </w:rPr>
        <w:t>Fiscalía General.</w:t>
      </w:r>
      <w:r w:rsidRPr="006E763F">
        <w:rPr>
          <w:sz w:val="16"/>
          <w:szCs w:val="16"/>
        </w:rPr>
        <w:t xml:space="preserve"> Rad. No. 096. Declaración de Martha Yolanda Medina de Chaparro, profesora del colegio Kennedy. 12 de abril de 1996. Anexo a escrito de la parte peticionaria de 28 de </w:t>
      </w:r>
      <w:r>
        <w:rPr>
          <w:sz w:val="16"/>
          <w:szCs w:val="16"/>
        </w:rPr>
        <w:t xml:space="preserve">enero de 2012. </w:t>
      </w:r>
    </w:p>
  </w:footnote>
  <w:footnote w:id="81">
    <w:p w14:paraId="332273AA" w14:textId="18B59FA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60</w:t>
      </w:r>
      <w:r w:rsidRPr="006E763F">
        <w:rPr>
          <w:sz w:val="16"/>
          <w:szCs w:val="16"/>
        </w:rPr>
        <w:t xml:space="preserve">. </w:t>
      </w:r>
      <w:r>
        <w:rPr>
          <w:sz w:val="16"/>
          <w:szCs w:val="16"/>
        </w:rPr>
        <w:t>Fiscalía General.</w:t>
      </w:r>
      <w:r w:rsidRPr="006E763F">
        <w:rPr>
          <w:sz w:val="16"/>
          <w:szCs w:val="16"/>
        </w:rPr>
        <w:t xml:space="preserve"> Rad. No. 096. Testimonio de Carlos Eduardo Otárola García.12 de abril de 1996. Anexo escrito parte peticionaria de 28 de </w:t>
      </w:r>
      <w:r>
        <w:rPr>
          <w:sz w:val="16"/>
          <w:szCs w:val="16"/>
        </w:rPr>
        <w:t>enero de 2012</w:t>
      </w:r>
      <w:r w:rsidRPr="006E763F">
        <w:rPr>
          <w:sz w:val="16"/>
          <w:szCs w:val="16"/>
        </w:rPr>
        <w:t>.</w:t>
      </w:r>
    </w:p>
  </w:footnote>
  <w:footnote w:id="82">
    <w:p w14:paraId="4BBC0937" w14:textId="46B5FF39" w:rsidR="00B934ED" w:rsidRPr="000D2D54" w:rsidRDefault="00B934ED" w:rsidP="00947535">
      <w:pPr>
        <w:jc w:val="both"/>
        <w:rPr>
          <w:sz w:val="16"/>
          <w:szCs w:val="16"/>
          <w:lang w:val="es-ES"/>
        </w:rPr>
      </w:pPr>
      <w:r w:rsidRPr="006E763F">
        <w:rPr>
          <w:sz w:val="16"/>
          <w:szCs w:val="16"/>
          <w:vertAlign w:val="superscript"/>
        </w:rPr>
        <w:footnoteRef/>
      </w:r>
      <w:r w:rsidRPr="00947535">
        <w:rPr>
          <w:sz w:val="16"/>
          <w:szCs w:val="16"/>
          <w:lang w:val="es-ES"/>
        </w:rPr>
        <w:t xml:space="preserve"> </w:t>
      </w:r>
      <w:r w:rsidRPr="00054BFE">
        <w:rPr>
          <w:sz w:val="16"/>
          <w:szCs w:val="16"/>
          <w:lang w:val="es-ES"/>
        </w:rPr>
        <w:t>Anexo 5</w:t>
      </w:r>
      <w:r>
        <w:rPr>
          <w:sz w:val="16"/>
          <w:szCs w:val="16"/>
          <w:lang w:val="es-ES"/>
        </w:rPr>
        <w:t>. Fiscalía General.</w:t>
      </w:r>
      <w:r w:rsidRPr="00054BFE">
        <w:rPr>
          <w:sz w:val="16"/>
          <w:szCs w:val="16"/>
          <w:lang w:val="es-ES"/>
        </w:rPr>
        <w:t xml:space="preserve"> Rad. 096. Diligencia de declaración de Humberto Javier Callejas Rua. 25 de octubre de 2012. Anexo a escrito parte peticionaria de 28 de e</w:t>
      </w:r>
      <w:r w:rsidRPr="000D2D54">
        <w:rPr>
          <w:sz w:val="16"/>
          <w:szCs w:val="16"/>
          <w:lang w:val="es-ES"/>
        </w:rPr>
        <w:t>nero de 2012.</w:t>
      </w:r>
    </w:p>
  </w:footnote>
  <w:footnote w:id="83">
    <w:p w14:paraId="07BA4F43" w14:textId="462FB805"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61</w:t>
      </w:r>
      <w:r w:rsidRPr="006E763F">
        <w:rPr>
          <w:sz w:val="16"/>
          <w:szCs w:val="16"/>
        </w:rPr>
        <w:t xml:space="preserve">. </w:t>
      </w:r>
      <w:r>
        <w:rPr>
          <w:sz w:val="16"/>
          <w:szCs w:val="16"/>
        </w:rPr>
        <w:t>Fiscalía General.</w:t>
      </w:r>
      <w:r w:rsidRPr="006E763F">
        <w:rPr>
          <w:sz w:val="16"/>
          <w:szCs w:val="16"/>
        </w:rPr>
        <w:t xml:space="preserve"> Rad.No.096. Informe No. 000003 SIA de 5 de febrero de 1999. Anexo a escrito de la parte peticionaria de 28 de </w:t>
      </w:r>
      <w:r>
        <w:rPr>
          <w:sz w:val="16"/>
          <w:szCs w:val="16"/>
        </w:rPr>
        <w:t>enero de 2012; Anexo 62</w:t>
      </w:r>
      <w:r w:rsidRPr="006E763F">
        <w:rPr>
          <w:sz w:val="16"/>
          <w:szCs w:val="16"/>
        </w:rPr>
        <w:t xml:space="preserve">. </w:t>
      </w:r>
      <w:r>
        <w:rPr>
          <w:sz w:val="16"/>
          <w:szCs w:val="16"/>
        </w:rPr>
        <w:t>Fiscalía General.</w:t>
      </w:r>
      <w:r w:rsidRPr="006E763F">
        <w:rPr>
          <w:sz w:val="16"/>
          <w:szCs w:val="16"/>
        </w:rPr>
        <w:t xml:space="preserve"> Rad. No.096. Oficio de Armada Nacional. Oficio No. 003/SAYP-N2-SUB-252 del Departamento de Inteligencia N2-FNA de 4 de enero de 1999. Anexo a escrito de la parte peticionaria de 28 de </w:t>
      </w:r>
      <w:r>
        <w:rPr>
          <w:sz w:val="16"/>
          <w:szCs w:val="16"/>
        </w:rPr>
        <w:t>enero de 2012</w:t>
      </w:r>
      <w:r w:rsidRPr="006E763F">
        <w:rPr>
          <w:sz w:val="16"/>
          <w:szCs w:val="16"/>
        </w:rPr>
        <w:t xml:space="preserve">; Anexo </w:t>
      </w:r>
      <w:r>
        <w:rPr>
          <w:sz w:val="16"/>
          <w:szCs w:val="16"/>
        </w:rPr>
        <w:t>63</w:t>
      </w:r>
      <w:r w:rsidRPr="006E763F">
        <w:rPr>
          <w:sz w:val="16"/>
          <w:szCs w:val="16"/>
        </w:rPr>
        <w:t xml:space="preserve">. </w:t>
      </w:r>
      <w:r>
        <w:rPr>
          <w:sz w:val="16"/>
          <w:szCs w:val="16"/>
        </w:rPr>
        <w:t>Fiscalía General.</w:t>
      </w:r>
      <w:r w:rsidRPr="006E763F">
        <w:rPr>
          <w:sz w:val="16"/>
          <w:szCs w:val="16"/>
        </w:rPr>
        <w:t xml:space="preserve"> Rad. No, 096. Declaración del suboficial de Policía Nacional Fanor Rodríguez España del 7 de febrero de 2001. Anexo a escrito de la parte peticionaria de 28 de </w:t>
      </w:r>
      <w:r>
        <w:rPr>
          <w:sz w:val="16"/>
          <w:szCs w:val="16"/>
        </w:rPr>
        <w:t>enero de 2012</w:t>
      </w:r>
      <w:r w:rsidRPr="006E763F">
        <w:rPr>
          <w:sz w:val="16"/>
          <w:szCs w:val="16"/>
        </w:rPr>
        <w:t>.</w:t>
      </w:r>
    </w:p>
  </w:footnote>
  <w:footnote w:id="84">
    <w:p w14:paraId="19766701" w14:textId="64A450E9"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62</w:t>
      </w:r>
      <w:r w:rsidRPr="006E763F">
        <w:rPr>
          <w:sz w:val="16"/>
          <w:szCs w:val="16"/>
        </w:rPr>
        <w:t xml:space="preserve">. </w:t>
      </w:r>
      <w:r>
        <w:rPr>
          <w:sz w:val="16"/>
          <w:szCs w:val="16"/>
        </w:rPr>
        <w:t>Fiscalía General.</w:t>
      </w:r>
      <w:r w:rsidRPr="006E763F">
        <w:rPr>
          <w:sz w:val="16"/>
          <w:szCs w:val="16"/>
        </w:rPr>
        <w:t xml:space="preserve"> Rad. No. 096. Declaración del Teniente Coronel Gilberto Castellanos de 3 de septiembre de 1999. Anexo a escrito de la parte peticionaria de 28 de </w:t>
      </w:r>
      <w:r>
        <w:rPr>
          <w:sz w:val="16"/>
          <w:szCs w:val="16"/>
        </w:rPr>
        <w:t>enero de 2012</w:t>
      </w:r>
      <w:r w:rsidRPr="006E763F">
        <w:rPr>
          <w:sz w:val="16"/>
          <w:szCs w:val="16"/>
        </w:rPr>
        <w:t>.</w:t>
      </w:r>
    </w:p>
  </w:footnote>
  <w:footnote w:id="85">
    <w:p w14:paraId="6E5A4E5A" w14:textId="1784A0A2"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63</w:t>
      </w:r>
      <w:r w:rsidRPr="006E763F">
        <w:rPr>
          <w:sz w:val="16"/>
          <w:szCs w:val="16"/>
        </w:rPr>
        <w:t xml:space="preserve">. </w:t>
      </w:r>
      <w:r>
        <w:rPr>
          <w:sz w:val="16"/>
          <w:szCs w:val="16"/>
        </w:rPr>
        <w:t>Fiscalía General.</w:t>
      </w:r>
      <w:r w:rsidRPr="006E763F">
        <w:rPr>
          <w:sz w:val="16"/>
          <w:szCs w:val="16"/>
        </w:rPr>
        <w:t xml:space="preserve"> Rad. No. 096. Declaración del Mayor General Iván Ramírez Quinteros de 1 de octubre de 1999. Anexo a escrito de la parte peticionaria de 28 de </w:t>
      </w:r>
      <w:r>
        <w:rPr>
          <w:sz w:val="16"/>
          <w:szCs w:val="16"/>
        </w:rPr>
        <w:t>enero de 2012</w:t>
      </w:r>
      <w:r w:rsidRPr="006E763F">
        <w:rPr>
          <w:sz w:val="16"/>
          <w:szCs w:val="16"/>
        </w:rPr>
        <w:t xml:space="preserve">. </w:t>
      </w:r>
    </w:p>
  </w:footnote>
  <w:footnote w:id="86">
    <w:p w14:paraId="197CCD5B" w14:textId="3966B1D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64</w:t>
      </w:r>
      <w:r w:rsidRPr="006E763F">
        <w:rPr>
          <w:sz w:val="16"/>
          <w:szCs w:val="16"/>
        </w:rPr>
        <w:t xml:space="preserve">. </w:t>
      </w:r>
      <w:r>
        <w:rPr>
          <w:sz w:val="16"/>
          <w:szCs w:val="16"/>
        </w:rPr>
        <w:t>Fiscalía General.</w:t>
      </w:r>
      <w:r w:rsidRPr="006E763F">
        <w:rPr>
          <w:sz w:val="16"/>
          <w:szCs w:val="16"/>
        </w:rPr>
        <w:t xml:space="preserve"> Rad. No. 096. Oficio al Grupo de Investigaciones U.D.H. 25 de junio de 2012. Anexo a escrito de la parte peticionaria de 28 de </w:t>
      </w:r>
      <w:r>
        <w:rPr>
          <w:sz w:val="16"/>
          <w:szCs w:val="16"/>
        </w:rPr>
        <w:t>enero de 2012</w:t>
      </w:r>
      <w:r w:rsidRPr="006E763F">
        <w:rPr>
          <w:sz w:val="16"/>
          <w:szCs w:val="16"/>
        </w:rPr>
        <w:t>.</w:t>
      </w:r>
    </w:p>
  </w:footnote>
  <w:footnote w:id="87">
    <w:p w14:paraId="63DEDCDF" w14:textId="1DFDB87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65</w:t>
      </w:r>
      <w:r w:rsidRPr="006E763F">
        <w:rPr>
          <w:sz w:val="16"/>
          <w:szCs w:val="16"/>
        </w:rPr>
        <w:t xml:space="preserve">. </w:t>
      </w:r>
      <w:r>
        <w:rPr>
          <w:sz w:val="16"/>
          <w:szCs w:val="16"/>
        </w:rPr>
        <w:t>Fiscalía General.</w:t>
      </w:r>
      <w:r w:rsidRPr="006E763F">
        <w:rPr>
          <w:sz w:val="16"/>
          <w:szCs w:val="16"/>
        </w:rPr>
        <w:t xml:space="preserve"> Rad. No. 096. Oficio a la Dirección de Inteligencia de la Policía Nacional. 8 de junio de 2012. Anexo escrito parte peticionaria de 28 de </w:t>
      </w:r>
      <w:r>
        <w:rPr>
          <w:sz w:val="16"/>
          <w:szCs w:val="16"/>
        </w:rPr>
        <w:t>enero de 2012</w:t>
      </w:r>
      <w:r w:rsidRPr="006E763F">
        <w:rPr>
          <w:sz w:val="16"/>
          <w:szCs w:val="16"/>
        </w:rPr>
        <w:t>.</w:t>
      </w:r>
    </w:p>
  </w:footnote>
  <w:footnote w:id="88">
    <w:p w14:paraId="77CC356B" w14:textId="0204A81A"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66</w:t>
      </w:r>
      <w:r w:rsidRPr="006E763F">
        <w:rPr>
          <w:sz w:val="16"/>
          <w:szCs w:val="16"/>
        </w:rPr>
        <w:t xml:space="preserve">. </w:t>
      </w:r>
      <w:r>
        <w:rPr>
          <w:sz w:val="16"/>
          <w:szCs w:val="16"/>
        </w:rPr>
        <w:t>Fiscalía General.</w:t>
      </w:r>
      <w:r w:rsidRPr="006E763F">
        <w:rPr>
          <w:sz w:val="16"/>
          <w:szCs w:val="16"/>
        </w:rPr>
        <w:t xml:space="preserve"> Rad. No. 096. Oficio a la Dirección de Inteligencia Militar. 8 de junio de 2012. Anexo a escrito de la parte peticionaria de 28 de </w:t>
      </w:r>
      <w:r>
        <w:rPr>
          <w:sz w:val="16"/>
          <w:szCs w:val="16"/>
        </w:rPr>
        <w:t>enero de 2012</w:t>
      </w:r>
      <w:r w:rsidRPr="006E763F">
        <w:rPr>
          <w:sz w:val="16"/>
          <w:szCs w:val="16"/>
        </w:rPr>
        <w:t>.</w:t>
      </w:r>
    </w:p>
  </w:footnote>
  <w:footnote w:id="89">
    <w:p w14:paraId="702A44FA" w14:textId="43D656A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67</w:t>
      </w:r>
      <w:r w:rsidRPr="006E763F">
        <w:rPr>
          <w:sz w:val="16"/>
          <w:szCs w:val="16"/>
        </w:rPr>
        <w:t xml:space="preserve">. </w:t>
      </w:r>
      <w:r>
        <w:rPr>
          <w:sz w:val="16"/>
          <w:szCs w:val="16"/>
        </w:rPr>
        <w:t>Fiscalía General.</w:t>
      </w:r>
      <w:r w:rsidRPr="006E763F">
        <w:rPr>
          <w:sz w:val="16"/>
          <w:szCs w:val="16"/>
        </w:rPr>
        <w:t xml:space="preserve"> Rad. No. 096. Oficio a la Sección de Análisis Criminal de Fiscalía General. 8 de junio de 2012. Anexo a escrito de la parte peticionaria de 28 de </w:t>
      </w:r>
      <w:r>
        <w:rPr>
          <w:sz w:val="16"/>
          <w:szCs w:val="16"/>
        </w:rPr>
        <w:t>enero de 2012</w:t>
      </w:r>
      <w:r w:rsidRPr="006E763F">
        <w:rPr>
          <w:sz w:val="16"/>
          <w:szCs w:val="16"/>
        </w:rPr>
        <w:t>.</w:t>
      </w:r>
    </w:p>
  </w:footnote>
  <w:footnote w:id="90">
    <w:p w14:paraId="20A51572" w14:textId="3FA25124"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68</w:t>
      </w:r>
      <w:r w:rsidRPr="006E763F">
        <w:rPr>
          <w:sz w:val="16"/>
          <w:szCs w:val="16"/>
        </w:rPr>
        <w:t xml:space="preserve">. </w:t>
      </w:r>
      <w:r>
        <w:rPr>
          <w:sz w:val="16"/>
          <w:szCs w:val="16"/>
        </w:rPr>
        <w:t>Fiscalía General.</w:t>
      </w:r>
      <w:r w:rsidRPr="006E763F">
        <w:rPr>
          <w:sz w:val="16"/>
          <w:szCs w:val="16"/>
        </w:rPr>
        <w:t xml:space="preserve"> Rad. No. 096. Informe de Dirección de Inteligencia Militar. 4 de agosto de 2012. Anexo a escrito de la parte peticionaria de 28 de </w:t>
      </w:r>
      <w:r>
        <w:rPr>
          <w:sz w:val="16"/>
          <w:szCs w:val="16"/>
        </w:rPr>
        <w:t>enero de 2012</w:t>
      </w:r>
      <w:r w:rsidRPr="006E763F">
        <w:rPr>
          <w:sz w:val="16"/>
          <w:szCs w:val="16"/>
        </w:rPr>
        <w:t>.</w:t>
      </w:r>
    </w:p>
  </w:footnote>
  <w:footnote w:id="91">
    <w:p w14:paraId="78347C2B" w14:textId="5FC4D93E"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69</w:t>
      </w:r>
      <w:r w:rsidRPr="006E763F">
        <w:rPr>
          <w:sz w:val="16"/>
          <w:szCs w:val="16"/>
        </w:rPr>
        <w:t xml:space="preserve">. </w:t>
      </w:r>
      <w:r>
        <w:rPr>
          <w:sz w:val="16"/>
          <w:szCs w:val="16"/>
        </w:rPr>
        <w:t>Fiscalía General.</w:t>
      </w:r>
      <w:r w:rsidRPr="006E763F">
        <w:rPr>
          <w:sz w:val="16"/>
          <w:szCs w:val="16"/>
        </w:rPr>
        <w:t xml:space="preserve"> Rad. No. 096. Informe de la Sección de Análisis Criminal. Armados ilegales. 25 de junio de 2012. Anexo a escrito de la parte peticionaria de 28 de </w:t>
      </w:r>
      <w:r>
        <w:rPr>
          <w:sz w:val="16"/>
          <w:szCs w:val="16"/>
        </w:rPr>
        <w:t>enero de 2012</w:t>
      </w:r>
      <w:r w:rsidRPr="006E763F">
        <w:rPr>
          <w:sz w:val="16"/>
          <w:szCs w:val="16"/>
        </w:rPr>
        <w:t>.</w:t>
      </w:r>
    </w:p>
  </w:footnote>
  <w:footnote w:id="92">
    <w:p w14:paraId="108C81F3" w14:textId="2D5534D1"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70</w:t>
      </w:r>
      <w:r w:rsidRPr="006E763F">
        <w:rPr>
          <w:sz w:val="16"/>
          <w:szCs w:val="16"/>
        </w:rPr>
        <w:t xml:space="preserve">. </w:t>
      </w:r>
      <w:r>
        <w:rPr>
          <w:sz w:val="16"/>
          <w:szCs w:val="16"/>
        </w:rPr>
        <w:t>Fiscalía General.</w:t>
      </w:r>
      <w:r w:rsidRPr="006E763F">
        <w:rPr>
          <w:sz w:val="16"/>
          <w:szCs w:val="16"/>
        </w:rPr>
        <w:t xml:space="preserve"> Rad. No. 096. Oficio No. 859. 8 de abril de 1997. Anexo escrito de parte peticionaria de 28 de </w:t>
      </w:r>
      <w:r>
        <w:rPr>
          <w:sz w:val="16"/>
          <w:szCs w:val="16"/>
        </w:rPr>
        <w:t>enero de 2012</w:t>
      </w:r>
      <w:r w:rsidRPr="006E763F">
        <w:rPr>
          <w:sz w:val="16"/>
          <w:szCs w:val="16"/>
        </w:rPr>
        <w:t>; Anexo</w:t>
      </w:r>
      <w:r>
        <w:rPr>
          <w:sz w:val="16"/>
          <w:szCs w:val="16"/>
        </w:rPr>
        <w:t xml:space="preserve"> 71</w:t>
      </w:r>
      <w:r w:rsidRPr="006E763F">
        <w:rPr>
          <w:sz w:val="16"/>
          <w:szCs w:val="16"/>
        </w:rPr>
        <w:t xml:space="preserve">. </w:t>
      </w:r>
      <w:r>
        <w:rPr>
          <w:sz w:val="16"/>
          <w:szCs w:val="16"/>
        </w:rPr>
        <w:t>Fiscalía General.</w:t>
      </w:r>
      <w:r w:rsidRPr="006E763F">
        <w:rPr>
          <w:sz w:val="16"/>
          <w:szCs w:val="16"/>
        </w:rPr>
        <w:t xml:space="preserve"> Rad. No. 096. Oficio a la Unidad de Instrumentos Públicos. 11 de junio de 1997; Anexo </w:t>
      </w:r>
      <w:r>
        <w:rPr>
          <w:sz w:val="16"/>
          <w:szCs w:val="16"/>
        </w:rPr>
        <w:t>72</w:t>
      </w:r>
      <w:r w:rsidRPr="006E763F">
        <w:rPr>
          <w:sz w:val="16"/>
          <w:szCs w:val="16"/>
        </w:rPr>
        <w:t xml:space="preserve">. </w:t>
      </w:r>
      <w:r>
        <w:rPr>
          <w:sz w:val="16"/>
          <w:szCs w:val="16"/>
        </w:rPr>
        <w:t>Fiscalía General.</w:t>
      </w:r>
      <w:r w:rsidRPr="006E763F">
        <w:rPr>
          <w:sz w:val="16"/>
          <w:szCs w:val="16"/>
        </w:rPr>
        <w:t xml:space="preserve"> Rad. No. 096. Acta de Fiscalía General de adelantamiento de obras tendientes a ubicación de Pedro Pabón Díaz; Anexo </w:t>
      </w:r>
      <w:r>
        <w:rPr>
          <w:sz w:val="16"/>
          <w:szCs w:val="16"/>
        </w:rPr>
        <w:t>73</w:t>
      </w:r>
      <w:r w:rsidRPr="006E763F">
        <w:rPr>
          <w:sz w:val="16"/>
          <w:szCs w:val="16"/>
        </w:rPr>
        <w:t xml:space="preserve">. </w:t>
      </w:r>
      <w:r>
        <w:rPr>
          <w:sz w:val="16"/>
          <w:szCs w:val="16"/>
        </w:rPr>
        <w:t>Fiscalía General.</w:t>
      </w:r>
      <w:r w:rsidRPr="006E763F">
        <w:rPr>
          <w:sz w:val="16"/>
          <w:szCs w:val="16"/>
        </w:rPr>
        <w:t xml:space="preserve"> Rad. No. 096. Informe de diligencias de investigación de Fiscalía General. 11 de julio de 2012. Anexos a escrito de la parte peticionaria de 28 de </w:t>
      </w:r>
      <w:r>
        <w:rPr>
          <w:sz w:val="16"/>
          <w:szCs w:val="16"/>
        </w:rPr>
        <w:t>enero de 2012</w:t>
      </w:r>
      <w:r w:rsidRPr="006E763F">
        <w:rPr>
          <w:sz w:val="16"/>
          <w:szCs w:val="16"/>
        </w:rPr>
        <w:t xml:space="preserve">; Anexo </w:t>
      </w:r>
      <w:r>
        <w:rPr>
          <w:sz w:val="16"/>
          <w:szCs w:val="16"/>
        </w:rPr>
        <w:t>74</w:t>
      </w:r>
      <w:r w:rsidRPr="006E763F">
        <w:rPr>
          <w:sz w:val="16"/>
          <w:szCs w:val="16"/>
        </w:rPr>
        <w:t xml:space="preserve">. </w:t>
      </w:r>
      <w:r>
        <w:rPr>
          <w:sz w:val="16"/>
          <w:szCs w:val="16"/>
        </w:rPr>
        <w:t>Fiscalía General.</w:t>
      </w:r>
      <w:r w:rsidRPr="006E763F">
        <w:rPr>
          <w:sz w:val="16"/>
          <w:szCs w:val="16"/>
        </w:rPr>
        <w:t xml:space="preserve"> Rad. No. 096. Solicitud a través de la Unidad de Policía Judicial a la ASOBANCARIA. 11 de junio de 1997. Anexo a escrito de la parte peticionaria de 28 de </w:t>
      </w:r>
      <w:r>
        <w:rPr>
          <w:sz w:val="16"/>
          <w:szCs w:val="16"/>
        </w:rPr>
        <w:t>enero de 2012</w:t>
      </w:r>
      <w:r w:rsidRPr="006E763F">
        <w:rPr>
          <w:sz w:val="16"/>
          <w:szCs w:val="16"/>
        </w:rPr>
        <w:t xml:space="preserve">; Anexo </w:t>
      </w:r>
      <w:r>
        <w:rPr>
          <w:sz w:val="16"/>
          <w:szCs w:val="16"/>
        </w:rPr>
        <w:t>75</w:t>
      </w:r>
      <w:r w:rsidRPr="006E763F">
        <w:rPr>
          <w:sz w:val="16"/>
          <w:szCs w:val="16"/>
        </w:rPr>
        <w:t xml:space="preserve">. </w:t>
      </w:r>
      <w:r>
        <w:rPr>
          <w:sz w:val="16"/>
          <w:szCs w:val="16"/>
        </w:rPr>
        <w:t>Fiscalía General.</w:t>
      </w:r>
      <w:r w:rsidRPr="006E763F">
        <w:rPr>
          <w:sz w:val="16"/>
          <w:szCs w:val="16"/>
        </w:rPr>
        <w:t xml:space="preserve"> Rad. No.</w:t>
      </w:r>
      <w:r>
        <w:rPr>
          <w:sz w:val="16"/>
          <w:szCs w:val="16"/>
        </w:rPr>
        <w:t xml:space="preserve"> </w:t>
      </w:r>
      <w:r w:rsidRPr="006E763F">
        <w:rPr>
          <w:sz w:val="16"/>
          <w:szCs w:val="16"/>
        </w:rPr>
        <w:t xml:space="preserve">096. Organización Electoral de la Registraduría Nacional del Estado Civil. 11 de septiembre de 1997. Anexo a escrito de la parte peticionaria de 28 de </w:t>
      </w:r>
      <w:r>
        <w:rPr>
          <w:sz w:val="16"/>
          <w:szCs w:val="16"/>
        </w:rPr>
        <w:t>enero de 2012</w:t>
      </w:r>
      <w:r w:rsidRPr="006E763F">
        <w:rPr>
          <w:sz w:val="16"/>
          <w:szCs w:val="16"/>
        </w:rPr>
        <w:t>.</w:t>
      </w:r>
    </w:p>
  </w:footnote>
  <w:footnote w:id="93">
    <w:p w14:paraId="7961F25C" w14:textId="30EDEC96"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76</w:t>
      </w:r>
      <w:r w:rsidRPr="006E763F">
        <w:rPr>
          <w:sz w:val="16"/>
          <w:szCs w:val="16"/>
        </w:rPr>
        <w:t xml:space="preserve">. </w:t>
      </w:r>
      <w:r>
        <w:rPr>
          <w:sz w:val="16"/>
          <w:szCs w:val="16"/>
        </w:rPr>
        <w:t>Fiscalía General.</w:t>
      </w:r>
      <w:r w:rsidRPr="006E763F">
        <w:rPr>
          <w:sz w:val="16"/>
          <w:szCs w:val="16"/>
        </w:rPr>
        <w:t xml:space="preserve"> Rad. No. 096. Declaración de Ramiro Bohórquez. 15 de abril de 1997. Anexo a escrito de la parte peticionaria de 28 de </w:t>
      </w:r>
      <w:r>
        <w:rPr>
          <w:sz w:val="16"/>
          <w:szCs w:val="16"/>
        </w:rPr>
        <w:t>enero de 2012</w:t>
      </w:r>
      <w:r w:rsidRPr="006E763F">
        <w:rPr>
          <w:sz w:val="16"/>
          <w:szCs w:val="16"/>
        </w:rPr>
        <w:t>.</w:t>
      </w:r>
    </w:p>
  </w:footnote>
  <w:footnote w:id="94">
    <w:p w14:paraId="3D9B9E45" w14:textId="58A41AD0"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77</w:t>
      </w:r>
      <w:r w:rsidRPr="006E763F">
        <w:rPr>
          <w:sz w:val="16"/>
          <w:szCs w:val="16"/>
        </w:rPr>
        <w:t xml:space="preserve">. </w:t>
      </w:r>
      <w:r>
        <w:rPr>
          <w:sz w:val="16"/>
          <w:szCs w:val="16"/>
        </w:rPr>
        <w:t>Fiscalía General.</w:t>
      </w:r>
      <w:r w:rsidRPr="006E763F">
        <w:rPr>
          <w:sz w:val="16"/>
          <w:szCs w:val="16"/>
        </w:rPr>
        <w:t xml:space="preserve"> Rad. No. 096. Informe sobre visita realizada en la Alcaldía Menor de Kennedy de 13 de junio de 1997. Se verificó que desde el 26 de abril de 1993 hasta el 9 de agosto del mismo año no se registra anotación de la denuncia por hurto del arma de propiedad del Sr. Ramiro Bohórquez Neuta. Anexo a escrito de la parte peticionaria de 28 de </w:t>
      </w:r>
      <w:r>
        <w:rPr>
          <w:sz w:val="16"/>
          <w:szCs w:val="16"/>
        </w:rPr>
        <w:t>enero de 2012</w:t>
      </w:r>
      <w:r w:rsidRPr="006E763F">
        <w:rPr>
          <w:sz w:val="16"/>
          <w:szCs w:val="16"/>
        </w:rPr>
        <w:t>.</w:t>
      </w:r>
    </w:p>
  </w:footnote>
  <w:footnote w:id="95">
    <w:p w14:paraId="161397CF" w14:textId="256CEC0C"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78</w:t>
      </w:r>
      <w:r w:rsidRPr="006E763F">
        <w:rPr>
          <w:sz w:val="16"/>
          <w:szCs w:val="16"/>
        </w:rPr>
        <w:t xml:space="preserve">. </w:t>
      </w:r>
      <w:r>
        <w:rPr>
          <w:sz w:val="16"/>
          <w:szCs w:val="16"/>
        </w:rPr>
        <w:t>Fiscalía General.</w:t>
      </w:r>
      <w:r w:rsidRPr="006E763F">
        <w:rPr>
          <w:sz w:val="16"/>
          <w:szCs w:val="16"/>
        </w:rPr>
        <w:t xml:space="preserve"> Rad. No. 096. Informe de la Secretaría de Gobierno de Bogotá. 28 de enero de 1997. Señala que “no se encontró el denuncio que presentó el señor Ramiro Bohórquez Neuta ante la Unidad judicial de esa localidad en el año 1993. Anexo a escrito de la parte peticionaria de 28 de </w:t>
      </w:r>
      <w:r>
        <w:rPr>
          <w:sz w:val="16"/>
          <w:szCs w:val="16"/>
        </w:rPr>
        <w:t>enero de 2012</w:t>
      </w:r>
      <w:r w:rsidRPr="006E763F">
        <w:rPr>
          <w:sz w:val="16"/>
          <w:szCs w:val="16"/>
        </w:rPr>
        <w:t>.</w:t>
      </w:r>
    </w:p>
  </w:footnote>
  <w:footnote w:id="96">
    <w:p w14:paraId="08B39268" w14:textId="5144443D"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79</w:t>
      </w:r>
      <w:r w:rsidRPr="006E763F">
        <w:rPr>
          <w:sz w:val="16"/>
          <w:szCs w:val="16"/>
        </w:rPr>
        <w:t xml:space="preserve">. </w:t>
      </w:r>
      <w:r>
        <w:rPr>
          <w:sz w:val="16"/>
          <w:szCs w:val="16"/>
        </w:rPr>
        <w:t>Fiscalía General.</w:t>
      </w:r>
      <w:r w:rsidRPr="006E763F">
        <w:rPr>
          <w:sz w:val="16"/>
          <w:szCs w:val="16"/>
        </w:rPr>
        <w:t xml:space="preserve"> Rad. No. 096. Informe UNPJ.DH.A. 17 de abril de 1997. Anexo a escrito de la parte peticionaria de 28 de </w:t>
      </w:r>
      <w:r>
        <w:rPr>
          <w:sz w:val="16"/>
          <w:szCs w:val="16"/>
        </w:rPr>
        <w:t>enero de 2012</w:t>
      </w:r>
      <w:r w:rsidRPr="006E763F">
        <w:rPr>
          <w:sz w:val="16"/>
          <w:szCs w:val="16"/>
        </w:rPr>
        <w:t>.</w:t>
      </w:r>
    </w:p>
  </w:footnote>
  <w:footnote w:id="97">
    <w:p w14:paraId="0ECC2CBE" w14:textId="19DF8C42"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80</w:t>
      </w:r>
      <w:r w:rsidRPr="006E763F">
        <w:rPr>
          <w:sz w:val="16"/>
          <w:szCs w:val="16"/>
        </w:rPr>
        <w:t xml:space="preserve">. </w:t>
      </w:r>
      <w:r>
        <w:rPr>
          <w:sz w:val="16"/>
          <w:szCs w:val="16"/>
        </w:rPr>
        <w:t>Fiscalía General.</w:t>
      </w:r>
      <w:r w:rsidRPr="006E763F">
        <w:rPr>
          <w:sz w:val="16"/>
          <w:szCs w:val="16"/>
        </w:rPr>
        <w:t xml:space="preserve"> Rad. No.096. Informe de Departamento Administrativo de Seguridad DAS. 18 de diciembre de 2008. Anexo a escrito de la parte peticionaria de 28 de </w:t>
      </w:r>
      <w:r>
        <w:rPr>
          <w:sz w:val="16"/>
          <w:szCs w:val="16"/>
        </w:rPr>
        <w:t>enero de 2012</w:t>
      </w:r>
      <w:r w:rsidRPr="006E763F">
        <w:rPr>
          <w:sz w:val="16"/>
          <w:szCs w:val="16"/>
        </w:rPr>
        <w:t xml:space="preserve">. </w:t>
      </w:r>
    </w:p>
  </w:footnote>
  <w:footnote w:id="98">
    <w:p w14:paraId="49DD26A0" w14:textId="05B84EF1"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81</w:t>
      </w:r>
      <w:r w:rsidRPr="006E763F">
        <w:rPr>
          <w:sz w:val="16"/>
          <w:szCs w:val="16"/>
        </w:rPr>
        <w:t xml:space="preserve">. </w:t>
      </w:r>
      <w:r>
        <w:rPr>
          <w:sz w:val="16"/>
          <w:szCs w:val="16"/>
        </w:rPr>
        <w:t>Fiscalía General.</w:t>
      </w:r>
      <w:r w:rsidRPr="006E763F">
        <w:rPr>
          <w:sz w:val="16"/>
          <w:szCs w:val="16"/>
        </w:rPr>
        <w:t xml:space="preserve"> Rad. No. 096. Diligencia de inspección judicial en Registraduría Nacional del Estado Civil. 7 de abril de 1994. Anexo  escrito de la parte peticionaria de 28 de </w:t>
      </w:r>
      <w:r>
        <w:rPr>
          <w:sz w:val="16"/>
          <w:szCs w:val="16"/>
        </w:rPr>
        <w:t>enero de 2012</w:t>
      </w:r>
      <w:r w:rsidRPr="006E763F">
        <w:rPr>
          <w:sz w:val="16"/>
          <w:szCs w:val="16"/>
        </w:rPr>
        <w:t>.</w:t>
      </w:r>
    </w:p>
  </w:footnote>
  <w:footnote w:id="99">
    <w:p w14:paraId="0DFF821C" w14:textId="336A4BB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73</w:t>
      </w:r>
      <w:r w:rsidRPr="006E763F">
        <w:rPr>
          <w:sz w:val="16"/>
          <w:szCs w:val="16"/>
        </w:rPr>
        <w:t xml:space="preserve">. </w:t>
      </w:r>
      <w:r>
        <w:rPr>
          <w:sz w:val="16"/>
          <w:szCs w:val="16"/>
        </w:rPr>
        <w:t>Fiscalía General.</w:t>
      </w:r>
      <w:r w:rsidRPr="006E763F">
        <w:rPr>
          <w:sz w:val="16"/>
          <w:szCs w:val="16"/>
        </w:rPr>
        <w:t xml:space="preserve"> Rad. No. 096. Informe de diligencias de investigación de Fiscalía General. 11 de julio de 2012. Anexo a escrito de la parte peticionaria de 28 de </w:t>
      </w:r>
      <w:r>
        <w:rPr>
          <w:sz w:val="16"/>
          <w:szCs w:val="16"/>
        </w:rPr>
        <w:t>enero de 2012.</w:t>
      </w:r>
    </w:p>
  </w:footnote>
  <w:footnote w:id="100">
    <w:p w14:paraId="1E2F3109" w14:textId="3FAD6F91"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82</w:t>
      </w:r>
      <w:r w:rsidRPr="006E763F">
        <w:rPr>
          <w:sz w:val="16"/>
          <w:szCs w:val="16"/>
        </w:rPr>
        <w:t xml:space="preserve">. </w:t>
      </w:r>
      <w:r>
        <w:rPr>
          <w:sz w:val="16"/>
          <w:szCs w:val="16"/>
        </w:rPr>
        <w:t>Fiscalía General.</w:t>
      </w:r>
      <w:r w:rsidRPr="006E763F">
        <w:rPr>
          <w:sz w:val="16"/>
          <w:szCs w:val="16"/>
        </w:rPr>
        <w:t xml:space="preserve"> Rad. No. 096. Informe de diligencias dirigida a la Fiscalía 48 especializada. 3 de febrero de 2009. Consta que el Instituto de medicina legal diligenció el formulario del desaparecido Movilla Galarcio, donde ingresan datos al sistema Sirdec con No. 2008D007280. Anexo a escrito de la parte peticionaria de 28 de </w:t>
      </w:r>
      <w:r>
        <w:rPr>
          <w:sz w:val="16"/>
          <w:szCs w:val="16"/>
        </w:rPr>
        <w:t>enero de 2012</w:t>
      </w:r>
      <w:r w:rsidRPr="006E763F">
        <w:rPr>
          <w:sz w:val="16"/>
          <w:szCs w:val="16"/>
        </w:rPr>
        <w:t>.</w:t>
      </w:r>
    </w:p>
  </w:footnote>
  <w:footnote w:id="101">
    <w:p w14:paraId="1378D6FA" w14:textId="086BBA3B"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Pr>
          <w:sz w:val="16"/>
          <w:szCs w:val="16"/>
        </w:rPr>
        <w:t xml:space="preserve"> Anexo 83</w:t>
      </w:r>
      <w:r w:rsidRPr="006E763F">
        <w:rPr>
          <w:sz w:val="16"/>
          <w:szCs w:val="16"/>
        </w:rPr>
        <w:t xml:space="preserve">. Demanda de Reparación Directa Rad. 10896 ante Tribunal Contencioso Administrativo de Cundinamarca. 19 de mayo de 1995. Expediente N° 95-D-10896. Anexo a escrito de la parte peticionaria de 28 de </w:t>
      </w:r>
      <w:r>
        <w:rPr>
          <w:sz w:val="16"/>
          <w:szCs w:val="16"/>
        </w:rPr>
        <w:t>enero de 2012</w:t>
      </w:r>
      <w:r w:rsidRPr="006E763F">
        <w:rPr>
          <w:sz w:val="16"/>
          <w:szCs w:val="16"/>
        </w:rPr>
        <w:t>.</w:t>
      </w:r>
    </w:p>
  </w:footnote>
  <w:footnote w:id="102">
    <w:p w14:paraId="1DDBEAD9" w14:textId="20660872"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84</w:t>
      </w:r>
      <w:r w:rsidRPr="006E763F">
        <w:rPr>
          <w:sz w:val="16"/>
          <w:szCs w:val="16"/>
        </w:rPr>
        <w:t xml:space="preserve">. Fallo del Tribunal Administrativo de Cundinamarca, Sección Tercera, de 30 de octubre de 2001. Anexo a escrito de la parte peticionaria de 28 de </w:t>
      </w:r>
      <w:r>
        <w:rPr>
          <w:sz w:val="16"/>
          <w:szCs w:val="16"/>
        </w:rPr>
        <w:t>enero de 2012</w:t>
      </w:r>
      <w:r w:rsidRPr="006E763F">
        <w:rPr>
          <w:sz w:val="16"/>
          <w:szCs w:val="16"/>
        </w:rPr>
        <w:t>.</w:t>
      </w:r>
    </w:p>
  </w:footnote>
  <w:footnote w:id="103">
    <w:p w14:paraId="18CD38E3" w14:textId="35F5E398"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Anexo </w:t>
      </w:r>
      <w:r>
        <w:rPr>
          <w:sz w:val="16"/>
          <w:szCs w:val="16"/>
        </w:rPr>
        <w:t>85</w:t>
      </w:r>
      <w:r w:rsidRPr="006E763F">
        <w:rPr>
          <w:sz w:val="16"/>
          <w:szCs w:val="16"/>
        </w:rPr>
        <w:t xml:space="preserve">. Sentencia Consejo de Estado- Sala de lo Contencioso Administrativo. Sección Tercera- Subsección A, de 23 de junio 2011. Anexo escrito de parte peticionaria de 28 de </w:t>
      </w:r>
      <w:r>
        <w:rPr>
          <w:sz w:val="16"/>
          <w:szCs w:val="16"/>
        </w:rPr>
        <w:t>enero de 2012</w:t>
      </w:r>
      <w:r w:rsidRPr="006E763F">
        <w:rPr>
          <w:sz w:val="16"/>
          <w:szCs w:val="16"/>
        </w:rPr>
        <w:t xml:space="preserve">. </w:t>
      </w:r>
    </w:p>
  </w:footnote>
  <w:footnote w:id="104">
    <w:p w14:paraId="140C1CD5" w14:textId="77777777"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En lo pertinente, el artículo 3 de la Convención Americana establece lo siguiente: Toda persona tiene derecho al reconocimiento de su personalidad jurídica.</w:t>
      </w:r>
    </w:p>
  </w:footnote>
  <w:footnote w:id="105">
    <w:p w14:paraId="2FBACBFB" w14:textId="77777777"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En lo pertinente, el artículo 4 de la Convención Americana establece lo siguiente: 1. Toda persona tiene derecho a que se respete su vida.  Este derecho estará protegido por la ley y, en general, a partir del momento de la concepción. Nadie puede ser privado de la vida arbitrariamente. </w:t>
      </w:r>
    </w:p>
  </w:footnote>
  <w:footnote w:id="106">
    <w:p w14:paraId="2C30234B" w14:textId="77777777"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En lo pertinente, el artículo 5 de la Convención Americana establece lo siguiente: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07">
    <w:p w14:paraId="4DC6B62F" w14:textId="3874D24E"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En lo pertinente, el artículo 7 de la Convención Americana establece lo siguiente:  1. Toda persona tiene derecho a la libertad y a la seguridad personales; (…).</w:t>
      </w:r>
    </w:p>
  </w:footnote>
  <w:footnote w:id="108">
    <w:p w14:paraId="1E11D6C7" w14:textId="77777777" w:rsidR="00B934ED" w:rsidRPr="006E763F" w:rsidRDefault="00B934ED" w:rsidP="00E24327">
      <w:pPr>
        <w:pStyle w:val="FootnoteText"/>
        <w:tabs>
          <w:tab w:val="left" w:pos="9356"/>
        </w:tabs>
        <w:ind w:firstLine="0"/>
        <w:rPr>
          <w:lang w:val="es-ES"/>
        </w:rPr>
      </w:pPr>
      <w:r w:rsidRPr="006E763F">
        <w:rPr>
          <w:rStyle w:val="FootnoteReference"/>
        </w:rPr>
        <w:footnoteRef/>
      </w:r>
      <w:r w:rsidRPr="006E763F">
        <w:rPr>
          <w:lang w:val="es-ES"/>
        </w:rPr>
        <w:t xml:space="preserve"> </w:t>
      </w:r>
      <w:r w:rsidRPr="006E763F">
        <w:rPr>
          <w:lang w:val="es-VE"/>
        </w:rPr>
        <w:t xml:space="preserve">El artículo 1.1 de la Convención establece: </w:t>
      </w:r>
      <w:r w:rsidRPr="006E763F">
        <w:rPr>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09">
    <w:p w14:paraId="3FD5896E" w14:textId="0E007FFF" w:rsidR="00B934ED" w:rsidRPr="006E763F" w:rsidRDefault="00B934ED" w:rsidP="00B0429C">
      <w:pPr>
        <w:pStyle w:val="FootnoteText"/>
        <w:ind w:firstLine="0"/>
        <w:rPr>
          <w:lang w:val="es-ES"/>
        </w:rPr>
      </w:pPr>
      <w:r w:rsidRPr="006E763F">
        <w:rPr>
          <w:rStyle w:val="FootnoteReference"/>
        </w:rPr>
        <w:footnoteRef/>
      </w:r>
      <w:r w:rsidRPr="006E763F">
        <w:rPr>
          <w:lang w:val="es-ES"/>
        </w:rPr>
        <w:t xml:space="preserve"> El artículo 2 de la Convención establece: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10">
    <w:p w14:paraId="0AF16BCA" w14:textId="1AFA891F" w:rsidR="00B934ED" w:rsidRPr="006E763F" w:rsidRDefault="00B934ED" w:rsidP="0080128A">
      <w:pPr>
        <w:tabs>
          <w:tab w:val="left" w:pos="9356"/>
        </w:tabs>
        <w:jc w:val="both"/>
        <w:rPr>
          <w:rFonts w:ascii="Cambria" w:eastAsia="Times New Roman" w:hAnsi="Cambria"/>
          <w:sz w:val="16"/>
          <w:szCs w:val="16"/>
          <w:lang w:val="es-ES"/>
        </w:rPr>
      </w:pPr>
      <w:r w:rsidRPr="006E763F">
        <w:rPr>
          <w:rStyle w:val="FootnoteReference"/>
          <w:rFonts w:ascii="Cambria" w:hAnsi="Cambria"/>
          <w:sz w:val="16"/>
          <w:szCs w:val="16"/>
        </w:rPr>
        <w:footnoteRef/>
      </w:r>
      <w:r w:rsidRPr="006E763F">
        <w:rPr>
          <w:rFonts w:ascii="Cambria" w:hAnsi="Cambria"/>
          <w:sz w:val="16"/>
          <w:szCs w:val="16"/>
          <w:lang w:val="es-CO"/>
        </w:rPr>
        <w:t xml:space="preserve"> El artículo </w:t>
      </w:r>
      <w:r w:rsidRPr="006E763F">
        <w:rPr>
          <w:rFonts w:ascii="Cambria" w:eastAsia="Times New Roman" w:hAnsi="Cambria"/>
          <w:sz w:val="16"/>
          <w:szCs w:val="16"/>
          <w:lang w:val="es-ES"/>
        </w:rPr>
        <w:t>Artículo I de la CIDFP señala que: Los Estados partes en esta Convención se comprometen a: a) No practicar, no permitir, ni tolerar la desaparición forzada de personas, ni aun en estado de emergencia, excepción o suspensión de garantías individuales; (...).</w:t>
      </w:r>
    </w:p>
  </w:footnote>
  <w:footnote w:id="111">
    <w:p w14:paraId="39403057" w14:textId="77777777" w:rsidR="00B934ED" w:rsidRPr="006E763F" w:rsidRDefault="00B934ED" w:rsidP="0080128A">
      <w:pPr>
        <w:tabs>
          <w:tab w:val="left" w:pos="360"/>
        </w:tabs>
        <w:jc w:val="both"/>
        <w:rPr>
          <w:rFonts w:ascii="Cambria" w:hAnsi="Cambria"/>
          <w:sz w:val="16"/>
          <w:szCs w:val="16"/>
          <w:lang w:val="es-ES_tradnl"/>
        </w:rPr>
      </w:pPr>
      <w:r w:rsidRPr="006E763F">
        <w:rPr>
          <w:rStyle w:val="FootnoteReference"/>
          <w:rFonts w:ascii="Cambria" w:hAnsi="Cambria"/>
          <w:sz w:val="16"/>
          <w:szCs w:val="16"/>
        </w:rPr>
        <w:footnoteRef/>
      </w:r>
      <w:r w:rsidRPr="006E763F">
        <w:rPr>
          <w:rFonts w:ascii="Cambria" w:hAnsi="Cambria"/>
          <w:sz w:val="16"/>
          <w:szCs w:val="16"/>
          <w:lang w:val="es-CO"/>
        </w:rPr>
        <w:t xml:space="preserve"> </w:t>
      </w:r>
      <w:r w:rsidRPr="006E763F">
        <w:rPr>
          <w:rFonts w:ascii="Cambria" w:hAnsi="Cambria"/>
          <w:sz w:val="16"/>
          <w:szCs w:val="16"/>
          <w:lang w:val="es-ES_tradnl"/>
        </w:rPr>
        <w:t xml:space="preserve">CIDH. Informe 101/01. Caso 10.247 y otros. Ejecuciones extrajudiciales y desapariciones forzadas de personas. Perú. 10 de octubre de 2001. Párr. 178; </w:t>
      </w:r>
      <w:r w:rsidRPr="006E763F">
        <w:rPr>
          <w:rFonts w:ascii="Cambria" w:hAnsi="Cambria"/>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6E763F">
        <w:rPr>
          <w:rFonts w:ascii="Cambria" w:hAnsi="Cambria"/>
          <w:sz w:val="16"/>
          <w:szCs w:val="16"/>
          <w:lang w:val="es-ES_tradnl"/>
        </w:rPr>
        <w:t xml:space="preserve">Corte IDH, </w:t>
      </w:r>
      <w:r w:rsidRPr="006E763F">
        <w:rPr>
          <w:rFonts w:ascii="Cambria" w:hAnsi="Cambria"/>
          <w:i/>
          <w:iCs/>
          <w:sz w:val="16"/>
          <w:szCs w:val="16"/>
          <w:lang w:val="es-ES_tradnl"/>
        </w:rPr>
        <w:t>Caso Goiburú y otros</w:t>
      </w:r>
      <w:r w:rsidRPr="006E763F">
        <w:rPr>
          <w:rFonts w:ascii="Cambria" w:hAnsi="Cambria"/>
          <w:sz w:val="16"/>
          <w:szCs w:val="16"/>
          <w:lang w:val="es-ES_tradnl"/>
        </w:rPr>
        <w:t xml:space="preserve">. Sentencia sobre Fondo, Reparaciones y Costas. Sentencia de 22 de septiembre de 2006. Serie C No. 153. Párr. </w:t>
      </w:r>
      <w:r w:rsidRPr="006E763F">
        <w:rPr>
          <w:rFonts w:ascii="Cambria" w:hAnsi="Cambria"/>
          <w:sz w:val="16"/>
          <w:szCs w:val="16"/>
          <w:lang w:val="es-CO"/>
        </w:rPr>
        <w:t xml:space="preserve">82; </w:t>
      </w:r>
      <w:r w:rsidRPr="006E763F">
        <w:rPr>
          <w:rFonts w:ascii="Cambria" w:hAnsi="Cambria"/>
          <w:sz w:val="16"/>
          <w:szCs w:val="16"/>
          <w:lang w:val="es-ES_tradnl"/>
        </w:rPr>
        <w:t xml:space="preserve">Corte I.D.H., </w:t>
      </w:r>
      <w:r w:rsidRPr="006E763F">
        <w:rPr>
          <w:rFonts w:ascii="Cambria" w:hAnsi="Cambria"/>
          <w:i/>
          <w:iCs/>
          <w:sz w:val="16"/>
          <w:szCs w:val="16"/>
          <w:lang w:val="es-ES_tradnl"/>
        </w:rPr>
        <w:t>Caso Gómez Palomino</w:t>
      </w:r>
      <w:r w:rsidRPr="006E763F">
        <w:rPr>
          <w:rFonts w:ascii="Cambria" w:hAnsi="Cambria"/>
          <w:sz w:val="16"/>
          <w:szCs w:val="16"/>
          <w:lang w:val="es-ES_tradnl"/>
        </w:rPr>
        <w:t xml:space="preserve">. Sentencia de 22 de noviembre de 2005. Serie C No. 136. </w:t>
      </w:r>
      <w:r w:rsidRPr="006E763F">
        <w:rPr>
          <w:rFonts w:ascii="Cambria" w:hAnsi="Cambria"/>
          <w:sz w:val="16"/>
          <w:szCs w:val="16"/>
          <w:lang w:val="es-CO"/>
        </w:rPr>
        <w:t xml:space="preserve">Párr. 92; </w:t>
      </w:r>
      <w:r w:rsidRPr="006E763F">
        <w:rPr>
          <w:rFonts w:ascii="Cambria" w:hAnsi="Cambria"/>
          <w:sz w:val="16"/>
          <w:szCs w:val="16"/>
          <w:lang w:val="es-ES_tradnl"/>
        </w:rPr>
        <w:t>Corte I.D.H.,</w:t>
      </w:r>
      <w:r w:rsidRPr="006E763F">
        <w:rPr>
          <w:rFonts w:ascii="Cambria" w:hAnsi="Cambria"/>
          <w:sz w:val="16"/>
          <w:szCs w:val="16"/>
          <w:lang w:val="es-CO"/>
        </w:rPr>
        <w:t xml:space="preserve"> </w:t>
      </w:r>
      <w:r w:rsidRPr="006E763F">
        <w:rPr>
          <w:rFonts w:ascii="Cambria" w:hAnsi="Cambria"/>
          <w:i/>
          <w:noProof/>
          <w:sz w:val="16"/>
          <w:szCs w:val="16"/>
          <w:lang w:val="es-CO"/>
        </w:rPr>
        <w:t xml:space="preserve">Caso de las Hermanas Serrano Cruz. Excepciones preliminares. </w:t>
      </w:r>
      <w:r w:rsidRPr="006E763F">
        <w:rPr>
          <w:rFonts w:ascii="Cambria" w:hAnsi="Cambria"/>
          <w:sz w:val="16"/>
          <w:szCs w:val="16"/>
          <w:lang w:val="es-CO"/>
        </w:rPr>
        <w:t xml:space="preserve">Sentencia de 23 de noviembre de 2004. </w:t>
      </w:r>
      <w:r w:rsidRPr="006E763F">
        <w:rPr>
          <w:rFonts w:ascii="Cambria" w:hAnsi="Cambria"/>
          <w:sz w:val="16"/>
          <w:szCs w:val="16"/>
          <w:lang w:val="es-ES_tradnl"/>
        </w:rPr>
        <w:t>Serie C No. 118</w:t>
      </w:r>
      <w:r w:rsidRPr="006E763F">
        <w:rPr>
          <w:rFonts w:ascii="Cambria" w:hAnsi="Cambria"/>
          <w:noProof/>
          <w:sz w:val="16"/>
          <w:szCs w:val="16"/>
          <w:lang w:val="es-ES_tradnl"/>
        </w:rPr>
        <w:t xml:space="preserve">, Párrs. 100 a 106; Corte IDH., </w:t>
      </w:r>
      <w:r w:rsidRPr="006E763F">
        <w:rPr>
          <w:rFonts w:ascii="Cambria" w:hAnsi="Cambria"/>
          <w:sz w:val="16"/>
          <w:szCs w:val="16"/>
          <w:lang w:val="es-ES_tradnl"/>
        </w:rPr>
        <w:t xml:space="preserve">Caso Molina Theissen. </w:t>
      </w:r>
      <w:r w:rsidRPr="006E763F">
        <w:rPr>
          <w:rFonts w:ascii="Cambria" w:hAnsi="Cambria"/>
          <w:noProof/>
          <w:sz w:val="16"/>
          <w:szCs w:val="16"/>
          <w:lang w:val="es-ES_tradnl"/>
        </w:rPr>
        <w:t xml:space="preserve">Reparaciones (art. 63.1 Convención Americana sobre Derechos Humanos). </w:t>
      </w:r>
      <w:r w:rsidRPr="006E763F">
        <w:rPr>
          <w:rFonts w:ascii="Cambria" w:hAnsi="Cambria"/>
          <w:sz w:val="16"/>
          <w:szCs w:val="16"/>
          <w:lang w:val="es-ES_tradnl"/>
        </w:rPr>
        <w:t xml:space="preserve">Sentencia de 3 de julio de 2004, Serie C No. 108, Párr. 41. </w:t>
      </w:r>
    </w:p>
  </w:footnote>
  <w:footnote w:id="112">
    <w:p w14:paraId="6E8B3A1E" w14:textId="77777777" w:rsidR="00B934ED" w:rsidRPr="006E763F" w:rsidRDefault="00B934ED" w:rsidP="0080128A">
      <w:pPr>
        <w:pStyle w:val="FootnoteText"/>
        <w:tabs>
          <w:tab w:val="left" w:pos="720"/>
        </w:tabs>
        <w:ind w:firstLine="0"/>
        <w:rPr>
          <w:lang w:val="es-ES_tradnl"/>
        </w:rPr>
      </w:pPr>
      <w:r w:rsidRPr="006E763F">
        <w:rPr>
          <w:rStyle w:val="FootnoteReference"/>
        </w:rPr>
        <w:footnoteRef/>
      </w:r>
      <w:r w:rsidRPr="006E763F">
        <w:rPr>
          <w:lang w:val="es-ES_tradnl"/>
        </w:rPr>
        <w:t xml:space="preserve"> Corte IDH. Caso Velásquez Rodríguez Vs. Honduras. </w:t>
      </w:r>
      <w:hyperlink r:id="rId8" w:history="1">
        <w:r w:rsidRPr="006E763F">
          <w:rPr>
            <w:rStyle w:val="Hyperlink"/>
            <w:rFonts w:cs="Arial"/>
            <w:shd w:val="clear" w:color="auto" w:fill="FFFFFF"/>
            <w:lang w:val="es-ES_tradnl"/>
          </w:rPr>
          <w:t>Fondo. Sentencia de 29 de julio de 1988. Serie C No. 4</w:t>
        </w:r>
      </w:hyperlink>
      <w:r w:rsidRPr="006E763F">
        <w:rPr>
          <w:lang w:val="es-ES_tradnl"/>
        </w:rPr>
        <w:t xml:space="preserve">, párr. 174; Caso Anzualdo Castro Vs. Perú. Excepción Preliminar, Fondo, Reparaciones y Costas. Sentencia de 22 de septiembre de 2009. Serie C No. 202, párr. párr. 62; y Caso </w:t>
      </w:r>
      <w:r w:rsidRPr="006E763F">
        <w:rPr>
          <w:lang w:val="es-CR"/>
        </w:rPr>
        <w:t xml:space="preserve">Radilla Pacheco Vs. México. </w:t>
      </w:r>
      <w:r w:rsidRPr="006E763F">
        <w:rPr>
          <w:lang w:val="es-ES_tradnl"/>
        </w:rPr>
        <w:t>Excepciones Preliminares, Fondo, Reparaciones y Costas. Sentencia de 23 de noviembre de 2009. Serie C No. 209, párr. 142.</w:t>
      </w:r>
    </w:p>
  </w:footnote>
  <w:footnote w:id="113">
    <w:p w14:paraId="6E4179CC" w14:textId="77777777" w:rsidR="00B934ED" w:rsidRPr="006E763F" w:rsidRDefault="00B934ED" w:rsidP="0080128A">
      <w:pPr>
        <w:pStyle w:val="FootnoteText"/>
        <w:ind w:firstLine="0"/>
        <w:rPr>
          <w:lang w:val="es-CO"/>
        </w:rPr>
      </w:pPr>
      <w:r w:rsidRPr="006E763F">
        <w:rPr>
          <w:rStyle w:val="FootnoteReference"/>
        </w:rPr>
        <w:footnoteRef/>
      </w:r>
      <w:r w:rsidRPr="006E763F">
        <w:rPr>
          <w:lang w:val="es-CO"/>
        </w:rPr>
        <w:t xml:space="preserve"> </w:t>
      </w:r>
      <w:r w:rsidRPr="006E763F">
        <w:rPr>
          <w:lang w:val="de-DE"/>
        </w:rPr>
        <w:t>CIDH. Demanda ante la Corte Interamericana, Caso No. 12.529, Rainer Ibsen Cárdenas y José Luis Ibsen Peña, Bolivia, Mayo 12, 2009, párr. 106.</w:t>
      </w:r>
    </w:p>
  </w:footnote>
  <w:footnote w:id="114">
    <w:p w14:paraId="60EA6C56" w14:textId="77777777" w:rsidR="00B934ED" w:rsidRPr="006E763F" w:rsidRDefault="00B934ED" w:rsidP="0080128A">
      <w:pPr>
        <w:pStyle w:val="FootnoteText"/>
        <w:tabs>
          <w:tab w:val="left" w:pos="720"/>
        </w:tabs>
        <w:ind w:firstLine="0"/>
        <w:rPr>
          <w:lang w:val="es-ES_tradnl"/>
        </w:rPr>
      </w:pPr>
      <w:r w:rsidRPr="006E763F">
        <w:rPr>
          <w:rStyle w:val="FootnoteReference"/>
        </w:rPr>
        <w:footnoteRef/>
      </w:r>
      <w:r w:rsidRPr="006E763F">
        <w:rPr>
          <w:lang w:val="es-ES_tradnl"/>
        </w:rPr>
        <w:t xml:space="preserve"> Corte IDH. Caso Chaparro Álvarez y Lapo Iñiguez Vs. Ecuador. Excepciones Preliminares, Fondo, Reparaciones y Costas. Sentencia de 21 de noviembre de 2007. Serie C No. 170, párr. 171; y Caso Anzualdo Castro Vs. Perú. Excepción Preliminar, Fondo, Reparaciones y Costas. Sentencia de 22 de septiembre de 2009. Serie C No. 202, párr. 85. </w:t>
      </w:r>
    </w:p>
  </w:footnote>
  <w:footnote w:id="115">
    <w:p w14:paraId="058CD1EC" w14:textId="77777777" w:rsidR="00B934ED" w:rsidRPr="006E763F" w:rsidRDefault="00B934ED" w:rsidP="0080128A">
      <w:pPr>
        <w:pStyle w:val="FootnoteText"/>
        <w:ind w:firstLine="0"/>
        <w:rPr>
          <w:lang w:val="es-ES_tradnl"/>
        </w:rPr>
      </w:pPr>
      <w:r w:rsidRPr="006E763F">
        <w:rPr>
          <w:rStyle w:val="FootnoteReference"/>
        </w:rPr>
        <w:footnoteRef/>
      </w:r>
      <w:r w:rsidRPr="006E763F">
        <w:rPr>
          <w:lang w:val="es-VE"/>
        </w:rPr>
        <w:t xml:space="preserve"> Corte IDH. Caso Anzualdo Castro Vs. </w:t>
      </w:r>
      <w:r w:rsidRPr="006E763F">
        <w:rPr>
          <w:lang w:val="es-ES_tradnl"/>
        </w:rPr>
        <w:t xml:space="preserve">Perú. Excepción Preliminar, Fondo, Reparaciones y Costas. Sentencia de 22 de septiembre de 2009. Serie C No. 202, párrs. 91-92; Caso </w:t>
      </w:r>
      <w:r w:rsidRPr="006E763F">
        <w:rPr>
          <w:lang w:val="es-CR"/>
        </w:rPr>
        <w:t xml:space="preserve">Radilla Pacheco Vs. México. </w:t>
      </w:r>
      <w:r w:rsidRPr="006E763F">
        <w:rPr>
          <w:lang w:val="es-ES_tradnl"/>
        </w:rPr>
        <w:t xml:space="preserve">Excepciones Preliminares, Fondo, Reparaciones y Costas. Sentencia de 23 de noviembre de 2009. Serie C No. 209, párr. 157. </w:t>
      </w:r>
    </w:p>
  </w:footnote>
  <w:footnote w:id="116">
    <w:p w14:paraId="065E0110" w14:textId="77777777" w:rsidR="00B934ED" w:rsidRPr="006E763F" w:rsidRDefault="00B934ED" w:rsidP="0080128A">
      <w:pPr>
        <w:pStyle w:val="FootnoteText"/>
        <w:tabs>
          <w:tab w:val="left" w:pos="720"/>
        </w:tabs>
        <w:ind w:firstLine="0"/>
        <w:rPr>
          <w:lang w:val="es-ES_tradnl"/>
        </w:rPr>
      </w:pPr>
      <w:r w:rsidRPr="006E763F">
        <w:rPr>
          <w:rStyle w:val="FootnoteReference"/>
        </w:rPr>
        <w:footnoteRef/>
      </w:r>
      <w:r w:rsidRPr="006E763F">
        <w:rPr>
          <w:lang w:val="es-VE"/>
        </w:rPr>
        <w:t xml:space="preserve"> Corte IDH. Caso Anzualdo Castro Vs. </w:t>
      </w:r>
      <w:r w:rsidRPr="006E763F">
        <w:rPr>
          <w:lang w:val="es-ES_tradnl"/>
        </w:rPr>
        <w:t xml:space="preserve">Perú. Excepción Preliminar, Fondo, Reparaciones y Costas. Sentencia de 22 de septiembre de 2009. Serie C No. 202, párr. </w:t>
      </w:r>
      <w:r w:rsidRPr="006E763F">
        <w:rPr>
          <w:lang w:val="es-VE"/>
        </w:rPr>
        <w:t>90.</w:t>
      </w:r>
    </w:p>
  </w:footnote>
  <w:footnote w:id="117">
    <w:p w14:paraId="0DF29F32" w14:textId="77777777" w:rsidR="00B934ED" w:rsidRPr="006E763F" w:rsidRDefault="00B934ED" w:rsidP="0080128A">
      <w:pPr>
        <w:pStyle w:val="FootnoteText"/>
        <w:ind w:firstLine="0"/>
        <w:rPr>
          <w:lang w:val="es-ES"/>
        </w:rPr>
      </w:pPr>
      <w:r w:rsidRPr="006E763F">
        <w:rPr>
          <w:rStyle w:val="FootnoteReference"/>
        </w:rPr>
        <w:footnoteRef/>
      </w:r>
      <w:r w:rsidRPr="006E763F">
        <w:rPr>
          <w:lang w:val="es-ES"/>
        </w:rPr>
        <w:t xml:space="preserve"> CIDH. Informe No. 111/09. Caso 11.324. Fondo. Narciso González Medina. República Dominicana. 10 de noviembre de 2009. Párr. 56. </w:t>
      </w:r>
    </w:p>
  </w:footnote>
  <w:footnote w:id="118">
    <w:p w14:paraId="2FD203C7" w14:textId="77777777" w:rsidR="00B934ED" w:rsidRPr="006E763F" w:rsidRDefault="00B934ED" w:rsidP="0080128A">
      <w:pPr>
        <w:pStyle w:val="FootnoteText"/>
        <w:ind w:firstLine="0"/>
        <w:rPr>
          <w:lang w:val="es-VE"/>
        </w:rPr>
      </w:pPr>
      <w:r w:rsidRPr="006E763F">
        <w:rPr>
          <w:rStyle w:val="FootnoteReference"/>
        </w:rPr>
        <w:footnoteRef/>
      </w:r>
      <w:r w:rsidRPr="006E763F">
        <w:rPr>
          <w:lang w:val="es-ES"/>
        </w:rPr>
        <w:t xml:space="preserve"> </w:t>
      </w:r>
      <w:hyperlink r:id="rId9" w:history="1">
        <w:r w:rsidRPr="006E763F">
          <w:rPr>
            <w:rStyle w:val="Hyperlink"/>
            <w:lang w:val="es-ES"/>
          </w:rPr>
          <w:t>Corte IDH.</w:t>
        </w:r>
        <w:r w:rsidRPr="006E763F">
          <w:rPr>
            <w:rStyle w:val="Hyperlink"/>
            <w:iCs/>
            <w:lang w:val="es-ES"/>
          </w:rPr>
          <w:t xml:space="preserve"> </w:t>
        </w:r>
        <w:r w:rsidRPr="006E763F">
          <w:rPr>
            <w:rStyle w:val="Hyperlink"/>
            <w:iCs/>
            <w:lang w:val="es-ES_tradnl"/>
          </w:rPr>
          <w:t xml:space="preserve">Caso González Medina y familiares Vs. República Dominicana. </w:t>
        </w:r>
        <w:r w:rsidRPr="006E763F">
          <w:rPr>
            <w:rStyle w:val="Hyperlink"/>
            <w:lang w:val="es-ES_tradnl"/>
          </w:rPr>
          <w:t>Excepciones Preliminares, Fondo, Reparaciones y Costas. Sentencia de 27 de febrero de 2012 Serie C No. 240</w:t>
        </w:r>
      </w:hyperlink>
      <w:r w:rsidRPr="006E763F">
        <w:rPr>
          <w:lang w:val="es-ES_tradnl"/>
        </w:rPr>
        <w:t>, párr. 134.</w:t>
      </w:r>
    </w:p>
  </w:footnote>
  <w:footnote w:id="119">
    <w:p w14:paraId="26E7AF21" w14:textId="77777777" w:rsidR="00B934ED" w:rsidRPr="006E763F" w:rsidRDefault="00B934ED" w:rsidP="0080128A">
      <w:pPr>
        <w:pStyle w:val="FootnoteText"/>
        <w:ind w:firstLine="0"/>
        <w:rPr>
          <w:lang w:val="es-VE"/>
        </w:rPr>
      </w:pPr>
      <w:r w:rsidRPr="006E763F">
        <w:rPr>
          <w:rStyle w:val="FootnoteReference"/>
        </w:rPr>
        <w:footnoteRef/>
      </w:r>
      <w:r w:rsidRPr="006E763F">
        <w:rPr>
          <w:lang w:val="es-VE"/>
        </w:rPr>
        <w:t xml:space="preserve"> Corte IDH. Caso Blake vs. Guatemala. Sentencia de 24 d enero de 1998. Serie C No. 36, párr.49.</w:t>
      </w:r>
    </w:p>
  </w:footnote>
  <w:footnote w:id="120">
    <w:p w14:paraId="7A6DAFB7" w14:textId="77777777" w:rsidR="00B934ED" w:rsidRPr="006E763F" w:rsidRDefault="00B934ED" w:rsidP="0080128A">
      <w:pPr>
        <w:pStyle w:val="FootnoteText"/>
        <w:tabs>
          <w:tab w:val="left" w:pos="9356"/>
        </w:tabs>
        <w:ind w:firstLine="0"/>
        <w:rPr>
          <w:lang w:val="es-CL"/>
        </w:rPr>
      </w:pPr>
      <w:r w:rsidRPr="006E763F">
        <w:rPr>
          <w:rStyle w:val="FootnoteReference"/>
        </w:rPr>
        <w:footnoteRef/>
      </w:r>
      <w:r w:rsidRPr="006E763F">
        <w:rPr>
          <w:lang w:val="es-ES"/>
        </w:rPr>
        <w:t xml:space="preserve"> </w:t>
      </w:r>
      <w:r w:rsidRPr="006E763F">
        <w:rPr>
          <w:lang w:val="es-CL"/>
        </w:rPr>
        <w:t>CIDH, Informe No. 5 /16, Casos 11.053, 11.054, 12.224, 12.225, y 12.823. Fondo. Perú.13 de abril de 2016,</w:t>
      </w:r>
      <w:r w:rsidRPr="006E763F">
        <w:rPr>
          <w:lang w:val="es-ES"/>
        </w:rPr>
        <w:t xml:space="preserve"> Párrs. 175 – 179. </w:t>
      </w:r>
    </w:p>
  </w:footnote>
  <w:footnote w:id="121">
    <w:p w14:paraId="5F5B6A60" w14:textId="77777777" w:rsidR="00B934ED" w:rsidRPr="006E763F" w:rsidRDefault="00B934ED" w:rsidP="0080128A">
      <w:pPr>
        <w:pStyle w:val="FootnoteText"/>
        <w:tabs>
          <w:tab w:val="left" w:pos="720"/>
        </w:tabs>
        <w:ind w:firstLine="0"/>
        <w:rPr>
          <w:lang w:val="es-ES_tradnl"/>
        </w:rPr>
      </w:pPr>
      <w:r w:rsidRPr="006E763F">
        <w:rPr>
          <w:rStyle w:val="FootnoteReference"/>
        </w:rPr>
        <w:footnoteRef/>
      </w:r>
      <w:r w:rsidRPr="006E763F">
        <w:rPr>
          <w:lang w:val="es-VE"/>
        </w:rPr>
        <w:t xml:space="preserve"> Corte IDH. Caso Gómez Palomino Vs. </w:t>
      </w:r>
      <w:r w:rsidRPr="006E763F">
        <w:rPr>
          <w:lang w:val="es-ES_tradnl"/>
        </w:rPr>
        <w:t xml:space="preserve">Perú. </w:t>
      </w:r>
      <w:hyperlink r:id="rId10" w:history="1">
        <w:r w:rsidRPr="006E763F">
          <w:rPr>
            <w:rStyle w:val="Hyperlink"/>
            <w:rFonts w:cs="Arial"/>
            <w:shd w:val="clear" w:color="auto" w:fill="FFFFFF"/>
            <w:lang w:val="es-ES_tradnl"/>
          </w:rPr>
          <w:t>Fondo, Reparaciones y Costas. Sentencia de 22 de noviembre de 2005. Serie C No. 136</w:t>
        </w:r>
      </w:hyperlink>
      <w:r w:rsidRPr="006E763F">
        <w:rPr>
          <w:lang w:val="es-ES_tradnl"/>
        </w:rPr>
        <w:t xml:space="preserve">, párr. 97; Caso Ticona Estrada Vs. </w:t>
      </w:r>
      <w:r w:rsidRPr="006E763F">
        <w:rPr>
          <w:lang w:val="es-CL"/>
        </w:rPr>
        <w:t xml:space="preserve">Bolivia. Fondo, Reparaciones y Costas. Sentencia de 27 de noviembre de 2008. Serie C No. 191, párr. </w:t>
      </w:r>
      <w:r w:rsidRPr="006E763F">
        <w:rPr>
          <w:lang w:val="es-ES_tradnl"/>
        </w:rPr>
        <w:t>55; y Caso Anzualdo Castro Vs. Perú. Excepción Preliminar, Fondo, Reparaciones y Costas. Sentencia de 22 de septiembre de 2009. Serie C No. 202, párr. 60.</w:t>
      </w:r>
    </w:p>
  </w:footnote>
  <w:footnote w:id="122">
    <w:p w14:paraId="777A5591" w14:textId="4687B820" w:rsidR="00B934ED" w:rsidRPr="006E763F" w:rsidRDefault="00B934ED" w:rsidP="00283897">
      <w:pPr>
        <w:pStyle w:val="FootnoteText"/>
        <w:ind w:firstLine="0"/>
        <w:rPr>
          <w:lang w:val="es-ES"/>
        </w:rPr>
      </w:pPr>
      <w:r w:rsidRPr="006E763F">
        <w:rPr>
          <w:rStyle w:val="FootnoteReference"/>
        </w:rPr>
        <w:footnoteRef/>
      </w:r>
      <w:r w:rsidRPr="006E763F">
        <w:rPr>
          <w:lang w:val="es-ES"/>
        </w:rPr>
        <w:t xml:space="preserve"> Colombia depositó el instrumento de ratificación de la CIDFP ante la Secretaría General de la OEA el 12 de abril de 2005.</w:t>
      </w:r>
    </w:p>
  </w:footnote>
  <w:footnote w:id="123">
    <w:p w14:paraId="1AB0960A" w14:textId="77777777"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El artículo 16 de la Convención Americana consagra en lo pertinente: 1. Todas las personas tienen derecho a asociarse libremente con fines ideológicos, religiosos, políticos, económicos, laborales, sociales, culturales, deportivos o de cualquiera otra índole.</w:t>
      </w:r>
    </w:p>
  </w:footnote>
  <w:footnote w:id="124">
    <w:p w14:paraId="1CAA6D51" w14:textId="3AC2D0EA" w:rsidR="00B934ED" w:rsidRPr="006E763F" w:rsidRDefault="00B934ED" w:rsidP="0080128A">
      <w:pPr>
        <w:pStyle w:val="FootnoteText"/>
        <w:tabs>
          <w:tab w:val="left" w:pos="9356"/>
        </w:tabs>
        <w:ind w:firstLine="0"/>
        <w:rPr>
          <w:lang w:val="es-CL"/>
        </w:rPr>
      </w:pPr>
      <w:r w:rsidRPr="006E763F">
        <w:rPr>
          <w:rStyle w:val="FootnoteReference"/>
        </w:rPr>
        <w:footnoteRef/>
      </w:r>
      <w:r w:rsidRPr="006E763F">
        <w:rPr>
          <w:lang w:val="pt-BR"/>
        </w:rPr>
        <w:t xml:space="preserve"> Corte IDH. Caso Huilca Tecse Vs. </w:t>
      </w:r>
      <w:r w:rsidRPr="006E763F">
        <w:rPr>
          <w:lang w:val="es-CL"/>
        </w:rPr>
        <w:t>Perú. Excepciones Preliminares, Fondo, Reparaciones y Costas. Sentencia de 3 de marzo de 2005. párr. 71; Corte IDH. Caso Lagos del Campo Vs. Perú. Excepciones Preliminares, Fondo, Reparaciones y Costas. Sentencia de 31 de agosto de 2017. Párr. 23.</w:t>
      </w:r>
    </w:p>
  </w:footnote>
  <w:footnote w:id="125">
    <w:p w14:paraId="4C80A8B9" w14:textId="77777777" w:rsidR="00B934ED" w:rsidRPr="006E763F" w:rsidRDefault="00B934ED" w:rsidP="0080128A">
      <w:pPr>
        <w:pStyle w:val="NoSpacing"/>
        <w:tabs>
          <w:tab w:val="left" w:pos="9356"/>
        </w:tabs>
        <w:ind w:firstLine="0"/>
        <w:rPr>
          <w:sz w:val="16"/>
          <w:szCs w:val="16"/>
        </w:rPr>
      </w:pPr>
      <w:r w:rsidRPr="006E763F">
        <w:rPr>
          <w:b/>
          <w:bCs/>
          <w:sz w:val="16"/>
          <w:szCs w:val="16"/>
          <w:vertAlign w:val="superscript"/>
        </w:rPr>
        <w:footnoteRef/>
      </w:r>
      <w:r w:rsidRPr="006E763F">
        <w:rPr>
          <w:sz w:val="16"/>
          <w:szCs w:val="16"/>
        </w:rPr>
        <w:t xml:space="preserve"> El artículo 8 de la Convención Americana consagra en lo pertinente: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26">
    <w:p w14:paraId="7ED5AE60" w14:textId="77777777" w:rsidR="00B934ED" w:rsidRPr="006E763F" w:rsidRDefault="00B934ED" w:rsidP="0080128A">
      <w:pPr>
        <w:pStyle w:val="NoSpacing"/>
        <w:tabs>
          <w:tab w:val="left" w:pos="9356"/>
        </w:tabs>
        <w:ind w:firstLine="0"/>
        <w:rPr>
          <w:sz w:val="16"/>
          <w:szCs w:val="16"/>
        </w:rPr>
      </w:pPr>
      <w:r w:rsidRPr="006E763F">
        <w:rPr>
          <w:b/>
          <w:bCs/>
          <w:sz w:val="16"/>
          <w:szCs w:val="16"/>
          <w:vertAlign w:val="superscript"/>
        </w:rPr>
        <w:footnoteRef/>
      </w:r>
      <w:r w:rsidRPr="006E763F">
        <w:rPr>
          <w:sz w:val="16"/>
          <w:szCs w:val="16"/>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7">
    <w:p w14:paraId="668F8BAA" w14:textId="5E7CA6B4"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El artículo I.b de la CIDFP consagra en lo pertinente: b. </w:t>
      </w:r>
      <w:r w:rsidRPr="006E763F">
        <w:rPr>
          <w:lang w:val="es-MX"/>
        </w:rPr>
        <w:t>sancionar en el ámbito de su jurisdicción a los autores, cómplices y encubridores del delito de desaparición forzada de personas, así como la tentativa de comisión del mismo.</w:t>
      </w:r>
    </w:p>
  </w:footnote>
  <w:footnote w:id="128">
    <w:p w14:paraId="2BEDDD17" w14:textId="7CBDC355" w:rsidR="00B934ED" w:rsidRPr="006E763F" w:rsidRDefault="00B934ED" w:rsidP="0080128A">
      <w:pPr>
        <w:tabs>
          <w:tab w:val="left" w:pos="900"/>
          <w:tab w:val="left" w:pos="1080"/>
          <w:tab w:val="left" w:pos="9356"/>
        </w:tabs>
        <w:autoSpaceDE w:val="0"/>
        <w:autoSpaceDN w:val="0"/>
        <w:adjustRightInd w:val="0"/>
        <w:jc w:val="both"/>
        <w:rPr>
          <w:rFonts w:ascii="Cambria" w:hAnsi="Cambria"/>
          <w:sz w:val="16"/>
          <w:szCs w:val="16"/>
          <w:lang w:val="es-VE"/>
        </w:rPr>
      </w:pPr>
      <w:r w:rsidRPr="006E763F">
        <w:rPr>
          <w:rFonts w:ascii="Cambria" w:hAnsi="Cambria"/>
          <w:sz w:val="16"/>
          <w:szCs w:val="16"/>
          <w:lang w:val="es-VE"/>
        </w:rPr>
        <w:t xml:space="preserve"> </w:t>
      </w:r>
      <w:r w:rsidRPr="006E763F">
        <w:rPr>
          <w:rStyle w:val="FootnoteReference"/>
          <w:rFonts w:ascii="Cambria" w:hAnsi="Cambria"/>
          <w:sz w:val="16"/>
          <w:szCs w:val="16"/>
        </w:rPr>
        <w:footnoteRef/>
      </w:r>
      <w:r w:rsidRPr="006E763F">
        <w:rPr>
          <w:rFonts w:ascii="Cambria" w:hAnsi="Cambria"/>
          <w:sz w:val="16"/>
          <w:szCs w:val="16"/>
          <w:lang w:val="es-CO"/>
        </w:rPr>
        <w:t xml:space="preserve"> CIDH. Informe No. 111/09. Caso 11.324. Fondo. Narciso González Medina. República Dominicana. 10 de noviembre de 2009. Párr. 225; Corte IDH. Caso Anzualdo Castro Vs. </w:t>
      </w:r>
      <w:r w:rsidRPr="006E763F">
        <w:rPr>
          <w:rFonts w:ascii="Cambria" w:hAnsi="Cambria"/>
          <w:sz w:val="16"/>
          <w:szCs w:val="16"/>
          <w:lang w:val="es-VE"/>
        </w:rPr>
        <w:t xml:space="preserve">Perú. Excepción Preliminar, Fondo, Reparaciones y Costas. Sentencia de 22 de Septiembre de 2009. Serie C No. 202, párr. 134; </w:t>
      </w:r>
      <w:r w:rsidRPr="006E763F">
        <w:rPr>
          <w:rFonts w:ascii="Cambria" w:hAnsi="Cambria"/>
          <w:bCs/>
          <w:sz w:val="16"/>
          <w:szCs w:val="16"/>
          <w:lang w:val="es-VE"/>
        </w:rPr>
        <w:t xml:space="preserve">Caso Radilla Pacheco Vs. México. </w:t>
      </w:r>
      <w:r w:rsidRPr="006E763F">
        <w:rPr>
          <w:rFonts w:ascii="Cambria" w:hAnsi="Cambria"/>
          <w:sz w:val="16"/>
          <w:szCs w:val="16"/>
          <w:lang w:val="es-VE"/>
        </w:rPr>
        <w:t xml:space="preserve">Excepciones Preliminares, Fondo, Reparaciones y Costas. Sentencia de 23 de Noviembre de 2009. Serie C No. 209, párr. 221; Corte IDH, </w:t>
      </w:r>
      <w:r w:rsidRPr="006E763F">
        <w:rPr>
          <w:rFonts w:ascii="Cambria" w:hAnsi="Cambria"/>
          <w:bCs/>
          <w:sz w:val="16"/>
          <w:szCs w:val="16"/>
          <w:lang w:val="es-VE"/>
        </w:rPr>
        <w:t xml:space="preserve">Caso Ibsen Cárdenas e Ibsen Peña Vs. Bolivia. </w:t>
      </w:r>
      <w:r w:rsidRPr="006E763F">
        <w:rPr>
          <w:rFonts w:ascii="Cambria" w:hAnsi="Cambria"/>
          <w:sz w:val="16"/>
          <w:szCs w:val="16"/>
          <w:lang w:val="es-VE"/>
        </w:rPr>
        <w:t xml:space="preserve">Fondo, Reparaciones y Costas. Sentencia de 1 de septiembre de 2010. Serie C No. 217, párr. 167. Ver también Corte IDH, Asunto Natera Balboa. Medida Provisionales respecto de Venezuela. Resolución de la Corte de 1 de febrero de 2010, Considerando decimotercero, y Asunto Guerrero Larez. Medidas Provisionales respecto de Venezuela. Resolución de la Corte de 29 de agosto de 2013. Considerando sexto. </w:t>
      </w:r>
    </w:p>
  </w:footnote>
  <w:footnote w:id="129">
    <w:p w14:paraId="5F477726" w14:textId="41DD5FD1" w:rsidR="00B934ED" w:rsidRPr="006E763F" w:rsidRDefault="00B934ED" w:rsidP="0080128A">
      <w:pPr>
        <w:widowControl w:val="0"/>
        <w:tabs>
          <w:tab w:val="left" w:pos="567"/>
          <w:tab w:val="left" w:pos="9356"/>
        </w:tabs>
        <w:autoSpaceDE w:val="0"/>
        <w:autoSpaceDN w:val="0"/>
        <w:adjustRightInd w:val="0"/>
        <w:jc w:val="both"/>
        <w:rPr>
          <w:rFonts w:ascii="Cambria" w:hAnsi="Cambria" w:cs="Calibri"/>
          <w:color w:val="000000"/>
          <w:sz w:val="16"/>
          <w:szCs w:val="16"/>
          <w:u w:color="000000"/>
          <w:lang w:val="es-MX" w:eastAsia="es-ES"/>
        </w:rPr>
      </w:pPr>
      <w:r w:rsidRPr="006E763F">
        <w:rPr>
          <w:rStyle w:val="FootnoteReference"/>
          <w:rFonts w:ascii="Cambria" w:hAnsi="Cambria"/>
          <w:spacing w:val="-6"/>
          <w:sz w:val="16"/>
          <w:szCs w:val="16"/>
        </w:rPr>
        <w:footnoteRef/>
      </w:r>
      <w:r w:rsidRPr="006E763F">
        <w:rPr>
          <w:rFonts w:ascii="Cambria" w:hAnsi="Cambria"/>
          <w:spacing w:val="-6"/>
          <w:sz w:val="16"/>
          <w:szCs w:val="16"/>
          <w:lang w:val="es-CR"/>
        </w:rPr>
        <w:t xml:space="preserve"> </w:t>
      </w:r>
      <w:r w:rsidRPr="006E763F">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 183.</w:t>
      </w:r>
    </w:p>
  </w:footnote>
  <w:footnote w:id="130">
    <w:p w14:paraId="53B2C4B2" w14:textId="77777777" w:rsidR="00B934ED" w:rsidRPr="006E763F" w:rsidRDefault="00B934ED" w:rsidP="0080128A">
      <w:pPr>
        <w:pStyle w:val="FootnoteText"/>
        <w:tabs>
          <w:tab w:val="left" w:pos="9356"/>
        </w:tabs>
        <w:ind w:firstLine="0"/>
        <w:rPr>
          <w:lang w:val="es-MX"/>
        </w:rPr>
      </w:pPr>
      <w:r w:rsidRPr="006E763F">
        <w:rPr>
          <w:rStyle w:val="FootnoteReference"/>
        </w:rPr>
        <w:footnoteRef/>
      </w:r>
      <w:r w:rsidRPr="006E763F">
        <w:rPr>
          <w:lang w:val="es-MX"/>
        </w:rPr>
        <w:t xml:space="preserve"> Corte IDH. Caso Myrna Mack Chan Vs. 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131">
    <w:p w14:paraId="0C30BCFB" w14:textId="016353CD" w:rsidR="00B934ED" w:rsidRPr="006E763F" w:rsidRDefault="00B934ED" w:rsidP="0080128A">
      <w:pPr>
        <w:tabs>
          <w:tab w:val="left" w:pos="567"/>
          <w:tab w:val="left" w:pos="9356"/>
        </w:tabs>
        <w:jc w:val="both"/>
        <w:rPr>
          <w:rFonts w:ascii="Cambria" w:hAnsi="Cambria" w:cs="Calibri"/>
          <w:color w:val="000000"/>
          <w:sz w:val="16"/>
          <w:szCs w:val="16"/>
          <w:u w:color="000000"/>
          <w:lang w:val="es-MX" w:eastAsia="es-ES"/>
        </w:rPr>
      </w:pPr>
      <w:r w:rsidRPr="006E763F">
        <w:rPr>
          <w:rStyle w:val="FootnoteReference"/>
          <w:rFonts w:ascii="Cambria" w:hAnsi="Cambria"/>
          <w:spacing w:val="-6"/>
          <w:sz w:val="16"/>
          <w:szCs w:val="16"/>
        </w:rPr>
        <w:footnoteRef/>
      </w:r>
      <w:r w:rsidRPr="006E763F">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párr.183.</w:t>
      </w:r>
    </w:p>
  </w:footnote>
  <w:footnote w:id="132">
    <w:p w14:paraId="44CE9444" w14:textId="0E3A1602" w:rsidR="00B934ED" w:rsidRPr="006E763F" w:rsidRDefault="00B934ED" w:rsidP="0080128A">
      <w:pPr>
        <w:widowControl w:val="0"/>
        <w:tabs>
          <w:tab w:val="left" w:pos="567"/>
          <w:tab w:val="left" w:pos="9356"/>
        </w:tabs>
        <w:autoSpaceDE w:val="0"/>
        <w:autoSpaceDN w:val="0"/>
        <w:adjustRightInd w:val="0"/>
        <w:jc w:val="both"/>
        <w:rPr>
          <w:rFonts w:ascii="Cambria" w:hAnsi="Cambria"/>
          <w:spacing w:val="-6"/>
          <w:sz w:val="16"/>
          <w:szCs w:val="16"/>
          <w:lang w:val="es-CR"/>
        </w:rPr>
      </w:pPr>
      <w:r w:rsidRPr="006E763F">
        <w:rPr>
          <w:rStyle w:val="FootnoteReference"/>
          <w:rFonts w:ascii="Cambria" w:hAnsi="Cambria"/>
          <w:spacing w:val="-6"/>
          <w:sz w:val="16"/>
          <w:szCs w:val="16"/>
        </w:rPr>
        <w:footnoteRef/>
      </w:r>
      <w:r w:rsidRPr="006E763F">
        <w:rPr>
          <w:rFonts w:ascii="Cambria" w:hAnsi="Cambria"/>
          <w:spacing w:val="-6"/>
          <w:sz w:val="16"/>
          <w:szCs w:val="16"/>
          <w:lang w:val="es-CR"/>
        </w:rPr>
        <w:t xml:space="preserve"> Corte IDH. Caso de las Masacres de Ituango Vs. Colombia. Sentencia de 1 de julio de 2006, Serie C. No. 148, párr. 319; Caso Veliz Franco </w:t>
      </w:r>
      <w:r w:rsidRPr="006E763F">
        <w:rPr>
          <w:rFonts w:ascii="Cambria" w:hAnsi="Cambria" w:cs="Verdana"/>
          <w:spacing w:val="-6"/>
          <w:sz w:val="16"/>
          <w:szCs w:val="16"/>
          <w:lang w:val="es-ES"/>
        </w:rPr>
        <w:t xml:space="preserve">y otros Vs. Guatemala. Excepciones Preliminares, Fondo, Reparaciones y Costas. Sentencia de 19 de mayo de 2014. Serie C No. 277, párr. 183; y </w:t>
      </w:r>
      <w:r w:rsidRPr="006E763F">
        <w:rPr>
          <w:rFonts w:ascii="Cambria" w:hAnsi="Cambria"/>
          <w:sz w:val="16"/>
          <w:szCs w:val="16"/>
          <w:lang w:val="es-MX"/>
        </w:rPr>
        <w:t xml:space="preserve">Caso Hermanos Landaeta Mejías y otros Vs. Venezuela. Excepciones Preliminares, Fondo, Reparaciones y Costas. Sentencia de 27 de agosto de 2014. Serie C No. 281, párr., 216. </w:t>
      </w:r>
    </w:p>
  </w:footnote>
  <w:footnote w:id="133">
    <w:p w14:paraId="441ADF8D" w14:textId="72498484" w:rsidR="00B934ED" w:rsidRPr="006E763F" w:rsidRDefault="00B934ED" w:rsidP="0080128A">
      <w:pPr>
        <w:pStyle w:val="FootnoteText"/>
        <w:tabs>
          <w:tab w:val="left" w:pos="9356"/>
        </w:tabs>
        <w:ind w:firstLine="0"/>
        <w:rPr>
          <w:lang w:val="es-PE"/>
        </w:rPr>
      </w:pPr>
      <w:r w:rsidRPr="006E763F">
        <w:rPr>
          <w:rStyle w:val="FootnoteReference"/>
        </w:rPr>
        <w:footnoteRef/>
      </w:r>
      <w:r w:rsidRPr="006E763F">
        <w:rPr>
          <w:lang w:val="es-MX"/>
        </w:rPr>
        <w:t xml:space="preserve"> Corte IDH. Caso Cantoral Huamaní y García Santa Cruz Vs. Perú. Excepción Preliminar, Fondo, Reparaciones y Costas. Sentencia de 10 de julio de 2007. </w:t>
      </w:r>
      <w:r w:rsidRPr="00835996">
        <w:rPr>
          <w:lang w:val="es-PE"/>
        </w:rPr>
        <w:t xml:space="preserve">Serie C No. 167, párr. 131; </w:t>
      </w:r>
      <w:r w:rsidRPr="00835996">
        <w:rPr>
          <w:color w:val="auto"/>
          <w:lang w:val="es-PE"/>
        </w:rPr>
        <w:t xml:space="preserve">Corte I.D.H., Caso Kawas Fernández Vs. </w:t>
      </w:r>
      <w:r w:rsidRPr="006E763F">
        <w:rPr>
          <w:color w:val="auto"/>
          <w:lang w:val="es-ES_tradnl"/>
        </w:rPr>
        <w:t xml:space="preserve">Honduras. Fondo, Reparaciones y Costas. Sentencia de 3 de abril de 2009 Serie C No. 196, párr. 101; </w:t>
      </w:r>
      <w:r w:rsidRPr="006E763F">
        <w:rPr>
          <w:color w:val="auto"/>
          <w:lang w:val="es-ES"/>
        </w:rPr>
        <w:t xml:space="preserve">CIDH, Informe No. 85/13, Caso 12.251, Admisibilidad y Fondo, Vereda la Esperanza, Colombia, 4 de noviembre de 2013, párr. </w:t>
      </w:r>
      <w:r w:rsidRPr="006E763F">
        <w:rPr>
          <w:color w:val="auto"/>
          <w:lang w:val="es-MX"/>
        </w:rPr>
        <w:t xml:space="preserve">242. </w:t>
      </w:r>
    </w:p>
  </w:footnote>
  <w:footnote w:id="134">
    <w:p w14:paraId="55FEFECF" w14:textId="77777777" w:rsidR="00B934ED" w:rsidRPr="006E763F" w:rsidRDefault="00B934ED" w:rsidP="0080128A">
      <w:pPr>
        <w:tabs>
          <w:tab w:val="left" w:pos="9356"/>
        </w:tabs>
        <w:jc w:val="both"/>
        <w:rPr>
          <w:rFonts w:ascii="Cambria" w:hAnsi="Cambria"/>
          <w:sz w:val="16"/>
          <w:szCs w:val="16"/>
          <w:lang w:val="pt-BR"/>
        </w:rPr>
      </w:pPr>
      <w:r w:rsidRPr="006E763F">
        <w:rPr>
          <w:rStyle w:val="FootnoteReference"/>
          <w:rFonts w:ascii="Cambria" w:hAnsi="Cambria"/>
          <w:sz w:val="16"/>
          <w:szCs w:val="16"/>
          <w:lang w:val="es-ES"/>
        </w:rPr>
        <w:footnoteRef/>
      </w:r>
      <w:r w:rsidRPr="006E763F">
        <w:rPr>
          <w:rFonts w:ascii="Cambria" w:hAnsi="Cambria"/>
          <w:sz w:val="16"/>
          <w:szCs w:val="16"/>
          <w:lang w:val="es-ES"/>
        </w:rPr>
        <w:t xml:space="preserve"> CIDH, Informe de Fondo, N˚ 55/97, Juan Carlos Abella y Otros (Argentina), 18 de noviembre de 1997, párr. </w:t>
      </w:r>
      <w:r w:rsidRPr="006E763F">
        <w:rPr>
          <w:rFonts w:ascii="Cambria" w:hAnsi="Cambria"/>
          <w:sz w:val="16"/>
          <w:szCs w:val="16"/>
          <w:lang w:val="pt-BR"/>
        </w:rPr>
        <w:t>412.</w:t>
      </w:r>
    </w:p>
  </w:footnote>
  <w:footnote w:id="135">
    <w:p w14:paraId="32823C31" w14:textId="77777777" w:rsidR="00B934ED" w:rsidRPr="006E763F" w:rsidRDefault="00B934ED" w:rsidP="0080128A">
      <w:pPr>
        <w:pStyle w:val="FootnoteText"/>
        <w:tabs>
          <w:tab w:val="left" w:pos="9356"/>
        </w:tabs>
        <w:ind w:firstLine="0"/>
        <w:rPr>
          <w:lang w:val="es-PE"/>
        </w:rPr>
      </w:pPr>
      <w:r w:rsidRPr="006E763F">
        <w:rPr>
          <w:rStyle w:val="FootnoteReference"/>
        </w:rPr>
        <w:footnoteRef/>
      </w:r>
      <w:r w:rsidRPr="006E763F">
        <w:rPr>
          <w:lang w:val="pt-BR"/>
        </w:rPr>
        <w:t xml:space="preserve"> CIDH, Informe No. 25/09 Fondo (Sebastião Camargo Filho) Brasil, 19 de marzo de 2009, párr. </w:t>
      </w:r>
      <w:r w:rsidRPr="006E763F">
        <w:rPr>
          <w:lang w:val="es-ES_tradnl"/>
        </w:rPr>
        <w:t xml:space="preserve">109. Ver también, </w:t>
      </w:r>
      <w:r w:rsidRPr="006E763F">
        <w:rPr>
          <w:lang w:val="es-VE"/>
        </w:rPr>
        <w:t xml:space="preserve">CIDH, Acceso a la Justicia para las Mujeres Víctimas de Violencia en las Américas, </w:t>
      </w:r>
      <w:r w:rsidRPr="006E763F">
        <w:rPr>
          <w:lang w:val="es-ES_tradnl"/>
        </w:rPr>
        <w:t>OEA/Ser. L/V/II. doc.68, 20 de enero de 2007, párr. 41.</w:t>
      </w:r>
    </w:p>
  </w:footnote>
  <w:footnote w:id="136">
    <w:p w14:paraId="494BFA58" w14:textId="59FC56EC" w:rsidR="00B934ED" w:rsidRPr="006E763F" w:rsidRDefault="00B934ED" w:rsidP="0080128A">
      <w:pPr>
        <w:pStyle w:val="FootnoteText"/>
        <w:tabs>
          <w:tab w:val="left" w:pos="9356"/>
        </w:tabs>
        <w:ind w:firstLine="0"/>
        <w:rPr>
          <w:lang w:val="es-PE"/>
        </w:rPr>
      </w:pPr>
      <w:r w:rsidRPr="006E763F">
        <w:rPr>
          <w:rStyle w:val="FootnoteReference"/>
        </w:rPr>
        <w:footnoteRef/>
      </w:r>
      <w:r w:rsidRPr="006E763F">
        <w:rPr>
          <w:lang w:val="es-MX"/>
        </w:rPr>
        <w:t xml:space="preserve"> </w:t>
      </w:r>
      <w:r w:rsidRPr="006E763F">
        <w:rPr>
          <w:lang w:val="es-PE"/>
        </w:rPr>
        <w:t xml:space="preserve">Corte IDH. </w:t>
      </w:r>
      <w:r w:rsidRPr="006E763F">
        <w:rPr>
          <w:iCs/>
          <w:lang w:val="es-ES_tradnl"/>
        </w:rPr>
        <w:t>Caso de los “Niños de la Calle” (Villagrán Morales y otros) Vs. Guatemala.</w:t>
      </w:r>
      <w:r w:rsidRPr="006E763F">
        <w:rPr>
          <w:lang w:val="es-ES_tradnl"/>
        </w:rPr>
        <w:t xml:space="preserve"> Sentencia de 19 de noviembre de 1999. Serie C No. 63,</w:t>
      </w:r>
      <w:r w:rsidRPr="006E763F">
        <w:rPr>
          <w:lang w:val="es-CR"/>
        </w:rPr>
        <w:t xml:space="preserve"> párr. 230. </w:t>
      </w:r>
      <w:r w:rsidRPr="006E763F">
        <w:rPr>
          <w:lang w:val="es-ES_tradnl"/>
        </w:rPr>
        <w:t xml:space="preserve">Ver también, </w:t>
      </w:r>
      <w:r w:rsidRPr="006E763F">
        <w:rPr>
          <w:lang w:val="es-VE"/>
        </w:rPr>
        <w:t xml:space="preserve">CIDH, Acceso a la Justicia para las Mujeres Víctimas de Violencia en las Américas, </w:t>
      </w:r>
      <w:r w:rsidRPr="006E763F">
        <w:rPr>
          <w:lang w:val="es-ES_tradnl"/>
        </w:rPr>
        <w:t>OEA/Ser. L/V/II. doc.68, 20 de enero de 2007, párr. 41.</w:t>
      </w:r>
    </w:p>
  </w:footnote>
  <w:footnote w:id="137">
    <w:p w14:paraId="02CFD3F2" w14:textId="5CA8E3A2"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w:t>
      </w:r>
      <w:r w:rsidRPr="006E763F">
        <w:rPr>
          <w:bCs/>
          <w:lang w:val="es-ES"/>
        </w:rPr>
        <w:t xml:space="preserve">Corte IDH. Caso de la Masacre de La Rochela Vs. Colombia. Interpretación de la Sentencia de Fondo, Reparaciones y Costas. Sentencia de 28 de enero de 2008. Serie C No. 175; </w:t>
      </w:r>
      <w:r w:rsidRPr="006E763F">
        <w:rPr>
          <w:lang w:val="es-ES"/>
        </w:rPr>
        <w:t>Caso de las Masacres de Ituango, párr. 333; y Caso de la Masacre de Pueblo Bello, párr. 203.</w:t>
      </w:r>
    </w:p>
  </w:footnote>
  <w:footnote w:id="138">
    <w:p w14:paraId="7A029372" w14:textId="77777777" w:rsidR="00B934ED" w:rsidRPr="006E763F" w:rsidRDefault="00B934ED" w:rsidP="0080128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jc w:val="both"/>
        <w:rPr>
          <w:rFonts w:ascii="Cambria" w:hAnsi="Cambria"/>
          <w:sz w:val="16"/>
          <w:szCs w:val="16"/>
          <w:lang w:val="es-ES" w:bidi="x-none"/>
        </w:rPr>
      </w:pPr>
      <w:r w:rsidRPr="006E763F">
        <w:rPr>
          <w:rStyle w:val="FootnoteReference"/>
          <w:rFonts w:ascii="Cambria" w:hAnsi="Cambria"/>
          <w:sz w:val="16"/>
          <w:szCs w:val="16"/>
          <w:lang w:val="es-ES"/>
        </w:rPr>
        <w:footnoteRef/>
      </w:r>
      <w:r w:rsidRPr="006E763F">
        <w:rPr>
          <w:rFonts w:ascii="Cambria" w:hAnsi="Cambria"/>
          <w:sz w:val="16"/>
          <w:szCs w:val="16"/>
          <w:lang w:val="es-ES"/>
        </w:rPr>
        <w:t xml:space="preserve"> Cor</w:t>
      </w:r>
      <w:r w:rsidRPr="006E763F">
        <w:rPr>
          <w:rFonts w:ascii="Cambria" w:hAnsi="Cambria"/>
          <w:sz w:val="16"/>
          <w:szCs w:val="16"/>
          <w:lang w:val="es-CL"/>
        </w:rPr>
        <w:t xml:space="preserve">te IDH., </w:t>
      </w:r>
      <w:r w:rsidRPr="006E763F">
        <w:rPr>
          <w:rFonts w:ascii="Cambria" w:hAnsi="Cambria"/>
          <w:bCs/>
          <w:sz w:val="16"/>
          <w:szCs w:val="16"/>
          <w:lang w:val="es-CL"/>
        </w:rPr>
        <w:t xml:space="preserve">Caso Bámaca Velásquez Vs. </w:t>
      </w:r>
      <w:r w:rsidRPr="006E763F">
        <w:rPr>
          <w:rFonts w:ascii="Cambria" w:hAnsi="Cambria"/>
          <w:bCs/>
          <w:sz w:val="16"/>
          <w:szCs w:val="16"/>
          <w:lang w:val="es-ES"/>
        </w:rPr>
        <w:t xml:space="preserve">Guatemala. </w:t>
      </w:r>
      <w:r w:rsidRPr="006E763F">
        <w:rPr>
          <w:rFonts w:ascii="Cambria" w:hAnsi="Cambria"/>
          <w:sz w:val="16"/>
          <w:szCs w:val="16"/>
          <w:lang w:val="es-ES"/>
        </w:rPr>
        <w:t xml:space="preserve">Fondo. Sentencia de 25 de noviembre de 2000. Serie C No. 70, </w:t>
      </w:r>
      <w:r w:rsidRPr="006E763F">
        <w:rPr>
          <w:rFonts w:ascii="Cambria" w:hAnsi="Cambria"/>
          <w:sz w:val="16"/>
          <w:szCs w:val="16"/>
          <w:lang w:val="es-ES" w:bidi="x-none"/>
        </w:rPr>
        <w:t xml:space="preserve">párr. 197. </w:t>
      </w:r>
    </w:p>
  </w:footnote>
  <w:footnote w:id="139">
    <w:p w14:paraId="4FDF86E2" w14:textId="77777777" w:rsidR="00B934ED" w:rsidRPr="006E763F" w:rsidRDefault="00B934ED" w:rsidP="0080128A">
      <w:pPr>
        <w:pStyle w:val="FootnoteText"/>
        <w:tabs>
          <w:tab w:val="left" w:pos="9356"/>
        </w:tabs>
        <w:ind w:firstLine="0"/>
        <w:rPr>
          <w:lang w:val="pt-BR"/>
        </w:rPr>
      </w:pPr>
      <w:r w:rsidRPr="006E763F">
        <w:rPr>
          <w:rStyle w:val="FootnoteReference"/>
        </w:rPr>
        <w:footnoteRef/>
      </w:r>
      <w:r w:rsidRPr="006E763F">
        <w:rPr>
          <w:lang w:val="es-ES"/>
        </w:rPr>
        <w:t xml:space="preserve"> CIDH. Derecho a la Verdad en las Américas. </w:t>
      </w:r>
      <w:r w:rsidRPr="006E763F">
        <w:rPr>
          <w:lang w:val="pt-BR"/>
        </w:rPr>
        <w:t xml:space="preserve">OEA/Ser.L/V/II.152. Doc. 2. 13 de agosto de 2014. Párr. 13. </w:t>
      </w:r>
    </w:p>
  </w:footnote>
  <w:footnote w:id="140">
    <w:p w14:paraId="77905DB1" w14:textId="77777777" w:rsidR="00B934ED" w:rsidRPr="006E763F" w:rsidRDefault="00B934ED" w:rsidP="0080128A">
      <w:pPr>
        <w:pStyle w:val="FootnoteText"/>
        <w:tabs>
          <w:tab w:val="left" w:pos="9356"/>
        </w:tabs>
        <w:ind w:firstLine="0"/>
        <w:rPr>
          <w:rFonts w:cs="Calibri"/>
          <w:lang w:val="es-ES"/>
        </w:rPr>
      </w:pPr>
      <w:r w:rsidRPr="006E763F">
        <w:rPr>
          <w:rStyle w:val="FootnoteReference"/>
        </w:rPr>
        <w:footnoteRef/>
      </w:r>
      <w:r w:rsidRPr="006E763F">
        <w:rPr>
          <w:lang w:val="pt-BR"/>
        </w:rPr>
        <w:t xml:space="preserve"> </w:t>
      </w:r>
      <w:hyperlink r:id="rId11" w:history="1">
        <w:r w:rsidRPr="006E763F">
          <w:rPr>
            <w:lang w:val="pt-BR"/>
          </w:rPr>
          <w:t xml:space="preserve">Corte IDH. Caso Vargas Areco Vs. </w:t>
        </w:r>
        <w:r w:rsidRPr="006E763F">
          <w:rPr>
            <w:lang w:val="es-ES"/>
          </w:rPr>
          <w:t>Paraguay. Sentencia de 26 de septiembre de 2006. Serie C No. 155</w:t>
        </w:r>
      </w:hyperlink>
      <w:r w:rsidRPr="006E763F">
        <w:rPr>
          <w:lang w:val="es-ES"/>
        </w:rPr>
        <w:t xml:space="preserve">, párr. 196; </w:t>
      </w:r>
      <w:hyperlink r:id="rId12" w:history="1">
        <w:r w:rsidRPr="006E763F">
          <w:rPr>
            <w:lang w:val="es-ES"/>
          </w:rPr>
          <w:t>Caso de las Masacres de Ituango Vs. Colombia. Sentencia de 1 de julio de 2006 Serie C No. 148</w:t>
        </w:r>
      </w:hyperlink>
      <w:r w:rsidRPr="006E763F">
        <w:rPr>
          <w:lang w:val="es-ES"/>
        </w:rPr>
        <w:t xml:space="preserve">, párr. 289; y </w:t>
      </w:r>
      <w:hyperlink r:id="rId13" w:history="1">
        <w:r w:rsidRPr="006E763F">
          <w:rPr>
            <w:lang w:val="es-ES"/>
          </w:rPr>
          <w:t>Corte IDH. Caso Baldeón García Vs. Perú. Fondo, Reparaciones y Costas. Sentencia de 6 de abril de 2006. Serie C No. 147</w:t>
        </w:r>
      </w:hyperlink>
      <w:r w:rsidRPr="006E763F">
        <w:rPr>
          <w:lang w:val="es-ES"/>
        </w:rPr>
        <w:t>, párr. 151.</w:t>
      </w:r>
    </w:p>
  </w:footnote>
  <w:footnote w:id="141">
    <w:p w14:paraId="7867471C" w14:textId="77777777" w:rsidR="00B934ED" w:rsidRPr="006E763F" w:rsidRDefault="00B934ED" w:rsidP="0080128A">
      <w:pPr>
        <w:pStyle w:val="FootnoteText"/>
        <w:tabs>
          <w:tab w:val="left" w:pos="9356"/>
        </w:tabs>
        <w:ind w:firstLine="0"/>
        <w:rPr>
          <w:lang w:val="es-ES"/>
        </w:rPr>
      </w:pPr>
      <w:r w:rsidRPr="006E763F">
        <w:rPr>
          <w:rStyle w:val="FootnoteReference"/>
        </w:rPr>
        <w:footnoteRef/>
      </w:r>
      <w:r w:rsidRPr="006E763F">
        <w:rPr>
          <w:lang w:val="es-ES"/>
        </w:rPr>
        <w:t xml:space="preserve"> </w:t>
      </w:r>
      <w:r w:rsidRPr="006E763F">
        <w:rPr>
          <w:noProof/>
          <w:lang w:val="es-ES"/>
        </w:rPr>
        <w:t>Corte IDH. Caso Valle Jaramillo y otros Vs. Colombia. Fondo, Reparaciones y Costas. Sentencia de 27 de noviembre de 2008. Serie C No. 192, párr. 155.</w:t>
      </w:r>
    </w:p>
  </w:footnote>
  <w:footnote w:id="142">
    <w:p w14:paraId="2D1FE819" w14:textId="77777777" w:rsidR="00B934ED" w:rsidRPr="006E763F" w:rsidRDefault="00B934ED" w:rsidP="0080128A">
      <w:pPr>
        <w:pStyle w:val="FootnoteText"/>
        <w:tabs>
          <w:tab w:val="left" w:pos="9356"/>
        </w:tabs>
        <w:ind w:firstLine="0"/>
        <w:rPr>
          <w:rFonts w:cs="Calibri"/>
          <w:lang w:val="es-MX"/>
        </w:rPr>
      </w:pPr>
      <w:r w:rsidRPr="006E763F">
        <w:rPr>
          <w:rStyle w:val="FootnoteReference"/>
        </w:rPr>
        <w:footnoteRef/>
      </w:r>
      <w:r w:rsidRPr="006E763F">
        <w:rPr>
          <w:lang w:val="es-MX"/>
        </w:rPr>
        <w:t xml:space="preserve"> CIDH. Informe No 34/14. Caso 12.492. Fondo. Carlos Escaleras Mejía y familia, párr. 172.</w:t>
      </w:r>
    </w:p>
  </w:footnote>
  <w:footnote w:id="143">
    <w:p w14:paraId="7687C42B" w14:textId="7777777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CIDH. Informe No. 11/10. Caso 12.488. Fondo. Miembros de la Familia Barrios. Venezuela. 16 de marzo de 2010. 91. CIDH. Informe sobre Terrorismo y Derechos Humanos. Párr. 227; Corte IDH. Caso Cantoral Huamaní y García Santa Cruz Vs. Perú. Excepción Preliminar, Fondo, Reparaciones y Costas. Sentencia de 10 de julio de 2007. Serie C No. 167. párr. 112; y Caso Bueno Alves Vs. Argentina. Fondo, Reparaciones y Costas. Sentencia de 11 de mayo de 2007. Serie C. No. 164. párr. 102. </w:t>
      </w:r>
    </w:p>
  </w:footnote>
  <w:footnote w:id="144">
    <w:p w14:paraId="517D9EC8" w14:textId="77777777" w:rsidR="00B934ED" w:rsidRPr="006E763F"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Corte IDH. Caso Cantoral Huamaní y García Santa Cruz Vs. Perú. Excepción Preliminar, Fondo, Reparaciones y Costas. Sentencia de 10 de julio de 2007. Serie C No. 167. párr. 112; y Caso Vargas Areco Vs. Paraguay. Sentencia de 26 de septiembre de 2006. Serie C No. 155. párr. 96.</w:t>
      </w:r>
    </w:p>
  </w:footnote>
  <w:footnote w:id="145">
    <w:p w14:paraId="5B412D8E" w14:textId="77777777" w:rsidR="00B934ED" w:rsidRPr="00E91E49" w:rsidRDefault="00B934ED" w:rsidP="0080128A">
      <w:pPr>
        <w:pStyle w:val="NoSpacing"/>
        <w:tabs>
          <w:tab w:val="left" w:pos="9356"/>
        </w:tabs>
        <w:ind w:firstLine="0"/>
        <w:rPr>
          <w:sz w:val="16"/>
          <w:szCs w:val="16"/>
        </w:rPr>
      </w:pPr>
      <w:r w:rsidRPr="006E763F">
        <w:rPr>
          <w:sz w:val="16"/>
          <w:szCs w:val="16"/>
          <w:vertAlign w:val="superscript"/>
        </w:rPr>
        <w:footnoteRef/>
      </w:r>
      <w:r w:rsidRPr="006E763F">
        <w:rPr>
          <w:sz w:val="16"/>
          <w:szCs w:val="16"/>
        </w:rPr>
        <w:t xml:space="preserve"> Corte IDH. Caso Valle Jaramillo y otros Vs. Colombia. Fondo, Reparaciones y Costas. Sentencia de 27 de noviembre de 2008. Serie C No. 192, párr. 102; Caso de la Masacre de la Rochela Vs. Colombia. Fondo, Reparaciones y Costas. Sentencia de 11 de mayo de 2007, Serie C No. 163, párr. 195; y Caso Heliodoro Portugal Vs. Panamá. </w:t>
      </w:r>
      <w:hyperlink r:id="rId14" w:history="1">
        <w:r w:rsidRPr="006E763F">
          <w:rPr>
            <w:rStyle w:val="Hyperlink1"/>
          </w:rPr>
          <w:t>Excepciones Preliminares, Fondo, Reparaciones y Costas. Sentencia de 12 de agosto de 2008. Serie C No. 186</w:t>
        </w:r>
      </w:hyperlink>
      <w:r w:rsidRPr="006E763F">
        <w:rPr>
          <w:sz w:val="16"/>
          <w:szCs w:val="16"/>
        </w:rPr>
        <w:t>, párr.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FE14" w14:textId="77777777" w:rsidR="00B934ED" w:rsidRDefault="00B934ED">
    <w:pPr>
      <w:pStyle w:val="Header"/>
      <w:tabs>
        <w:tab w:val="clear" w:pos="4320"/>
        <w:tab w:val="clear" w:pos="8640"/>
      </w:tabs>
      <w:jc w:val="center"/>
      <w:rPr>
        <w:sz w:val="22"/>
        <w:szCs w:val="22"/>
      </w:rPr>
    </w:pPr>
    <w:r>
      <w:rPr>
        <w:noProof/>
        <w:sz w:val="22"/>
        <w:szCs w:val="22"/>
        <w:lang w:val="en-US" w:eastAsia="en-US"/>
      </w:rPr>
      <w:drawing>
        <wp:inline distT="0" distB="0" distL="0" distR="0" wp14:anchorId="0A8084C1" wp14:editId="7F71935C">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cidh-peq.jpg"/>
                  <pic:cNvPicPr/>
                </pic:nvPicPr>
                <pic:blipFill>
                  <a:blip r:embed="rId1"/>
                  <a:stretch>
                    <a:fillRect/>
                  </a:stretch>
                </pic:blipFill>
                <pic:spPr>
                  <a:xfrm>
                    <a:off x="0" y="0"/>
                    <a:ext cx="1972237" cy="104775"/>
                  </a:xfrm>
                  <a:prstGeom prst="rect">
                    <a:avLst/>
                  </a:prstGeom>
                  <a:ln w="12700" cap="flat">
                    <a:noFill/>
                    <a:miter lim="400000"/>
                  </a:ln>
                  <a:effectLst/>
                </pic:spPr>
              </pic:pic>
            </a:graphicData>
          </a:graphic>
        </wp:inline>
      </w:drawing>
    </w:r>
  </w:p>
  <w:p w14:paraId="378715F7" w14:textId="77777777" w:rsidR="00B934ED" w:rsidRDefault="00B934ED">
    <w:pPr>
      <w:pStyle w:val="Header"/>
      <w:tabs>
        <w:tab w:val="clear" w:pos="4320"/>
        <w:tab w:val="clear" w:pos="8640"/>
      </w:tabs>
      <w:jc w:val="center"/>
    </w:pPr>
    <w:r>
      <w:rPr>
        <w:noProof/>
        <w:sz w:val="22"/>
        <w:szCs w:val="22"/>
        <w:lang w:val="en-US" w:eastAsia="en-US"/>
      </w:rPr>
      <mc:AlternateContent>
        <mc:Choice Requires="wps">
          <w:drawing>
            <wp:inline distT="0" distB="0" distL="0" distR="0" wp14:anchorId="432F39EA" wp14:editId="05CDABD7">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2352158B"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u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w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jW7/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61C5"/>
    <w:multiLevelType w:val="multilevel"/>
    <w:tmpl w:val="2810681A"/>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E9933AD"/>
    <w:multiLevelType w:val="multilevel"/>
    <w:tmpl w:val="53C40FB2"/>
    <w:styleLink w:val="List6"/>
    <w:lvl w:ilvl="0">
      <w:start w:val="67"/>
      <w:numFmt w:val="decimal"/>
      <w:lvlText w:val="%1."/>
      <w:lvlJc w:val="left"/>
      <w:rPr>
        <w:rFonts w:ascii="Times New Roman" w:eastAsia="Times New Roman" w:hAnsi="Times New Roman" w:cs="Times New Roman"/>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lvlText w:val="%4."/>
      <w:lvlJc w:val="left"/>
      <w:rPr>
        <w:rFonts w:ascii="Cambria" w:eastAsia="Cambria" w:hAnsi="Cambria" w:cs="Cambria"/>
        <w:color w:val="000000"/>
        <w:position w:val="0"/>
        <w:lang w:val="es-ES_tradnl"/>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2" w15:restartNumberingAfterBreak="0">
    <w:nsid w:val="14011FF9"/>
    <w:multiLevelType w:val="multilevel"/>
    <w:tmpl w:val="E4E49050"/>
    <w:styleLink w:val="List41"/>
    <w:lvl w:ilvl="0">
      <w:start w:val="1"/>
      <w:numFmt w:val="decimal"/>
      <w:lvlText w:val="%1."/>
      <w:lvlJc w:val="left"/>
      <w:pPr>
        <w:tabs>
          <w:tab w:val="num" w:pos="86"/>
        </w:tabs>
        <w:ind w:left="86" w:hanging="86"/>
      </w:pPr>
      <w:rPr>
        <w:rFonts w:ascii="Times New Roman" w:eastAsia="Times New Roman" w:hAnsi="Times New Roman" w:cs="Times New Roman"/>
        <w:b/>
        <w:bCs/>
        <w:color w:val="000000"/>
        <w:position w:val="0"/>
        <w:sz w:val="20"/>
        <w:szCs w:val="20"/>
        <w:u w:color="00000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abstractNum w:abstractNumId="3" w15:restartNumberingAfterBreak="0">
    <w:nsid w:val="1DA61E90"/>
    <w:multiLevelType w:val="multilevel"/>
    <w:tmpl w:val="15B63694"/>
    <w:lvl w:ilvl="0">
      <w:start w:val="1"/>
      <w:numFmt w:val="decimal"/>
      <w:lvlText w:val="%1."/>
      <w:lvlJc w:val="left"/>
      <w:rPr>
        <w:rFonts w:ascii="Cambria" w:eastAsia="Cambria" w:hAnsi="Cambria" w:cs="Cambria"/>
        <w:b w:val="0"/>
        <w:color w:val="000000"/>
        <w:position w:val="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4" w15:restartNumberingAfterBreak="0">
    <w:nsid w:val="25247D32"/>
    <w:multiLevelType w:val="multilevel"/>
    <w:tmpl w:val="6C7E9AA2"/>
    <w:styleLink w:val="List14"/>
    <w:lvl w:ilvl="0">
      <w:start w:val="3"/>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5" w15:restartNumberingAfterBreak="0">
    <w:nsid w:val="287E324D"/>
    <w:multiLevelType w:val="multilevel"/>
    <w:tmpl w:val="EFCAB6EE"/>
    <w:styleLink w:val="List9"/>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rtl w:val="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rtl w:val="0"/>
        <w:lang w:val="es-ES_tradnl"/>
      </w:rPr>
    </w:lvl>
    <w:lvl w:ilvl="2">
      <w:start w:val="1"/>
      <w:numFmt w:val="decimal"/>
      <w:lvlText w:val="%1.%2.%3."/>
      <w:lvlJc w:val="left"/>
      <w:pPr>
        <w:tabs>
          <w:tab w:val="num" w:pos="806"/>
        </w:tabs>
        <w:ind w:left="806" w:hanging="806"/>
      </w:pPr>
      <w:rPr>
        <w:rFonts w:ascii="Cambria" w:eastAsia="Cambria" w:hAnsi="Cambria" w:cs="Cambria"/>
        <w:b/>
        <w:bCs/>
        <w:color w:val="000000"/>
        <w:position w:val="0"/>
        <w:sz w:val="20"/>
        <w:szCs w:val="20"/>
        <w:rtl w:val="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rtl w:val="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rtl w:val="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rtl w:val="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rtl w:val="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rtl w:val="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rtl w:val="0"/>
        <w:lang w:val="es-ES_tradnl"/>
      </w:rPr>
    </w:lvl>
  </w:abstractNum>
  <w:abstractNum w:abstractNumId="6" w15:restartNumberingAfterBreak="0">
    <w:nsid w:val="2C36448F"/>
    <w:multiLevelType w:val="multilevel"/>
    <w:tmpl w:val="E1E234CA"/>
    <w:styleLink w:val="List7"/>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lang w:val="es-ES_tradnl"/>
      </w:rPr>
    </w:lvl>
    <w:lvl w:ilvl="2">
      <w:start w:val="4"/>
      <w:numFmt w:val="decimal"/>
      <w:lvlText w:val="%1.%2.%3."/>
      <w:lvlJc w:val="left"/>
      <w:pPr>
        <w:tabs>
          <w:tab w:val="num" w:pos="2160"/>
        </w:tabs>
        <w:ind w:left="2160" w:hanging="720"/>
      </w:pPr>
      <w:rPr>
        <w:rFonts w:ascii="Times New Roman" w:eastAsia="Times New Roman" w:hAnsi="Times New Roman" w:cs="Times New Roman"/>
        <w:b/>
        <w:bCs/>
        <w:color w:val="000000"/>
        <w:position w:val="0"/>
        <w:sz w:val="20"/>
        <w:szCs w:val="2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lang w:val="es-ES_tradnl"/>
      </w:rPr>
    </w:lvl>
  </w:abstractNum>
  <w:abstractNum w:abstractNumId="7" w15:restartNumberingAfterBreak="0">
    <w:nsid w:val="335B6644"/>
    <w:multiLevelType w:val="multilevel"/>
    <w:tmpl w:val="1E202842"/>
    <w:styleLink w:val="List11"/>
    <w:lvl w:ilvl="0">
      <w:start w:val="1"/>
      <w:numFmt w:val="decimal"/>
      <w:lvlText w:val="%1."/>
      <w:lvlJc w:val="left"/>
      <w:rPr>
        <w:rFonts w:ascii="Cambria" w:eastAsia="Cambria" w:hAnsi="Cambria" w:cs="Cambria"/>
        <w:color w:val="000000"/>
        <w:position w:val="0"/>
        <w:rtl w:val="0"/>
        <w:lang w:val="es-ES_tradnl"/>
      </w:rPr>
    </w:lvl>
    <w:lvl w:ilvl="1">
      <w:start w:val="1"/>
      <w:numFmt w:val="lowerLetter"/>
      <w:lvlText w:val="%2."/>
      <w:lvlJc w:val="left"/>
      <w:rPr>
        <w:rFonts w:ascii="Cambria" w:eastAsia="Cambria" w:hAnsi="Cambria" w:cs="Cambria"/>
        <w:color w:val="000000"/>
        <w:position w:val="0"/>
        <w:rtl w:val="0"/>
        <w:lang w:val="es-ES_tradnl"/>
      </w:rPr>
    </w:lvl>
    <w:lvl w:ilvl="2">
      <w:start w:val="1"/>
      <w:numFmt w:val="lowerRoman"/>
      <w:lvlText w:val="%3."/>
      <w:lvlJc w:val="left"/>
      <w:rPr>
        <w:rFonts w:ascii="Cambria" w:eastAsia="Cambria" w:hAnsi="Cambria" w:cs="Cambria"/>
        <w:color w:val="000000"/>
        <w:position w:val="0"/>
        <w:rtl w:val="0"/>
        <w:lang w:val="es-ES_tradnl"/>
      </w:rPr>
    </w:lvl>
    <w:lvl w:ilvl="3">
      <w:start w:val="1"/>
      <w:numFmt w:val="decimal"/>
      <w:lvlText w:val="%4."/>
      <w:lvlJc w:val="left"/>
      <w:rPr>
        <w:rFonts w:ascii="Cambria" w:eastAsia="Cambria" w:hAnsi="Cambria" w:cs="Cambria"/>
        <w:color w:val="000000"/>
        <w:position w:val="0"/>
        <w:rtl w:val="0"/>
        <w:lang w:val="es-ES_tradnl"/>
      </w:rPr>
    </w:lvl>
    <w:lvl w:ilvl="4">
      <w:start w:val="1"/>
      <w:numFmt w:val="lowerLetter"/>
      <w:lvlText w:val="%5."/>
      <w:lvlJc w:val="left"/>
      <w:rPr>
        <w:rFonts w:ascii="Cambria" w:eastAsia="Cambria" w:hAnsi="Cambria" w:cs="Cambria"/>
        <w:color w:val="000000"/>
        <w:position w:val="0"/>
        <w:rtl w:val="0"/>
        <w:lang w:val="es-ES_tradnl"/>
      </w:rPr>
    </w:lvl>
    <w:lvl w:ilvl="5">
      <w:start w:val="1"/>
      <w:numFmt w:val="lowerRoman"/>
      <w:lvlText w:val="%6."/>
      <w:lvlJc w:val="left"/>
      <w:rPr>
        <w:rFonts w:ascii="Cambria" w:eastAsia="Cambria" w:hAnsi="Cambria" w:cs="Cambria"/>
        <w:color w:val="000000"/>
        <w:position w:val="0"/>
        <w:rtl w:val="0"/>
        <w:lang w:val="es-ES_tradnl"/>
      </w:rPr>
    </w:lvl>
    <w:lvl w:ilvl="6">
      <w:start w:val="1"/>
      <w:numFmt w:val="decimal"/>
      <w:lvlText w:val="%7."/>
      <w:lvlJc w:val="left"/>
      <w:rPr>
        <w:rFonts w:ascii="Cambria" w:eastAsia="Cambria" w:hAnsi="Cambria" w:cs="Cambria"/>
        <w:color w:val="000000"/>
        <w:position w:val="0"/>
        <w:rtl w:val="0"/>
        <w:lang w:val="es-ES_tradnl"/>
      </w:rPr>
    </w:lvl>
    <w:lvl w:ilvl="7">
      <w:start w:val="1"/>
      <w:numFmt w:val="lowerLetter"/>
      <w:lvlText w:val="%8."/>
      <w:lvlJc w:val="left"/>
      <w:rPr>
        <w:rFonts w:ascii="Cambria" w:eastAsia="Cambria" w:hAnsi="Cambria" w:cs="Cambria"/>
        <w:color w:val="000000"/>
        <w:position w:val="0"/>
        <w:rtl w:val="0"/>
        <w:lang w:val="es-ES_tradnl"/>
      </w:rPr>
    </w:lvl>
    <w:lvl w:ilvl="8">
      <w:start w:val="1"/>
      <w:numFmt w:val="lowerRoman"/>
      <w:lvlText w:val="%9."/>
      <w:lvlJc w:val="left"/>
      <w:rPr>
        <w:rFonts w:ascii="Cambria" w:eastAsia="Cambria" w:hAnsi="Cambria" w:cs="Cambria"/>
        <w:color w:val="000000"/>
        <w:position w:val="0"/>
        <w:rtl w:val="0"/>
        <w:lang w:val="es-ES_tradnl"/>
      </w:rPr>
    </w:lvl>
  </w:abstractNum>
  <w:abstractNum w:abstractNumId="8" w15:restartNumberingAfterBreak="0">
    <w:nsid w:val="34CD4FE2"/>
    <w:multiLevelType w:val="multilevel"/>
    <w:tmpl w:val="C1D8EF76"/>
    <w:lvl w:ilvl="0">
      <w:start w:val="2"/>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9" w15:restartNumberingAfterBreak="0">
    <w:nsid w:val="358B4DA5"/>
    <w:multiLevelType w:val="multilevel"/>
    <w:tmpl w:val="CB761F26"/>
    <w:styleLink w:val="List10"/>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lang w:val="es-ES_tradnl"/>
      </w:rPr>
    </w:lvl>
    <w:lvl w:ilvl="1">
      <w:start w:val="1"/>
      <w:numFmt w:val="decimal"/>
      <w:lvlText w:val="%1.%2."/>
      <w:lvlJc w:val="left"/>
      <w:pPr>
        <w:tabs>
          <w:tab w:val="num" w:pos="1380"/>
        </w:tabs>
        <w:ind w:left="1380" w:hanging="300"/>
      </w:pPr>
      <w:rPr>
        <w:rFonts w:ascii="Cambria" w:eastAsia="Cambria" w:hAnsi="Cambria" w:cs="Cambria"/>
        <w:b/>
        <w:bCs/>
        <w:color w:val="000000"/>
        <w:position w:val="0"/>
        <w:sz w:val="20"/>
        <w:szCs w:val="20"/>
        <w:lang w:val="es-ES_tradnl"/>
      </w:rPr>
    </w:lvl>
    <w:lvl w:ilvl="2">
      <w:start w:val="2"/>
      <w:numFmt w:val="decimal"/>
      <w:lvlText w:val="%1.%2.%3."/>
      <w:lvlJc w:val="left"/>
      <w:pPr>
        <w:tabs>
          <w:tab w:val="num" w:pos="86"/>
        </w:tabs>
        <w:ind w:left="86" w:hanging="86"/>
      </w:pPr>
      <w:rPr>
        <w:rFonts w:ascii="Times New Roman" w:eastAsia="Times New Roman" w:hAnsi="Times New Roman" w:cs="Times New Roman"/>
        <w:b/>
        <w:bCs/>
        <w:color w:val="000000"/>
        <w:position w:val="0"/>
        <w:sz w:val="20"/>
        <w:szCs w:val="2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lang w:val="es-ES_tradnl"/>
      </w:rPr>
    </w:lvl>
  </w:abstractNum>
  <w:abstractNum w:abstractNumId="10" w15:restartNumberingAfterBreak="0">
    <w:nsid w:val="35B51E09"/>
    <w:multiLevelType w:val="multilevel"/>
    <w:tmpl w:val="1C3EC828"/>
    <w:styleLink w:val="List13"/>
    <w:lvl w:ilvl="0">
      <w:start w:val="1"/>
      <w:numFmt w:val="upperLetter"/>
      <w:lvlText w:val="%1."/>
      <w:lvlJc w:val="left"/>
      <w:rPr>
        <w:rFonts w:ascii="Times New Roman" w:eastAsia="Times New Roman" w:hAnsi="Times New Roman" w:cs="Times New Roman"/>
        <w:b/>
        <w:bCs/>
        <w:color w:val="FF0000"/>
        <w:position w:val="0"/>
        <w:u w:color="FF0000"/>
        <w:lang w:val="es-ES_tradnl"/>
      </w:rPr>
    </w:lvl>
    <w:lvl w:ilvl="1">
      <w:start w:val="1"/>
      <w:numFmt w:val="lowerLetter"/>
      <w:lvlText w:val="%2."/>
      <w:lvlJc w:val="left"/>
      <w:rPr>
        <w:rFonts w:ascii="Cambria" w:eastAsia="Cambria" w:hAnsi="Cambria" w:cs="Cambria"/>
        <w:b/>
        <w:bCs/>
        <w:color w:val="FF0000"/>
        <w:position w:val="0"/>
        <w:u w:color="FF0000"/>
        <w:lang w:val="es-ES_tradnl"/>
      </w:rPr>
    </w:lvl>
    <w:lvl w:ilvl="2">
      <w:start w:val="1"/>
      <w:numFmt w:val="lowerRoman"/>
      <w:lvlText w:val="%3."/>
      <w:lvlJc w:val="left"/>
      <w:rPr>
        <w:rFonts w:ascii="Cambria" w:eastAsia="Cambria" w:hAnsi="Cambria" w:cs="Cambria"/>
        <w:b/>
        <w:bCs/>
        <w:color w:val="FF0000"/>
        <w:position w:val="0"/>
        <w:u w:color="FF0000"/>
        <w:lang w:val="es-ES_tradnl"/>
      </w:rPr>
    </w:lvl>
    <w:lvl w:ilvl="3">
      <w:start w:val="1"/>
      <w:numFmt w:val="decimal"/>
      <w:lvlText w:val="%4."/>
      <w:lvlJc w:val="left"/>
      <w:rPr>
        <w:rFonts w:ascii="Cambria" w:eastAsia="Cambria" w:hAnsi="Cambria" w:cs="Cambria"/>
        <w:b/>
        <w:bCs/>
        <w:color w:val="FF0000"/>
        <w:position w:val="0"/>
        <w:u w:color="FF0000"/>
        <w:lang w:val="es-ES_tradnl"/>
      </w:rPr>
    </w:lvl>
    <w:lvl w:ilvl="4">
      <w:start w:val="1"/>
      <w:numFmt w:val="lowerLetter"/>
      <w:lvlText w:val="%5."/>
      <w:lvlJc w:val="left"/>
      <w:rPr>
        <w:rFonts w:ascii="Cambria" w:eastAsia="Cambria" w:hAnsi="Cambria" w:cs="Cambria"/>
        <w:b/>
        <w:bCs/>
        <w:color w:val="FF0000"/>
        <w:position w:val="0"/>
        <w:u w:color="FF0000"/>
        <w:lang w:val="es-ES_tradnl"/>
      </w:rPr>
    </w:lvl>
    <w:lvl w:ilvl="5">
      <w:start w:val="1"/>
      <w:numFmt w:val="lowerRoman"/>
      <w:lvlText w:val="%6."/>
      <w:lvlJc w:val="left"/>
      <w:rPr>
        <w:rFonts w:ascii="Cambria" w:eastAsia="Cambria" w:hAnsi="Cambria" w:cs="Cambria"/>
        <w:b/>
        <w:bCs/>
        <w:color w:val="FF0000"/>
        <w:position w:val="0"/>
        <w:u w:color="FF0000"/>
        <w:lang w:val="es-ES_tradnl"/>
      </w:rPr>
    </w:lvl>
    <w:lvl w:ilvl="6">
      <w:start w:val="1"/>
      <w:numFmt w:val="decimal"/>
      <w:lvlText w:val="%7."/>
      <w:lvlJc w:val="left"/>
      <w:rPr>
        <w:rFonts w:ascii="Cambria" w:eastAsia="Cambria" w:hAnsi="Cambria" w:cs="Cambria"/>
        <w:b/>
        <w:bCs/>
        <w:color w:val="FF0000"/>
        <w:position w:val="0"/>
        <w:u w:color="FF0000"/>
        <w:lang w:val="es-ES_tradnl"/>
      </w:rPr>
    </w:lvl>
    <w:lvl w:ilvl="7">
      <w:start w:val="1"/>
      <w:numFmt w:val="lowerLetter"/>
      <w:lvlText w:val="%8."/>
      <w:lvlJc w:val="left"/>
      <w:rPr>
        <w:rFonts w:ascii="Cambria" w:eastAsia="Cambria" w:hAnsi="Cambria" w:cs="Cambria"/>
        <w:b/>
        <w:bCs/>
        <w:color w:val="FF0000"/>
        <w:position w:val="0"/>
        <w:u w:color="FF0000"/>
        <w:lang w:val="es-ES_tradnl"/>
      </w:rPr>
    </w:lvl>
    <w:lvl w:ilvl="8">
      <w:start w:val="1"/>
      <w:numFmt w:val="lowerRoman"/>
      <w:lvlText w:val="%9."/>
      <w:lvlJc w:val="left"/>
      <w:rPr>
        <w:rFonts w:ascii="Cambria" w:eastAsia="Cambria" w:hAnsi="Cambria" w:cs="Cambria"/>
        <w:b/>
        <w:bCs/>
        <w:color w:val="FF0000"/>
        <w:position w:val="0"/>
        <w:u w:color="FF0000"/>
        <w:lang w:val="es-ES_tradnl"/>
      </w:rPr>
    </w:lvl>
  </w:abstractNum>
  <w:abstractNum w:abstractNumId="11" w15:restartNumberingAfterBreak="0">
    <w:nsid w:val="37B31F19"/>
    <w:multiLevelType w:val="multilevel"/>
    <w:tmpl w:val="77881B08"/>
    <w:styleLink w:val="List15"/>
    <w:lvl w:ilvl="0">
      <w:start w:val="2"/>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12" w15:restartNumberingAfterBreak="0">
    <w:nsid w:val="39BC2481"/>
    <w:multiLevelType w:val="multilevel"/>
    <w:tmpl w:val="3290149C"/>
    <w:styleLink w:val="List12"/>
    <w:lvl w:ilvl="0">
      <w:start w:val="1"/>
      <w:numFmt w:val="decimal"/>
      <w:lvlText w:val="%1."/>
      <w:lvlJc w:val="left"/>
      <w:rPr>
        <w:rFonts w:ascii="Cambria" w:eastAsia="Cambria" w:hAnsi="Cambria" w:cs="Cambria"/>
        <w:color w:val="000000"/>
        <w:position w:val="0"/>
        <w:rtl w:val="0"/>
        <w:lang w:val="es-ES_tradnl"/>
      </w:rPr>
    </w:lvl>
    <w:lvl w:ilvl="1">
      <w:start w:val="1"/>
      <w:numFmt w:val="lowerLetter"/>
      <w:lvlText w:val="%2."/>
      <w:lvlJc w:val="left"/>
      <w:rPr>
        <w:rFonts w:ascii="Cambria" w:eastAsia="Cambria" w:hAnsi="Cambria" w:cs="Cambria"/>
        <w:color w:val="000000"/>
        <w:position w:val="0"/>
        <w:rtl w:val="0"/>
        <w:lang w:val="es-ES_tradnl"/>
      </w:rPr>
    </w:lvl>
    <w:lvl w:ilvl="2">
      <w:start w:val="1"/>
      <w:numFmt w:val="lowerRoman"/>
      <w:lvlText w:val="%3."/>
      <w:lvlJc w:val="left"/>
      <w:rPr>
        <w:rFonts w:ascii="Cambria" w:eastAsia="Cambria" w:hAnsi="Cambria" w:cs="Cambria"/>
        <w:color w:val="000000"/>
        <w:position w:val="0"/>
        <w:rtl w:val="0"/>
        <w:lang w:val="es-ES_tradnl"/>
      </w:rPr>
    </w:lvl>
    <w:lvl w:ilvl="3">
      <w:start w:val="1"/>
      <w:numFmt w:val="decimal"/>
      <w:lvlText w:val="%4."/>
      <w:lvlJc w:val="left"/>
      <w:rPr>
        <w:rFonts w:ascii="Cambria" w:eastAsia="Cambria" w:hAnsi="Cambria" w:cs="Cambria"/>
        <w:color w:val="000000"/>
        <w:position w:val="0"/>
        <w:rtl w:val="0"/>
        <w:lang w:val="es-ES_tradnl"/>
      </w:rPr>
    </w:lvl>
    <w:lvl w:ilvl="4">
      <w:start w:val="1"/>
      <w:numFmt w:val="lowerLetter"/>
      <w:lvlText w:val="%5."/>
      <w:lvlJc w:val="left"/>
      <w:rPr>
        <w:rFonts w:ascii="Cambria" w:eastAsia="Cambria" w:hAnsi="Cambria" w:cs="Cambria"/>
        <w:color w:val="000000"/>
        <w:position w:val="0"/>
        <w:rtl w:val="0"/>
        <w:lang w:val="es-ES_tradnl"/>
      </w:rPr>
    </w:lvl>
    <w:lvl w:ilvl="5">
      <w:start w:val="1"/>
      <w:numFmt w:val="lowerRoman"/>
      <w:lvlText w:val="%6."/>
      <w:lvlJc w:val="left"/>
      <w:rPr>
        <w:rFonts w:ascii="Cambria" w:eastAsia="Cambria" w:hAnsi="Cambria" w:cs="Cambria"/>
        <w:color w:val="000000"/>
        <w:position w:val="0"/>
        <w:rtl w:val="0"/>
        <w:lang w:val="es-ES_tradnl"/>
      </w:rPr>
    </w:lvl>
    <w:lvl w:ilvl="6">
      <w:start w:val="1"/>
      <w:numFmt w:val="decimal"/>
      <w:lvlText w:val="%7."/>
      <w:lvlJc w:val="left"/>
      <w:rPr>
        <w:rFonts w:ascii="Cambria" w:eastAsia="Cambria" w:hAnsi="Cambria" w:cs="Cambria"/>
        <w:color w:val="000000"/>
        <w:position w:val="0"/>
        <w:rtl w:val="0"/>
        <w:lang w:val="es-ES_tradnl"/>
      </w:rPr>
    </w:lvl>
    <w:lvl w:ilvl="7">
      <w:start w:val="1"/>
      <w:numFmt w:val="lowerLetter"/>
      <w:lvlText w:val="%8."/>
      <w:lvlJc w:val="left"/>
      <w:rPr>
        <w:rFonts w:ascii="Cambria" w:eastAsia="Cambria" w:hAnsi="Cambria" w:cs="Cambria"/>
        <w:color w:val="000000"/>
        <w:position w:val="0"/>
        <w:rtl w:val="0"/>
        <w:lang w:val="es-ES_tradnl"/>
      </w:rPr>
    </w:lvl>
    <w:lvl w:ilvl="8">
      <w:start w:val="1"/>
      <w:numFmt w:val="lowerRoman"/>
      <w:lvlText w:val="%9."/>
      <w:lvlJc w:val="left"/>
      <w:rPr>
        <w:rFonts w:ascii="Cambria" w:eastAsia="Cambria" w:hAnsi="Cambria" w:cs="Cambria"/>
        <w:color w:val="000000"/>
        <w:position w:val="0"/>
        <w:rtl w:val="0"/>
        <w:lang w:val="es-ES_tradnl"/>
      </w:rPr>
    </w:lvl>
  </w:abstractNum>
  <w:abstractNum w:abstractNumId="13" w15:restartNumberingAfterBreak="0">
    <w:nsid w:val="3B2005A7"/>
    <w:multiLevelType w:val="multilevel"/>
    <w:tmpl w:val="23B0950C"/>
    <w:styleLink w:val="List31"/>
    <w:lvl w:ilvl="0">
      <w:start w:val="1"/>
      <w:numFmt w:val="upperLetter"/>
      <w:lvlText w:val="%1."/>
      <w:lvlJc w:val="left"/>
      <w:pPr>
        <w:tabs>
          <w:tab w:val="num" w:pos="1331"/>
        </w:tabs>
        <w:ind w:left="1331" w:hanging="86"/>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2625"/>
        </w:tabs>
        <w:ind w:left="2625"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3356"/>
        </w:tabs>
        <w:ind w:left="3356" w:hanging="247"/>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4065"/>
        </w:tabs>
        <w:ind w:left="4065"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4785"/>
        </w:tabs>
        <w:ind w:left="4785"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5516"/>
        </w:tabs>
        <w:ind w:left="5516" w:hanging="247"/>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6225"/>
        </w:tabs>
        <w:ind w:left="6225"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6945"/>
        </w:tabs>
        <w:ind w:left="6945"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7676"/>
        </w:tabs>
        <w:ind w:left="7676" w:hanging="247"/>
      </w:pPr>
      <w:rPr>
        <w:rFonts w:ascii="Cambria" w:eastAsia="Cambria" w:hAnsi="Cambria" w:cs="Cambria"/>
        <w:b/>
        <w:bCs/>
        <w:color w:val="000000"/>
        <w:position w:val="0"/>
        <w:sz w:val="20"/>
        <w:szCs w:val="20"/>
        <w:u w:color="000000"/>
        <w:lang w:val="es-ES_tradnl"/>
      </w:rPr>
    </w:lvl>
  </w:abstractNum>
  <w:abstractNum w:abstractNumId="14" w15:restartNumberingAfterBreak="0">
    <w:nsid w:val="42E51BF1"/>
    <w:multiLevelType w:val="multilevel"/>
    <w:tmpl w:val="BE40186C"/>
    <w:styleLink w:val="List0"/>
    <w:lvl w:ilvl="0">
      <w:start w:val="1"/>
      <w:numFmt w:val="upperRoman"/>
      <w:pStyle w:val="Heading1"/>
      <w:lvlText w:val="%1."/>
      <w:lvlJc w:val="left"/>
      <w:pPr>
        <w:tabs>
          <w:tab w:val="num" w:pos="86"/>
        </w:tabs>
        <w:ind w:left="86" w:hanging="86"/>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b/>
        <w:bCs/>
        <w:position w:val="0"/>
        <w:sz w:val="20"/>
        <w:szCs w:val="20"/>
        <w:lang w:val="es-ES_tradnl"/>
      </w:rPr>
    </w:lvl>
  </w:abstractNum>
  <w:abstractNum w:abstractNumId="15" w15:restartNumberingAfterBreak="0">
    <w:nsid w:val="4412342E"/>
    <w:multiLevelType w:val="multilevel"/>
    <w:tmpl w:val="1ADE2FB2"/>
    <w:styleLink w:val="List19"/>
    <w:lvl w:ilvl="0">
      <w:start w:val="1"/>
      <w:numFmt w:val="decimal"/>
      <w:lvlText w:val="%1."/>
      <w:lvlJc w:val="left"/>
      <w:pPr>
        <w:tabs>
          <w:tab w:val="num" w:pos="806"/>
        </w:tabs>
        <w:ind w:left="806" w:hanging="806"/>
      </w:pPr>
      <w:rPr>
        <w:rFonts w:ascii="Cambria" w:eastAsia="Cambria" w:hAnsi="Cambria" w:cs="Cambria"/>
        <w:position w:val="0"/>
        <w:sz w:val="20"/>
        <w:szCs w:val="20"/>
        <w:rtl w:val="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rtl w:val="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rtl w:val="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rtl w:val="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rtl w:val="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rtl w:val="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rtl w:val="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rtl w:val="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rtl w:val="0"/>
        <w:lang w:val="es-ES_tradnl"/>
      </w:rPr>
    </w:lvl>
  </w:abstractNum>
  <w:abstractNum w:abstractNumId="16" w15:restartNumberingAfterBreak="0">
    <w:nsid w:val="53B75436"/>
    <w:multiLevelType w:val="multilevel"/>
    <w:tmpl w:val="B84259C4"/>
    <w:styleLink w:val="List51"/>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u w:color="000000"/>
        <w:lang w:val="es-ES_tradnl"/>
      </w:rPr>
    </w:lvl>
    <w:lvl w:ilvl="1">
      <w:start w:val="3"/>
      <w:numFmt w:val="decimal"/>
      <w:lvlText w:val="%1.%2."/>
      <w:lvlJc w:val="left"/>
      <w:pPr>
        <w:tabs>
          <w:tab w:val="num" w:pos="86"/>
        </w:tabs>
        <w:ind w:left="86" w:hanging="86"/>
      </w:pPr>
      <w:rPr>
        <w:rFonts w:ascii="Times New Roman" w:eastAsia="Times New Roman" w:hAnsi="Times New Roman" w:cs="Times New Roman"/>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abstractNum w:abstractNumId="17" w15:restartNumberingAfterBreak="0">
    <w:nsid w:val="60F728FB"/>
    <w:multiLevelType w:val="multilevel"/>
    <w:tmpl w:val="AE38332A"/>
    <w:lvl w:ilvl="0">
      <w:start w:val="49"/>
      <w:numFmt w:val="decimal"/>
      <w:lvlText w:val="%1."/>
      <w:lvlJc w:val="left"/>
      <w:rPr>
        <w:rFonts w:ascii="Times New Roman" w:eastAsia="Times New Roman" w:hAnsi="Times New Roman" w:cs="Times New Roman"/>
        <w:b w:val="0"/>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pStyle w:val="Heading3"/>
      <w:lvlText w:val="%4."/>
      <w:lvlJc w:val="left"/>
      <w:rPr>
        <w:rFonts w:ascii="Cambria" w:eastAsia="Cambria" w:hAnsi="Cambria" w:cs="Cambria"/>
        <w:color w:val="000000"/>
        <w:position w:val="0"/>
        <w:lang w:val="es-ES"/>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18" w15:restartNumberingAfterBreak="0">
    <w:nsid w:val="63F86BCD"/>
    <w:multiLevelType w:val="multilevel"/>
    <w:tmpl w:val="F1725050"/>
    <w:styleLink w:val="List1"/>
    <w:lvl w:ilvl="0">
      <w:start w:val="99"/>
      <w:numFmt w:val="decimal"/>
      <w:lvlText w:val="%1."/>
      <w:lvlJc w:val="left"/>
      <w:rPr>
        <w:rFonts w:ascii="Cambria" w:eastAsia="Cambria" w:hAnsi="Cambria" w:cs="Cambria"/>
        <w:color w:val="000000"/>
        <w:position w:val="0"/>
        <w:rtl w:val="0"/>
      </w:rPr>
    </w:lvl>
    <w:lvl w:ilvl="1">
      <w:start w:val="1"/>
      <w:numFmt w:val="lowerLetter"/>
      <w:lvlText w:val="%2."/>
      <w:lvlJc w:val="left"/>
      <w:rPr>
        <w:rFonts w:ascii="Cambria" w:eastAsia="Cambria" w:hAnsi="Cambria" w:cs="Cambria"/>
        <w:color w:val="000000"/>
        <w:position w:val="0"/>
        <w:rtl w:val="0"/>
      </w:rPr>
    </w:lvl>
    <w:lvl w:ilvl="2">
      <w:start w:val="1"/>
      <w:numFmt w:val="lowerRoman"/>
      <w:lvlText w:val="%3."/>
      <w:lvlJc w:val="left"/>
      <w:rPr>
        <w:rFonts w:ascii="Cambria" w:eastAsia="Cambria" w:hAnsi="Cambria" w:cs="Cambria"/>
        <w:color w:val="000000"/>
        <w:position w:val="0"/>
        <w:rtl w:val="0"/>
      </w:rPr>
    </w:lvl>
    <w:lvl w:ilvl="3">
      <w:start w:val="1"/>
      <w:numFmt w:val="decimal"/>
      <w:lvlText w:val="%4."/>
      <w:lvlJc w:val="left"/>
      <w:rPr>
        <w:rFonts w:ascii="Cambria" w:eastAsia="Cambria" w:hAnsi="Cambria" w:cs="Cambria"/>
        <w:color w:val="000000"/>
        <w:position w:val="0"/>
        <w:rtl w:val="0"/>
      </w:rPr>
    </w:lvl>
    <w:lvl w:ilvl="4">
      <w:start w:val="1"/>
      <w:numFmt w:val="lowerLetter"/>
      <w:lvlText w:val="%5."/>
      <w:lvlJc w:val="left"/>
      <w:rPr>
        <w:rFonts w:ascii="Cambria" w:eastAsia="Cambria" w:hAnsi="Cambria" w:cs="Cambria"/>
        <w:color w:val="000000"/>
        <w:position w:val="0"/>
        <w:rtl w:val="0"/>
      </w:rPr>
    </w:lvl>
    <w:lvl w:ilvl="5">
      <w:start w:val="1"/>
      <w:numFmt w:val="lowerRoman"/>
      <w:lvlText w:val="%6."/>
      <w:lvlJc w:val="left"/>
      <w:rPr>
        <w:rFonts w:ascii="Cambria" w:eastAsia="Cambria" w:hAnsi="Cambria" w:cs="Cambria"/>
        <w:color w:val="000000"/>
        <w:position w:val="0"/>
        <w:rtl w:val="0"/>
      </w:rPr>
    </w:lvl>
    <w:lvl w:ilvl="6">
      <w:start w:val="1"/>
      <w:numFmt w:val="decimal"/>
      <w:lvlText w:val="%7."/>
      <w:lvlJc w:val="left"/>
      <w:rPr>
        <w:rFonts w:ascii="Cambria" w:eastAsia="Cambria" w:hAnsi="Cambria" w:cs="Cambria"/>
        <w:color w:val="000000"/>
        <w:position w:val="0"/>
        <w:rtl w:val="0"/>
      </w:rPr>
    </w:lvl>
    <w:lvl w:ilvl="7">
      <w:start w:val="1"/>
      <w:numFmt w:val="lowerLetter"/>
      <w:lvlText w:val="%8."/>
      <w:lvlJc w:val="left"/>
      <w:rPr>
        <w:rFonts w:ascii="Cambria" w:eastAsia="Cambria" w:hAnsi="Cambria" w:cs="Cambria"/>
        <w:color w:val="000000"/>
        <w:position w:val="0"/>
        <w:rtl w:val="0"/>
      </w:rPr>
    </w:lvl>
    <w:lvl w:ilvl="8">
      <w:start w:val="1"/>
      <w:numFmt w:val="lowerRoman"/>
      <w:lvlText w:val="%9."/>
      <w:lvlJc w:val="left"/>
      <w:rPr>
        <w:rFonts w:ascii="Cambria" w:eastAsia="Cambria" w:hAnsi="Cambria" w:cs="Cambria"/>
        <w:color w:val="000000"/>
        <w:position w:val="0"/>
        <w:rtl w:val="0"/>
      </w:rPr>
    </w:lvl>
  </w:abstractNum>
  <w:abstractNum w:abstractNumId="19" w15:restartNumberingAfterBreak="0">
    <w:nsid w:val="648642AE"/>
    <w:multiLevelType w:val="multilevel"/>
    <w:tmpl w:val="BE7292C4"/>
    <w:styleLink w:val="List18"/>
    <w:lvl w:ilvl="0">
      <w:start w:val="1"/>
      <w:numFmt w:val="decimal"/>
      <w:lvlText w:val="%1."/>
      <w:lvlJc w:val="left"/>
      <w:rPr>
        <w:rFonts w:ascii="Cambria" w:eastAsia="Cambria" w:hAnsi="Cambria" w:cs="Cambria"/>
        <w:position w:val="0"/>
        <w:rtl w:val="0"/>
        <w:lang w:val="es-ES_tradnl"/>
      </w:rPr>
    </w:lvl>
    <w:lvl w:ilvl="1">
      <w:start w:val="1"/>
      <w:numFmt w:val="lowerLetter"/>
      <w:lvlText w:val="%2."/>
      <w:lvlJc w:val="left"/>
      <w:rPr>
        <w:rFonts w:ascii="Cambria" w:eastAsia="Cambria" w:hAnsi="Cambria" w:cs="Cambria"/>
        <w:position w:val="0"/>
        <w:rtl w:val="0"/>
        <w:lang w:val="es-ES_tradnl"/>
      </w:rPr>
    </w:lvl>
    <w:lvl w:ilvl="2">
      <w:start w:val="1"/>
      <w:numFmt w:val="lowerRoman"/>
      <w:lvlText w:val="%3."/>
      <w:lvlJc w:val="left"/>
      <w:rPr>
        <w:rFonts w:ascii="Cambria" w:eastAsia="Cambria" w:hAnsi="Cambria" w:cs="Cambria"/>
        <w:position w:val="0"/>
        <w:rtl w:val="0"/>
        <w:lang w:val="es-ES_tradnl"/>
      </w:rPr>
    </w:lvl>
    <w:lvl w:ilvl="3">
      <w:start w:val="1"/>
      <w:numFmt w:val="decimal"/>
      <w:lvlText w:val="%4."/>
      <w:lvlJc w:val="left"/>
      <w:rPr>
        <w:rFonts w:ascii="Cambria" w:eastAsia="Cambria" w:hAnsi="Cambria" w:cs="Cambria"/>
        <w:position w:val="0"/>
        <w:rtl w:val="0"/>
        <w:lang w:val="es-ES_tradnl"/>
      </w:rPr>
    </w:lvl>
    <w:lvl w:ilvl="4">
      <w:start w:val="1"/>
      <w:numFmt w:val="lowerLetter"/>
      <w:lvlText w:val="%5."/>
      <w:lvlJc w:val="left"/>
      <w:rPr>
        <w:rFonts w:ascii="Cambria" w:eastAsia="Cambria" w:hAnsi="Cambria" w:cs="Cambria"/>
        <w:position w:val="0"/>
        <w:rtl w:val="0"/>
        <w:lang w:val="es-ES_tradnl"/>
      </w:rPr>
    </w:lvl>
    <w:lvl w:ilvl="5">
      <w:start w:val="1"/>
      <w:numFmt w:val="lowerRoman"/>
      <w:lvlText w:val="%6."/>
      <w:lvlJc w:val="left"/>
      <w:rPr>
        <w:rFonts w:ascii="Cambria" w:eastAsia="Cambria" w:hAnsi="Cambria" w:cs="Cambria"/>
        <w:position w:val="0"/>
        <w:rtl w:val="0"/>
        <w:lang w:val="es-ES_tradnl"/>
      </w:rPr>
    </w:lvl>
    <w:lvl w:ilvl="6">
      <w:start w:val="1"/>
      <w:numFmt w:val="decimal"/>
      <w:lvlText w:val="%7."/>
      <w:lvlJc w:val="left"/>
      <w:rPr>
        <w:rFonts w:ascii="Cambria" w:eastAsia="Cambria" w:hAnsi="Cambria" w:cs="Cambria"/>
        <w:position w:val="0"/>
        <w:rtl w:val="0"/>
        <w:lang w:val="es-ES_tradnl"/>
      </w:rPr>
    </w:lvl>
    <w:lvl w:ilvl="7">
      <w:start w:val="1"/>
      <w:numFmt w:val="lowerLetter"/>
      <w:lvlText w:val="%8."/>
      <w:lvlJc w:val="left"/>
      <w:rPr>
        <w:rFonts w:ascii="Cambria" w:eastAsia="Cambria" w:hAnsi="Cambria" w:cs="Cambria"/>
        <w:position w:val="0"/>
        <w:rtl w:val="0"/>
        <w:lang w:val="es-ES_tradnl"/>
      </w:rPr>
    </w:lvl>
    <w:lvl w:ilvl="8">
      <w:start w:val="1"/>
      <w:numFmt w:val="lowerRoman"/>
      <w:lvlText w:val="%9."/>
      <w:lvlJc w:val="left"/>
      <w:rPr>
        <w:rFonts w:ascii="Cambria" w:eastAsia="Cambria" w:hAnsi="Cambria" w:cs="Cambria"/>
        <w:position w:val="0"/>
        <w:rtl w:val="0"/>
        <w:lang w:val="es-ES_tradnl"/>
      </w:rPr>
    </w:lvl>
  </w:abstractNum>
  <w:abstractNum w:abstractNumId="20" w15:restartNumberingAfterBreak="0">
    <w:nsid w:val="6ED12955"/>
    <w:multiLevelType w:val="multilevel"/>
    <w:tmpl w:val="B4E2EBF6"/>
    <w:styleLink w:val="List17"/>
    <w:lvl w:ilvl="0">
      <w:start w:val="1"/>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21" w15:restartNumberingAfterBreak="0">
    <w:nsid w:val="70A94F71"/>
    <w:multiLevelType w:val="multilevel"/>
    <w:tmpl w:val="8C12F900"/>
    <w:styleLink w:val="List21"/>
    <w:lvl w:ilvl="0">
      <w:start w:val="1"/>
      <w:numFmt w:val="upperLetter"/>
      <w:pStyle w:val="Heading2"/>
      <w:lvlText w:val="%1."/>
      <w:lvlJc w:val="left"/>
      <w:pPr>
        <w:tabs>
          <w:tab w:val="num" w:pos="86"/>
        </w:tabs>
        <w:ind w:left="86" w:hanging="86"/>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2100"/>
        </w:tabs>
        <w:ind w:left="2100" w:hanging="300"/>
      </w:pPr>
      <w:rPr>
        <w:rFonts w:ascii="Cambria" w:eastAsia="Cambria" w:hAnsi="Cambria" w:cs="Cambria"/>
        <w:b/>
        <w:bCs/>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b/>
        <w:b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b/>
        <w:b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b/>
        <w:bCs/>
        <w:position w:val="0"/>
        <w:sz w:val="20"/>
        <w:szCs w:val="20"/>
        <w:lang w:val="es-ES_tradnl"/>
      </w:rPr>
    </w:lvl>
  </w:abstractNum>
  <w:abstractNum w:abstractNumId="22" w15:restartNumberingAfterBreak="0">
    <w:nsid w:val="71EB0D25"/>
    <w:multiLevelType w:val="multilevel"/>
    <w:tmpl w:val="E2A69C98"/>
    <w:styleLink w:val="List8"/>
    <w:lvl w:ilvl="0">
      <w:start w:val="1"/>
      <w:numFmt w:val="decimal"/>
      <w:lvlText w:val="%1."/>
      <w:lvlJc w:val="left"/>
      <w:pPr>
        <w:tabs>
          <w:tab w:val="num" w:pos="1020"/>
        </w:tabs>
        <w:ind w:left="1020" w:hanging="300"/>
      </w:pPr>
      <w:rPr>
        <w:rFonts w:ascii="Cambria" w:eastAsia="Cambria" w:hAnsi="Cambria" w:cs="Cambria"/>
        <w:b/>
        <w:bCs/>
        <w:color w:val="000000"/>
        <w:position w:val="0"/>
        <w:sz w:val="20"/>
        <w:szCs w:val="20"/>
        <w:u w:color="000000"/>
        <w:lang w:val="es-ES_tradnl"/>
      </w:rPr>
    </w:lvl>
    <w:lvl w:ilvl="1">
      <w:start w:val="2"/>
      <w:numFmt w:val="decimal"/>
      <w:lvlText w:val="%1.%2."/>
      <w:lvlJc w:val="left"/>
      <w:pPr>
        <w:tabs>
          <w:tab w:val="num" w:pos="1440"/>
        </w:tabs>
        <w:ind w:left="1440" w:hanging="360"/>
      </w:pPr>
      <w:rPr>
        <w:rFonts w:ascii="Times New Roman" w:eastAsia="Times New Roman" w:hAnsi="Times New Roman" w:cs="Times New Roman"/>
        <w:b/>
        <w:bCs/>
        <w:color w:val="000000"/>
        <w:position w:val="0"/>
        <w:sz w:val="20"/>
        <w:szCs w:val="20"/>
        <w:u w:color="000000"/>
        <w:lang w:val="es-ES_tradnl"/>
      </w:rPr>
    </w:lvl>
    <w:lvl w:ilvl="2">
      <w:start w:val="1"/>
      <w:numFmt w:val="decimal"/>
      <w:lvlText w:val="%1.%2.%3."/>
      <w:lvlJc w:val="left"/>
      <w:pPr>
        <w:tabs>
          <w:tab w:val="num" w:pos="2040"/>
        </w:tabs>
        <w:ind w:left="2040" w:hanging="600"/>
      </w:pPr>
      <w:rPr>
        <w:rFonts w:ascii="Cambria" w:eastAsia="Cambria" w:hAnsi="Cambria" w:cs="Cambria"/>
        <w:b/>
        <w:bCs/>
        <w:color w:val="000000"/>
        <w:position w:val="0"/>
        <w:sz w:val="20"/>
        <w:szCs w:val="20"/>
        <w:u w:color="000000"/>
        <w:lang w:val="es-ES_tradnl"/>
      </w:rPr>
    </w:lvl>
    <w:lvl w:ilvl="3">
      <w:start w:val="1"/>
      <w:numFmt w:val="decimal"/>
      <w:lvlText w:val="%1.%2.%3.%4."/>
      <w:lvlJc w:val="left"/>
      <w:pPr>
        <w:tabs>
          <w:tab w:val="num" w:pos="2400"/>
        </w:tabs>
        <w:ind w:left="2400" w:hanging="600"/>
      </w:pPr>
      <w:rPr>
        <w:rFonts w:ascii="Cambria" w:eastAsia="Cambria" w:hAnsi="Cambria" w:cs="Cambria"/>
        <w:b/>
        <w:bCs/>
        <w:color w:val="000000"/>
        <w:position w:val="0"/>
        <w:sz w:val="20"/>
        <w:szCs w:val="20"/>
        <w:u w:color="000000"/>
        <w:lang w:val="es-ES_tradnl"/>
      </w:rPr>
    </w:lvl>
    <w:lvl w:ilvl="4">
      <w:start w:val="1"/>
      <w:numFmt w:val="decimal"/>
      <w:lvlText w:val="%1.%2.%3.%4.%5."/>
      <w:lvlJc w:val="left"/>
      <w:pPr>
        <w:tabs>
          <w:tab w:val="num" w:pos="3060"/>
        </w:tabs>
        <w:ind w:left="3060" w:hanging="900"/>
      </w:pPr>
      <w:rPr>
        <w:rFonts w:ascii="Cambria" w:eastAsia="Cambria" w:hAnsi="Cambria" w:cs="Cambria"/>
        <w:b/>
        <w:bCs/>
        <w:color w:val="000000"/>
        <w:position w:val="0"/>
        <w:sz w:val="20"/>
        <w:szCs w:val="20"/>
        <w:u w:color="000000"/>
        <w:lang w:val="es-ES_tradnl"/>
      </w:rPr>
    </w:lvl>
    <w:lvl w:ilvl="5">
      <w:start w:val="1"/>
      <w:numFmt w:val="decimal"/>
      <w:lvlText w:val="%1.%2.%3.%4.%5.%6."/>
      <w:lvlJc w:val="left"/>
      <w:pPr>
        <w:tabs>
          <w:tab w:val="num" w:pos="3420"/>
        </w:tabs>
        <w:ind w:left="3420" w:hanging="900"/>
      </w:pPr>
      <w:rPr>
        <w:rFonts w:ascii="Cambria" w:eastAsia="Cambria" w:hAnsi="Cambria" w:cs="Cambria"/>
        <w:b/>
        <w:bCs/>
        <w:color w:val="000000"/>
        <w:position w:val="0"/>
        <w:sz w:val="20"/>
        <w:szCs w:val="20"/>
        <w:u w:color="000000"/>
        <w:lang w:val="es-ES_tradnl"/>
      </w:rPr>
    </w:lvl>
    <w:lvl w:ilvl="6">
      <w:start w:val="1"/>
      <w:numFmt w:val="decimal"/>
      <w:lvlText w:val="%1.%2.%3.%4.%5.%6.%7."/>
      <w:lvlJc w:val="left"/>
      <w:pPr>
        <w:tabs>
          <w:tab w:val="num" w:pos="4080"/>
        </w:tabs>
        <w:ind w:left="4080" w:hanging="1200"/>
      </w:pPr>
      <w:rPr>
        <w:rFonts w:ascii="Cambria" w:eastAsia="Cambria" w:hAnsi="Cambria" w:cs="Cambria"/>
        <w:b/>
        <w:bCs/>
        <w:color w:val="000000"/>
        <w:position w:val="0"/>
        <w:sz w:val="20"/>
        <w:szCs w:val="20"/>
        <w:u w:color="000000"/>
        <w:lang w:val="es-ES_tradnl"/>
      </w:rPr>
    </w:lvl>
    <w:lvl w:ilvl="7">
      <w:start w:val="1"/>
      <w:numFmt w:val="decimal"/>
      <w:lvlText w:val="%1.%2.%3.%4.%5.%6.%7.%8."/>
      <w:lvlJc w:val="left"/>
      <w:pPr>
        <w:tabs>
          <w:tab w:val="num" w:pos="4440"/>
        </w:tabs>
        <w:ind w:left="4440" w:hanging="1200"/>
      </w:pPr>
      <w:rPr>
        <w:rFonts w:ascii="Cambria" w:eastAsia="Cambria" w:hAnsi="Cambria" w:cs="Cambria"/>
        <w:b/>
        <w:bCs/>
        <w:color w:val="000000"/>
        <w:position w:val="0"/>
        <w:sz w:val="20"/>
        <w:szCs w:val="20"/>
        <w:u w:color="000000"/>
        <w:lang w:val="es-ES_tradnl"/>
      </w:rPr>
    </w:lvl>
    <w:lvl w:ilvl="8">
      <w:start w:val="1"/>
      <w:numFmt w:val="decimal"/>
      <w:lvlText w:val="%1.%2.%3.%4.%5.%6.%7.%8.%9."/>
      <w:lvlJc w:val="left"/>
      <w:pPr>
        <w:tabs>
          <w:tab w:val="num" w:pos="5100"/>
        </w:tabs>
        <w:ind w:left="5100" w:hanging="1500"/>
      </w:pPr>
      <w:rPr>
        <w:rFonts w:ascii="Cambria" w:eastAsia="Cambria" w:hAnsi="Cambria" w:cs="Cambria"/>
        <w:b/>
        <w:bCs/>
        <w:color w:val="000000"/>
        <w:position w:val="0"/>
        <w:sz w:val="20"/>
        <w:szCs w:val="20"/>
        <w:u w:color="000000"/>
        <w:lang w:val="es-ES_tradnl"/>
      </w:rPr>
    </w:lvl>
  </w:abstractNum>
  <w:num w:numId="1">
    <w:abstractNumId w:val="14"/>
    <w:lvlOverride w:ilvl="0">
      <w:lvl w:ilvl="0">
        <w:start w:val="1"/>
        <w:numFmt w:val="upperRoman"/>
        <w:pStyle w:val="Heading1"/>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num>
  <w:num w:numId="2">
    <w:abstractNumId w:val="3"/>
  </w:num>
  <w:num w:numId="3">
    <w:abstractNumId w:val="21"/>
    <w:lvlOverride w:ilvl="0">
      <w:lvl w:ilvl="0">
        <w:start w:val="1"/>
        <w:numFmt w:val="upperLetter"/>
        <w:pStyle w:val="Heading2"/>
        <w:lvlText w:val="%1."/>
        <w:lvlJc w:val="left"/>
        <w:pPr>
          <w:tabs>
            <w:tab w:val="num" w:pos="806"/>
          </w:tabs>
          <w:ind w:left="806" w:hanging="86"/>
        </w:pPr>
        <w:rPr>
          <w:rFonts w:ascii="Times New Roman" w:eastAsia="Times New Roman" w:hAnsi="Times New Roman" w:cs="Times New Roman"/>
          <w:b/>
          <w:bCs/>
          <w:position w:val="0"/>
          <w:sz w:val="20"/>
          <w:szCs w:val="20"/>
          <w:lang w:val="es-ES_tradnl"/>
        </w:rPr>
      </w:lvl>
    </w:lvlOverride>
    <w:lvlOverride w:ilvl="1">
      <w:lvl w:ilvl="1">
        <w:start w:val="1"/>
        <w:numFmt w:val="lowerLetter"/>
        <w:lvlText w:val="%2."/>
        <w:lvlJc w:val="left"/>
        <w:pPr>
          <w:tabs>
            <w:tab w:val="num" w:pos="2820"/>
          </w:tabs>
          <w:ind w:left="2820" w:hanging="300"/>
        </w:pPr>
        <w:rPr>
          <w:rFonts w:ascii="Cambria" w:eastAsia="Cambria" w:hAnsi="Cambria" w:cs="Cambria"/>
          <w:b/>
          <w:bCs/>
          <w:position w:val="0"/>
          <w:sz w:val="20"/>
          <w:szCs w:val="20"/>
          <w:lang w:val="es-ES_tradnl"/>
        </w:rPr>
      </w:lvl>
    </w:lvlOverride>
    <w:lvlOverride w:ilvl="2">
      <w:lvl w:ilvl="2">
        <w:start w:val="1"/>
        <w:numFmt w:val="lowerRoman"/>
        <w:lvlText w:val="%3."/>
        <w:lvlJc w:val="left"/>
        <w:pPr>
          <w:tabs>
            <w:tab w:val="num" w:pos="3551"/>
          </w:tabs>
          <w:ind w:left="3551" w:hanging="247"/>
        </w:pPr>
        <w:rPr>
          <w:rFonts w:ascii="Cambria" w:eastAsia="Cambria" w:hAnsi="Cambria" w:cs="Cambria"/>
          <w:b/>
          <w:bCs/>
          <w:position w:val="0"/>
          <w:sz w:val="20"/>
          <w:szCs w:val="20"/>
          <w:lang w:val="es-ES_tradnl"/>
        </w:rPr>
      </w:lvl>
    </w:lvlOverride>
    <w:lvlOverride w:ilvl="3">
      <w:lvl w:ilvl="3">
        <w:start w:val="1"/>
        <w:numFmt w:val="decimal"/>
        <w:lvlText w:val="%4."/>
        <w:lvlJc w:val="left"/>
        <w:pPr>
          <w:tabs>
            <w:tab w:val="num" w:pos="4260"/>
          </w:tabs>
          <w:ind w:left="4260" w:hanging="300"/>
        </w:pPr>
        <w:rPr>
          <w:rFonts w:ascii="Cambria" w:eastAsia="Cambria" w:hAnsi="Cambria" w:cs="Cambria"/>
          <w:b/>
          <w:bCs/>
          <w:position w:val="0"/>
          <w:sz w:val="20"/>
          <w:szCs w:val="20"/>
          <w:lang w:val="es-ES_tradnl"/>
        </w:rPr>
      </w:lvl>
    </w:lvlOverride>
    <w:lvlOverride w:ilvl="4">
      <w:lvl w:ilvl="4">
        <w:start w:val="1"/>
        <w:numFmt w:val="lowerLetter"/>
        <w:lvlText w:val="%5."/>
        <w:lvlJc w:val="left"/>
        <w:pPr>
          <w:tabs>
            <w:tab w:val="num" w:pos="4980"/>
          </w:tabs>
          <w:ind w:left="4980" w:hanging="300"/>
        </w:pPr>
        <w:rPr>
          <w:rFonts w:ascii="Cambria" w:eastAsia="Cambria" w:hAnsi="Cambria" w:cs="Cambria"/>
          <w:b/>
          <w:bCs/>
          <w:position w:val="0"/>
          <w:sz w:val="20"/>
          <w:szCs w:val="20"/>
          <w:lang w:val="es-ES_tradnl"/>
        </w:rPr>
      </w:lvl>
    </w:lvlOverride>
    <w:lvlOverride w:ilvl="5">
      <w:lvl w:ilvl="5">
        <w:start w:val="1"/>
        <w:numFmt w:val="lowerRoman"/>
        <w:lvlText w:val="%6."/>
        <w:lvlJc w:val="left"/>
        <w:pPr>
          <w:tabs>
            <w:tab w:val="num" w:pos="5711"/>
          </w:tabs>
          <w:ind w:left="5711" w:hanging="247"/>
        </w:pPr>
        <w:rPr>
          <w:rFonts w:ascii="Cambria" w:eastAsia="Cambria" w:hAnsi="Cambria" w:cs="Cambria"/>
          <w:b/>
          <w:bCs/>
          <w:position w:val="0"/>
          <w:sz w:val="20"/>
          <w:szCs w:val="20"/>
          <w:lang w:val="es-ES_tradnl"/>
        </w:rPr>
      </w:lvl>
    </w:lvlOverride>
    <w:lvlOverride w:ilvl="6">
      <w:lvl w:ilvl="6">
        <w:start w:val="1"/>
        <w:numFmt w:val="decimal"/>
        <w:lvlText w:val="%7."/>
        <w:lvlJc w:val="left"/>
        <w:pPr>
          <w:tabs>
            <w:tab w:val="num" w:pos="6420"/>
          </w:tabs>
          <w:ind w:left="6420" w:hanging="300"/>
        </w:pPr>
        <w:rPr>
          <w:rFonts w:ascii="Cambria" w:eastAsia="Cambria" w:hAnsi="Cambria" w:cs="Cambria"/>
          <w:b/>
          <w:bCs/>
          <w:position w:val="0"/>
          <w:sz w:val="20"/>
          <w:szCs w:val="20"/>
          <w:lang w:val="es-ES_tradnl"/>
        </w:rPr>
      </w:lvl>
    </w:lvlOverride>
    <w:lvlOverride w:ilvl="7">
      <w:lvl w:ilvl="7">
        <w:start w:val="1"/>
        <w:numFmt w:val="lowerLetter"/>
        <w:lvlText w:val="%8."/>
        <w:lvlJc w:val="left"/>
        <w:pPr>
          <w:tabs>
            <w:tab w:val="num" w:pos="7140"/>
          </w:tabs>
          <w:ind w:left="7140" w:hanging="300"/>
        </w:pPr>
        <w:rPr>
          <w:rFonts w:ascii="Cambria" w:eastAsia="Cambria" w:hAnsi="Cambria" w:cs="Cambria"/>
          <w:b/>
          <w:bCs/>
          <w:position w:val="0"/>
          <w:sz w:val="20"/>
          <w:szCs w:val="20"/>
          <w:lang w:val="es-ES_tradnl"/>
        </w:rPr>
      </w:lvl>
    </w:lvlOverride>
    <w:lvlOverride w:ilvl="8">
      <w:lvl w:ilvl="8">
        <w:start w:val="1"/>
        <w:numFmt w:val="lowerRoman"/>
        <w:lvlText w:val="%9."/>
        <w:lvlJc w:val="left"/>
        <w:pPr>
          <w:tabs>
            <w:tab w:val="num" w:pos="7871"/>
          </w:tabs>
          <w:ind w:left="7871" w:hanging="247"/>
        </w:pPr>
        <w:rPr>
          <w:rFonts w:ascii="Cambria" w:eastAsia="Cambria" w:hAnsi="Cambria" w:cs="Cambria"/>
          <w:b/>
          <w:bCs/>
          <w:position w:val="0"/>
          <w:sz w:val="20"/>
          <w:szCs w:val="20"/>
          <w:lang w:val="es-ES_tradnl"/>
        </w:rPr>
      </w:lvl>
    </w:lvlOverride>
  </w:num>
  <w:num w:numId="4">
    <w:abstractNumId w:val="17"/>
  </w:num>
  <w:num w:numId="5">
    <w:abstractNumId w:val="22"/>
  </w:num>
  <w:num w:numId="6">
    <w:abstractNumId w:val="1"/>
  </w:num>
  <w:num w:numId="7">
    <w:abstractNumId w:val="5"/>
  </w:num>
  <w:num w:numId="8">
    <w:abstractNumId w:val="9"/>
  </w:num>
  <w:num w:numId="9">
    <w:abstractNumId w:val="6"/>
  </w:num>
  <w:num w:numId="10">
    <w:abstractNumId w:val="16"/>
  </w:num>
  <w:num w:numId="11">
    <w:abstractNumId w:val="7"/>
  </w:num>
  <w:num w:numId="12">
    <w:abstractNumId w:val="12"/>
  </w:num>
  <w:num w:numId="13">
    <w:abstractNumId w:val="11"/>
  </w:num>
  <w:num w:numId="14">
    <w:abstractNumId w:val="0"/>
  </w:num>
  <w:num w:numId="15">
    <w:abstractNumId w:val="4"/>
  </w:num>
  <w:num w:numId="16">
    <w:abstractNumId w:val="20"/>
  </w:num>
  <w:num w:numId="17">
    <w:abstractNumId w:val="18"/>
  </w:num>
  <w:num w:numId="18">
    <w:abstractNumId w:val="19"/>
  </w:num>
  <w:num w:numId="19">
    <w:abstractNumId w:val="15"/>
  </w:num>
  <w:num w:numId="20">
    <w:abstractNumId w:val="10"/>
  </w:num>
  <w:num w:numId="21">
    <w:abstractNumId w:val="13"/>
  </w:num>
  <w:num w:numId="22">
    <w:abstractNumId w:val="2"/>
  </w:num>
  <w:num w:numId="23">
    <w:abstractNumId w:val="14"/>
  </w:num>
  <w:num w:numId="24">
    <w:abstractNumId w:val="21"/>
  </w:num>
  <w:num w:numId="25">
    <w:abstractNumId w:val="21"/>
    <w:lvlOverride w:ilvl="0">
      <w:startOverride w:val="1"/>
      <w:lvl w:ilvl="0">
        <w:start w:val="1"/>
        <w:numFmt w:val="upperLetter"/>
        <w:pStyle w:val="Heading2"/>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lvlOverride w:ilvl="1">
      <w:startOverride w:val="1"/>
      <w:lvl w:ilvl="1">
        <w:start w:val="1"/>
        <w:numFmt w:val="lowerLetter"/>
        <w:lvlText w:val="%2."/>
        <w:lvlJc w:val="left"/>
        <w:pPr>
          <w:tabs>
            <w:tab w:val="num" w:pos="2100"/>
          </w:tabs>
          <w:ind w:left="2100" w:hanging="300"/>
        </w:pPr>
        <w:rPr>
          <w:rFonts w:ascii="Cambria" w:eastAsia="Cambria" w:hAnsi="Cambria" w:cs="Cambria"/>
          <w:b/>
          <w:bCs/>
          <w:position w:val="0"/>
          <w:sz w:val="20"/>
          <w:szCs w:val="20"/>
          <w:lang w:val="es-ES_tradnl"/>
        </w:rPr>
      </w:lvl>
    </w:lvlOverride>
    <w:lvlOverride w:ilvl="2">
      <w:startOverride w:val="1"/>
      <w:lvl w:ilvl="2">
        <w:start w:val="1"/>
        <w:numFmt w:val="lowerRoman"/>
        <w:lvlText w:val="%3."/>
        <w:lvlJc w:val="left"/>
        <w:pPr>
          <w:tabs>
            <w:tab w:val="num" w:pos="2831"/>
          </w:tabs>
          <w:ind w:left="2831" w:hanging="247"/>
        </w:pPr>
        <w:rPr>
          <w:rFonts w:ascii="Cambria" w:eastAsia="Cambria" w:hAnsi="Cambria" w:cs="Cambria"/>
          <w:b/>
          <w:bCs/>
          <w:position w:val="0"/>
          <w:sz w:val="20"/>
          <w:szCs w:val="20"/>
          <w:lang w:val="es-ES_tradnl"/>
        </w:rPr>
      </w:lvl>
    </w:lvlOverride>
    <w:lvlOverride w:ilvl="3">
      <w:startOverride w:val="1"/>
      <w:lvl w:ilvl="3">
        <w:start w:val="1"/>
        <w:numFmt w:val="decimal"/>
        <w:lvlText w:val="%4."/>
        <w:lvlJc w:val="left"/>
        <w:pPr>
          <w:tabs>
            <w:tab w:val="num" w:pos="3540"/>
          </w:tabs>
          <w:ind w:left="3540" w:hanging="300"/>
        </w:pPr>
        <w:rPr>
          <w:rFonts w:ascii="Cambria" w:eastAsia="Cambria" w:hAnsi="Cambria" w:cs="Cambria"/>
          <w:b/>
          <w:bCs/>
          <w:position w:val="0"/>
          <w:sz w:val="20"/>
          <w:szCs w:val="20"/>
          <w:lang w:val="es-ES_tradnl"/>
        </w:rPr>
      </w:lvl>
    </w:lvlOverride>
    <w:lvlOverride w:ilvl="4">
      <w:startOverride w:val="1"/>
      <w:lvl w:ilvl="4">
        <w:start w:val="1"/>
        <w:numFmt w:val="lowerLetter"/>
        <w:lvlText w:val="%5."/>
        <w:lvlJc w:val="left"/>
        <w:pPr>
          <w:tabs>
            <w:tab w:val="num" w:pos="4260"/>
          </w:tabs>
          <w:ind w:left="4260" w:hanging="300"/>
        </w:pPr>
        <w:rPr>
          <w:rFonts w:ascii="Cambria" w:eastAsia="Cambria" w:hAnsi="Cambria" w:cs="Cambria"/>
          <w:b/>
          <w:bCs/>
          <w:position w:val="0"/>
          <w:sz w:val="20"/>
          <w:szCs w:val="20"/>
          <w:lang w:val="es-ES_tradnl"/>
        </w:rPr>
      </w:lvl>
    </w:lvlOverride>
    <w:lvlOverride w:ilvl="5">
      <w:startOverride w:val="1"/>
      <w:lvl w:ilvl="5">
        <w:start w:val="1"/>
        <w:numFmt w:val="lowerRoman"/>
        <w:lvlText w:val="%6."/>
        <w:lvlJc w:val="left"/>
        <w:pPr>
          <w:tabs>
            <w:tab w:val="num" w:pos="4991"/>
          </w:tabs>
          <w:ind w:left="4991" w:hanging="247"/>
        </w:pPr>
        <w:rPr>
          <w:rFonts w:ascii="Cambria" w:eastAsia="Cambria" w:hAnsi="Cambria" w:cs="Cambria"/>
          <w:b/>
          <w:bCs/>
          <w:position w:val="0"/>
          <w:sz w:val="20"/>
          <w:szCs w:val="20"/>
          <w:lang w:val="es-ES_tradnl"/>
        </w:rPr>
      </w:lvl>
    </w:lvlOverride>
    <w:lvlOverride w:ilvl="6">
      <w:startOverride w:val="1"/>
      <w:lvl w:ilvl="6">
        <w:start w:val="1"/>
        <w:numFmt w:val="decimal"/>
        <w:lvlText w:val="%7."/>
        <w:lvlJc w:val="left"/>
        <w:pPr>
          <w:tabs>
            <w:tab w:val="num" w:pos="5700"/>
          </w:tabs>
          <w:ind w:left="5700" w:hanging="300"/>
        </w:pPr>
        <w:rPr>
          <w:rFonts w:ascii="Cambria" w:eastAsia="Cambria" w:hAnsi="Cambria" w:cs="Cambria"/>
          <w:b/>
          <w:bCs/>
          <w:position w:val="0"/>
          <w:sz w:val="20"/>
          <w:szCs w:val="20"/>
          <w:lang w:val="es-ES_tradnl"/>
        </w:rPr>
      </w:lvl>
    </w:lvlOverride>
    <w:lvlOverride w:ilvl="7">
      <w:startOverride w:val="1"/>
      <w:lvl w:ilvl="7">
        <w:start w:val="1"/>
        <w:numFmt w:val="lowerLetter"/>
        <w:lvlText w:val="%8."/>
        <w:lvlJc w:val="left"/>
        <w:pPr>
          <w:tabs>
            <w:tab w:val="num" w:pos="6420"/>
          </w:tabs>
          <w:ind w:left="6420" w:hanging="300"/>
        </w:pPr>
        <w:rPr>
          <w:rFonts w:ascii="Cambria" w:eastAsia="Cambria" w:hAnsi="Cambria" w:cs="Cambria"/>
          <w:b/>
          <w:bCs/>
          <w:position w:val="0"/>
          <w:sz w:val="20"/>
          <w:szCs w:val="20"/>
          <w:lang w:val="es-ES_tradnl"/>
        </w:rPr>
      </w:lvl>
    </w:lvlOverride>
    <w:lvlOverride w:ilvl="8">
      <w:startOverride w:val="1"/>
      <w:lvl w:ilvl="8">
        <w:start w:val="1"/>
        <w:numFmt w:val="lowerRoman"/>
        <w:lvlText w:val="%9."/>
        <w:lvlJc w:val="left"/>
        <w:pPr>
          <w:tabs>
            <w:tab w:val="num" w:pos="7151"/>
          </w:tabs>
          <w:ind w:left="7151" w:hanging="247"/>
        </w:pPr>
        <w:rPr>
          <w:rFonts w:ascii="Cambria" w:eastAsia="Cambria" w:hAnsi="Cambria" w:cs="Cambria"/>
          <w:b/>
          <w:bCs/>
          <w:position w:val="0"/>
          <w:sz w:val="20"/>
          <w:szCs w:val="20"/>
          <w:lang w:val="es-ES_tradnl"/>
        </w:rPr>
      </w:lvl>
    </w:lvlOverride>
  </w:num>
  <w:num w:numId="26">
    <w:abstractNumId w:val="21"/>
    <w:lvlOverride w:ilvl="0">
      <w:startOverride w:val="1"/>
      <w:lvl w:ilvl="0">
        <w:start w:val="1"/>
        <w:numFmt w:val="upperLetter"/>
        <w:pStyle w:val="Heading2"/>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lvlOverride w:ilvl="1">
      <w:startOverride w:val="1"/>
      <w:lvl w:ilvl="1">
        <w:start w:val="1"/>
        <w:numFmt w:val="lowerLetter"/>
        <w:lvlText w:val="%2."/>
        <w:lvlJc w:val="left"/>
        <w:pPr>
          <w:tabs>
            <w:tab w:val="num" w:pos="2100"/>
          </w:tabs>
          <w:ind w:left="2100" w:hanging="300"/>
        </w:pPr>
        <w:rPr>
          <w:rFonts w:ascii="Cambria" w:eastAsia="Cambria" w:hAnsi="Cambria" w:cs="Cambria"/>
          <w:b/>
          <w:bCs/>
          <w:position w:val="0"/>
          <w:sz w:val="20"/>
          <w:szCs w:val="20"/>
          <w:lang w:val="es-ES_tradnl"/>
        </w:rPr>
      </w:lvl>
    </w:lvlOverride>
    <w:lvlOverride w:ilvl="2">
      <w:startOverride w:val="1"/>
      <w:lvl w:ilvl="2">
        <w:start w:val="1"/>
        <w:numFmt w:val="lowerRoman"/>
        <w:lvlText w:val="%3."/>
        <w:lvlJc w:val="left"/>
        <w:pPr>
          <w:tabs>
            <w:tab w:val="num" w:pos="2831"/>
          </w:tabs>
          <w:ind w:left="2831" w:hanging="247"/>
        </w:pPr>
        <w:rPr>
          <w:rFonts w:ascii="Cambria" w:eastAsia="Cambria" w:hAnsi="Cambria" w:cs="Cambria"/>
          <w:b/>
          <w:bCs/>
          <w:position w:val="0"/>
          <w:sz w:val="20"/>
          <w:szCs w:val="20"/>
          <w:lang w:val="es-ES_tradnl"/>
        </w:rPr>
      </w:lvl>
    </w:lvlOverride>
    <w:lvlOverride w:ilvl="3">
      <w:startOverride w:val="1"/>
      <w:lvl w:ilvl="3">
        <w:start w:val="1"/>
        <w:numFmt w:val="decimal"/>
        <w:lvlText w:val="%4."/>
        <w:lvlJc w:val="left"/>
        <w:pPr>
          <w:tabs>
            <w:tab w:val="num" w:pos="3540"/>
          </w:tabs>
          <w:ind w:left="3540" w:hanging="300"/>
        </w:pPr>
        <w:rPr>
          <w:rFonts w:ascii="Cambria" w:eastAsia="Cambria" w:hAnsi="Cambria" w:cs="Cambria"/>
          <w:b/>
          <w:bCs/>
          <w:position w:val="0"/>
          <w:sz w:val="20"/>
          <w:szCs w:val="20"/>
          <w:lang w:val="es-ES_tradnl"/>
        </w:rPr>
      </w:lvl>
    </w:lvlOverride>
    <w:lvlOverride w:ilvl="4">
      <w:startOverride w:val="1"/>
      <w:lvl w:ilvl="4">
        <w:start w:val="1"/>
        <w:numFmt w:val="lowerLetter"/>
        <w:lvlText w:val="%5."/>
        <w:lvlJc w:val="left"/>
        <w:pPr>
          <w:tabs>
            <w:tab w:val="num" w:pos="4260"/>
          </w:tabs>
          <w:ind w:left="4260" w:hanging="300"/>
        </w:pPr>
        <w:rPr>
          <w:rFonts w:ascii="Cambria" w:eastAsia="Cambria" w:hAnsi="Cambria" w:cs="Cambria"/>
          <w:b/>
          <w:bCs/>
          <w:position w:val="0"/>
          <w:sz w:val="20"/>
          <w:szCs w:val="20"/>
          <w:lang w:val="es-ES_tradnl"/>
        </w:rPr>
      </w:lvl>
    </w:lvlOverride>
    <w:lvlOverride w:ilvl="5">
      <w:startOverride w:val="1"/>
      <w:lvl w:ilvl="5">
        <w:start w:val="1"/>
        <w:numFmt w:val="lowerRoman"/>
        <w:lvlText w:val="%6."/>
        <w:lvlJc w:val="left"/>
        <w:pPr>
          <w:tabs>
            <w:tab w:val="num" w:pos="4991"/>
          </w:tabs>
          <w:ind w:left="4991" w:hanging="247"/>
        </w:pPr>
        <w:rPr>
          <w:rFonts w:ascii="Cambria" w:eastAsia="Cambria" w:hAnsi="Cambria" w:cs="Cambria"/>
          <w:b/>
          <w:bCs/>
          <w:position w:val="0"/>
          <w:sz w:val="20"/>
          <w:szCs w:val="20"/>
          <w:lang w:val="es-ES_tradnl"/>
        </w:rPr>
      </w:lvl>
    </w:lvlOverride>
    <w:lvlOverride w:ilvl="6">
      <w:startOverride w:val="1"/>
      <w:lvl w:ilvl="6">
        <w:start w:val="1"/>
        <w:numFmt w:val="decimal"/>
        <w:lvlText w:val="%7."/>
        <w:lvlJc w:val="left"/>
        <w:pPr>
          <w:tabs>
            <w:tab w:val="num" w:pos="5700"/>
          </w:tabs>
          <w:ind w:left="5700" w:hanging="300"/>
        </w:pPr>
        <w:rPr>
          <w:rFonts w:ascii="Cambria" w:eastAsia="Cambria" w:hAnsi="Cambria" w:cs="Cambria"/>
          <w:b/>
          <w:bCs/>
          <w:position w:val="0"/>
          <w:sz w:val="20"/>
          <w:szCs w:val="20"/>
          <w:lang w:val="es-ES_tradnl"/>
        </w:rPr>
      </w:lvl>
    </w:lvlOverride>
    <w:lvlOverride w:ilvl="7">
      <w:startOverride w:val="1"/>
      <w:lvl w:ilvl="7">
        <w:start w:val="1"/>
        <w:numFmt w:val="lowerLetter"/>
        <w:lvlText w:val="%8."/>
        <w:lvlJc w:val="left"/>
        <w:pPr>
          <w:tabs>
            <w:tab w:val="num" w:pos="6420"/>
          </w:tabs>
          <w:ind w:left="6420" w:hanging="300"/>
        </w:pPr>
        <w:rPr>
          <w:rFonts w:ascii="Cambria" w:eastAsia="Cambria" w:hAnsi="Cambria" w:cs="Cambria"/>
          <w:b/>
          <w:bCs/>
          <w:position w:val="0"/>
          <w:sz w:val="20"/>
          <w:szCs w:val="20"/>
          <w:lang w:val="es-ES_tradnl"/>
        </w:rPr>
      </w:lvl>
    </w:lvlOverride>
    <w:lvlOverride w:ilvl="8">
      <w:startOverride w:val="1"/>
      <w:lvl w:ilvl="8">
        <w:start w:val="1"/>
        <w:numFmt w:val="lowerRoman"/>
        <w:lvlText w:val="%9."/>
        <w:lvlJc w:val="left"/>
        <w:pPr>
          <w:tabs>
            <w:tab w:val="num" w:pos="7151"/>
          </w:tabs>
          <w:ind w:left="7151" w:hanging="247"/>
        </w:pPr>
        <w:rPr>
          <w:rFonts w:ascii="Cambria" w:eastAsia="Cambria" w:hAnsi="Cambria" w:cs="Cambria"/>
          <w:b/>
          <w:bCs/>
          <w:position w:val="0"/>
          <w:sz w:val="20"/>
          <w:szCs w:val="20"/>
          <w:lang w:val="es-ES_tradnl"/>
        </w:rPr>
      </w:lvl>
    </w:lvlOverride>
  </w:num>
  <w:num w:numId="27">
    <w:abstractNumId w:val="17"/>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0A"/>
    <w:rsid w:val="0000189E"/>
    <w:rsid w:val="00005788"/>
    <w:rsid w:val="000077ED"/>
    <w:rsid w:val="00007AF9"/>
    <w:rsid w:val="000104D8"/>
    <w:rsid w:val="00014A33"/>
    <w:rsid w:val="00015191"/>
    <w:rsid w:val="00016E2E"/>
    <w:rsid w:val="000206E8"/>
    <w:rsid w:val="00021667"/>
    <w:rsid w:val="00023074"/>
    <w:rsid w:val="000234D5"/>
    <w:rsid w:val="00024CBF"/>
    <w:rsid w:val="00030B7B"/>
    <w:rsid w:val="00035CCC"/>
    <w:rsid w:val="00040340"/>
    <w:rsid w:val="000412A4"/>
    <w:rsid w:val="00042AEB"/>
    <w:rsid w:val="00045256"/>
    <w:rsid w:val="00046239"/>
    <w:rsid w:val="0005133C"/>
    <w:rsid w:val="00051AC4"/>
    <w:rsid w:val="0005207D"/>
    <w:rsid w:val="00052CF7"/>
    <w:rsid w:val="00053127"/>
    <w:rsid w:val="0005623C"/>
    <w:rsid w:val="0006008A"/>
    <w:rsid w:val="00063FD4"/>
    <w:rsid w:val="00065E8C"/>
    <w:rsid w:val="00066566"/>
    <w:rsid w:val="000672D0"/>
    <w:rsid w:val="000751C0"/>
    <w:rsid w:val="00076063"/>
    <w:rsid w:val="00076AD8"/>
    <w:rsid w:val="0008353B"/>
    <w:rsid w:val="00090F7F"/>
    <w:rsid w:val="0009290E"/>
    <w:rsid w:val="00094818"/>
    <w:rsid w:val="00094BA1"/>
    <w:rsid w:val="00097B36"/>
    <w:rsid w:val="000A0D00"/>
    <w:rsid w:val="000A2165"/>
    <w:rsid w:val="000A3803"/>
    <w:rsid w:val="000A447F"/>
    <w:rsid w:val="000A522B"/>
    <w:rsid w:val="000A7A50"/>
    <w:rsid w:val="000B1222"/>
    <w:rsid w:val="000B33F7"/>
    <w:rsid w:val="000B5830"/>
    <w:rsid w:val="000B66D5"/>
    <w:rsid w:val="000B69D8"/>
    <w:rsid w:val="000C12E0"/>
    <w:rsid w:val="000C1C4A"/>
    <w:rsid w:val="000C35C0"/>
    <w:rsid w:val="000C687C"/>
    <w:rsid w:val="000D0A07"/>
    <w:rsid w:val="000D1F8E"/>
    <w:rsid w:val="000D2D54"/>
    <w:rsid w:val="000D3296"/>
    <w:rsid w:val="000D3D0D"/>
    <w:rsid w:val="000D602F"/>
    <w:rsid w:val="000E158C"/>
    <w:rsid w:val="000E20D9"/>
    <w:rsid w:val="000E2A52"/>
    <w:rsid w:val="000E2DEE"/>
    <w:rsid w:val="000E4048"/>
    <w:rsid w:val="000E55B8"/>
    <w:rsid w:val="000E5B2E"/>
    <w:rsid w:val="000F24BF"/>
    <w:rsid w:val="000F435C"/>
    <w:rsid w:val="000F582A"/>
    <w:rsid w:val="000F5CF7"/>
    <w:rsid w:val="00100CAB"/>
    <w:rsid w:val="001040F6"/>
    <w:rsid w:val="0010443A"/>
    <w:rsid w:val="00105DF5"/>
    <w:rsid w:val="0011404E"/>
    <w:rsid w:val="001161A6"/>
    <w:rsid w:val="00116A73"/>
    <w:rsid w:val="00120862"/>
    <w:rsid w:val="00121C00"/>
    <w:rsid w:val="00122384"/>
    <w:rsid w:val="00122FA8"/>
    <w:rsid w:val="00127736"/>
    <w:rsid w:val="0013180F"/>
    <w:rsid w:val="0013548F"/>
    <w:rsid w:val="00135FD9"/>
    <w:rsid w:val="00140C4C"/>
    <w:rsid w:val="0014151E"/>
    <w:rsid w:val="00144A69"/>
    <w:rsid w:val="00145222"/>
    <w:rsid w:val="00147BB0"/>
    <w:rsid w:val="001522A5"/>
    <w:rsid w:val="0015243E"/>
    <w:rsid w:val="00152921"/>
    <w:rsid w:val="001545AB"/>
    <w:rsid w:val="00156917"/>
    <w:rsid w:val="00157885"/>
    <w:rsid w:val="00157E8A"/>
    <w:rsid w:val="00161C62"/>
    <w:rsid w:val="00163DDF"/>
    <w:rsid w:val="00163E7B"/>
    <w:rsid w:val="00165CD7"/>
    <w:rsid w:val="00170815"/>
    <w:rsid w:val="00171C82"/>
    <w:rsid w:val="00172F17"/>
    <w:rsid w:val="0017714B"/>
    <w:rsid w:val="00177309"/>
    <w:rsid w:val="00184337"/>
    <w:rsid w:val="001874E6"/>
    <w:rsid w:val="00187790"/>
    <w:rsid w:val="00190FB2"/>
    <w:rsid w:val="00192AF8"/>
    <w:rsid w:val="00194326"/>
    <w:rsid w:val="00195C4B"/>
    <w:rsid w:val="001A26E4"/>
    <w:rsid w:val="001A33B4"/>
    <w:rsid w:val="001A3AB4"/>
    <w:rsid w:val="001A698B"/>
    <w:rsid w:val="001B0AC8"/>
    <w:rsid w:val="001B27ED"/>
    <w:rsid w:val="001B5BA7"/>
    <w:rsid w:val="001C28C4"/>
    <w:rsid w:val="001C294E"/>
    <w:rsid w:val="001C60C5"/>
    <w:rsid w:val="001D0AEB"/>
    <w:rsid w:val="001D1BE1"/>
    <w:rsid w:val="001D33E9"/>
    <w:rsid w:val="001D521F"/>
    <w:rsid w:val="001D5261"/>
    <w:rsid w:val="001D5F78"/>
    <w:rsid w:val="001D7BFC"/>
    <w:rsid w:val="001E0B1A"/>
    <w:rsid w:val="001E5934"/>
    <w:rsid w:val="001E6204"/>
    <w:rsid w:val="001E6918"/>
    <w:rsid w:val="001E7252"/>
    <w:rsid w:val="001E7DC2"/>
    <w:rsid w:val="001F17F0"/>
    <w:rsid w:val="001F2A19"/>
    <w:rsid w:val="001F34C0"/>
    <w:rsid w:val="001F5683"/>
    <w:rsid w:val="001F7F39"/>
    <w:rsid w:val="00200661"/>
    <w:rsid w:val="00200C36"/>
    <w:rsid w:val="00201B1C"/>
    <w:rsid w:val="00205DCB"/>
    <w:rsid w:val="0020629A"/>
    <w:rsid w:val="00207848"/>
    <w:rsid w:val="00211FF6"/>
    <w:rsid w:val="002125CB"/>
    <w:rsid w:val="00212ECE"/>
    <w:rsid w:val="002179DB"/>
    <w:rsid w:val="002203BD"/>
    <w:rsid w:val="00221E35"/>
    <w:rsid w:val="00223002"/>
    <w:rsid w:val="00225DA2"/>
    <w:rsid w:val="00226C22"/>
    <w:rsid w:val="002273ED"/>
    <w:rsid w:val="00233A9C"/>
    <w:rsid w:val="00235B94"/>
    <w:rsid w:val="00237DEA"/>
    <w:rsid w:val="00240DE0"/>
    <w:rsid w:val="0024534B"/>
    <w:rsid w:val="0024665E"/>
    <w:rsid w:val="00247123"/>
    <w:rsid w:val="002477A4"/>
    <w:rsid w:val="00250041"/>
    <w:rsid w:val="00250F94"/>
    <w:rsid w:val="002521C6"/>
    <w:rsid w:val="00252709"/>
    <w:rsid w:val="00267632"/>
    <w:rsid w:val="00271583"/>
    <w:rsid w:val="002716B3"/>
    <w:rsid w:val="00272238"/>
    <w:rsid w:val="0027405C"/>
    <w:rsid w:val="00274CEE"/>
    <w:rsid w:val="00275525"/>
    <w:rsid w:val="002770DC"/>
    <w:rsid w:val="00282371"/>
    <w:rsid w:val="002829AD"/>
    <w:rsid w:val="00283897"/>
    <w:rsid w:val="0028459A"/>
    <w:rsid w:val="0028475C"/>
    <w:rsid w:val="00286DCC"/>
    <w:rsid w:val="00292940"/>
    <w:rsid w:val="00293991"/>
    <w:rsid w:val="002978A7"/>
    <w:rsid w:val="002A2B9F"/>
    <w:rsid w:val="002A358C"/>
    <w:rsid w:val="002A6E21"/>
    <w:rsid w:val="002A7342"/>
    <w:rsid w:val="002B0EE1"/>
    <w:rsid w:val="002B4A95"/>
    <w:rsid w:val="002B5E6F"/>
    <w:rsid w:val="002B61B9"/>
    <w:rsid w:val="002B785E"/>
    <w:rsid w:val="002C0E55"/>
    <w:rsid w:val="002C25D8"/>
    <w:rsid w:val="002C4346"/>
    <w:rsid w:val="002C6851"/>
    <w:rsid w:val="002D0237"/>
    <w:rsid w:val="002D1855"/>
    <w:rsid w:val="002D2F26"/>
    <w:rsid w:val="002D384A"/>
    <w:rsid w:val="002D3A26"/>
    <w:rsid w:val="002D4533"/>
    <w:rsid w:val="002E1C06"/>
    <w:rsid w:val="002E241D"/>
    <w:rsid w:val="002E37C6"/>
    <w:rsid w:val="002E4EB5"/>
    <w:rsid w:val="002E6041"/>
    <w:rsid w:val="002E7C3C"/>
    <w:rsid w:val="002F4A49"/>
    <w:rsid w:val="002F77A4"/>
    <w:rsid w:val="00300A42"/>
    <w:rsid w:val="00300C98"/>
    <w:rsid w:val="00301FB9"/>
    <w:rsid w:val="00302818"/>
    <w:rsid w:val="00307DF5"/>
    <w:rsid w:val="00312F7B"/>
    <w:rsid w:val="0031470A"/>
    <w:rsid w:val="003159A6"/>
    <w:rsid w:val="00316371"/>
    <w:rsid w:val="00321FF8"/>
    <w:rsid w:val="00324548"/>
    <w:rsid w:val="00326811"/>
    <w:rsid w:val="00326D53"/>
    <w:rsid w:val="00330BF8"/>
    <w:rsid w:val="0033423F"/>
    <w:rsid w:val="0033450A"/>
    <w:rsid w:val="003370B5"/>
    <w:rsid w:val="00337681"/>
    <w:rsid w:val="00337980"/>
    <w:rsid w:val="00340920"/>
    <w:rsid w:val="00341C05"/>
    <w:rsid w:val="0034312F"/>
    <w:rsid w:val="00343ACC"/>
    <w:rsid w:val="0034764E"/>
    <w:rsid w:val="003523A9"/>
    <w:rsid w:val="00352511"/>
    <w:rsid w:val="0035272E"/>
    <w:rsid w:val="0035663A"/>
    <w:rsid w:val="003606C0"/>
    <w:rsid w:val="00360C35"/>
    <w:rsid w:val="00360DC3"/>
    <w:rsid w:val="00362A0A"/>
    <w:rsid w:val="00366C4C"/>
    <w:rsid w:val="00372B33"/>
    <w:rsid w:val="00372E8C"/>
    <w:rsid w:val="00380811"/>
    <w:rsid w:val="003841DD"/>
    <w:rsid w:val="003843DE"/>
    <w:rsid w:val="00384F48"/>
    <w:rsid w:val="00385485"/>
    <w:rsid w:val="00386980"/>
    <w:rsid w:val="003915B5"/>
    <w:rsid w:val="0039220E"/>
    <w:rsid w:val="003940C8"/>
    <w:rsid w:val="003A1967"/>
    <w:rsid w:val="003A3F5A"/>
    <w:rsid w:val="003B17CF"/>
    <w:rsid w:val="003B2ED3"/>
    <w:rsid w:val="003B44E3"/>
    <w:rsid w:val="003C1F60"/>
    <w:rsid w:val="003C3075"/>
    <w:rsid w:val="003C5110"/>
    <w:rsid w:val="003C51DB"/>
    <w:rsid w:val="003C786B"/>
    <w:rsid w:val="003D2DD2"/>
    <w:rsid w:val="003D3019"/>
    <w:rsid w:val="003D426C"/>
    <w:rsid w:val="003D552C"/>
    <w:rsid w:val="003E0A07"/>
    <w:rsid w:val="003E1251"/>
    <w:rsid w:val="003E4A84"/>
    <w:rsid w:val="003E6316"/>
    <w:rsid w:val="003E6971"/>
    <w:rsid w:val="003F1FE3"/>
    <w:rsid w:val="003F2ECD"/>
    <w:rsid w:val="003F4B09"/>
    <w:rsid w:val="003F6A00"/>
    <w:rsid w:val="003F7244"/>
    <w:rsid w:val="004046EF"/>
    <w:rsid w:val="00404FE9"/>
    <w:rsid w:val="004064A8"/>
    <w:rsid w:val="004078B7"/>
    <w:rsid w:val="00413961"/>
    <w:rsid w:val="0041404E"/>
    <w:rsid w:val="00414D90"/>
    <w:rsid w:val="00415C08"/>
    <w:rsid w:val="004161B6"/>
    <w:rsid w:val="004240E2"/>
    <w:rsid w:val="00424540"/>
    <w:rsid w:val="00427F72"/>
    <w:rsid w:val="0043035A"/>
    <w:rsid w:val="00432D68"/>
    <w:rsid w:val="0043661F"/>
    <w:rsid w:val="00437489"/>
    <w:rsid w:val="004411DD"/>
    <w:rsid w:val="004458F5"/>
    <w:rsid w:val="004478EF"/>
    <w:rsid w:val="00455A44"/>
    <w:rsid w:val="00455D9C"/>
    <w:rsid w:val="0045622A"/>
    <w:rsid w:val="00456B2D"/>
    <w:rsid w:val="004633E2"/>
    <w:rsid w:val="00463E93"/>
    <w:rsid w:val="00464BDA"/>
    <w:rsid w:val="00464F3C"/>
    <w:rsid w:val="00472458"/>
    <w:rsid w:val="00475532"/>
    <w:rsid w:val="00476BB1"/>
    <w:rsid w:val="004820C0"/>
    <w:rsid w:val="00483BCB"/>
    <w:rsid w:val="004855F3"/>
    <w:rsid w:val="004871A7"/>
    <w:rsid w:val="00490765"/>
    <w:rsid w:val="00490BA0"/>
    <w:rsid w:val="00494E28"/>
    <w:rsid w:val="00497FAA"/>
    <w:rsid w:val="004A20A7"/>
    <w:rsid w:val="004A4795"/>
    <w:rsid w:val="004A7505"/>
    <w:rsid w:val="004B2029"/>
    <w:rsid w:val="004B4398"/>
    <w:rsid w:val="004B4638"/>
    <w:rsid w:val="004B66AD"/>
    <w:rsid w:val="004C52A7"/>
    <w:rsid w:val="004C792F"/>
    <w:rsid w:val="004D113C"/>
    <w:rsid w:val="004D1946"/>
    <w:rsid w:val="004D2075"/>
    <w:rsid w:val="004D2579"/>
    <w:rsid w:val="004D314D"/>
    <w:rsid w:val="004D5498"/>
    <w:rsid w:val="004D5BDF"/>
    <w:rsid w:val="004D5BEB"/>
    <w:rsid w:val="004D62DC"/>
    <w:rsid w:val="004E0292"/>
    <w:rsid w:val="004E072C"/>
    <w:rsid w:val="004F0FD1"/>
    <w:rsid w:val="004F1BBC"/>
    <w:rsid w:val="004F1C51"/>
    <w:rsid w:val="004F1C90"/>
    <w:rsid w:val="004F5882"/>
    <w:rsid w:val="004F6167"/>
    <w:rsid w:val="005001E7"/>
    <w:rsid w:val="00500828"/>
    <w:rsid w:val="00501BF0"/>
    <w:rsid w:val="00502EE8"/>
    <w:rsid w:val="00503B50"/>
    <w:rsid w:val="00504C17"/>
    <w:rsid w:val="0050756C"/>
    <w:rsid w:val="00507701"/>
    <w:rsid w:val="0051495C"/>
    <w:rsid w:val="00520298"/>
    <w:rsid w:val="0052187D"/>
    <w:rsid w:val="00522A1A"/>
    <w:rsid w:val="00523183"/>
    <w:rsid w:val="00523192"/>
    <w:rsid w:val="0052379A"/>
    <w:rsid w:val="005301B4"/>
    <w:rsid w:val="00530D1F"/>
    <w:rsid w:val="0053166D"/>
    <w:rsid w:val="0053287F"/>
    <w:rsid w:val="005331D0"/>
    <w:rsid w:val="00533C97"/>
    <w:rsid w:val="00534414"/>
    <w:rsid w:val="00535855"/>
    <w:rsid w:val="00535AE5"/>
    <w:rsid w:val="00540584"/>
    <w:rsid w:val="00541D38"/>
    <w:rsid w:val="00541FBD"/>
    <w:rsid w:val="00545153"/>
    <w:rsid w:val="00547ABC"/>
    <w:rsid w:val="00547C71"/>
    <w:rsid w:val="00550F00"/>
    <w:rsid w:val="0055252E"/>
    <w:rsid w:val="00556636"/>
    <w:rsid w:val="00557993"/>
    <w:rsid w:val="00564865"/>
    <w:rsid w:val="005648CD"/>
    <w:rsid w:val="0057107C"/>
    <w:rsid w:val="005733BC"/>
    <w:rsid w:val="00575394"/>
    <w:rsid w:val="00582FFC"/>
    <w:rsid w:val="00583D41"/>
    <w:rsid w:val="005849C0"/>
    <w:rsid w:val="00585A81"/>
    <w:rsid w:val="00590983"/>
    <w:rsid w:val="0059099A"/>
    <w:rsid w:val="00591BCB"/>
    <w:rsid w:val="00593752"/>
    <w:rsid w:val="0059460E"/>
    <w:rsid w:val="00594E59"/>
    <w:rsid w:val="0059596A"/>
    <w:rsid w:val="00595A99"/>
    <w:rsid w:val="0059728F"/>
    <w:rsid w:val="005A0756"/>
    <w:rsid w:val="005A1A51"/>
    <w:rsid w:val="005A50F8"/>
    <w:rsid w:val="005B6353"/>
    <w:rsid w:val="005C2B18"/>
    <w:rsid w:val="005C3229"/>
    <w:rsid w:val="005C3F4C"/>
    <w:rsid w:val="005C3FDF"/>
    <w:rsid w:val="005C6902"/>
    <w:rsid w:val="005C7722"/>
    <w:rsid w:val="005C7BA1"/>
    <w:rsid w:val="005D0452"/>
    <w:rsid w:val="005D06E2"/>
    <w:rsid w:val="005D68EF"/>
    <w:rsid w:val="005D6CC7"/>
    <w:rsid w:val="005D6F4C"/>
    <w:rsid w:val="005E4D76"/>
    <w:rsid w:val="005E543F"/>
    <w:rsid w:val="005F0399"/>
    <w:rsid w:val="005F0E78"/>
    <w:rsid w:val="005F12E6"/>
    <w:rsid w:val="005F1A02"/>
    <w:rsid w:val="005F2BC4"/>
    <w:rsid w:val="005F36A4"/>
    <w:rsid w:val="005F3F0A"/>
    <w:rsid w:val="005F4DFA"/>
    <w:rsid w:val="005F66A2"/>
    <w:rsid w:val="005F6A1E"/>
    <w:rsid w:val="00603C8C"/>
    <w:rsid w:val="00604129"/>
    <w:rsid w:val="00610887"/>
    <w:rsid w:val="00611AE5"/>
    <w:rsid w:val="006136FC"/>
    <w:rsid w:val="00613C0C"/>
    <w:rsid w:val="00616DF6"/>
    <w:rsid w:val="0062218A"/>
    <w:rsid w:val="00622D0E"/>
    <w:rsid w:val="00623093"/>
    <w:rsid w:val="00623D27"/>
    <w:rsid w:val="00625BDC"/>
    <w:rsid w:val="00627065"/>
    <w:rsid w:val="00627E04"/>
    <w:rsid w:val="00627F1B"/>
    <w:rsid w:val="006305D8"/>
    <w:rsid w:val="00635154"/>
    <w:rsid w:val="0064354F"/>
    <w:rsid w:val="006438D8"/>
    <w:rsid w:val="00646DD0"/>
    <w:rsid w:val="006534C1"/>
    <w:rsid w:val="006539E3"/>
    <w:rsid w:val="00653CBB"/>
    <w:rsid w:val="00653E9A"/>
    <w:rsid w:val="0065417D"/>
    <w:rsid w:val="006546B3"/>
    <w:rsid w:val="00654C9A"/>
    <w:rsid w:val="0065640A"/>
    <w:rsid w:val="00660521"/>
    <w:rsid w:val="00663EC8"/>
    <w:rsid w:val="00670640"/>
    <w:rsid w:val="00670859"/>
    <w:rsid w:val="00671A97"/>
    <w:rsid w:val="00672BD2"/>
    <w:rsid w:val="00674BD0"/>
    <w:rsid w:val="00674F5E"/>
    <w:rsid w:val="00676F38"/>
    <w:rsid w:val="00680C08"/>
    <w:rsid w:val="00680E54"/>
    <w:rsid w:val="0068109E"/>
    <w:rsid w:val="0068153D"/>
    <w:rsid w:val="00683F77"/>
    <w:rsid w:val="00684AA5"/>
    <w:rsid w:val="00685D78"/>
    <w:rsid w:val="0068643F"/>
    <w:rsid w:val="00686A91"/>
    <w:rsid w:val="006870B6"/>
    <w:rsid w:val="00687936"/>
    <w:rsid w:val="00687FAC"/>
    <w:rsid w:val="00693189"/>
    <w:rsid w:val="00693AAA"/>
    <w:rsid w:val="00694E16"/>
    <w:rsid w:val="00696E43"/>
    <w:rsid w:val="006A0669"/>
    <w:rsid w:val="006A0AC5"/>
    <w:rsid w:val="006A1233"/>
    <w:rsid w:val="006A4E05"/>
    <w:rsid w:val="006A5BCE"/>
    <w:rsid w:val="006A60BF"/>
    <w:rsid w:val="006B062A"/>
    <w:rsid w:val="006B1B15"/>
    <w:rsid w:val="006B7B22"/>
    <w:rsid w:val="006C2206"/>
    <w:rsid w:val="006C24B5"/>
    <w:rsid w:val="006C2C11"/>
    <w:rsid w:val="006C4D8A"/>
    <w:rsid w:val="006C6D4B"/>
    <w:rsid w:val="006D035F"/>
    <w:rsid w:val="006D1962"/>
    <w:rsid w:val="006D39A7"/>
    <w:rsid w:val="006E0B2B"/>
    <w:rsid w:val="006E1F83"/>
    <w:rsid w:val="006E3B6E"/>
    <w:rsid w:val="006E408F"/>
    <w:rsid w:val="006E5CB6"/>
    <w:rsid w:val="006E6CC9"/>
    <w:rsid w:val="006E6D0B"/>
    <w:rsid w:val="006E763F"/>
    <w:rsid w:val="006F13C2"/>
    <w:rsid w:val="006F20F0"/>
    <w:rsid w:val="006F3973"/>
    <w:rsid w:val="006F45D4"/>
    <w:rsid w:val="006F60C7"/>
    <w:rsid w:val="006F7980"/>
    <w:rsid w:val="00703D29"/>
    <w:rsid w:val="00704A91"/>
    <w:rsid w:val="0070709B"/>
    <w:rsid w:val="00707FBF"/>
    <w:rsid w:val="00710927"/>
    <w:rsid w:val="00713291"/>
    <w:rsid w:val="00713795"/>
    <w:rsid w:val="007168E3"/>
    <w:rsid w:val="007170E1"/>
    <w:rsid w:val="00720178"/>
    <w:rsid w:val="0072060F"/>
    <w:rsid w:val="0072159E"/>
    <w:rsid w:val="00724EA0"/>
    <w:rsid w:val="00725388"/>
    <w:rsid w:val="00726E73"/>
    <w:rsid w:val="0072718D"/>
    <w:rsid w:val="0073082F"/>
    <w:rsid w:val="0073347B"/>
    <w:rsid w:val="00733B1F"/>
    <w:rsid w:val="007364D6"/>
    <w:rsid w:val="007427BC"/>
    <w:rsid w:val="00744C64"/>
    <w:rsid w:val="00750FE1"/>
    <w:rsid w:val="007523D8"/>
    <w:rsid w:val="00752950"/>
    <w:rsid w:val="00753CA8"/>
    <w:rsid w:val="00760A4A"/>
    <w:rsid w:val="00762227"/>
    <w:rsid w:val="007707ED"/>
    <w:rsid w:val="0077103E"/>
    <w:rsid w:val="00774718"/>
    <w:rsid w:val="00775035"/>
    <w:rsid w:val="0077539E"/>
    <w:rsid w:val="00780561"/>
    <w:rsid w:val="0078398C"/>
    <w:rsid w:val="0078598A"/>
    <w:rsid w:val="007861D0"/>
    <w:rsid w:val="00786864"/>
    <w:rsid w:val="00787BD6"/>
    <w:rsid w:val="00790A42"/>
    <w:rsid w:val="0079336E"/>
    <w:rsid w:val="00794427"/>
    <w:rsid w:val="00794E06"/>
    <w:rsid w:val="00796B39"/>
    <w:rsid w:val="00797232"/>
    <w:rsid w:val="007A0D9D"/>
    <w:rsid w:val="007A187F"/>
    <w:rsid w:val="007A4688"/>
    <w:rsid w:val="007A724C"/>
    <w:rsid w:val="007B0329"/>
    <w:rsid w:val="007B0E13"/>
    <w:rsid w:val="007B1440"/>
    <w:rsid w:val="007B2ABB"/>
    <w:rsid w:val="007B4E89"/>
    <w:rsid w:val="007C285F"/>
    <w:rsid w:val="007C366A"/>
    <w:rsid w:val="007C3E69"/>
    <w:rsid w:val="007C4805"/>
    <w:rsid w:val="007C5562"/>
    <w:rsid w:val="007C58FE"/>
    <w:rsid w:val="007D5E3E"/>
    <w:rsid w:val="007D62F8"/>
    <w:rsid w:val="007E0C72"/>
    <w:rsid w:val="007E126C"/>
    <w:rsid w:val="007E175C"/>
    <w:rsid w:val="007E2EE9"/>
    <w:rsid w:val="007E5425"/>
    <w:rsid w:val="007E76B7"/>
    <w:rsid w:val="007F0966"/>
    <w:rsid w:val="007F1720"/>
    <w:rsid w:val="007F1CC2"/>
    <w:rsid w:val="007F1DDE"/>
    <w:rsid w:val="007F2428"/>
    <w:rsid w:val="007F37C7"/>
    <w:rsid w:val="007F4C8E"/>
    <w:rsid w:val="007F4CE1"/>
    <w:rsid w:val="007F7396"/>
    <w:rsid w:val="007F7F38"/>
    <w:rsid w:val="0080058B"/>
    <w:rsid w:val="00800EF8"/>
    <w:rsid w:val="00800F8F"/>
    <w:rsid w:val="0080128A"/>
    <w:rsid w:val="00802CD3"/>
    <w:rsid w:val="00807973"/>
    <w:rsid w:val="00812B3E"/>
    <w:rsid w:val="00817521"/>
    <w:rsid w:val="00817A14"/>
    <w:rsid w:val="00817B1F"/>
    <w:rsid w:val="00822153"/>
    <w:rsid w:val="008226E2"/>
    <w:rsid w:val="00832573"/>
    <w:rsid w:val="00832E75"/>
    <w:rsid w:val="00832F75"/>
    <w:rsid w:val="00833CFD"/>
    <w:rsid w:val="008356FE"/>
    <w:rsid w:val="00835996"/>
    <w:rsid w:val="00836DCC"/>
    <w:rsid w:val="00840F5C"/>
    <w:rsid w:val="00843535"/>
    <w:rsid w:val="00843817"/>
    <w:rsid w:val="00846CC9"/>
    <w:rsid w:val="00847155"/>
    <w:rsid w:val="00852FB3"/>
    <w:rsid w:val="008535B1"/>
    <w:rsid w:val="0085399C"/>
    <w:rsid w:val="0085788E"/>
    <w:rsid w:val="008578F5"/>
    <w:rsid w:val="00860FDA"/>
    <w:rsid w:val="00861157"/>
    <w:rsid w:val="00861893"/>
    <w:rsid w:val="008641D9"/>
    <w:rsid w:val="00865F56"/>
    <w:rsid w:val="008665A2"/>
    <w:rsid w:val="00866A03"/>
    <w:rsid w:val="00867814"/>
    <w:rsid w:val="008700FE"/>
    <w:rsid w:val="00872DC5"/>
    <w:rsid w:val="008730D6"/>
    <w:rsid w:val="00873B0B"/>
    <w:rsid w:val="00873FC8"/>
    <w:rsid w:val="00874D49"/>
    <w:rsid w:val="00877350"/>
    <w:rsid w:val="00880356"/>
    <w:rsid w:val="00880830"/>
    <w:rsid w:val="008826B1"/>
    <w:rsid w:val="0088299B"/>
    <w:rsid w:val="0088543D"/>
    <w:rsid w:val="00887BB4"/>
    <w:rsid w:val="00891660"/>
    <w:rsid w:val="00891AFB"/>
    <w:rsid w:val="0089343E"/>
    <w:rsid w:val="00894A9D"/>
    <w:rsid w:val="0089515C"/>
    <w:rsid w:val="00896E39"/>
    <w:rsid w:val="00897E13"/>
    <w:rsid w:val="008A006D"/>
    <w:rsid w:val="008A2925"/>
    <w:rsid w:val="008A5565"/>
    <w:rsid w:val="008A63A6"/>
    <w:rsid w:val="008A71E7"/>
    <w:rsid w:val="008B4D6A"/>
    <w:rsid w:val="008B5030"/>
    <w:rsid w:val="008B5B16"/>
    <w:rsid w:val="008C16D4"/>
    <w:rsid w:val="008C214D"/>
    <w:rsid w:val="008C4B15"/>
    <w:rsid w:val="008C6073"/>
    <w:rsid w:val="008C6B39"/>
    <w:rsid w:val="008D1015"/>
    <w:rsid w:val="008D6CE6"/>
    <w:rsid w:val="008D7631"/>
    <w:rsid w:val="008E1640"/>
    <w:rsid w:val="008E18C9"/>
    <w:rsid w:val="008E2D6E"/>
    <w:rsid w:val="008E5C39"/>
    <w:rsid w:val="008F0B58"/>
    <w:rsid w:val="008F2772"/>
    <w:rsid w:val="008F2CA6"/>
    <w:rsid w:val="008F7B03"/>
    <w:rsid w:val="009013BF"/>
    <w:rsid w:val="00901ABB"/>
    <w:rsid w:val="00904029"/>
    <w:rsid w:val="00907573"/>
    <w:rsid w:val="009162F4"/>
    <w:rsid w:val="00923FE8"/>
    <w:rsid w:val="00925B44"/>
    <w:rsid w:val="009318D3"/>
    <w:rsid w:val="009337B2"/>
    <w:rsid w:val="00941008"/>
    <w:rsid w:val="00941E69"/>
    <w:rsid w:val="0094269D"/>
    <w:rsid w:val="00945E26"/>
    <w:rsid w:val="00947535"/>
    <w:rsid w:val="00950CC5"/>
    <w:rsid w:val="00951242"/>
    <w:rsid w:val="0096143F"/>
    <w:rsid w:val="009645B3"/>
    <w:rsid w:val="00965B5E"/>
    <w:rsid w:val="00966C56"/>
    <w:rsid w:val="00967945"/>
    <w:rsid w:val="00970E7F"/>
    <w:rsid w:val="009751FF"/>
    <w:rsid w:val="009760D5"/>
    <w:rsid w:val="009779A1"/>
    <w:rsid w:val="00977C3C"/>
    <w:rsid w:val="009813BC"/>
    <w:rsid w:val="00983410"/>
    <w:rsid w:val="0099287C"/>
    <w:rsid w:val="00992CEA"/>
    <w:rsid w:val="00993E69"/>
    <w:rsid w:val="00994106"/>
    <w:rsid w:val="00994881"/>
    <w:rsid w:val="00995FBF"/>
    <w:rsid w:val="009A1312"/>
    <w:rsid w:val="009A173A"/>
    <w:rsid w:val="009A27FA"/>
    <w:rsid w:val="009A2C7E"/>
    <w:rsid w:val="009A5637"/>
    <w:rsid w:val="009A7F2C"/>
    <w:rsid w:val="009B6AF2"/>
    <w:rsid w:val="009B78D2"/>
    <w:rsid w:val="009C103A"/>
    <w:rsid w:val="009C246C"/>
    <w:rsid w:val="009C3065"/>
    <w:rsid w:val="009C32A1"/>
    <w:rsid w:val="009C5D44"/>
    <w:rsid w:val="009D1A3B"/>
    <w:rsid w:val="009D208E"/>
    <w:rsid w:val="009D25C1"/>
    <w:rsid w:val="009D3CA1"/>
    <w:rsid w:val="009D4E62"/>
    <w:rsid w:val="009D5876"/>
    <w:rsid w:val="009E133A"/>
    <w:rsid w:val="009E360F"/>
    <w:rsid w:val="009E456A"/>
    <w:rsid w:val="009E5684"/>
    <w:rsid w:val="009E5F2B"/>
    <w:rsid w:val="009E64D9"/>
    <w:rsid w:val="009E7E98"/>
    <w:rsid w:val="009F1675"/>
    <w:rsid w:val="009F30CC"/>
    <w:rsid w:val="009F4495"/>
    <w:rsid w:val="009F7596"/>
    <w:rsid w:val="009F7933"/>
    <w:rsid w:val="00A00325"/>
    <w:rsid w:val="00A03763"/>
    <w:rsid w:val="00A038BD"/>
    <w:rsid w:val="00A0538A"/>
    <w:rsid w:val="00A20662"/>
    <w:rsid w:val="00A22C71"/>
    <w:rsid w:val="00A232E9"/>
    <w:rsid w:val="00A23712"/>
    <w:rsid w:val="00A23718"/>
    <w:rsid w:val="00A31E99"/>
    <w:rsid w:val="00A32545"/>
    <w:rsid w:val="00A436BC"/>
    <w:rsid w:val="00A44513"/>
    <w:rsid w:val="00A44F39"/>
    <w:rsid w:val="00A45849"/>
    <w:rsid w:val="00A52CDC"/>
    <w:rsid w:val="00A534B8"/>
    <w:rsid w:val="00A53A21"/>
    <w:rsid w:val="00A53B86"/>
    <w:rsid w:val="00A53D0D"/>
    <w:rsid w:val="00A56231"/>
    <w:rsid w:val="00A57B3A"/>
    <w:rsid w:val="00A60FCD"/>
    <w:rsid w:val="00A61FB7"/>
    <w:rsid w:val="00A667E8"/>
    <w:rsid w:val="00A66927"/>
    <w:rsid w:val="00A67A1B"/>
    <w:rsid w:val="00A703EE"/>
    <w:rsid w:val="00A72493"/>
    <w:rsid w:val="00A728DD"/>
    <w:rsid w:val="00A74214"/>
    <w:rsid w:val="00A81058"/>
    <w:rsid w:val="00A84A10"/>
    <w:rsid w:val="00A8545D"/>
    <w:rsid w:val="00A858AC"/>
    <w:rsid w:val="00A85957"/>
    <w:rsid w:val="00A86B3F"/>
    <w:rsid w:val="00A86DC6"/>
    <w:rsid w:val="00A92CEE"/>
    <w:rsid w:val="00A933E4"/>
    <w:rsid w:val="00A94F6A"/>
    <w:rsid w:val="00A97CF0"/>
    <w:rsid w:val="00AA26F3"/>
    <w:rsid w:val="00AA4ADF"/>
    <w:rsid w:val="00AA6D5B"/>
    <w:rsid w:val="00AA72E3"/>
    <w:rsid w:val="00AB2162"/>
    <w:rsid w:val="00AC0DD4"/>
    <w:rsid w:val="00AC28A7"/>
    <w:rsid w:val="00AC4724"/>
    <w:rsid w:val="00AC6DDD"/>
    <w:rsid w:val="00AC712F"/>
    <w:rsid w:val="00AC7AC3"/>
    <w:rsid w:val="00AD0949"/>
    <w:rsid w:val="00AD2C64"/>
    <w:rsid w:val="00AD774C"/>
    <w:rsid w:val="00AD7C74"/>
    <w:rsid w:val="00AD7D8D"/>
    <w:rsid w:val="00AE23EE"/>
    <w:rsid w:val="00AE7821"/>
    <w:rsid w:val="00AE7A97"/>
    <w:rsid w:val="00AE7E62"/>
    <w:rsid w:val="00AF0803"/>
    <w:rsid w:val="00AF1087"/>
    <w:rsid w:val="00AF226A"/>
    <w:rsid w:val="00AF26DD"/>
    <w:rsid w:val="00AF377F"/>
    <w:rsid w:val="00AF42EA"/>
    <w:rsid w:val="00AF5FCC"/>
    <w:rsid w:val="00B017EE"/>
    <w:rsid w:val="00B038B7"/>
    <w:rsid w:val="00B0429C"/>
    <w:rsid w:val="00B04EF1"/>
    <w:rsid w:val="00B17E2A"/>
    <w:rsid w:val="00B21C47"/>
    <w:rsid w:val="00B23615"/>
    <w:rsid w:val="00B31257"/>
    <w:rsid w:val="00B32FAA"/>
    <w:rsid w:val="00B33D9E"/>
    <w:rsid w:val="00B37F7F"/>
    <w:rsid w:val="00B42F8E"/>
    <w:rsid w:val="00B46ACE"/>
    <w:rsid w:val="00B50002"/>
    <w:rsid w:val="00B500C0"/>
    <w:rsid w:val="00B5320A"/>
    <w:rsid w:val="00B53E03"/>
    <w:rsid w:val="00B54C70"/>
    <w:rsid w:val="00B569ED"/>
    <w:rsid w:val="00B56FBE"/>
    <w:rsid w:val="00B57ED3"/>
    <w:rsid w:val="00B60134"/>
    <w:rsid w:val="00B62801"/>
    <w:rsid w:val="00B6291A"/>
    <w:rsid w:val="00B63525"/>
    <w:rsid w:val="00B6395B"/>
    <w:rsid w:val="00B63C19"/>
    <w:rsid w:val="00B65E1B"/>
    <w:rsid w:val="00B66E40"/>
    <w:rsid w:val="00B70AC8"/>
    <w:rsid w:val="00B71FCB"/>
    <w:rsid w:val="00B73482"/>
    <w:rsid w:val="00B738E7"/>
    <w:rsid w:val="00B745C4"/>
    <w:rsid w:val="00B77595"/>
    <w:rsid w:val="00B778ED"/>
    <w:rsid w:val="00B80D7C"/>
    <w:rsid w:val="00B8213E"/>
    <w:rsid w:val="00B83922"/>
    <w:rsid w:val="00B83E7C"/>
    <w:rsid w:val="00B8646D"/>
    <w:rsid w:val="00B86719"/>
    <w:rsid w:val="00B87DFE"/>
    <w:rsid w:val="00B90A65"/>
    <w:rsid w:val="00B90B5C"/>
    <w:rsid w:val="00B91CF0"/>
    <w:rsid w:val="00B92372"/>
    <w:rsid w:val="00B926E3"/>
    <w:rsid w:val="00B934ED"/>
    <w:rsid w:val="00BA07C7"/>
    <w:rsid w:val="00BA1126"/>
    <w:rsid w:val="00BA5A28"/>
    <w:rsid w:val="00BA5FD2"/>
    <w:rsid w:val="00BA6E42"/>
    <w:rsid w:val="00BB0505"/>
    <w:rsid w:val="00BB10AB"/>
    <w:rsid w:val="00BB3F8C"/>
    <w:rsid w:val="00BB60B4"/>
    <w:rsid w:val="00BC0B85"/>
    <w:rsid w:val="00BC35D5"/>
    <w:rsid w:val="00BC4CC1"/>
    <w:rsid w:val="00BC5666"/>
    <w:rsid w:val="00BC6284"/>
    <w:rsid w:val="00BC76C4"/>
    <w:rsid w:val="00BD2BCF"/>
    <w:rsid w:val="00BD670A"/>
    <w:rsid w:val="00BD797F"/>
    <w:rsid w:val="00BE2897"/>
    <w:rsid w:val="00BE44F4"/>
    <w:rsid w:val="00BE6F01"/>
    <w:rsid w:val="00BE7363"/>
    <w:rsid w:val="00BE794A"/>
    <w:rsid w:val="00BF286F"/>
    <w:rsid w:val="00BF2E72"/>
    <w:rsid w:val="00BF3827"/>
    <w:rsid w:val="00BF74A5"/>
    <w:rsid w:val="00C00019"/>
    <w:rsid w:val="00C10EE9"/>
    <w:rsid w:val="00C128D7"/>
    <w:rsid w:val="00C20459"/>
    <w:rsid w:val="00C22AF9"/>
    <w:rsid w:val="00C2480D"/>
    <w:rsid w:val="00C36467"/>
    <w:rsid w:val="00C36805"/>
    <w:rsid w:val="00C458F1"/>
    <w:rsid w:val="00C45A93"/>
    <w:rsid w:val="00C45F55"/>
    <w:rsid w:val="00C47019"/>
    <w:rsid w:val="00C5009D"/>
    <w:rsid w:val="00C50FEF"/>
    <w:rsid w:val="00C547BD"/>
    <w:rsid w:val="00C56D7F"/>
    <w:rsid w:val="00C574B3"/>
    <w:rsid w:val="00C609A1"/>
    <w:rsid w:val="00C66A3A"/>
    <w:rsid w:val="00C67726"/>
    <w:rsid w:val="00C67896"/>
    <w:rsid w:val="00C67B9B"/>
    <w:rsid w:val="00C70904"/>
    <w:rsid w:val="00C72489"/>
    <w:rsid w:val="00C75A8A"/>
    <w:rsid w:val="00C75ED6"/>
    <w:rsid w:val="00C80420"/>
    <w:rsid w:val="00C810DC"/>
    <w:rsid w:val="00C83587"/>
    <w:rsid w:val="00C87095"/>
    <w:rsid w:val="00C908F4"/>
    <w:rsid w:val="00C941E3"/>
    <w:rsid w:val="00C97460"/>
    <w:rsid w:val="00CA0B7A"/>
    <w:rsid w:val="00CA2EE8"/>
    <w:rsid w:val="00CA3330"/>
    <w:rsid w:val="00CA7328"/>
    <w:rsid w:val="00CB121D"/>
    <w:rsid w:val="00CB55DE"/>
    <w:rsid w:val="00CB5BBF"/>
    <w:rsid w:val="00CC56FC"/>
    <w:rsid w:val="00CC7516"/>
    <w:rsid w:val="00CD0305"/>
    <w:rsid w:val="00CD0383"/>
    <w:rsid w:val="00CD06E1"/>
    <w:rsid w:val="00CD2124"/>
    <w:rsid w:val="00CD4F05"/>
    <w:rsid w:val="00CD7115"/>
    <w:rsid w:val="00CE0B2C"/>
    <w:rsid w:val="00CE185D"/>
    <w:rsid w:val="00CE18CC"/>
    <w:rsid w:val="00CE205F"/>
    <w:rsid w:val="00CE2E09"/>
    <w:rsid w:val="00CE3068"/>
    <w:rsid w:val="00CE74E0"/>
    <w:rsid w:val="00CE78A5"/>
    <w:rsid w:val="00CF1ED0"/>
    <w:rsid w:val="00CF490C"/>
    <w:rsid w:val="00D0190B"/>
    <w:rsid w:val="00D037E3"/>
    <w:rsid w:val="00D06A32"/>
    <w:rsid w:val="00D07322"/>
    <w:rsid w:val="00D07AF8"/>
    <w:rsid w:val="00D10261"/>
    <w:rsid w:val="00D1078C"/>
    <w:rsid w:val="00D11146"/>
    <w:rsid w:val="00D117C7"/>
    <w:rsid w:val="00D11986"/>
    <w:rsid w:val="00D13FD8"/>
    <w:rsid w:val="00D14300"/>
    <w:rsid w:val="00D16637"/>
    <w:rsid w:val="00D16F6B"/>
    <w:rsid w:val="00D17A39"/>
    <w:rsid w:val="00D31ED0"/>
    <w:rsid w:val="00D33337"/>
    <w:rsid w:val="00D333D7"/>
    <w:rsid w:val="00D337C9"/>
    <w:rsid w:val="00D40FB7"/>
    <w:rsid w:val="00D43193"/>
    <w:rsid w:val="00D44797"/>
    <w:rsid w:val="00D463FC"/>
    <w:rsid w:val="00D510C6"/>
    <w:rsid w:val="00D52277"/>
    <w:rsid w:val="00D528EA"/>
    <w:rsid w:val="00D5321D"/>
    <w:rsid w:val="00D61802"/>
    <w:rsid w:val="00D62439"/>
    <w:rsid w:val="00D637A5"/>
    <w:rsid w:val="00D63820"/>
    <w:rsid w:val="00D65E34"/>
    <w:rsid w:val="00D72545"/>
    <w:rsid w:val="00D74250"/>
    <w:rsid w:val="00D77306"/>
    <w:rsid w:val="00D81696"/>
    <w:rsid w:val="00D82875"/>
    <w:rsid w:val="00D83264"/>
    <w:rsid w:val="00D90561"/>
    <w:rsid w:val="00D91B1E"/>
    <w:rsid w:val="00D928B5"/>
    <w:rsid w:val="00D932CA"/>
    <w:rsid w:val="00D93ED1"/>
    <w:rsid w:val="00D951C0"/>
    <w:rsid w:val="00DA1E62"/>
    <w:rsid w:val="00DA4DA9"/>
    <w:rsid w:val="00DA6E9E"/>
    <w:rsid w:val="00DB130F"/>
    <w:rsid w:val="00DB1BC8"/>
    <w:rsid w:val="00DB4BD1"/>
    <w:rsid w:val="00DB6C96"/>
    <w:rsid w:val="00DB79CD"/>
    <w:rsid w:val="00DC0F0A"/>
    <w:rsid w:val="00DC1CD3"/>
    <w:rsid w:val="00DC3DB2"/>
    <w:rsid w:val="00DC5BE6"/>
    <w:rsid w:val="00DC6148"/>
    <w:rsid w:val="00DC7A1D"/>
    <w:rsid w:val="00DD2621"/>
    <w:rsid w:val="00DD5C33"/>
    <w:rsid w:val="00DE1DEF"/>
    <w:rsid w:val="00DE20A7"/>
    <w:rsid w:val="00DE3469"/>
    <w:rsid w:val="00DE40B1"/>
    <w:rsid w:val="00DE7245"/>
    <w:rsid w:val="00DE731C"/>
    <w:rsid w:val="00DF4A22"/>
    <w:rsid w:val="00DF4A26"/>
    <w:rsid w:val="00DF6272"/>
    <w:rsid w:val="00E0099D"/>
    <w:rsid w:val="00E017E5"/>
    <w:rsid w:val="00E03433"/>
    <w:rsid w:val="00E050D0"/>
    <w:rsid w:val="00E0745F"/>
    <w:rsid w:val="00E07B9E"/>
    <w:rsid w:val="00E10776"/>
    <w:rsid w:val="00E10D3E"/>
    <w:rsid w:val="00E13243"/>
    <w:rsid w:val="00E14DCB"/>
    <w:rsid w:val="00E15337"/>
    <w:rsid w:val="00E1551F"/>
    <w:rsid w:val="00E219C5"/>
    <w:rsid w:val="00E22782"/>
    <w:rsid w:val="00E23ADC"/>
    <w:rsid w:val="00E23E89"/>
    <w:rsid w:val="00E24327"/>
    <w:rsid w:val="00E31431"/>
    <w:rsid w:val="00E32532"/>
    <w:rsid w:val="00E32B9A"/>
    <w:rsid w:val="00E47C8C"/>
    <w:rsid w:val="00E661C3"/>
    <w:rsid w:val="00E71106"/>
    <w:rsid w:val="00E71F5F"/>
    <w:rsid w:val="00E737EA"/>
    <w:rsid w:val="00E74241"/>
    <w:rsid w:val="00E74582"/>
    <w:rsid w:val="00E77F49"/>
    <w:rsid w:val="00E832CF"/>
    <w:rsid w:val="00E83EC4"/>
    <w:rsid w:val="00E8492F"/>
    <w:rsid w:val="00E85FD6"/>
    <w:rsid w:val="00E90334"/>
    <w:rsid w:val="00E91E49"/>
    <w:rsid w:val="00E92122"/>
    <w:rsid w:val="00E923BB"/>
    <w:rsid w:val="00E96F5C"/>
    <w:rsid w:val="00EA0BB3"/>
    <w:rsid w:val="00EA3E8B"/>
    <w:rsid w:val="00EB0155"/>
    <w:rsid w:val="00EB069E"/>
    <w:rsid w:val="00EB0902"/>
    <w:rsid w:val="00EB54FE"/>
    <w:rsid w:val="00EB64C2"/>
    <w:rsid w:val="00EB6FB1"/>
    <w:rsid w:val="00EC310A"/>
    <w:rsid w:val="00EC33D6"/>
    <w:rsid w:val="00ED09D6"/>
    <w:rsid w:val="00ED231D"/>
    <w:rsid w:val="00ED33EE"/>
    <w:rsid w:val="00ED4D54"/>
    <w:rsid w:val="00ED6837"/>
    <w:rsid w:val="00EE2160"/>
    <w:rsid w:val="00EE2CD6"/>
    <w:rsid w:val="00EE56D1"/>
    <w:rsid w:val="00EE68F7"/>
    <w:rsid w:val="00EE6FC7"/>
    <w:rsid w:val="00EF172F"/>
    <w:rsid w:val="00EF652D"/>
    <w:rsid w:val="00EF723F"/>
    <w:rsid w:val="00F01D13"/>
    <w:rsid w:val="00F064F7"/>
    <w:rsid w:val="00F147E4"/>
    <w:rsid w:val="00F14B6E"/>
    <w:rsid w:val="00F20752"/>
    <w:rsid w:val="00F23746"/>
    <w:rsid w:val="00F23C31"/>
    <w:rsid w:val="00F2479A"/>
    <w:rsid w:val="00F2691F"/>
    <w:rsid w:val="00F317BE"/>
    <w:rsid w:val="00F325FA"/>
    <w:rsid w:val="00F338F1"/>
    <w:rsid w:val="00F3581C"/>
    <w:rsid w:val="00F40A35"/>
    <w:rsid w:val="00F42029"/>
    <w:rsid w:val="00F47D4F"/>
    <w:rsid w:val="00F521C0"/>
    <w:rsid w:val="00F52D7A"/>
    <w:rsid w:val="00F5425C"/>
    <w:rsid w:val="00F549B6"/>
    <w:rsid w:val="00F56E9B"/>
    <w:rsid w:val="00F57270"/>
    <w:rsid w:val="00F613B9"/>
    <w:rsid w:val="00F61DC8"/>
    <w:rsid w:val="00F635E3"/>
    <w:rsid w:val="00F65F7D"/>
    <w:rsid w:val="00F700C6"/>
    <w:rsid w:val="00F70939"/>
    <w:rsid w:val="00F72271"/>
    <w:rsid w:val="00F723F7"/>
    <w:rsid w:val="00F72634"/>
    <w:rsid w:val="00F745E9"/>
    <w:rsid w:val="00F76ED6"/>
    <w:rsid w:val="00F77613"/>
    <w:rsid w:val="00F8267F"/>
    <w:rsid w:val="00F84F0B"/>
    <w:rsid w:val="00F8680F"/>
    <w:rsid w:val="00F87747"/>
    <w:rsid w:val="00F90A44"/>
    <w:rsid w:val="00F969D0"/>
    <w:rsid w:val="00F97EFC"/>
    <w:rsid w:val="00FA1B0A"/>
    <w:rsid w:val="00FA75FA"/>
    <w:rsid w:val="00FB06D2"/>
    <w:rsid w:val="00FB65FB"/>
    <w:rsid w:val="00FC052A"/>
    <w:rsid w:val="00FC0D86"/>
    <w:rsid w:val="00FC1C13"/>
    <w:rsid w:val="00FC2112"/>
    <w:rsid w:val="00FC2D9B"/>
    <w:rsid w:val="00FC333F"/>
    <w:rsid w:val="00FD035B"/>
    <w:rsid w:val="00FD1A75"/>
    <w:rsid w:val="00FD4A01"/>
    <w:rsid w:val="00FD7CF4"/>
    <w:rsid w:val="00FE243A"/>
    <w:rsid w:val="00FE4F0A"/>
    <w:rsid w:val="00FE56BC"/>
    <w:rsid w:val="00FE642E"/>
    <w:rsid w:val="00FE7C33"/>
    <w:rsid w:val="00FE7DE9"/>
    <w:rsid w:val="00FF3936"/>
    <w:rsid w:val="00FF537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E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E923BB"/>
    <w:pPr>
      <w:numPr>
        <w:numId w:val="1"/>
      </w:numPr>
      <w:suppressAutoHyphens/>
      <w:ind w:firstLine="634"/>
      <w:outlineLvl w:val="0"/>
    </w:pPr>
    <w:rPr>
      <w:b/>
      <w:bCs/>
      <w:sz w:val="20"/>
      <w:szCs w:val="20"/>
      <w:lang w:val="es-ES"/>
    </w:rPr>
  </w:style>
  <w:style w:type="paragraph" w:styleId="Heading2">
    <w:name w:val="heading 2"/>
    <w:basedOn w:val="ListParagraph"/>
    <w:next w:val="Normal"/>
    <w:link w:val="Heading2Char"/>
    <w:uiPriority w:val="9"/>
    <w:unhideWhenUsed/>
    <w:qFormat/>
    <w:rsid w:val="00E923BB"/>
    <w:pPr>
      <w:numPr>
        <w:numId w:val="3"/>
      </w:numPr>
      <w:suppressAutoHyphens/>
      <w:outlineLvl w:val="1"/>
    </w:pPr>
    <w:rPr>
      <w:b/>
      <w:bCs/>
      <w:sz w:val="20"/>
      <w:szCs w:val="20"/>
      <w:lang w:val="es-ES"/>
    </w:rPr>
  </w:style>
  <w:style w:type="paragraph" w:styleId="Heading3">
    <w:name w:val="heading 3"/>
    <w:basedOn w:val="ListParagraph"/>
    <w:next w:val="Normal"/>
    <w:link w:val="Heading3Char"/>
    <w:unhideWhenUsed/>
    <w:qFormat/>
    <w:rsid w:val="00E923BB"/>
    <w:pPr>
      <w:numPr>
        <w:ilvl w:val="3"/>
        <w:numId w:val="4"/>
      </w:numPr>
      <w:ind w:left="0" w:firstLine="0"/>
      <w:outlineLvl w:val="2"/>
    </w:pPr>
    <w:rPr>
      <w:b/>
      <w:b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320"/>
        <w:tab w:val="right" w:pos="8640"/>
      </w:tabs>
      <w:ind w:firstLine="634"/>
      <w:jc w:val="both"/>
    </w:pPr>
    <w:rPr>
      <w:rFonts w:ascii="Arial" w:hAnsi="Arial Unicode MS" w:cs="Arial Unicode MS"/>
      <w:color w:val="000000"/>
      <w:u w:color="000000"/>
      <w:lang w:val="es-ES_tradnl"/>
    </w:rPr>
  </w:style>
  <w:style w:type="paragraph" w:styleId="Footer">
    <w:name w:val="footer"/>
    <w:pPr>
      <w:tabs>
        <w:tab w:val="center" w:pos="4513"/>
        <w:tab w:val="right" w:pos="9026"/>
      </w:tabs>
      <w:ind w:firstLine="634"/>
      <w:jc w:val="both"/>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ind w:firstLine="634"/>
      <w:jc w:val="both"/>
    </w:pPr>
    <w:rPr>
      <w:rFonts w:ascii="Cambria" w:eastAsia="Cambria" w:hAnsi="Cambria" w:cs="Cambria"/>
      <w:color w:val="000000"/>
      <w:u w:color="000000"/>
    </w:rPr>
  </w:style>
  <w:style w:type="paragraph" w:styleId="NoSpacing">
    <w:name w:val="No Spacing"/>
    <w:pPr>
      <w:ind w:firstLine="634"/>
      <w:jc w:val="both"/>
    </w:pPr>
    <w:rPr>
      <w:rFonts w:ascii="Cambria" w:eastAsia="Cambria" w:hAnsi="Cambria" w:cs="Cambria"/>
      <w:color w:val="000000"/>
      <w:u w:color="000000"/>
      <w:lang w:val="es-ES_tradnl"/>
    </w:rPr>
  </w:style>
  <w:style w:type="paragraph" w:styleId="ListParagraph">
    <w:name w:val="List Paragraph"/>
    <w:aliases w:val="Párrafo de lista1,List Paragraph1,List Paragraph11,List Paragraph2,Lista vistosa - Énfasis 11"/>
    <w:link w:val="ListParagraphChar"/>
    <w:uiPriority w:val="99"/>
    <w:qFormat/>
    <w:pPr>
      <w:ind w:left="720" w:firstLine="634"/>
      <w:jc w:val="both"/>
    </w:pPr>
    <w:rPr>
      <w:rFonts w:ascii="Cambria" w:eastAsia="Cambria" w:hAnsi="Cambria" w:cs="Cambria"/>
      <w:color w:val="000000"/>
      <w:sz w:val="24"/>
      <w:szCs w:val="24"/>
      <w:u w:color="000000"/>
      <w:lang w:val="en-US"/>
    </w:rPr>
  </w:style>
  <w:style w:type="numbering" w:customStyle="1" w:styleId="List0">
    <w:name w:val="List 0"/>
    <w:basedOn w:val="ImportedStyle2"/>
    <w:pPr>
      <w:numPr>
        <w:numId w:val="23"/>
      </w:numPr>
    </w:pPr>
  </w:style>
  <w:style w:type="numbering" w:customStyle="1" w:styleId="ImportedStyle2">
    <w:name w:val="Imported Style 2"/>
  </w:style>
  <w:style w:type="numbering" w:customStyle="1" w:styleId="List1">
    <w:name w:val="List 1"/>
    <w:basedOn w:val="ImportedStyle3"/>
    <w:pPr>
      <w:numPr>
        <w:numId w:val="17"/>
      </w:numPr>
    </w:pPr>
  </w:style>
  <w:style w:type="numbering" w:customStyle="1" w:styleId="ImportedStyle3">
    <w:name w:val="Imported Style 3"/>
  </w:style>
  <w:style w:type="numbering" w:customStyle="1" w:styleId="List21">
    <w:name w:val="List 21"/>
    <w:basedOn w:val="ImportedStyle4"/>
    <w:pPr>
      <w:numPr>
        <w:numId w:val="24"/>
      </w:numPr>
    </w:pPr>
  </w:style>
  <w:style w:type="numbering" w:customStyle="1" w:styleId="ImportedStyle4">
    <w:name w:val="Imported Style 4"/>
  </w:style>
  <w:style w:type="numbering" w:customStyle="1" w:styleId="List31">
    <w:name w:val="List 31"/>
    <w:basedOn w:val="ImportedStyle5"/>
    <w:pPr>
      <w:numPr>
        <w:numId w:val="21"/>
      </w:numPr>
    </w:pPr>
  </w:style>
  <w:style w:type="numbering" w:customStyle="1" w:styleId="ImportedStyle5">
    <w:name w:val="Imported Style 5"/>
  </w:style>
  <w:style w:type="numbering" w:customStyle="1" w:styleId="List41">
    <w:name w:val="List 41"/>
    <w:basedOn w:val="ImportedStyle6"/>
    <w:pPr>
      <w:numPr>
        <w:numId w:val="22"/>
      </w:numPr>
    </w:pPr>
  </w:style>
  <w:style w:type="numbering" w:customStyle="1" w:styleId="ImportedStyle6">
    <w:name w:val="Imported Style 6"/>
  </w:style>
  <w:style w:type="numbering" w:customStyle="1" w:styleId="List51">
    <w:name w:val="List 51"/>
    <w:basedOn w:val="ImportedStyle6"/>
    <w:pPr>
      <w:numPr>
        <w:numId w:val="10"/>
      </w:numPr>
    </w:pPr>
  </w:style>
  <w:style w:type="numbering" w:customStyle="1" w:styleId="List6">
    <w:name w:val="List 6"/>
    <w:basedOn w:val="ImportedStyle3"/>
    <w:pPr>
      <w:numPr>
        <w:numId w:val="6"/>
      </w:numPr>
    </w:pPr>
  </w:style>
  <w:style w:type="numbering" w:customStyle="1" w:styleId="List7">
    <w:name w:val="List 7"/>
    <w:basedOn w:val="ImportedStyle6"/>
    <w:pPr>
      <w:numPr>
        <w:numId w:val="9"/>
      </w:numPr>
    </w:pPr>
  </w:style>
  <w:style w:type="numbering" w:customStyle="1" w:styleId="List8">
    <w:name w:val="List 8"/>
    <w:basedOn w:val="ImportedStyle6"/>
    <w:pPr>
      <w:numPr>
        <w:numId w:val="5"/>
      </w:numPr>
    </w:pPr>
  </w:style>
  <w:style w:type="numbering" w:customStyle="1" w:styleId="List9">
    <w:name w:val="List 9"/>
    <w:basedOn w:val="ImportedStyle6"/>
    <w:pPr>
      <w:numPr>
        <w:numId w:val="7"/>
      </w:numPr>
    </w:pPr>
  </w:style>
  <w:style w:type="numbering" w:customStyle="1" w:styleId="List10">
    <w:name w:val="List 10"/>
    <w:basedOn w:val="ImportedStyle6"/>
    <w:pPr>
      <w:numPr>
        <w:numId w:val="8"/>
      </w:numPr>
    </w:pPr>
  </w:style>
  <w:style w:type="numbering" w:customStyle="1" w:styleId="List11">
    <w:name w:val="List 11"/>
    <w:basedOn w:val="ImportedStyle7"/>
    <w:pPr>
      <w:numPr>
        <w:numId w:val="11"/>
      </w:numPr>
    </w:pPr>
  </w:style>
  <w:style w:type="numbering" w:customStyle="1" w:styleId="ImportedStyle7">
    <w:name w:val="Imported Style 7"/>
  </w:style>
  <w:style w:type="paragraph" w:customStyle="1" w:styleId="Default">
    <w:name w:val="Default"/>
    <w:rPr>
      <w:rFonts w:ascii="Helvetica" w:eastAsia="Helvetica" w:hAnsi="Helvetica" w:cs="Helvetica"/>
      <w:color w:val="000000"/>
      <w:sz w:val="22"/>
      <w:szCs w:val="22"/>
    </w:rPr>
  </w:style>
  <w:style w:type="numbering" w:customStyle="1" w:styleId="List12">
    <w:name w:val="List 12"/>
    <w:basedOn w:val="ImportedStyle8"/>
    <w:pPr>
      <w:numPr>
        <w:numId w:val="12"/>
      </w:numPr>
    </w:pPr>
  </w:style>
  <w:style w:type="numbering" w:customStyle="1" w:styleId="ImportedStyle8">
    <w:name w:val="Imported Style 8"/>
  </w:style>
  <w:style w:type="numbering" w:customStyle="1" w:styleId="List13">
    <w:name w:val="List 13"/>
    <w:basedOn w:val="ImportedStyle9"/>
    <w:pPr>
      <w:numPr>
        <w:numId w:val="20"/>
      </w:numPr>
    </w:pPr>
  </w:style>
  <w:style w:type="numbering" w:customStyle="1" w:styleId="ImportedStyle9">
    <w:name w:val="Imported Style 9"/>
  </w:style>
  <w:style w:type="numbering" w:customStyle="1" w:styleId="List14">
    <w:name w:val="List 14"/>
    <w:basedOn w:val="ImportedStyle10"/>
    <w:pPr>
      <w:numPr>
        <w:numId w:val="15"/>
      </w:numPr>
    </w:pPr>
  </w:style>
  <w:style w:type="numbering" w:customStyle="1" w:styleId="ImportedStyle10">
    <w:name w:val="Imported Style 10"/>
  </w:style>
  <w:style w:type="character" w:customStyle="1" w:styleId="Link">
    <w:name w:val="Link"/>
    <w:rPr>
      <w:u w:val="single"/>
    </w:rPr>
  </w:style>
  <w:style w:type="character" w:customStyle="1" w:styleId="Hyperlink0">
    <w:name w:val="Hyperlink.0"/>
    <w:basedOn w:val="Link"/>
    <w:rPr>
      <w:sz w:val="16"/>
      <w:szCs w:val="16"/>
      <w:u w:val="none"/>
      <w:shd w:val="clear" w:color="auto" w:fill="FFFFFF"/>
      <w:lang w:val="es-ES_tradnl"/>
    </w:rPr>
  </w:style>
  <w:style w:type="numbering" w:customStyle="1" w:styleId="List15">
    <w:name w:val="List 15"/>
    <w:basedOn w:val="ImportedStyle10"/>
    <w:pPr>
      <w:numPr>
        <w:numId w:val="13"/>
      </w:numPr>
    </w:pPr>
  </w:style>
  <w:style w:type="numbering" w:customStyle="1" w:styleId="List16">
    <w:name w:val="List 16"/>
    <w:basedOn w:val="ImportedStyle11"/>
    <w:pPr>
      <w:numPr>
        <w:numId w:val="14"/>
      </w:numPr>
    </w:pPr>
  </w:style>
  <w:style w:type="numbering" w:customStyle="1" w:styleId="ImportedStyle11">
    <w:name w:val="Imported Style 11"/>
  </w:style>
  <w:style w:type="paragraph" w:customStyle="1" w:styleId="Style2">
    <w:name w:val="Style2"/>
    <w:link w:val="Style2Char"/>
    <w:qFormat/>
    <w:pPr>
      <w:tabs>
        <w:tab w:val="left" w:pos="720"/>
      </w:tabs>
      <w:ind w:firstLine="720"/>
      <w:jc w:val="both"/>
    </w:pPr>
    <w:rPr>
      <w:rFonts w:ascii="Cambria" w:eastAsia="Cambria" w:hAnsi="Cambria" w:cs="Cambria"/>
      <w:color w:val="000000"/>
      <w:u w:color="00000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ind w:firstLine="634"/>
      <w:jc w:val="both"/>
    </w:pPr>
    <w:rPr>
      <w:rFonts w:ascii="Cambria" w:eastAsia="Cambria" w:hAnsi="Cambria" w:cs="Cambria"/>
      <w:color w:val="000000"/>
      <w:sz w:val="16"/>
      <w:szCs w:val="16"/>
      <w:u w:color="000000"/>
      <w:lang w:val="en-US"/>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List17">
    <w:name w:val="List 17"/>
    <w:basedOn w:val="ImportedStyle13"/>
    <w:pPr>
      <w:numPr>
        <w:numId w:val="16"/>
      </w:numPr>
    </w:pPr>
  </w:style>
  <w:style w:type="numbering" w:customStyle="1" w:styleId="ImportedStyle13">
    <w:name w:val="Imported Style 13"/>
  </w:style>
  <w:style w:type="character" w:customStyle="1" w:styleId="st">
    <w:name w:val="st"/>
  </w:style>
  <w:style w:type="character" w:customStyle="1" w:styleId="Hyperlink1">
    <w:name w:val="Hyperlink.1"/>
    <w:basedOn w:val="st"/>
    <w:rPr>
      <w:sz w:val="16"/>
      <w:szCs w:val="16"/>
    </w:rPr>
  </w:style>
  <w:style w:type="numbering" w:customStyle="1" w:styleId="List18">
    <w:name w:val="List 18"/>
    <w:basedOn w:val="ImportedStyle14"/>
    <w:pPr>
      <w:numPr>
        <w:numId w:val="18"/>
      </w:numPr>
    </w:pPr>
  </w:style>
  <w:style w:type="numbering" w:customStyle="1" w:styleId="ImportedStyle14">
    <w:name w:val="Imported Style 14"/>
  </w:style>
  <w:style w:type="numbering" w:customStyle="1" w:styleId="List19">
    <w:name w:val="List 19"/>
    <w:basedOn w:val="ImportedStyle15"/>
    <w:pPr>
      <w:numPr>
        <w:numId w:val="19"/>
      </w:numPr>
    </w:pPr>
  </w:style>
  <w:style w:type="numbering" w:customStyle="1" w:styleId="ImportedStyle15">
    <w:name w:val="Imported Style 1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37E3"/>
    <w:rPr>
      <w:rFonts w:ascii="Tahoma" w:hAnsi="Tahoma" w:cs="Tahoma"/>
      <w:sz w:val="16"/>
      <w:szCs w:val="16"/>
    </w:rPr>
  </w:style>
  <w:style w:type="character" w:customStyle="1" w:styleId="BalloonTextChar">
    <w:name w:val="Balloon Text Char"/>
    <w:basedOn w:val="DefaultParagraphFont"/>
    <w:link w:val="BalloonText"/>
    <w:uiPriority w:val="99"/>
    <w:semiHidden/>
    <w:rsid w:val="00D037E3"/>
    <w:rPr>
      <w:rFonts w:ascii="Tahoma" w:hAnsi="Tahoma" w:cs="Tahoma"/>
      <w:sz w:val="16"/>
      <w:szCs w:val="16"/>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rsid w:val="00C70904"/>
    <w:rPr>
      <w:rFonts w:ascii="Cambria" w:eastAsia="Cambria" w:hAnsi="Cambria" w:cs="Cambria"/>
      <w:color w:val="000000"/>
      <w:sz w:val="16"/>
      <w:szCs w:val="16"/>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nhideWhenUsed/>
    <w:qFormat/>
    <w:rsid w:val="00C70904"/>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C70904"/>
    <w:pPr>
      <w:spacing w:after="160" w:line="240" w:lineRule="exact"/>
    </w:pPr>
    <w:rPr>
      <w:sz w:val="20"/>
      <w:szCs w:val="20"/>
      <w:vertAlign w:val="superscript"/>
      <w:lang w:val="es-CL" w:eastAsia="es-CL"/>
    </w:rPr>
  </w:style>
  <w:style w:type="character" w:customStyle="1" w:styleId="ListParagraphChar">
    <w:name w:val="List Paragraph Char"/>
    <w:aliases w:val="Párrafo de lista1 Char,List Paragraph1 Char,List Paragraph11 Char,List Paragraph2 Char,Lista vistosa - Énfasis 11 Char"/>
    <w:link w:val="ListParagraph"/>
    <w:uiPriority w:val="99"/>
    <w:locked/>
    <w:rsid w:val="00C70904"/>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6C4D8A"/>
  </w:style>
  <w:style w:type="paragraph" w:styleId="BodyTextIndent">
    <w:name w:val="Body Text Indent"/>
    <w:link w:val="BodyTextIndentChar"/>
    <w:semiHidden/>
    <w:unhideWhenUsed/>
    <w:rsid w:val="00547C71"/>
    <w:pPr>
      <w:pBdr>
        <w:top w:val="none" w:sz="0" w:space="0" w:color="auto"/>
        <w:left w:val="none" w:sz="0" w:space="0" w:color="auto"/>
        <w:bottom w:val="none" w:sz="0" w:space="0" w:color="auto"/>
        <w:right w:val="none" w:sz="0" w:space="0" w:color="auto"/>
        <w:between w:val="none" w:sz="0" w:space="0" w:color="auto"/>
        <w:bar w:val="none" w:sz="0" w:color="auto"/>
      </w:pBdr>
      <w:ind w:left="2160" w:hanging="720"/>
    </w:pPr>
    <w:rPr>
      <w:rFonts w:eastAsia="Times New Roman"/>
      <w:color w:val="000000"/>
      <w:sz w:val="24"/>
      <w:szCs w:val="24"/>
      <w:u w:color="000000"/>
      <w:bdr w:val="none" w:sz="0" w:space="0" w:color="auto"/>
      <w:lang w:val="es-ES_tradnl" w:eastAsia="es-ES"/>
    </w:rPr>
  </w:style>
  <w:style w:type="character" w:customStyle="1" w:styleId="BodyTextIndentChar">
    <w:name w:val="Body Text Indent Char"/>
    <w:basedOn w:val="DefaultParagraphFont"/>
    <w:link w:val="BodyTextIndent"/>
    <w:semiHidden/>
    <w:rsid w:val="00547C71"/>
    <w:rPr>
      <w:rFonts w:eastAsia="Times New Roman"/>
      <w:color w:val="000000"/>
      <w:sz w:val="24"/>
      <w:szCs w:val="24"/>
      <w:u w:color="000000"/>
      <w:bdr w:val="none" w:sz="0" w:space="0" w:color="auto"/>
      <w:lang w:val="es-ES_tradnl" w:eastAsia="es-ES"/>
    </w:rPr>
  </w:style>
  <w:style w:type="character" w:styleId="Strong">
    <w:name w:val="Strong"/>
    <w:basedOn w:val="DefaultParagraphFont"/>
    <w:uiPriority w:val="22"/>
    <w:qFormat/>
    <w:rsid w:val="00802CD3"/>
    <w:rPr>
      <w:b/>
      <w:bCs/>
    </w:rPr>
  </w:style>
  <w:style w:type="paragraph" w:styleId="CommentSubject">
    <w:name w:val="annotation subject"/>
    <w:basedOn w:val="CommentText"/>
    <w:next w:val="CommentText"/>
    <w:link w:val="CommentSubjectChar"/>
    <w:uiPriority w:val="99"/>
    <w:semiHidden/>
    <w:unhideWhenUsed/>
    <w:rsid w:val="004411DD"/>
    <w:rPr>
      <w:b/>
      <w:bCs/>
    </w:rPr>
  </w:style>
  <w:style w:type="character" w:customStyle="1" w:styleId="CommentSubjectChar">
    <w:name w:val="Comment Subject Char"/>
    <w:basedOn w:val="CommentTextChar"/>
    <w:link w:val="CommentSubject"/>
    <w:uiPriority w:val="99"/>
    <w:semiHidden/>
    <w:rsid w:val="004411DD"/>
    <w:rPr>
      <w:b/>
      <w:bCs/>
      <w:lang w:val="en-US" w:eastAsia="en-US"/>
    </w:rPr>
  </w:style>
  <w:style w:type="paragraph" w:styleId="Revision">
    <w:name w:val="Revision"/>
    <w:hidden/>
    <w:uiPriority w:val="99"/>
    <w:semiHidden/>
    <w:rsid w:val="00464F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Style2Char">
    <w:name w:val="Style2 Char"/>
    <w:link w:val="Style2"/>
    <w:rsid w:val="00300A42"/>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E923BB"/>
    <w:rPr>
      <w:rFonts w:ascii="Cambria" w:eastAsia="Cambria" w:hAnsi="Cambria" w:cs="Cambria"/>
      <w:b/>
      <w:bCs/>
      <w:color w:val="000000"/>
      <w:u w:color="000000"/>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BB10A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character" w:styleId="PlaceholderText">
    <w:name w:val="Placeholder Text"/>
    <w:basedOn w:val="DefaultParagraphFont"/>
    <w:uiPriority w:val="99"/>
    <w:semiHidden/>
    <w:rsid w:val="00CA3330"/>
    <w:rPr>
      <w:color w:val="808080"/>
    </w:rPr>
  </w:style>
  <w:style w:type="paragraph" w:customStyle="1" w:styleId="Cabeceraypie">
    <w:name w:val="Cabecera y pie"/>
    <w:rsid w:val="000E20D9"/>
    <w:pPr>
      <w:tabs>
        <w:tab w:val="right" w:pos="9020"/>
      </w:tabs>
    </w:pPr>
    <w:rPr>
      <w:rFonts w:ascii="Helvetica" w:hAnsi="Arial Unicode MS" w:cs="Arial Unicode MS"/>
      <w:color w:val="000000"/>
      <w:sz w:val="24"/>
      <w:szCs w:val="24"/>
      <w:lang w:val="es-ES" w:eastAsia="es-ES"/>
    </w:rPr>
  </w:style>
  <w:style w:type="paragraph" w:customStyle="1" w:styleId="1">
    <w:name w:val="1"/>
    <w:basedOn w:val="Normal"/>
    <w:rsid w:val="000E20D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Heading1Char">
    <w:name w:val="Heading 1 Char"/>
    <w:basedOn w:val="DefaultParagraphFont"/>
    <w:link w:val="Heading1"/>
    <w:uiPriority w:val="9"/>
    <w:rsid w:val="00E923BB"/>
    <w:rPr>
      <w:rFonts w:ascii="Cambria" w:eastAsia="Cambria" w:hAnsi="Cambria" w:cs="Cambria"/>
      <w:b/>
      <w:bCs/>
      <w:color w:val="000000"/>
      <w:u w:color="000000"/>
      <w:lang w:val="es-ES"/>
    </w:rPr>
  </w:style>
  <w:style w:type="character" w:customStyle="1" w:styleId="Heading2Char">
    <w:name w:val="Heading 2 Char"/>
    <w:basedOn w:val="DefaultParagraphFont"/>
    <w:link w:val="Heading2"/>
    <w:uiPriority w:val="9"/>
    <w:rsid w:val="00E923BB"/>
    <w:rPr>
      <w:rFonts w:ascii="Cambria" w:eastAsia="Cambria" w:hAnsi="Cambria" w:cs="Cambria"/>
      <w:b/>
      <w:bCs/>
      <w:color w:val="000000"/>
      <w:u w:color="000000"/>
      <w:lang w:val="es-ES"/>
    </w:rPr>
  </w:style>
  <w:style w:type="paragraph" w:styleId="TOCHeading">
    <w:name w:val="TOC Heading"/>
    <w:basedOn w:val="Heading1"/>
    <w:next w:val="Normal"/>
    <w:uiPriority w:val="39"/>
    <w:unhideWhenUsed/>
    <w:qFormat/>
    <w:rsid w:val="00A44513"/>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jc w:val="left"/>
      <w:outlineLvl w:val="9"/>
    </w:pPr>
    <w:rPr>
      <w:rFonts w:asciiTheme="majorHAnsi" w:eastAsiaTheme="majorEastAsia" w:hAnsiTheme="majorHAnsi" w:cstheme="majorBidi"/>
      <w:color w:val="2F759E" w:themeColor="accent1" w:themeShade="BF"/>
      <w:sz w:val="28"/>
      <w:szCs w:val="28"/>
      <w:bdr w:val="none" w:sz="0" w:space="0" w:color="auto"/>
      <w:lang w:val="en-US" w:eastAsia="ja-JP"/>
    </w:rPr>
  </w:style>
  <w:style w:type="paragraph" w:styleId="TOC1">
    <w:name w:val="toc 1"/>
    <w:basedOn w:val="Normal"/>
    <w:next w:val="Normal"/>
    <w:autoRedefine/>
    <w:uiPriority w:val="39"/>
    <w:unhideWhenUsed/>
    <w:rsid w:val="00EA3E8B"/>
    <w:pPr>
      <w:tabs>
        <w:tab w:val="left" w:pos="480"/>
        <w:tab w:val="right" w:leader="dot" w:pos="9771"/>
      </w:tabs>
      <w:spacing w:after="100"/>
    </w:pPr>
    <w:rPr>
      <w:rFonts w:ascii="Cambria" w:eastAsia="Times New Roman" w:hAnsi="Cambria"/>
      <w:b/>
      <w:noProof/>
      <w:sz w:val="20"/>
      <w:szCs w:val="20"/>
      <w:lang w:val="es-ES_tradnl"/>
    </w:rPr>
  </w:style>
  <w:style w:type="paragraph" w:styleId="TOC2">
    <w:name w:val="toc 2"/>
    <w:basedOn w:val="Normal"/>
    <w:next w:val="Normal"/>
    <w:autoRedefine/>
    <w:uiPriority w:val="39"/>
    <w:unhideWhenUsed/>
    <w:rsid w:val="002B4A95"/>
    <w:pPr>
      <w:tabs>
        <w:tab w:val="left" w:pos="540"/>
        <w:tab w:val="right" w:leader="dot" w:pos="9771"/>
      </w:tabs>
      <w:spacing w:after="100"/>
      <w:ind w:left="540" w:hanging="540"/>
    </w:pPr>
  </w:style>
  <w:style w:type="paragraph" w:styleId="TOC3">
    <w:name w:val="toc 3"/>
    <w:basedOn w:val="Normal"/>
    <w:next w:val="Normal"/>
    <w:autoRedefine/>
    <w:uiPriority w:val="39"/>
    <w:unhideWhenUsed/>
    <w:rsid w:val="002B4A95"/>
    <w:pPr>
      <w:tabs>
        <w:tab w:val="left" w:pos="540"/>
        <w:tab w:val="right" w:leader="dot" w:pos="977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563">
      <w:bodyDiv w:val="1"/>
      <w:marLeft w:val="0"/>
      <w:marRight w:val="0"/>
      <w:marTop w:val="0"/>
      <w:marBottom w:val="0"/>
      <w:divBdr>
        <w:top w:val="none" w:sz="0" w:space="0" w:color="auto"/>
        <w:left w:val="none" w:sz="0" w:space="0" w:color="auto"/>
        <w:bottom w:val="none" w:sz="0" w:space="0" w:color="auto"/>
        <w:right w:val="none" w:sz="0" w:space="0" w:color="auto"/>
      </w:divBdr>
      <w:divsChild>
        <w:div w:id="1537234893">
          <w:marLeft w:val="0"/>
          <w:marRight w:val="0"/>
          <w:marTop w:val="0"/>
          <w:marBottom w:val="0"/>
          <w:divBdr>
            <w:top w:val="none" w:sz="0" w:space="0" w:color="auto"/>
            <w:left w:val="none" w:sz="0" w:space="0" w:color="auto"/>
            <w:bottom w:val="none" w:sz="0" w:space="0" w:color="auto"/>
            <w:right w:val="none" w:sz="0" w:space="0" w:color="auto"/>
          </w:divBdr>
          <w:divsChild>
            <w:div w:id="1819570310">
              <w:marLeft w:val="0"/>
              <w:marRight w:val="0"/>
              <w:marTop w:val="0"/>
              <w:marBottom w:val="0"/>
              <w:divBdr>
                <w:top w:val="none" w:sz="0" w:space="0" w:color="auto"/>
                <w:left w:val="none" w:sz="0" w:space="0" w:color="auto"/>
                <w:bottom w:val="none" w:sz="0" w:space="0" w:color="auto"/>
                <w:right w:val="none" w:sz="0" w:space="0" w:color="auto"/>
              </w:divBdr>
            </w:div>
            <w:div w:id="1695618265">
              <w:marLeft w:val="0"/>
              <w:marRight w:val="0"/>
              <w:marTop w:val="0"/>
              <w:marBottom w:val="0"/>
              <w:divBdr>
                <w:top w:val="none" w:sz="0" w:space="0" w:color="auto"/>
                <w:left w:val="none" w:sz="0" w:space="0" w:color="auto"/>
                <w:bottom w:val="none" w:sz="0" w:space="0" w:color="auto"/>
                <w:right w:val="none" w:sz="0" w:space="0" w:color="auto"/>
              </w:divBdr>
            </w:div>
            <w:div w:id="1145583720">
              <w:marLeft w:val="0"/>
              <w:marRight w:val="0"/>
              <w:marTop w:val="0"/>
              <w:marBottom w:val="0"/>
              <w:divBdr>
                <w:top w:val="none" w:sz="0" w:space="0" w:color="auto"/>
                <w:left w:val="none" w:sz="0" w:space="0" w:color="auto"/>
                <w:bottom w:val="none" w:sz="0" w:space="0" w:color="auto"/>
                <w:right w:val="none" w:sz="0" w:space="0" w:color="auto"/>
              </w:divBdr>
            </w:div>
            <w:div w:id="2061584856">
              <w:marLeft w:val="0"/>
              <w:marRight w:val="0"/>
              <w:marTop w:val="0"/>
              <w:marBottom w:val="0"/>
              <w:divBdr>
                <w:top w:val="none" w:sz="0" w:space="0" w:color="auto"/>
                <w:left w:val="none" w:sz="0" w:space="0" w:color="auto"/>
                <w:bottom w:val="none" w:sz="0" w:space="0" w:color="auto"/>
                <w:right w:val="none" w:sz="0" w:space="0" w:color="auto"/>
              </w:divBdr>
            </w:div>
            <w:div w:id="24065244">
              <w:marLeft w:val="0"/>
              <w:marRight w:val="0"/>
              <w:marTop w:val="0"/>
              <w:marBottom w:val="0"/>
              <w:divBdr>
                <w:top w:val="none" w:sz="0" w:space="0" w:color="auto"/>
                <w:left w:val="none" w:sz="0" w:space="0" w:color="auto"/>
                <w:bottom w:val="none" w:sz="0" w:space="0" w:color="auto"/>
                <w:right w:val="none" w:sz="0" w:space="0" w:color="auto"/>
              </w:divBdr>
            </w:div>
            <w:div w:id="60107151">
              <w:marLeft w:val="0"/>
              <w:marRight w:val="0"/>
              <w:marTop w:val="0"/>
              <w:marBottom w:val="0"/>
              <w:divBdr>
                <w:top w:val="none" w:sz="0" w:space="0" w:color="auto"/>
                <w:left w:val="none" w:sz="0" w:space="0" w:color="auto"/>
                <w:bottom w:val="none" w:sz="0" w:space="0" w:color="auto"/>
                <w:right w:val="none" w:sz="0" w:space="0" w:color="auto"/>
              </w:divBdr>
            </w:div>
            <w:div w:id="1718813577">
              <w:marLeft w:val="0"/>
              <w:marRight w:val="0"/>
              <w:marTop w:val="0"/>
              <w:marBottom w:val="0"/>
              <w:divBdr>
                <w:top w:val="none" w:sz="0" w:space="0" w:color="auto"/>
                <w:left w:val="none" w:sz="0" w:space="0" w:color="auto"/>
                <w:bottom w:val="none" w:sz="0" w:space="0" w:color="auto"/>
                <w:right w:val="none" w:sz="0" w:space="0" w:color="auto"/>
              </w:divBdr>
            </w:div>
            <w:div w:id="740175267">
              <w:marLeft w:val="0"/>
              <w:marRight w:val="0"/>
              <w:marTop w:val="0"/>
              <w:marBottom w:val="0"/>
              <w:divBdr>
                <w:top w:val="none" w:sz="0" w:space="0" w:color="auto"/>
                <w:left w:val="none" w:sz="0" w:space="0" w:color="auto"/>
                <w:bottom w:val="none" w:sz="0" w:space="0" w:color="auto"/>
                <w:right w:val="none" w:sz="0" w:space="0" w:color="auto"/>
              </w:divBdr>
            </w:div>
            <w:div w:id="1769278959">
              <w:marLeft w:val="0"/>
              <w:marRight w:val="0"/>
              <w:marTop w:val="0"/>
              <w:marBottom w:val="0"/>
              <w:divBdr>
                <w:top w:val="none" w:sz="0" w:space="0" w:color="auto"/>
                <w:left w:val="none" w:sz="0" w:space="0" w:color="auto"/>
                <w:bottom w:val="none" w:sz="0" w:space="0" w:color="auto"/>
                <w:right w:val="none" w:sz="0" w:space="0" w:color="auto"/>
              </w:divBdr>
            </w:div>
            <w:div w:id="428352385">
              <w:marLeft w:val="0"/>
              <w:marRight w:val="0"/>
              <w:marTop w:val="0"/>
              <w:marBottom w:val="0"/>
              <w:divBdr>
                <w:top w:val="none" w:sz="0" w:space="0" w:color="auto"/>
                <w:left w:val="none" w:sz="0" w:space="0" w:color="auto"/>
                <w:bottom w:val="none" w:sz="0" w:space="0" w:color="auto"/>
                <w:right w:val="none" w:sz="0" w:space="0" w:color="auto"/>
              </w:divBdr>
            </w:div>
            <w:div w:id="309409789">
              <w:marLeft w:val="0"/>
              <w:marRight w:val="0"/>
              <w:marTop w:val="0"/>
              <w:marBottom w:val="0"/>
              <w:divBdr>
                <w:top w:val="none" w:sz="0" w:space="0" w:color="auto"/>
                <w:left w:val="none" w:sz="0" w:space="0" w:color="auto"/>
                <w:bottom w:val="none" w:sz="0" w:space="0" w:color="auto"/>
                <w:right w:val="none" w:sz="0" w:space="0" w:color="auto"/>
              </w:divBdr>
            </w:div>
            <w:div w:id="41053106">
              <w:marLeft w:val="0"/>
              <w:marRight w:val="0"/>
              <w:marTop w:val="0"/>
              <w:marBottom w:val="0"/>
              <w:divBdr>
                <w:top w:val="none" w:sz="0" w:space="0" w:color="auto"/>
                <w:left w:val="none" w:sz="0" w:space="0" w:color="auto"/>
                <w:bottom w:val="none" w:sz="0" w:space="0" w:color="auto"/>
                <w:right w:val="none" w:sz="0" w:space="0" w:color="auto"/>
              </w:divBdr>
            </w:div>
            <w:div w:id="1099638800">
              <w:marLeft w:val="0"/>
              <w:marRight w:val="0"/>
              <w:marTop w:val="0"/>
              <w:marBottom w:val="0"/>
              <w:divBdr>
                <w:top w:val="none" w:sz="0" w:space="0" w:color="auto"/>
                <w:left w:val="none" w:sz="0" w:space="0" w:color="auto"/>
                <w:bottom w:val="none" w:sz="0" w:space="0" w:color="auto"/>
                <w:right w:val="none" w:sz="0" w:space="0" w:color="auto"/>
              </w:divBdr>
            </w:div>
            <w:div w:id="119232871">
              <w:marLeft w:val="0"/>
              <w:marRight w:val="0"/>
              <w:marTop w:val="0"/>
              <w:marBottom w:val="0"/>
              <w:divBdr>
                <w:top w:val="none" w:sz="0" w:space="0" w:color="auto"/>
                <w:left w:val="none" w:sz="0" w:space="0" w:color="auto"/>
                <w:bottom w:val="none" w:sz="0" w:space="0" w:color="auto"/>
                <w:right w:val="none" w:sz="0" w:space="0" w:color="auto"/>
              </w:divBdr>
            </w:div>
            <w:div w:id="1863324561">
              <w:marLeft w:val="0"/>
              <w:marRight w:val="0"/>
              <w:marTop w:val="0"/>
              <w:marBottom w:val="0"/>
              <w:divBdr>
                <w:top w:val="none" w:sz="0" w:space="0" w:color="auto"/>
                <w:left w:val="none" w:sz="0" w:space="0" w:color="auto"/>
                <w:bottom w:val="none" w:sz="0" w:space="0" w:color="auto"/>
                <w:right w:val="none" w:sz="0" w:space="0" w:color="auto"/>
              </w:divBdr>
            </w:div>
            <w:div w:id="503017429">
              <w:marLeft w:val="0"/>
              <w:marRight w:val="0"/>
              <w:marTop w:val="0"/>
              <w:marBottom w:val="0"/>
              <w:divBdr>
                <w:top w:val="none" w:sz="0" w:space="0" w:color="auto"/>
                <w:left w:val="none" w:sz="0" w:space="0" w:color="auto"/>
                <w:bottom w:val="none" w:sz="0" w:space="0" w:color="auto"/>
                <w:right w:val="none" w:sz="0" w:space="0" w:color="auto"/>
              </w:divBdr>
            </w:div>
            <w:div w:id="1548950530">
              <w:marLeft w:val="0"/>
              <w:marRight w:val="0"/>
              <w:marTop w:val="0"/>
              <w:marBottom w:val="0"/>
              <w:divBdr>
                <w:top w:val="none" w:sz="0" w:space="0" w:color="auto"/>
                <w:left w:val="none" w:sz="0" w:space="0" w:color="auto"/>
                <w:bottom w:val="none" w:sz="0" w:space="0" w:color="auto"/>
                <w:right w:val="none" w:sz="0" w:space="0" w:color="auto"/>
              </w:divBdr>
            </w:div>
            <w:div w:id="3284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653">
      <w:bodyDiv w:val="1"/>
      <w:marLeft w:val="0"/>
      <w:marRight w:val="0"/>
      <w:marTop w:val="0"/>
      <w:marBottom w:val="0"/>
      <w:divBdr>
        <w:top w:val="none" w:sz="0" w:space="0" w:color="auto"/>
        <w:left w:val="none" w:sz="0" w:space="0" w:color="auto"/>
        <w:bottom w:val="none" w:sz="0" w:space="0" w:color="auto"/>
        <w:right w:val="none" w:sz="0" w:space="0" w:color="auto"/>
      </w:divBdr>
      <w:divsChild>
        <w:div w:id="814293824">
          <w:marLeft w:val="0"/>
          <w:marRight w:val="0"/>
          <w:marTop w:val="0"/>
          <w:marBottom w:val="0"/>
          <w:divBdr>
            <w:top w:val="none" w:sz="0" w:space="0" w:color="auto"/>
            <w:left w:val="none" w:sz="0" w:space="0" w:color="auto"/>
            <w:bottom w:val="none" w:sz="0" w:space="0" w:color="auto"/>
            <w:right w:val="none" w:sz="0" w:space="0" w:color="auto"/>
          </w:divBdr>
        </w:div>
        <w:div w:id="1740131970">
          <w:marLeft w:val="0"/>
          <w:marRight w:val="0"/>
          <w:marTop w:val="0"/>
          <w:marBottom w:val="0"/>
          <w:divBdr>
            <w:top w:val="none" w:sz="0" w:space="0" w:color="auto"/>
            <w:left w:val="none" w:sz="0" w:space="0" w:color="auto"/>
            <w:bottom w:val="none" w:sz="0" w:space="0" w:color="auto"/>
            <w:right w:val="none" w:sz="0" w:space="0" w:color="auto"/>
          </w:divBdr>
        </w:div>
        <w:div w:id="1883396880">
          <w:marLeft w:val="0"/>
          <w:marRight w:val="0"/>
          <w:marTop w:val="0"/>
          <w:marBottom w:val="0"/>
          <w:divBdr>
            <w:top w:val="none" w:sz="0" w:space="0" w:color="auto"/>
            <w:left w:val="none" w:sz="0" w:space="0" w:color="auto"/>
            <w:bottom w:val="none" w:sz="0" w:space="0" w:color="auto"/>
            <w:right w:val="none" w:sz="0" w:space="0" w:color="auto"/>
          </w:divBdr>
        </w:div>
        <w:div w:id="566956947">
          <w:marLeft w:val="0"/>
          <w:marRight w:val="0"/>
          <w:marTop w:val="0"/>
          <w:marBottom w:val="0"/>
          <w:divBdr>
            <w:top w:val="none" w:sz="0" w:space="0" w:color="auto"/>
            <w:left w:val="none" w:sz="0" w:space="0" w:color="auto"/>
            <w:bottom w:val="none" w:sz="0" w:space="0" w:color="auto"/>
            <w:right w:val="none" w:sz="0" w:space="0" w:color="auto"/>
          </w:divBdr>
        </w:div>
      </w:divsChild>
    </w:div>
    <w:div w:id="175585241">
      <w:bodyDiv w:val="1"/>
      <w:marLeft w:val="0"/>
      <w:marRight w:val="0"/>
      <w:marTop w:val="0"/>
      <w:marBottom w:val="0"/>
      <w:divBdr>
        <w:top w:val="none" w:sz="0" w:space="0" w:color="auto"/>
        <w:left w:val="none" w:sz="0" w:space="0" w:color="auto"/>
        <w:bottom w:val="none" w:sz="0" w:space="0" w:color="auto"/>
        <w:right w:val="none" w:sz="0" w:space="0" w:color="auto"/>
      </w:divBdr>
    </w:div>
    <w:div w:id="414088670">
      <w:bodyDiv w:val="1"/>
      <w:marLeft w:val="0"/>
      <w:marRight w:val="0"/>
      <w:marTop w:val="0"/>
      <w:marBottom w:val="0"/>
      <w:divBdr>
        <w:top w:val="none" w:sz="0" w:space="0" w:color="auto"/>
        <w:left w:val="none" w:sz="0" w:space="0" w:color="auto"/>
        <w:bottom w:val="none" w:sz="0" w:space="0" w:color="auto"/>
        <w:right w:val="none" w:sz="0" w:space="0" w:color="auto"/>
      </w:divBdr>
    </w:div>
    <w:div w:id="528492555">
      <w:bodyDiv w:val="1"/>
      <w:marLeft w:val="0"/>
      <w:marRight w:val="0"/>
      <w:marTop w:val="0"/>
      <w:marBottom w:val="0"/>
      <w:divBdr>
        <w:top w:val="none" w:sz="0" w:space="0" w:color="auto"/>
        <w:left w:val="none" w:sz="0" w:space="0" w:color="auto"/>
        <w:bottom w:val="none" w:sz="0" w:space="0" w:color="auto"/>
        <w:right w:val="none" w:sz="0" w:space="0" w:color="auto"/>
      </w:divBdr>
    </w:div>
    <w:div w:id="561521235">
      <w:bodyDiv w:val="1"/>
      <w:marLeft w:val="0"/>
      <w:marRight w:val="0"/>
      <w:marTop w:val="0"/>
      <w:marBottom w:val="0"/>
      <w:divBdr>
        <w:top w:val="none" w:sz="0" w:space="0" w:color="auto"/>
        <w:left w:val="none" w:sz="0" w:space="0" w:color="auto"/>
        <w:bottom w:val="none" w:sz="0" w:space="0" w:color="auto"/>
        <w:right w:val="none" w:sz="0" w:space="0" w:color="auto"/>
      </w:divBdr>
    </w:div>
    <w:div w:id="648947071">
      <w:bodyDiv w:val="1"/>
      <w:marLeft w:val="0"/>
      <w:marRight w:val="0"/>
      <w:marTop w:val="0"/>
      <w:marBottom w:val="0"/>
      <w:divBdr>
        <w:top w:val="none" w:sz="0" w:space="0" w:color="auto"/>
        <w:left w:val="none" w:sz="0" w:space="0" w:color="auto"/>
        <w:bottom w:val="none" w:sz="0" w:space="0" w:color="auto"/>
        <w:right w:val="none" w:sz="0" w:space="0" w:color="auto"/>
      </w:divBdr>
    </w:div>
    <w:div w:id="778329207">
      <w:bodyDiv w:val="1"/>
      <w:marLeft w:val="0"/>
      <w:marRight w:val="0"/>
      <w:marTop w:val="0"/>
      <w:marBottom w:val="0"/>
      <w:divBdr>
        <w:top w:val="none" w:sz="0" w:space="0" w:color="auto"/>
        <w:left w:val="none" w:sz="0" w:space="0" w:color="auto"/>
        <w:bottom w:val="none" w:sz="0" w:space="0" w:color="auto"/>
        <w:right w:val="none" w:sz="0" w:space="0" w:color="auto"/>
      </w:divBdr>
      <w:divsChild>
        <w:div w:id="1790928028">
          <w:marLeft w:val="0"/>
          <w:marRight w:val="0"/>
          <w:marTop w:val="0"/>
          <w:marBottom w:val="0"/>
          <w:divBdr>
            <w:top w:val="none" w:sz="0" w:space="0" w:color="auto"/>
            <w:left w:val="none" w:sz="0" w:space="0" w:color="auto"/>
            <w:bottom w:val="none" w:sz="0" w:space="0" w:color="auto"/>
            <w:right w:val="none" w:sz="0" w:space="0" w:color="auto"/>
          </w:divBdr>
        </w:div>
        <w:div w:id="1793283698">
          <w:marLeft w:val="0"/>
          <w:marRight w:val="0"/>
          <w:marTop w:val="0"/>
          <w:marBottom w:val="0"/>
          <w:divBdr>
            <w:top w:val="none" w:sz="0" w:space="0" w:color="auto"/>
            <w:left w:val="none" w:sz="0" w:space="0" w:color="auto"/>
            <w:bottom w:val="none" w:sz="0" w:space="0" w:color="auto"/>
            <w:right w:val="none" w:sz="0" w:space="0" w:color="auto"/>
          </w:divBdr>
        </w:div>
        <w:div w:id="1795367705">
          <w:marLeft w:val="0"/>
          <w:marRight w:val="0"/>
          <w:marTop w:val="0"/>
          <w:marBottom w:val="0"/>
          <w:divBdr>
            <w:top w:val="none" w:sz="0" w:space="0" w:color="auto"/>
            <w:left w:val="none" w:sz="0" w:space="0" w:color="auto"/>
            <w:bottom w:val="none" w:sz="0" w:space="0" w:color="auto"/>
            <w:right w:val="none" w:sz="0" w:space="0" w:color="auto"/>
          </w:divBdr>
        </w:div>
        <w:div w:id="265037047">
          <w:marLeft w:val="0"/>
          <w:marRight w:val="0"/>
          <w:marTop w:val="0"/>
          <w:marBottom w:val="0"/>
          <w:divBdr>
            <w:top w:val="none" w:sz="0" w:space="0" w:color="auto"/>
            <w:left w:val="none" w:sz="0" w:space="0" w:color="auto"/>
            <w:bottom w:val="none" w:sz="0" w:space="0" w:color="auto"/>
            <w:right w:val="none" w:sz="0" w:space="0" w:color="auto"/>
          </w:divBdr>
        </w:div>
        <w:div w:id="972298231">
          <w:marLeft w:val="0"/>
          <w:marRight w:val="0"/>
          <w:marTop w:val="0"/>
          <w:marBottom w:val="0"/>
          <w:divBdr>
            <w:top w:val="none" w:sz="0" w:space="0" w:color="auto"/>
            <w:left w:val="none" w:sz="0" w:space="0" w:color="auto"/>
            <w:bottom w:val="none" w:sz="0" w:space="0" w:color="auto"/>
            <w:right w:val="none" w:sz="0" w:space="0" w:color="auto"/>
          </w:divBdr>
        </w:div>
        <w:div w:id="1688292642">
          <w:marLeft w:val="0"/>
          <w:marRight w:val="0"/>
          <w:marTop w:val="0"/>
          <w:marBottom w:val="0"/>
          <w:divBdr>
            <w:top w:val="none" w:sz="0" w:space="0" w:color="auto"/>
            <w:left w:val="none" w:sz="0" w:space="0" w:color="auto"/>
            <w:bottom w:val="none" w:sz="0" w:space="0" w:color="auto"/>
            <w:right w:val="none" w:sz="0" w:space="0" w:color="auto"/>
          </w:divBdr>
        </w:div>
        <w:div w:id="813371194">
          <w:marLeft w:val="0"/>
          <w:marRight w:val="0"/>
          <w:marTop w:val="0"/>
          <w:marBottom w:val="0"/>
          <w:divBdr>
            <w:top w:val="none" w:sz="0" w:space="0" w:color="auto"/>
            <w:left w:val="none" w:sz="0" w:space="0" w:color="auto"/>
            <w:bottom w:val="none" w:sz="0" w:space="0" w:color="auto"/>
            <w:right w:val="none" w:sz="0" w:space="0" w:color="auto"/>
          </w:divBdr>
        </w:div>
        <w:div w:id="709451958">
          <w:marLeft w:val="0"/>
          <w:marRight w:val="0"/>
          <w:marTop w:val="0"/>
          <w:marBottom w:val="0"/>
          <w:divBdr>
            <w:top w:val="none" w:sz="0" w:space="0" w:color="auto"/>
            <w:left w:val="none" w:sz="0" w:space="0" w:color="auto"/>
            <w:bottom w:val="none" w:sz="0" w:space="0" w:color="auto"/>
            <w:right w:val="none" w:sz="0" w:space="0" w:color="auto"/>
          </w:divBdr>
        </w:div>
        <w:div w:id="1550649386">
          <w:marLeft w:val="0"/>
          <w:marRight w:val="0"/>
          <w:marTop w:val="0"/>
          <w:marBottom w:val="0"/>
          <w:divBdr>
            <w:top w:val="none" w:sz="0" w:space="0" w:color="auto"/>
            <w:left w:val="none" w:sz="0" w:space="0" w:color="auto"/>
            <w:bottom w:val="none" w:sz="0" w:space="0" w:color="auto"/>
            <w:right w:val="none" w:sz="0" w:space="0" w:color="auto"/>
          </w:divBdr>
        </w:div>
        <w:div w:id="1255670790">
          <w:marLeft w:val="0"/>
          <w:marRight w:val="0"/>
          <w:marTop w:val="0"/>
          <w:marBottom w:val="0"/>
          <w:divBdr>
            <w:top w:val="none" w:sz="0" w:space="0" w:color="auto"/>
            <w:left w:val="none" w:sz="0" w:space="0" w:color="auto"/>
            <w:bottom w:val="none" w:sz="0" w:space="0" w:color="auto"/>
            <w:right w:val="none" w:sz="0" w:space="0" w:color="auto"/>
          </w:divBdr>
        </w:div>
        <w:div w:id="1804814215">
          <w:marLeft w:val="0"/>
          <w:marRight w:val="0"/>
          <w:marTop w:val="0"/>
          <w:marBottom w:val="0"/>
          <w:divBdr>
            <w:top w:val="none" w:sz="0" w:space="0" w:color="auto"/>
            <w:left w:val="none" w:sz="0" w:space="0" w:color="auto"/>
            <w:bottom w:val="none" w:sz="0" w:space="0" w:color="auto"/>
            <w:right w:val="none" w:sz="0" w:space="0" w:color="auto"/>
          </w:divBdr>
        </w:div>
        <w:div w:id="471945046">
          <w:marLeft w:val="0"/>
          <w:marRight w:val="0"/>
          <w:marTop w:val="0"/>
          <w:marBottom w:val="0"/>
          <w:divBdr>
            <w:top w:val="none" w:sz="0" w:space="0" w:color="auto"/>
            <w:left w:val="none" w:sz="0" w:space="0" w:color="auto"/>
            <w:bottom w:val="none" w:sz="0" w:space="0" w:color="auto"/>
            <w:right w:val="none" w:sz="0" w:space="0" w:color="auto"/>
          </w:divBdr>
        </w:div>
        <w:div w:id="730274833">
          <w:marLeft w:val="0"/>
          <w:marRight w:val="0"/>
          <w:marTop w:val="0"/>
          <w:marBottom w:val="0"/>
          <w:divBdr>
            <w:top w:val="none" w:sz="0" w:space="0" w:color="auto"/>
            <w:left w:val="none" w:sz="0" w:space="0" w:color="auto"/>
            <w:bottom w:val="none" w:sz="0" w:space="0" w:color="auto"/>
            <w:right w:val="none" w:sz="0" w:space="0" w:color="auto"/>
          </w:divBdr>
        </w:div>
        <w:div w:id="1189443698">
          <w:marLeft w:val="0"/>
          <w:marRight w:val="0"/>
          <w:marTop w:val="0"/>
          <w:marBottom w:val="0"/>
          <w:divBdr>
            <w:top w:val="none" w:sz="0" w:space="0" w:color="auto"/>
            <w:left w:val="none" w:sz="0" w:space="0" w:color="auto"/>
            <w:bottom w:val="none" w:sz="0" w:space="0" w:color="auto"/>
            <w:right w:val="none" w:sz="0" w:space="0" w:color="auto"/>
          </w:divBdr>
        </w:div>
        <w:div w:id="1358046973">
          <w:marLeft w:val="0"/>
          <w:marRight w:val="0"/>
          <w:marTop w:val="0"/>
          <w:marBottom w:val="0"/>
          <w:divBdr>
            <w:top w:val="none" w:sz="0" w:space="0" w:color="auto"/>
            <w:left w:val="none" w:sz="0" w:space="0" w:color="auto"/>
            <w:bottom w:val="none" w:sz="0" w:space="0" w:color="auto"/>
            <w:right w:val="none" w:sz="0" w:space="0" w:color="auto"/>
          </w:divBdr>
        </w:div>
        <w:div w:id="1203132430">
          <w:marLeft w:val="0"/>
          <w:marRight w:val="0"/>
          <w:marTop w:val="0"/>
          <w:marBottom w:val="0"/>
          <w:divBdr>
            <w:top w:val="none" w:sz="0" w:space="0" w:color="auto"/>
            <w:left w:val="none" w:sz="0" w:space="0" w:color="auto"/>
            <w:bottom w:val="none" w:sz="0" w:space="0" w:color="auto"/>
            <w:right w:val="none" w:sz="0" w:space="0" w:color="auto"/>
          </w:divBdr>
        </w:div>
        <w:div w:id="984898597">
          <w:marLeft w:val="0"/>
          <w:marRight w:val="0"/>
          <w:marTop w:val="0"/>
          <w:marBottom w:val="0"/>
          <w:divBdr>
            <w:top w:val="none" w:sz="0" w:space="0" w:color="auto"/>
            <w:left w:val="none" w:sz="0" w:space="0" w:color="auto"/>
            <w:bottom w:val="none" w:sz="0" w:space="0" w:color="auto"/>
            <w:right w:val="none" w:sz="0" w:space="0" w:color="auto"/>
          </w:divBdr>
        </w:div>
        <w:div w:id="686827625">
          <w:marLeft w:val="0"/>
          <w:marRight w:val="0"/>
          <w:marTop w:val="0"/>
          <w:marBottom w:val="0"/>
          <w:divBdr>
            <w:top w:val="none" w:sz="0" w:space="0" w:color="auto"/>
            <w:left w:val="none" w:sz="0" w:space="0" w:color="auto"/>
            <w:bottom w:val="none" w:sz="0" w:space="0" w:color="auto"/>
            <w:right w:val="none" w:sz="0" w:space="0" w:color="auto"/>
          </w:divBdr>
        </w:div>
        <w:div w:id="1456220097">
          <w:marLeft w:val="0"/>
          <w:marRight w:val="0"/>
          <w:marTop w:val="0"/>
          <w:marBottom w:val="0"/>
          <w:divBdr>
            <w:top w:val="none" w:sz="0" w:space="0" w:color="auto"/>
            <w:left w:val="none" w:sz="0" w:space="0" w:color="auto"/>
            <w:bottom w:val="none" w:sz="0" w:space="0" w:color="auto"/>
            <w:right w:val="none" w:sz="0" w:space="0" w:color="auto"/>
          </w:divBdr>
        </w:div>
      </w:divsChild>
    </w:div>
    <w:div w:id="807280466">
      <w:bodyDiv w:val="1"/>
      <w:marLeft w:val="0"/>
      <w:marRight w:val="0"/>
      <w:marTop w:val="0"/>
      <w:marBottom w:val="0"/>
      <w:divBdr>
        <w:top w:val="none" w:sz="0" w:space="0" w:color="auto"/>
        <w:left w:val="none" w:sz="0" w:space="0" w:color="auto"/>
        <w:bottom w:val="none" w:sz="0" w:space="0" w:color="auto"/>
        <w:right w:val="none" w:sz="0" w:space="0" w:color="auto"/>
      </w:divBdr>
      <w:divsChild>
        <w:div w:id="733553584">
          <w:marLeft w:val="0"/>
          <w:marRight w:val="0"/>
          <w:marTop w:val="0"/>
          <w:marBottom w:val="0"/>
          <w:divBdr>
            <w:top w:val="none" w:sz="0" w:space="0" w:color="auto"/>
            <w:left w:val="none" w:sz="0" w:space="0" w:color="auto"/>
            <w:bottom w:val="none" w:sz="0" w:space="0" w:color="auto"/>
            <w:right w:val="none" w:sz="0" w:space="0" w:color="auto"/>
          </w:divBdr>
          <w:divsChild>
            <w:div w:id="1407459782">
              <w:marLeft w:val="0"/>
              <w:marRight w:val="0"/>
              <w:marTop w:val="0"/>
              <w:marBottom w:val="0"/>
              <w:divBdr>
                <w:top w:val="none" w:sz="0" w:space="0" w:color="auto"/>
                <w:left w:val="none" w:sz="0" w:space="0" w:color="auto"/>
                <w:bottom w:val="none" w:sz="0" w:space="0" w:color="auto"/>
                <w:right w:val="none" w:sz="0" w:space="0" w:color="auto"/>
              </w:divBdr>
            </w:div>
            <w:div w:id="808404999">
              <w:marLeft w:val="0"/>
              <w:marRight w:val="0"/>
              <w:marTop w:val="0"/>
              <w:marBottom w:val="0"/>
              <w:divBdr>
                <w:top w:val="none" w:sz="0" w:space="0" w:color="auto"/>
                <w:left w:val="none" w:sz="0" w:space="0" w:color="auto"/>
                <w:bottom w:val="none" w:sz="0" w:space="0" w:color="auto"/>
                <w:right w:val="none" w:sz="0" w:space="0" w:color="auto"/>
              </w:divBdr>
            </w:div>
            <w:div w:id="1230388969">
              <w:marLeft w:val="0"/>
              <w:marRight w:val="0"/>
              <w:marTop w:val="0"/>
              <w:marBottom w:val="0"/>
              <w:divBdr>
                <w:top w:val="none" w:sz="0" w:space="0" w:color="auto"/>
                <w:left w:val="none" w:sz="0" w:space="0" w:color="auto"/>
                <w:bottom w:val="none" w:sz="0" w:space="0" w:color="auto"/>
                <w:right w:val="none" w:sz="0" w:space="0" w:color="auto"/>
              </w:divBdr>
            </w:div>
            <w:div w:id="99765250">
              <w:marLeft w:val="0"/>
              <w:marRight w:val="0"/>
              <w:marTop w:val="0"/>
              <w:marBottom w:val="0"/>
              <w:divBdr>
                <w:top w:val="none" w:sz="0" w:space="0" w:color="auto"/>
                <w:left w:val="none" w:sz="0" w:space="0" w:color="auto"/>
                <w:bottom w:val="none" w:sz="0" w:space="0" w:color="auto"/>
                <w:right w:val="none" w:sz="0" w:space="0" w:color="auto"/>
              </w:divBdr>
            </w:div>
            <w:div w:id="1979988794">
              <w:marLeft w:val="0"/>
              <w:marRight w:val="0"/>
              <w:marTop w:val="0"/>
              <w:marBottom w:val="0"/>
              <w:divBdr>
                <w:top w:val="none" w:sz="0" w:space="0" w:color="auto"/>
                <w:left w:val="none" w:sz="0" w:space="0" w:color="auto"/>
                <w:bottom w:val="none" w:sz="0" w:space="0" w:color="auto"/>
                <w:right w:val="none" w:sz="0" w:space="0" w:color="auto"/>
              </w:divBdr>
            </w:div>
            <w:div w:id="887108270">
              <w:marLeft w:val="0"/>
              <w:marRight w:val="0"/>
              <w:marTop w:val="0"/>
              <w:marBottom w:val="0"/>
              <w:divBdr>
                <w:top w:val="none" w:sz="0" w:space="0" w:color="auto"/>
                <w:left w:val="none" w:sz="0" w:space="0" w:color="auto"/>
                <w:bottom w:val="none" w:sz="0" w:space="0" w:color="auto"/>
                <w:right w:val="none" w:sz="0" w:space="0" w:color="auto"/>
              </w:divBdr>
            </w:div>
            <w:div w:id="1441026240">
              <w:marLeft w:val="0"/>
              <w:marRight w:val="0"/>
              <w:marTop w:val="0"/>
              <w:marBottom w:val="0"/>
              <w:divBdr>
                <w:top w:val="none" w:sz="0" w:space="0" w:color="auto"/>
                <w:left w:val="none" w:sz="0" w:space="0" w:color="auto"/>
                <w:bottom w:val="none" w:sz="0" w:space="0" w:color="auto"/>
                <w:right w:val="none" w:sz="0" w:space="0" w:color="auto"/>
              </w:divBdr>
            </w:div>
            <w:div w:id="1994218311">
              <w:marLeft w:val="0"/>
              <w:marRight w:val="0"/>
              <w:marTop w:val="0"/>
              <w:marBottom w:val="0"/>
              <w:divBdr>
                <w:top w:val="none" w:sz="0" w:space="0" w:color="auto"/>
                <w:left w:val="none" w:sz="0" w:space="0" w:color="auto"/>
                <w:bottom w:val="none" w:sz="0" w:space="0" w:color="auto"/>
                <w:right w:val="none" w:sz="0" w:space="0" w:color="auto"/>
              </w:divBdr>
            </w:div>
            <w:div w:id="1506358291">
              <w:marLeft w:val="0"/>
              <w:marRight w:val="0"/>
              <w:marTop w:val="0"/>
              <w:marBottom w:val="0"/>
              <w:divBdr>
                <w:top w:val="none" w:sz="0" w:space="0" w:color="auto"/>
                <w:left w:val="none" w:sz="0" w:space="0" w:color="auto"/>
                <w:bottom w:val="none" w:sz="0" w:space="0" w:color="auto"/>
                <w:right w:val="none" w:sz="0" w:space="0" w:color="auto"/>
              </w:divBdr>
            </w:div>
            <w:div w:id="1205554931">
              <w:marLeft w:val="0"/>
              <w:marRight w:val="0"/>
              <w:marTop w:val="0"/>
              <w:marBottom w:val="0"/>
              <w:divBdr>
                <w:top w:val="none" w:sz="0" w:space="0" w:color="auto"/>
                <w:left w:val="none" w:sz="0" w:space="0" w:color="auto"/>
                <w:bottom w:val="none" w:sz="0" w:space="0" w:color="auto"/>
                <w:right w:val="none" w:sz="0" w:space="0" w:color="auto"/>
              </w:divBdr>
            </w:div>
            <w:div w:id="1621953380">
              <w:marLeft w:val="0"/>
              <w:marRight w:val="0"/>
              <w:marTop w:val="0"/>
              <w:marBottom w:val="0"/>
              <w:divBdr>
                <w:top w:val="none" w:sz="0" w:space="0" w:color="auto"/>
                <w:left w:val="none" w:sz="0" w:space="0" w:color="auto"/>
                <w:bottom w:val="none" w:sz="0" w:space="0" w:color="auto"/>
                <w:right w:val="none" w:sz="0" w:space="0" w:color="auto"/>
              </w:divBdr>
            </w:div>
            <w:div w:id="136344700">
              <w:marLeft w:val="0"/>
              <w:marRight w:val="0"/>
              <w:marTop w:val="0"/>
              <w:marBottom w:val="0"/>
              <w:divBdr>
                <w:top w:val="none" w:sz="0" w:space="0" w:color="auto"/>
                <w:left w:val="none" w:sz="0" w:space="0" w:color="auto"/>
                <w:bottom w:val="none" w:sz="0" w:space="0" w:color="auto"/>
                <w:right w:val="none" w:sz="0" w:space="0" w:color="auto"/>
              </w:divBdr>
            </w:div>
            <w:div w:id="1616014418">
              <w:marLeft w:val="0"/>
              <w:marRight w:val="0"/>
              <w:marTop w:val="0"/>
              <w:marBottom w:val="0"/>
              <w:divBdr>
                <w:top w:val="none" w:sz="0" w:space="0" w:color="auto"/>
                <w:left w:val="none" w:sz="0" w:space="0" w:color="auto"/>
                <w:bottom w:val="none" w:sz="0" w:space="0" w:color="auto"/>
                <w:right w:val="none" w:sz="0" w:space="0" w:color="auto"/>
              </w:divBdr>
            </w:div>
            <w:div w:id="678048048">
              <w:marLeft w:val="0"/>
              <w:marRight w:val="0"/>
              <w:marTop w:val="0"/>
              <w:marBottom w:val="0"/>
              <w:divBdr>
                <w:top w:val="none" w:sz="0" w:space="0" w:color="auto"/>
                <w:left w:val="none" w:sz="0" w:space="0" w:color="auto"/>
                <w:bottom w:val="none" w:sz="0" w:space="0" w:color="auto"/>
                <w:right w:val="none" w:sz="0" w:space="0" w:color="auto"/>
              </w:divBdr>
            </w:div>
            <w:div w:id="473064907">
              <w:marLeft w:val="0"/>
              <w:marRight w:val="0"/>
              <w:marTop w:val="0"/>
              <w:marBottom w:val="0"/>
              <w:divBdr>
                <w:top w:val="none" w:sz="0" w:space="0" w:color="auto"/>
                <w:left w:val="none" w:sz="0" w:space="0" w:color="auto"/>
                <w:bottom w:val="none" w:sz="0" w:space="0" w:color="auto"/>
                <w:right w:val="none" w:sz="0" w:space="0" w:color="auto"/>
              </w:divBdr>
            </w:div>
            <w:div w:id="1359088522">
              <w:marLeft w:val="0"/>
              <w:marRight w:val="0"/>
              <w:marTop w:val="0"/>
              <w:marBottom w:val="0"/>
              <w:divBdr>
                <w:top w:val="none" w:sz="0" w:space="0" w:color="auto"/>
                <w:left w:val="none" w:sz="0" w:space="0" w:color="auto"/>
                <w:bottom w:val="none" w:sz="0" w:space="0" w:color="auto"/>
                <w:right w:val="none" w:sz="0" w:space="0" w:color="auto"/>
              </w:divBdr>
            </w:div>
            <w:div w:id="1179008738">
              <w:marLeft w:val="0"/>
              <w:marRight w:val="0"/>
              <w:marTop w:val="0"/>
              <w:marBottom w:val="0"/>
              <w:divBdr>
                <w:top w:val="none" w:sz="0" w:space="0" w:color="auto"/>
                <w:left w:val="none" w:sz="0" w:space="0" w:color="auto"/>
                <w:bottom w:val="none" w:sz="0" w:space="0" w:color="auto"/>
                <w:right w:val="none" w:sz="0" w:space="0" w:color="auto"/>
              </w:divBdr>
            </w:div>
            <w:div w:id="1221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4199">
      <w:bodyDiv w:val="1"/>
      <w:marLeft w:val="0"/>
      <w:marRight w:val="0"/>
      <w:marTop w:val="0"/>
      <w:marBottom w:val="0"/>
      <w:divBdr>
        <w:top w:val="none" w:sz="0" w:space="0" w:color="auto"/>
        <w:left w:val="none" w:sz="0" w:space="0" w:color="auto"/>
        <w:bottom w:val="none" w:sz="0" w:space="0" w:color="auto"/>
        <w:right w:val="none" w:sz="0" w:space="0" w:color="auto"/>
      </w:divBdr>
      <w:divsChild>
        <w:div w:id="2104374440">
          <w:marLeft w:val="0"/>
          <w:marRight w:val="0"/>
          <w:marTop w:val="0"/>
          <w:marBottom w:val="0"/>
          <w:divBdr>
            <w:top w:val="none" w:sz="0" w:space="0" w:color="auto"/>
            <w:left w:val="none" w:sz="0" w:space="0" w:color="auto"/>
            <w:bottom w:val="none" w:sz="0" w:space="0" w:color="auto"/>
            <w:right w:val="none" w:sz="0" w:space="0" w:color="auto"/>
          </w:divBdr>
        </w:div>
        <w:div w:id="877936859">
          <w:marLeft w:val="0"/>
          <w:marRight w:val="0"/>
          <w:marTop w:val="0"/>
          <w:marBottom w:val="0"/>
          <w:divBdr>
            <w:top w:val="none" w:sz="0" w:space="0" w:color="auto"/>
            <w:left w:val="none" w:sz="0" w:space="0" w:color="auto"/>
            <w:bottom w:val="none" w:sz="0" w:space="0" w:color="auto"/>
            <w:right w:val="none" w:sz="0" w:space="0" w:color="auto"/>
          </w:divBdr>
        </w:div>
        <w:div w:id="805777091">
          <w:marLeft w:val="0"/>
          <w:marRight w:val="0"/>
          <w:marTop w:val="0"/>
          <w:marBottom w:val="0"/>
          <w:divBdr>
            <w:top w:val="none" w:sz="0" w:space="0" w:color="auto"/>
            <w:left w:val="none" w:sz="0" w:space="0" w:color="auto"/>
            <w:bottom w:val="none" w:sz="0" w:space="0" w:color="auto"/>
            <w:right w:val="none" w:sz="0" w:space="0" w:color="auto"/>
          </w:divBdr>
        </w:div>
        <w:div w:id="213934702">
          <w:marLeft w:val="0"/>
          <w:marRight w:val="0"/>
          <w:marTop w:val="0"/>
          <w:marBottom w:val="0"/>
          <w:divBdr>
            <w:top w:val="none" w:sz="0" w:space="0" w:color="auto"/>
            <w:left w:val="none" w:sz="0" w:space="0" w:color="auto"/>
            <w:bottom w:val="none" w:sz="0" w:space="0" w:color="auto"/>
            <w:right w:val="none" w:sz="0" w:space="0" w:color="auto"/>
          </w:divBdr>
        </w:div>
      </w:divsChild>
    </w:div>
    <w:div w:id="856626531">
      <w:bodyDiv w:val="1"/>
      <w:marLeft w:val="0"/>
      <w:marRight w:val="0"/>
      <w:marTop w:val="0"/>
      <w:marBottom w:val="0"/>
      <w:divBdr>
        <w:top w:val="none" w:sz="0" w:space="0" w:color="auto"/>
        <w:left w:val="none" w:sz="0" w:space="0" w:color="auto"/>
        <w:bottom w:val="none" w:sz="0" w:space="0" w:color="auto"/>
        <w:right w:val="none" w:sz="0" w:space="0" w:color="auto"/>
      </w:divBdr>
      <w:divsChild>
        <w:div w:id="1268583706">
          <w:marLeft w:val="0"/>
          <w:marRight w:val="0"/>
          <w:marTop w:val="0"/>
          <w:marBottom w:val="0"/>
          <w:divBdr>
            <w:top w:val="none" w:sz="0" w:space="0" w:color="auto"/>
            <w:left w:val="none" w:sz="0" w:space="0" w:color="auto"/>
            <w:bottom w:val="none" w:sz="0" w:space="0" w:color="auto"/>
            <w:right w:val="none" w:sz="0" w:space="0" w:color="auto"/>
          </w:divBdr>
        </w:div>
        <w:div w:id="561989774">
          <w:marLeft w:val="0"/>
          <w:marRight w:val="0"/>
          <w:marTop w:val="0"/>
          <w:marBottom w:val="0"/>
          <w:divBdr>
            <w:top w:val="none" w:sz="0" w:space="0" w:color="auto"/>
            <w:left w:val="none" w:sz="0" w:space="0" w:color="auto"/>
            <w:bottom w:val="none" w:sz="0" w:space="0" w:color="auto"/>
            <w:right w:val="none" w:sz="0" w:space="0" w:color="auto"/>
          </w:divBdr>
        </w:div>
        <w:div w:id="379205407">
          <w:marLeft w:val="0"/>
          <w:marRight w:val="0"/>
          <w:marTop w:val="0"/>
          <w:marBottom w:val="0"/>
          <w:divBdr>
            <w:top w:val="none" w:sz="0" w:space="0" w:color="auto"/>
            <w:left w:val="none" w:sz="0" w:space="0" w:color="auto"/>
            <w:bottom w:val="none" w:sz="0" w:space="0" w:color="auto"/>
            <w:right w:val="none" w:sz="0" w:space="0" w:color="auto"/>
          </w:divBdr>
        </w:div>
        <w:div w:id="1113283146">
          <w:marLeft w:val="0"/>
          <w:marRight w:val="0"/>
          <w:marTop w:val="0"/>
          <w:marBottom w:val="0"/>
          <w:divBdr>
            <w:top w:val="none" w:sz="0" w:space="0" w:color="auto"/>
            <w:left w:val="none" w:sz="0" w:space="0" w:color="auto"/>
            <w:bottom w:val="none" w:sz="0" w:space="0" w:color="auto"/>
            <w:right w:val="none" w:sz="0" w:space="0" w:color="auto"/>
          </w:divBdr>
        </w:div>
        <w:div w:id="2066249706">
          <w:marLeft w:val="0"/>
          <w:marRight w:val="0"/>
          <w:marTop w:val="0"/>
          <w:marBottom w:val="0"/>
          <w:divBdr>
            <w:top w:val="none" w:sz="0" w:space="0" w:color="auto"/>
            <w:left w:val="none" w:sz="0" w:space="0" w:color="auto"/>
            <w:bottom w:val="none" w:sz="0" w:space="0" w:color="auto"/>
            <w:right w:val="none" w:sz="0" w:space="0" w:color="auto"/>
          </w:divBdr>
        </w:div>
        <w:div w:id="26372303">
          <w:marLeft w:val="0"/>
          <w:marRight w:val="0"/>
          <w:marTop w:val="0"/>
          <w:marBottom w:val="0"/>
          <w:divBdr>
            <w:top w:val="none" w:sz="0" w:space="0" w:color="auto"/>
            <w:left w:val="none" w:sz="0" w:space="0" w:color="auto"/>
            <w:bottom w:val="none" w:sz="0" w:space="0" w:color="auto"/>
            <w:right w:val="none" w:sz="0" w:space="0" w:color="auto"/>
          </w:divBdr>
        </w:div>
        <w:div w:id="2119448916">
          <w:marLeft w:val="0"/>
          <w:marRight w:val="0"/>
          <w:marTop w:val="0"/>
          <w:marBottom w:val="0"/>
          <w:divBdr>
            <w:top w:val="none" w:sz="0" w:space="0" w:color="auto"/>
            <w:left w:val="none" w:sz="0" w:space="0" w:color="auto"/>
            <w:bottom w:val="none" w:sz="0" w:space="0" w:color="auto"/>
            <w:right w:val="none" w:sz="0" w:space="0" w:color="auto"/>
          </w:divBdr>
        </w:div>
        <w:div w:id="1397975732">
          <w:marLeft w:val="0"/>
          <w:marRight w:val="0"/>
          <w:marTop w:val="0"/>
          <w:marBottom w:val="0"/>
          <w:divBdr>
            <w:top w:val="none" w:sz="0" w:space="0" w:color="auto"/>
            <w:left w:val="none" w:sz="0" w:space="0" w:color="auto"/>
            <w:bottom w:val="none" w:sz="0" w:space="0" w:color="auto"/>
            <w:right w:val="none" w:sz="0" w:space="0" w:color="auto"/>
          </w:divBdr>
        </w:div>
        <w:div w:id="584847063">
          <w:marLeft w:val="0"/>
          <w:marRight w:val="0"/>
          <w:marTop w:val="0"/>
          <w:marBottom w:val="0"/>
          <w:divBdr>
            <w:top w:val="none" w:sz="0" w:space="0" w:color="auto"/>
            <w:left w:val="none" w:sz="0" w:space="0" w:color="auto"/>
            <w:bottom w:val="none" w:sz="0" w:space="0" w:color="auto"/>
            <w:right w:val="none" w:sz="0" w:space="0" w:color="auto"/>
          </w:divBdr>
        </w:div>
        <w:div w:id="1699820493">
          <w:marLeft w:val="0"/>
          <w:marRight w:val="0"/>
          <w:marTop w:val="0"/>
          <w:marBottom w:val="0"/>
          <w:divBdr>
            <w:top w:val="none" w:sz="0" w:space="0" w:color="auto"/>
            <w:left w:val="none" w:sz="0" w:space="0" w:color="auto"/>
            <w:bottom w:val="none" w:sz="0" w:space="0" w:color="auto"/>
            <w:right w:val="none" w:sz="0" w:space="0" w:color="auto"/>
          </w:divBdr>
        </w:div>
        <w:div w:id="1320691158">
          <w:marLeft w:val="0"/>
          <w:marRight w:val="0"/>
          <w:marTop w:val="0"/>
          <w:marBottom w:val="0"/>
          <w:divBdr>
            <w:top w:val="none" w:sz="0" w:space="0" w:color="auto"/>
            <w:left w:val="none" w:sz="0" w:space="0" w:color="auto"/>
            <w:bottom w:val="none" w:sz="0" w:space="0" w:color="auto"/>
            <w:right w:val="none" w:sz="0" w:space="0" w:color="auto"/>
          </w:divBdr>
        </w:div>
        <w:div w:id="688797728">
          <w:marLeft w:val="0"/>
          <w:marRight w:val="0"/>
          <w:marTop w:val="0"/>
          <w:marBottom w:val="0"/>
          <w:divBdr>
            <w:top w:val="none" w:sz="0" w:space="0" w:color="auto"/>
            <w:left w:val="none" w:sz="0" w:space="0" w:color="auto"/>
            <w:bottom w:val="none" w:sz="0" w:space="0" w:color="auto"/>
            <w:right w:val="none" w:sz="0" w:space="0" w:color="auto"/>
          </w:divBdr>
        </w:div>
        <w:div w:id="1163617986">
          <w:marLeft w:val="0"/>
          <w:marRight w:val="0"/>
          <w:marTop w:val="0"/>
          <w:marBottom w:val="0"/>
          <w:divBdr>
            <w:top w:val="none" w:sz="0" w:space="0" w:color="auto"/>
            <w:left w:val="none" w:sz="0" w:space="0" w:color="auto"/>
            <w:bottom w:val="none" w:sz="0" w:space="0" w:color="auto"/>
            <w:right w:val="none" w:sz="0" w:space="0" w:color="auto"/>
          </w:divBdr>
        </w:div>
        <w:div w:id="900140036">
          <w:marLeft w:val="0"/>
          <w:marRight w:val="0"/>
          <w:marTop w:val="0"/>
          <w:marBottom w:val="0"/>
          <w:divBdr>
            <w:top w:val="none" w:sz="0" w:space="0" w:color="auto"/>
            <w:left w:val="none" w:sz="0" w:space="0" w:color="auto"/>
            <w:bottom w:val="none" w:sz="0" w:space="0" w:color="auto"/>
            <w:right w:val="none" w:sz="0" w:space="0" w:color="auto"/>
          </w:divBdr>
        </w:div>
        <w:div w:id="1878539700">
          <w:marLeft w:val="0"/>
          <w:marRight w:val="0"/>
          <w:marTop w:val="0"/>
          <w:marBottom w:val="0"/>
          <w:divBdr>
            <w:top w:val="none" w:sz="0" w:space="0" w:color="auto"/>
            <w:left w:val="none" w:sz="0" w:space="0" w:color="auto"/>
            <w:bottom w:val="none" w:sz="0" w:space="0" w:color="auto"/>
            <w:right w:val="none" w:sz="0" w:space="0" w:color="auto"/>
          </w:divBdr>
        </w:div>
        <w:div w:id="1023094025">
          <w:marLeft w:val="0"/>
          <w:marRight w:val="0"/>
          <w:marTop w:val="0"/>
          <w:marBottom w:val="0"/>
          <w:divBdr>
            <w:top w:val="none" w:sz="0" w:space="0" w:color="auto"/>
            <w:left w:val="none" w:sz="0" w:space="0" w:color="auto"/>
            <w:bottom w:val="none" w:sz="0" w:space="0" w:color="auto"/>
            <w:right w:val="none" w:sz="0" w:space="0" w:color="auto"/>
          </w:divBdr>
        </w:div>
        <w:div w:id="939800982">
          <w:marLeft w:val="0"/>
          <w:marRight w:val="0"/>
          <w:marTop w:val="0"/>
          <w:marBottom w:val="0"/>
          <w:divBdr>
            <w:top w:val="none" w:sz="0" w:space="0" w:color="auto"/>
            <w:left w:val="none" w:sz="0" w:space="0" w:color="auto"/>
            <w:bottom w:val="none" w:sz="0" w:space="0" w:color="auto"/>
            <w:right w:val="none" w:sz="0" w:space="0" w:color="auto"/>
          </w:divBdr>
        </w:div>
        <w:div w:id="1194616741">
          <w:marLeft w:val="0"/>
          <w:marRight w:val="0"/>
          <w:marTop w:val="0"/>
          <w:marBottom w:val="0"/>
          <w:divBdr>
            <w:top w:val="none" w:sz="0" w:space="0" w:color="auto"/>
            <w:left w:val="none" w:sz="0" w:space="0" w:color="auto"/>
            <w:bottom w:val="none" w:sz="0" w:space="0" w:color="auto"/>
            <w:right w:val="none" w:sz="0" w:space="0" w:color="auto"/>
          </w:divBdr>
        </w:div>
        <w:div w:id="1316645179">
          <w:marLeft w:val="0"/>
          <w:marRight w:val="0"/>
          <w:marTop w:val="0"/>
          <w:marBottom w:val="0"/>
          <w:divBdr>
            <w:top w:val="none" w:sz="0" w:space="0" w:color="auto"/>
            <w:left w:val="none" w:sz="0" w:space="0" w:color="auto"/>
            <w:bottom w:val="none" w:sz="0" w:space="0" w:color="auto"/>
            <w:right w:val="none" w:sz="0" w:space="0" w:color="auto"/>
          </w:divBdr>
        </w:div>
      </w:divsChild>
    </w:div>
    <w:div w:id="1111125293">
      <w:bodyDiv w:val="1"/>
      <w:marLeft w:val="0"/>
      <w:marRight w:val="0"/>
      <w:marTop w:val="0"/>
      <w:marBottom w:val="0"/>
      <w:divBdr>
        <w:top w:val="none" w:sz="0" w:space="0" w:color="auto"/>
        <w:left w:val="none" w:sz="0" w:space="0" w:color="auto"/>
        <w:bottom w:val="none" w:sz="0" w:space="0" w:color="auto"/>
        <w:right w:val="none" w:sz="0" w:space="0" w:color="auto"/>
      </w:divBdr>
    </w:div>
    <w:div w:id="1130785646">
      <w:bodyDiv w:val="1"/>
      <w:marLeft w:val="0"/>
      <w:marRight w:val="0"/>
      <w:marTop w:val="0"/>
      <w:marBottom w:val="0"/>
      <w:divBdr>
        <w:top w:val="none" w:sz="0" w:space="0" w:color="auto"/>
        <w:left w:val="none" w:sz="0" w:space="0" w:color="auto"/>
        <w:bottom w:val="none" w:sz="0" w:space="0" w:color="auto"/>
        <w:right w:val="none" w:sz="0" w:space="0" w:color="auto"/>
      </w:divBdr>
    </w:div>
    <w:div w:id="1300453287">
      <w:bodyDiv w:val="1"/>
      <w:marLeft w:val="0"/>
      <w:marRight w:val="0"/>
      <w:marTop w:val="0"/>
      <w:marBottom w:val="0"/>
      <w:divBdr>
        <w:top w:val="none" w:sz="0" w:space="0" w:color="auto"/>
        <w:left w:val="none" w:sz="0" w:space="0" w:color="auto"/>
        <w:bottom w:val="none" w:sz="0" w:space="0" w:color="auto"/>
        <w:right w:val="none" w:sz="0" w:space="0" w:color="auto"/>
      </w:divBdr>
    </w:div>
    <w:div w:id="1319071927">
      <w:bodyDiv w:val="1"/>
      <w:marLeft w:val="0"/>
      <w:marRight w:val="0"/>
      <w:marTop w:val="0"/>
      <w:marBottom w:val="0"/>
      <w:divBdr>
        <w:top w:val="none" w:sz="0" w:space="0" w:color="auto"/>
        <w:left w:val="none" w:sz="0" w:space="0" w:color="auto"/>
        <w:bottom w:val="none" w:sz="0" w:space="0" w:color="auto"/>
        <w:right w:val="none" w:sz="0" w:space="0" w:color="auto"/>
      </w:divBdr>
    </w:div>
    <w:div w:id="1447043935">
      <w:bodyDiv w:val="1"/>
      <w:marLeft w:val="0"/>
      <w:marRight w:val="0"/>
      <w:marTop w:val="0"/>
      <w:marBottom w:val="0"/>
      <w:divBdr>
        <w:top w:val="none" w:sz="0" w:space="0" w:color="auto"/>
        <w:left w:val="none" w:sz="0" w:space="0" w:color="auto"/>
        <w:bottom w:val="none" w:sz="0" w:space="0" w:color="auto"/>
        <w:right w:val="none" w:sz="0" w:space="0" w:color="auto"/>
      </w:divBdr>
    </w:div>
    <w:div w:id="1479954584">
      <w:bodyDiv w:val="1"/>
      <w:marLeft w:val="0"/>
      <w:marRight w:val="0"/>
      <w:marTop w:val="0"/>
      <w:marBottom w:val="0"/>
      <w:divBdr>
        <w:top w:val="none" w:sz="0" w:space="0" w:color="auto"/>
        <w:left w:val="none" w:sz="0" w:space="0" w:color="auto"/>
        <w:bottom w:val="none" w:sz="0" w:space="0" w:color="auto"/>
        <w:right w:val="none" w:sz="0" w:space="0" w:color="auto"/>
      </w:divBdr>
    </w:div>
    <w:div w:id="1481264717">
      <w:bodyDiv w:val="1"/>
      <w:marLeft w:val="0"/>
      <w:marRight w:val="0"/>
      <w:marTop w:val="0"/>
      <w:marBottom w:val="0"/>
      <w:divBdr>
        <w:top w:val="none" w:sz="0" w:space="0" w:color="auto"/>
        <w:left w:val="none" w:sz="0" w:space="0" w:color="auto"/>
        <w:bottom w:val="none" w:sz="0" w:space="0" w:color="auto"/>
        <w:right w:val="none" w:sz="0" w:space="0" w:color="auto"/>
      </w:divBdr>
    </w:div>
    <w:div w:id="1501041712">
      <w:bodyDiv w:val="1"/>
      <w:marLeft w:val="0"/>
      <w:marRight w:val="0"/>
      <w:marTop w:val="0"/>
      <w:marBottom w:val="0"/>
      <w:divBdr>
        <w:top w:val="none" w:sz="0" w:space="0" w:color="auto"/>
        <w:left w:val="none" w:sz="0" w:space="0" w:color="auto"/>
        <w:bottom w:val="none" w:sz="0" w:space="0" w:color="auto"/>
        <w:right w:val="none" w:sz="0" w:space="0" w:color="auto"/>
      </w:divBdr>
      <w:divsChild>
        <w:div w:id="801774953">
          <w:marLeft w:val="0"/>
          <w:marRight w:val="0"/>
          <w:marTop w:val="0"/>
          <w:marBottom w:val="0"/>
          <w:divBdr>
            <w:top w:val="none" w:sz="0" w:space="0" w:color="auto"/>
            <w:left w:val="none" w:sz="0" w:space="0" w:color="auto"/>
            <w:bottom w:val="none" w:sz="0" w:space="0" w:color="auto"/>
            <w:right w:val="none" w:sz="0" w:space="0" w:color="auto"/>
          </w:divBdr>
        </w:div>
        <w:div w:id="1372732746">
          <w:marLeft w:val="0"/>
          <w:marRight w:val="0"/>
          <w:marTop w:val="0"/>
          <w:marBottom w:val="0"/>
          <w:divBdr>
            <w:top w:val="none" w:sz="0" w:space="0" w:color="auto"/>
            <w:left w:val="none" w:sz="0" w:space="0" w:color="auto"/>
            <w:bottom w:val="none" w:sz="0" w:space="0" w:color="auto"/>
            <w:right w:val="none" w:sz="0" w:space="0" w:color="auto"/>
          </w:divBdr>
        </w:div>
        <w:div w:id="1225338023">
          <w:marLeft w:val="0"/>
          <w:marRight w:val="0"/>
          <w:marTop w:val="0"/>
          <w:marBottom w:val="0"/>
          <w:divBdr>
            <w:top w:val="none" w:sz="0" w:space="0" w:color="auto"/>
            <w:left w:val="none" w:sz="0" w:space="0" w:color="auto"/>
            <w:bottom w:val="none" w:sz="0" w:space="0" w:color="auto"/>
            <w:right w:val="none" w:sz="0" w:space="0" w:color="auto"/>
          </w:divBdr>
        </w:div>
        <w:div w:id="217978892">
          <w:marLeft w:val="0"/>
          <w:marRight w:val="0"/>
          <w:marTop w:val="0"/>
          <w:marBottom w:val="0"/>
          <w:divBdr>
            <w:top w:val="none" w:sz="0" w:space="0" w:color="auto"/>
            <w:left w:val="none" w:sz="0" w:space="0" w:color="auto"/>
            <w:bottom w:val="none" w:sz="0" w:space="0" w:color="auto"/>
            <w:right w:val="none" w:sz="0" w:space="0" w:color="auto"/>
          </w:divBdr>
        </w:div>
        <w:div w:id="573587082">
          <w:marLeft w:val="0"/>
          <w:marRight w:val="0"/>
          <w:marTop w:val="0"/>
          <w:marBottom w:val="0"/>
          <w:divBdr>
            <w:top w:val="none" w:sz="0" w:space="0" w:color="auto"/>
            <w:left w:val="none" w:sz="0" w:space="0" w:color="auto"/>
            <w:bottom w:val="none" w:sz="0" w:space="0" w:color="auto"/>
            <w:right w:val="none" w:sz="0" w:space="0" w:color="auto"/>
          </w:divBdr>
        </w:div>
        <w:div w:id="1069812831">
          <w:marLeft w:val="0"/>
          <w:marRight w:val="0"/>
          <w:marTop w:val="0"/>
          <w:marBottom w:val="0"/>
          <w:divBdr>
            <w:top w:val="none" w:sz="0" w:space="0" w:color="auto"/>
            <w:left w:val="none" w:sz="0" w:space="0" w:color="auto"/>
            <w:bottom w:val="none" w:sz="0" w:space="0" w:color="auto"/>
            <w:right w:val="none" w:sz="0" w:space="0" w:color="auto"/>
          </w:divBdr>
        </w:div>
        <w:div w:id="862791955">
          <w:marLeft w:val="0"/>
          <w:marRight w:val="0"/>
          <w:marTop w:val="0"/>
          <w:marBottom w:val="0"/>
          <w:divBdr>
            <w:top w:val="none" w:sz="0" w:space="0" w:color="auto"/>
            <w:left w:val="none" w:sz="0" w:space="0" w:color="auto"/>
            <w:bottom w:val="none" w:sz="0" w:space="0" w:color="auto"/>
            <w:right w:val="none" w:sz="0" w:space="0" w:color="auto"/>
          </w:divBdr>
        </w:div>
        <w:div w:id="1202129253">
          <w:marLeft w:val="0"/>
          <w:marRight w:val="0"/>
          <w:marTop w:val="0"/>
          <w:marBottom w:val="0"/>
          <w:divBdr>
            <w:top w:val="none" w:sz="0" w:space="0" w:color="auto"/>
            <w:left w:val="none" w:sz="0" w:space="0" w:color="auto"/>
            <w:bottom w:val="none" w:sz="0" w:space="0" w:color="auto"/>
            <w:right w:val="none" w:sz="0" w:space="0" w:color="auto"/>
          </w:divBdr>
        </w:div>
        <w:div w:id="1714620096">
          <w:marLeft w:val="0"/>
          <w:marRight w:val="0"/>
          <w:marTop w:val="0"/>
          <w:marBottom w:val="0"/>
          <w:divBdr>
            <w:top w:val="none" w:sz="0" w:space="0" w:color="auto"/>
            <w:left w:val="none" w:sz="0" w:space="0" w:color="auto"/>
            <w:bottom w:val="none" w:sz="0" w:space="0" w:color="auto"/>
            <w:right w:val="none" w:sz="0" w:space="0" w:color="auto"/>
          </w:divBdr>
        </w:div>
        <w:div w:id="1841310707">
          <w:marLeft w:val="0"/>
          <w:marRight w:val="0"/>
          <w:marTop w:val="0"/>
          <w:marBottom w:val="0"/>
          <w:divBdr>
            <w:top w:val="none" w:sz="0" w:space="0" w:color="auto"/>
            <w:left w:val="none" w:sz="0" w:space="0" w:color="auto"/>
            <w:bottom w:val="none" w:sz="0" w:space="0" w:color="auto"/>
            <w:right w:val="none" w:sz="0" w:space="0" w:color="auto"/>
          </w:divBdr>
        </w:div>
        <w:div w:id="611401941">
          <w:marLeft w:val="0"/>
          <w:marRight w:val="0"/>
          <w:marTop w:val="0"/>
          <w:marBottom w:val="0"/>
          <w:divBdr>
            <w:top w:val="none" w:sz="0" w:space="0" w:color="auto"/>
            <w:left w:val="none" w:sz="0" w:space="0" w:color="auto"/>
            <w:bottom w:val="none" w:sz="0" w:space="0" w:color="auto"/>
            <w:right w:val="none" w:sz="0" w:space="0" w:color="auto"/>
          </w:divBdr>
        </w:div>
      </w:divsChild>
    </w:div>
    <w:div w:id="1516115163">
      <w:bodyDiv w:val="1"/>
      <w:marLeft w:val="0"/>
      <w:marRight w:val="0"/>
      <w:marTop w:val="0"/>
      <w:marBottom w:val="0"/>
      <w:divBdr>
        <w:top w:val="none" w:sz="0" w:space="0" w:color="auto"/>
        <w:left w:val="none" w:sz="0" w:space="0" w:color="auto"/>
        <w:bottom w:val="none" w:sz="0" w:space="0" w:color="auto"/>
        <w:right w:val="none" w:sz="0" w:space="0" w:color="auto"/>
      </w:divBdr>
    </w:div>
    <w:div w:id="1594313762">
      <w:bodyDiv w:val="1"/>
      <w:marLeft w:val="0"/>
      <w:marRight w:val="0"/>
      <w:marTop w:val="0"/>
      <w:marBottom w:val="0"/>
      <w:divBdr>
        <w:top w:val="none" w:sz="0" w:space="0" w:color="auto"/>
        <w:left w:val="none" w:sz="0" w:space="0" w:color="auto"/>
        <w:bottom w:val="none" w:sz="0" w:space="0" w:color="auto"/>
        <w:right w:val="none" w:sz="0" w:space="0" w:color="auto"/>
      </w:divBdr>
    </w:div>
    <w:div w:id="1688286851">
      <w:bodyDiv w:val="1"/>
      <w:marLeft w:val="0"/>
      <w:marRight w:val="0"/>
      <w:marTop w:val="0"/>
      <w:marBottom w:val="0"/>
      <w:divBdr>
        <w:top w:val="none" w:sz="0" w:space="0" w:color="auto"/>
        <w:left w:val="none" w:sz="0" w:space="0" w:color="auto"/>
        <w:bottom w:val="none" w:sz="0" w:space="0" w:color="auto"/>
        <w:right w:val="none" w:sz="0" w:space="0" w:color="auto"/>
      </w:divBdr>
      <w:divsChild>
        <w:div w:id="136456851">
          <w:marLeft w:val="0"/>
          <w:marRight w:val="0"/>
          <w:marTop w:val="0"/>
          <w:marBottom w:val="0"/>
          <w:divBdr>
            <w:top w:val="none" w:sz="0" w:space="0" w:color="auto"/>
            <w:left w:val="none" w:sz="0" w:space="0" w:color="auto"/>
            <w:bottom w:val="none" w:sz="0" w:space="0" w:color="auto"/>
            <w:right w:val="none" w:sz="0" w:space="0" w:color="auto"/>
          </w:divBdr>
        </w:div>
        <w:div w:id="1731223973">
          <w:marLeft w:val="0"/>
          <w:marRight w:val="0"/>
          <w:marTop w:val="0"/>
          <w:marBottom w:val="0"/>
          <w:divBdr>
            <w:top w:val="none" w:sz="0" w:space="0" w:color="auto"/>
            <w:left w:val="none" w:sz="0" w:space="0" w:color="auto"/>
            <w:bottom w:val="none" w:sz="0" w:space="0" w:color="auto"/>
            <w:right w:val="none" w:sz="0" w:space="0" w:color="auto"/>
          </w:divBdr>
        </w:div>
        <w:div w:id="314381561">
          <w:marLeft w:val="0"/>
          <w:marRight w:val="0"/>
          <w:marTop w:val="0"/>
          <w:marBottom w:val="0"/>
          <w:divBdr>
            <w:top w:val="none" w:sz="0" w:space="0" w:color="auto"/>
            <w:left w:val="none" w:sz="0" w:space="0" w:color="auto"/>
            <w:bottom w:val="none" w:sz="0" w:space="0" w:color="auto"/>
            <w:right w:val="none" w:sz="0" w:space="0" w:color="auto"/>
          </w:divBdr>
        </w:div>
        <w:div w:id="720598972">
          <w:marLeft w:val="0"/>
          <w:marRight w:val="0"/>
          <w:marTop w:val="0"/>
          <w:marBottom w:val="0"/>
          <w:divBdr>
            <w:top w:val="none" w:sz="0" w:space="0" w:color="auto"/>
            <w:left w:val="none" w:sz="0" w:space="0" w:color="auto"/>
            <w:bottom w:val="none" w:sz="0" w:space="0" w:color="auto"/>
            <w:right w:val="none" w:sz="0" w:space="0" w:color="auto"/>
          </w:divBdr>
        </w:div>
        <w:div w:id="471558084">
          <w:marLeft w:val="0"/>
          <w:marRight w:val="0"/>
          <w:marTop w:val="0"/>
          <w:marBottom w:val="0"/>
          <w:divBdr>
            <w:top w:val="none" w:sz="0" w:space="0" w:color="auto"/>
            <w:left w:val="none" w:sz="0" w:space="0" w:color="auto"/>
            <w:bottom w:val="none" w:sz="0" w:space="0" w:color="auto"/>
            <w:right w:val="none" w:sz="0" w:space="0" w:color="auto"/>
          </w:divBdr>
        </w:div>
        <w:div w:id="1833519604">
          <w:marLeft w:val="0"/>
          <w:marRight w:val="0"/>
          <w:marTop w:val="0"/>
          <w:marBottom w:val="0"/>
          <w:divBdr>
            <w:top w:val="none" w:sz="0" w:space="0" w:color="auto"/>
            <w:left w:val="none" w:sz="0" w:space="0" w:color="auto"/>
            <w:bottom w:val="none" w:sz="0" w:space="0" w:color="auto"/>
            <w:right w:val="none" w:sz="0" w:space="0" w:color="auto"/>
          </w:divBdr>
        </w:div>
        <w:div w:id="919632433">
          <w:marLeft w:val="0"/>
          <w:marRight w:val="0"/>
          <w:marTop w:val="0"/>
          <w:marBottom w:val="0"/>
          <w:divBdr>
            <w:top w:val="none" w:sz="0" w:space="0" w:color="auto"/>
            <w:left w:val="none" w:sz="0" w:space="0" w:color="auto"/>
            <w:bottom w:val="none" w:sz="0" w:space="0" w:color="auto"/>
            <w:right w:val="none" w:sz="0" w:space="0" w:color="auto"/>
          </w:divBdr>
        </w:div>
        <w:div w:id="1481581035">
          <w:marLeft w:val="0"/>
          <w:marRight w:val="0"/>
          <w:marTop w:val="0"/>
          <w:marBottom w:val="0"/>
          <w:divBdr>
            <w:top w:val="none" w:sz="0" w:space="0" w:color="auto"/>
            <w:left w:val="none" w:sz="0" w:space="0" w:color="auto"/>
            <w:bottom w:val="none" w:sz="0" w:space="0" w:color="auto"/>
            <w:right w:val="none" w:sz="0" w:space="0" w:color="auto"/>
          </w:divBdr>
        </w:div>
        <w:div w:id="1431196464">
          <w:marLeft w:val="0"/>
          <w:marRight w:val="0"/>
          <w:marTop w:val="0"/>
          <w:marBottom w:val="0"/>
          <w:divBdr>
            <w:top w:val="none" w:sz="0" w:space="0" w:color="auto"/>
            <w:left w:val="none" w:sz="0" w:space="0" w:color="auto"/>
            <w:bottom w:val="none" w:sz="0" w:space="0" w:color="auto"/>
            <w:right w:val="none" w:sz="0" w:space="0" w:color="auto"/>
          </w:divBdr>
        </w:div>
        <w:div w:id="1868828721">
          <w:marLeft w:val="0"/>
          <w:marRight w:val="0"/>
          <w:marTop w:val="0"/>
          <w:marBottom w:val="0"/>
          <w:divBdr>
            <w:top w:val="none" w:sz="0" w:space="0" w:color="auto"/>
            <w:left w:val="none" w:sz="0" w:space="0" w:color="auto"/>
            <w:bottom w:val="none" w:sz="0" w:space="0" w:color="auto"/>
            <w:right w:val="none" w:sz="0" w:space="0" w:color="auto"/>
          </w:divBdr>
        </w:div>
        <w:div w:id="867837053">
          <w:marLeft w:val="0"/>
          <w:marRight w:val="0"/>
          <w:marTop w:val="0"/>
          <w:marBottom w:val="0"/>
          <w:divBdr>
            <w:top w:val="none" w:sz="0" w:space="0" w:color="auto"/>
            <w:left w:val="none" w:sz="0" w:space="0" w:color="auto"/>
            <w:bottom w:val="none" w:sz="0" w:space="0" w:color="auto"/>
            <w:right w:val="none" w:sz="0" w:space="0" w:color="auto"/>
          </w:divBdr>
        </w:div>
      </w:divsChild>
    </w:div>
    <w:div w:id="1772504926">
      <w:bodyDiv w:val="1"/>
      <w:marLeft w:val="0"/>
      <w:marRight w:val="0"/>
      <w:marTop w:val="0"/>
      <w:marBottom w:val="0"/>
      <w:divBdr>
        <w:top w:val="none" w:sz="0" w:space="0" w:color="auto"/>
        <w:left w:val="none" w:sz="0" w:space="0" w:color="auto"/>
        <w:bottom w:val="none" w:sz="0" w:space="0" w:color="auto"/>
        <w:right w:val="none" w:sz="0" w:space="0" w:color="auto"/>
      </w:divBdr>
    </w:div>
    <w:div w:id="211894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2-corte-idh-caso-velasquez-rodriguez-vs-honduras-fondo-sentencia-de-29-de-julio-de-1988-serie-c-no-4" TargetMode="External"/><Relationship Id="rId13" Type="http://schemas.openxmlformats.org/officeDocument/2006/relationships/hyperlink" Target="http://joomla.corteidh.or.cr:8080/joomla/es/jurisprudencia-oc-2/38-jurisprudencia/728-corte-idh-caso-baldeon-garcia-vs-peru-fondo-reparaciones-y-costas-sentencia-de-6-de-abril-de-2006-serie-c-no-147" TargetMode="External"/><Relationship Id="rId3" Type="http://schemas.openxmlformats.org/officeDocument/2006/relationships/hyperlink" Target="http://www.centrodememoriahistorica.gov.co/micrositios/desaparicionForzada/libros-tomo2.html." TargetMode="External"/><Relationship Id="rId7" Type="http://schemas.openxmlformats.org/officeDocument/2006/relationships/hyperlink" Target="http://www.cidh.org/countryrep/Colombia93sp/indice.htm" TargetMode="External"/><Relationship Id="rId12" Type="http://schemas.openxmlformats.org/officeDocument/2006/relationships/hyperlink" Target="http://joomla.corteidh.or.cr:8080/joomla/es/jurisprudencia-oc-2/38-jurisprudencia/731-corte-idh-caso-de-las-masacres-de-ituango-vs-colombia-sentencia-de-1-de-julio-de-2006-serie-c-no-148" TargetMode="External"/><Relationship Id="rId2" Type="http://schemas.openxmlformats.org/officeDocument/2006/relationships/hyperlink" Target="http://www.centrodememoriahistorica.gov.co/micrositios/desaparicionForzada/libros-tomo2.html." TargetMode="External"/><Relationship Id="rId1" Type="http://schemas.openxmlformats.org/officeDocument/2006/relationships/hyperlink" Target="http://www.centrodememoriahistorica.gov.co/micrositios/desaparicionForzada/libros-tomo2.html." TargetMode="External"/><Relationship Id="rId6" Type="http://schemas.openxmlformats.org/officeDocument/2006/relationships/hyperlink" Target="file:///C:\Users\SSerrano\AppData\Local\Microsoft\Windows\Temporary%20Internet%20Files\Content.Outlook\PIH4FZLO\Disponible%20en:%20http:\www.cidh.org\countryrep\Colombia93sp\indice.htm" TargetMode="External"/><Relationship Id="rId11" Type="http://schemas.openxmlformats.org/officeDocument/2006/relationships/hyperlink" Target="http://joomla.corteidh.or.cr:8080/joomla/es/jurisprudencia-oc-2/38-jurisprudencia/741-corte-idh-caso-vargas-areco-vs-paraguay-sentencia-de-26-de-septiembre-de-2006-serie-c-no-155" TargetMode="External"/><Relationship Id="rId5" Type="http://schemas.openxmlformats.org/officeDocument/2006/relationships/hyperlink" Target="http://www.cidh.org/countryrep/Colombia93sp/cap.8.htm." TargetMode="External"/><Relationship Id="rId10"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4" Type="http://schemas.openxmlformats.org/officeDocument/2006/relationships/hyperlink" Target="http://www.centrodememoriahistorica.gov.co/micrositios/desaparicionForzada/libros-tomo2.html." TargetMode="External"/><Relationship Id="rId9"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4"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402590" algn="just"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BA38-7398-40FE-B403-076A3B75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11052</Words>
  <Characters>63002</Characters>
  <Application>Microsoft Office Word</Application>
  <DocSecurity>0</DocSecurity>
  <Lines>525</Lines>
  <Paragraphs>147</Paragraphs>
  <ScaleCrop>false</ScaleCrop>
  <Company/>
  <LinksUpToDate>false</LinksUpToDate>
  <CharactersWithSpaces>73907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2020-11-03T16:15:00Z</dcterms:created>
  <dcterms:modified xsi:type="dcterms:W3CDTF">2020-11-03T16:15:00Z</dcterms:modified>
</cp:coreProperties>
</file>