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4A0B" w14:textId="77777777" w:rsidR="00040C3A" w:rsidRPr="00824696" w:rsidRDefault="00D306D1" w:rsidP="00627C9F">
      <w:pPr>
        <w:jc w:val="both"/>
        <w:rPr>
          <w:rFonts w:asciiTheme="majorHAnsi" w:hAnsiTheme="majorHAnsi" w:cs="Univers"/>
          <w:b/>
          <w:bCs/>
          <w:sz w:val="22"/>
          <w:szCs w:val="22"/>
          <w:lang w:val="es-ES_tradnl"/>
        </w:rPr>
      </w:pPr>
      <w:r w:rsidRPr="0082469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60C2DF7" wp14:editId="2C4C4ED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BAC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2469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679A6D0" wp14:editId="0401341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4B25E" w14:textId="77777777" w:rsidR="0035435A" w:rsidRDefault="0035435A" w:rsidP="00AE5488">
                            <w:r>
                              <w:rPr>
                                <w:noProof/>
                              </w:rPr>
                              <w:drawing>
                                <wp:inline distT="0" distB="0" distL="0" distR="0" wp14:anchorId="51CD1ECC" wp14:editId="452350F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9A6D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F54B25E" w14:textId="77777777" w:rsidR="0035435A" w:rsidRDefault="0035435A" w:rsidP="00AE5488">
                      <w:r>
                        <w:rPr>
                          <w:noProof/>
                        </w:rPr>
                        <w:drawing>
                          <wp:inline distT="0" distB="0" distL="0" distR="0" wp14:anchorId="51CD1ECC" wp14:editId="452350F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F42CD" w:rsidRPr="00824696">
        <w:rPr>
          <w:rFonts w:asciiTheme="majorHAnsi" w:hAnsiTheme="majorHAnsi" w:cs="Univers"/>
          <w:b/>
          <w:bCs/>
          <w:sz w:val="22"/>
          <w:szCs w:val="22"/>
          <w:lang w:val="es-ES_tradnl"/>
        </w:rPr>
        <w:t xml:space="preserve"> </w:t>
      </w:r>
    </w:p>
    <w:p w14:paraId="4B3B8979" w14:textId="77777777" w:rsidR="00040C3A" w:rsidRPr="00824696" w:rsidRDefault="00040C3A" w:rsidP="00040C3A">
      <w:pPr>
        <w:tabs>
          <w:tab w:val="center" w:pos="5400"/>
        </w:tabs>
        <w:suppressAutoHyphens/>
        <w:jc w:val="both"/>
        <w:rPr>
          <w:rFonts w:asciiTheme="majorHAnsi" w:hAnsiTheme="majorHAnsi"/>
          <w:sz w:val="22"/>
          <w:szCs w:val="22"/>
          <w:lang w:val="es-ES_tradnl"/>
        </w:rPr>
      </w:pPr>
    </w:p>
    <w:p w14:paraId="4615BC00" w14:textId="77777777" w:rsidR="00040C3A" w:rsidRPr="00824696" w:rsidRDefault="00040C3A" w:rsidP="00040C3A">
      <w:pPr>
        <w:tabs>
          <w:tab w:val="center" w:pos="5400"/>
        </w:tabs>
        <w:suppressAutoHyphens/>
        <w:jc w:val="both"/>
        <w:rPr>
          <w:rFonts w:asciiTheme="majorHAnsi" w:hAnsiTheme="majorHAnsi"/>
          <w:sz w:val="22"/>
          <w:szCs w:val="22"/>
          <w:lang w:val="es-ES_tradnl"/>
        </w:rPr>
      </w:pPr>
    </w:p>
    <w:p w14:paraId="4ADA2C0F" w14:textId="77777777" w:rsidR="005128E4" w:rsidRPr="00824696" w:rsidRDefault="005128E4" w:rsidP="00040C3A">
      <w:pPr>
        <w:tabs>
          <w:tab w:val="center" w:pos="5400"/>
        </w:tabs>
        <w:suppressAutoHyphens/>
        <w:rPr>
          <w:rFonts w:asciiTheme="majorHAnsi" w:hAnsiTheme="majorHAnsi"/>
          <w:sz w:val="22"/>
          <w:szCs w:val="22"/>
          <w:lang w:val="es-ES_tradnl"/>
        </w:rPr>
      </w:pPr>
    </w:p>
    <w:p w14:paraId="2ED9100B" w14:textId="77777777" w:rsidR="005128E4" w:rsidRPr="00824696" w:rsidRDefault="005128E4" w:rsidP="00040C3A">
      <w:pPr>
        <w:tabs>
          <w:tab w:val="center" w:pos="5400"/>
        </w:tabs>
        <w:suppressAutoHyphens/>
        <w:rPr>
          <w:rFonts w:asciiTheme="majorHAnsi" w:hAnsiTheme="majorHAnsi"/>
          <w:sz w:val="22"/>
          <w:szCs w:val="22"/>
          <w:lang w:val="es-ES_tradnl"/>
        </w:rPr>
      </w:pPr>
    </w:p>
    <w:p w14:paraId="5849529B" w14:textId="77777777" w:rsidR="005128E4" w:rsidRPr="00824696" w:rsidRDefault="005128E4" w:rsidP="00040C3A">
      <w:pPr>
        <w:tabs>
          <w:tab w:val="center" w:pos="5400"/>
        </w:tabs>
        <w:suppressAutoHyphens/>
        <w:rPr>
          <w:rFonts w:asciiTheme="majorHAnsi" w:hAnsiTheme="majorHAnsi"/>
          <w:sz w:val="22"/>
          <w:szCs w:val="22"/>
          <w:lang w:val="es-ES_tradnl"/>
        </w:rPr>
      </w:pPr>
    </w:p>
    <w:p w14:paraId="0FF2F1A2" w14:textId="77777777" w:rsidR="00040C3A" w:rsidRPr="00824696" w:rsidRDefault="00040C3A" w:rsidP="005128E4">
      <w:pPr>
        <w:tabs>
          <w:tab w:val="center" w:pos="5400"/>
        </w:tabs>
        <w:suppressAutoHyphens/>
        <w:jc w:val="center"/>
        <w:rPr>
          <w:rFonts w:asciiTheme="majorHAnsi" w:hAnsiTheme="majorHAnsi"/>
          <w:sz w:val="22"/>
          <w:szCs w:val="22"/>
          <w:lang w:val="es-ES_tradnl"/>
        </w:rPr>
      </w:pPr>
    </w:p>
    <w:p w14:paraId="762C87D9" w14:textId="77777777" w:rsidR="00040C3A" w:rsidRPr="00824696" w:rsidRDefault="00040C3A" w:rsidP="005128E4">
      <w:pPr>
        <w:tabs>
          <w:tab w:val="center" w:pos="5400"/>
        </w:tabs>
        <w:suppressAutoHyphens/>
        <w:jc w:val="center"/>
        <w:rPr>
          <w:rFonts w:asciiTheme="majorHAnsi" w:hAnsiTheme="majorHAnsi"/>
          <w:sz w:val="22"/>
          <w:szCs w:val="22"/>
          <w:lang w:val="es-ES_tradnl"/>
        </w:rPr>
      </w:pPr>
    </w:p>
    <w:p w14:paraId="25649249" w14:textId="77777777" w:rsidR="005B52B0" w:rsidRPr="00824696" w:rsidRDefault="005B52B0" w:rsidP="005128E4">
      <w:pPr>
        <w:tabs>
          <w:tab w:val="center" w:pos="5400"/>
        </w:tabs>
        <w:suppressAutoHyphens/>
        <w:jc w:val="center"/>
        <w:rPr>
          <w:rFonts w:asciiTheme="majorHAnsi" w:hAnsiTheme="majorHAnsi"/>
          <w:sz w:val="22"/>
          <w:szCs w:val="22"/>
          <w:lang w:val="es-ES_tradnl"/>
        </w:rPr>
      </w:pPr>
    </w:p>
    <w:p w14:paraId="1E4CB724" w14:textId="77777777" w:rsidR="005B52B0" w:rsidRPr="00824696" w:rsidRDefault="005B52B0" w:rsidP="005128E4">
      <w:pPr>
        <w:tabs>
          <w:tab w:val="center" w:pos="5400"/>
        </w:tabs>
        <w:suppressAutoHyphens/>
        <w:jc w:val="center"/>
        <w:rPr>
          <w:rFonts w:asciiTheme="majorHAnsi" w:hAnsiTheme="majorHAnsi"/>
          <w:sz w:val="22"/>
          <w:szCs w:val="22"/>
          <w:lang w:val="es-ES_tradnl"/>
        </w:rPr>
      </w:pPr>
    </w:p>
    <w:p w14:paraId="001A9189" w14:textId="77777777" w:rsidR="005B52B0" w:rsidRPr="00824696" w:rsidRDefault="005B52B0" w:rsidP="005128E4">
      <w:pPr>
        <w:tabs>
          <w:tab w:val="center" w:pos="5400"/>
        </w:tabs>
        <w:suppressAutoHyphens/>
        <w:jc w:val="center"/>
        <w:rPr>
          <w:rFonts w:asciiTheme="majorHAnsi" w:hAnsiTheme="majorHAnsi"/>
          <w:sz w:val="22"/>
          <w:szCs w:val="22"/>
          <w:lang w:val="es-ES_tradnl"/>
        </w:rPr>
      </w:pPr>
    </w:p>
    <w:p w14:paraId="164DE3C1"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45271252"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06F6A645" w14:textId="77777777" w:rsidR="00040C3A" w:rsidRPr="00824696" w:rsidRDefault="0011380E" w:rsidP="00040C3A">
      <w:pPr>
        <w:tabs>
          <w:tab w:val="center" w:pos="5400"/>
        </w:tabs>
        <w:suppressAutoHyphens/>
        <w:jc w:val="center"/>
        <w:rPr>
          <w:rFonts w:asciiTheme="majorHAnsi" w:hAnsiTheme="majorHAnsi"/>
          <w:sz w:val="22"/>
          <w:szCs w:val="22"/>
          <w:lang w:val="es-ES_tradnl"/>
        </w:rPr>
      </w:pPr>
      <w:r w:rsidRPr="0082469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D37DE26" wp14:editId="23522D73">
                <wp:simplePos x="0" y="0"/>
                <wp:positionH relativeFrom="column">
                  <wp:posOffset>-416966</wp:posOffset>
                </wp:positionH>
                <wp:positionV relativeFrom="paragraph">
                  <wp:posOffset>167818</wp:posOffset>
                </wp:positionV>
                <wp:extent cx="1463802"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3802"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A4322" w14:textId="77777777" w:rsidR="0035435A" w:rsidRPr="00EB061A" w:rsidRDefault="004D2437" w:rsidP="007A5817">
                            <w:pPr>
                              <w:spacing w:line="276" w:lineRule="auto"/>
                              <w:jc w:val="right"/>
                              <w:rPr>
                                <w:rFonts w:asciiTheme="minorHAnsi" w:hAnsiTheme="minorHAnsi"/>
                                <w:color w:val="FFFFFF" w:themeColor="background1"/>
                                <w:sz w:val="22"/>
                                <w:lang w:val="pt-BR"/>
                              </w:rPr>
                            </w:pPr>
                            <w:r w:rsidRPr="00EB061A">
                              <w:rPr>
                                <w:rFonts w:asciiTheme="minorHAnsi" w:hAnsiTheme="minorHAnsi"/>
                                <w:color w:val="FFFFFF" w:themeColor="background1"/>
                                <w:sz w:val="22"/>
                                <w:lang w:val="pt-BR"/>
                              </w:rPr>
                              <w:t>OEA/Ser.L/V/II.174</w:t>
                            </w:r>
                          </w:p>
                          <w:p w14:paraId="0A3E4227" w14:textId="77777777" w:rsidR="0035435A" w:rsidRPr="00EB061A" w:rsidRDefault="004D2437" w:rsidP="007A5817">
                            <w:pPr>
                              <w:spacing w:line="276" w:lineRule="auto"/>
                              <w:jc w:val="right"/>
                              <w:rPr>
                                <w:rFonts w:asciiTheme="minorHAnsi" w:hAnsiTheme="minorHAnsi"/>
                                <w:color w:val="FFFFFF" w:themeColor="background1"/>
                                <w:sz w:val="22"/>
                                <w:lang w:val="pt-BR"/>
                              </w:rPr>
                            </w:pPr>
                            <w:r w:rsidRPr="00EB061A">
                              <w:rPr>
                                <w:rFonts w:asciiTheme="minorHAnsi" w:hAnsiTheme="minorHAnsi"/>
                                <w:color w:val="FFFFFF" w:themeColor="background1"/>
                                <w:sz w:val="22"/>
                                <w:lang w:val="pt-BR"/>
                              </w:rPr>
                              <w:t>Doc. 185</w:t>
                            </w:r>
                          </w:p>
                          <w:p w14:paraId="117C7AA2" w14:textId="77777777" w:rsidR="0035435A" w:rsidRPr="007C756A" w:rsidRDefault="00D75AED" w:rsidP="006351ED">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w:t>
                            </w:r>
                            <w:r w:rsidR="0035435A" w:rsidRPr="007C756A">
                              <w:rPr>
                                <w:rFonts w:asciiTheme="minorHAnsi" w:hAnsiTheme="minorHAnsi"/>
                                <w:color w:val="FFFFFF" w:themeColor="background1"/>
                                <w:sz w:val="22"/>
                                <w:lang w:val="es-US"/>
                              </w:rPr>
                              <w:t xml:space="preserve"> </w:t>
                            </w:r>
                            <w:r w:rsidR="0035435A">
                              <w:rPr>
                                <w:rFonts w:asciiTheme="minorHAnsi" w:hAnsiTheme="minorHAnsi"/>
                                <w:color w:val="FFFFFF" w:themeColor="background1"/>
                                <w:sz w:val="22"/>
                                <w:lang w:val="es-US"/>
                              </w:rPr>
                              <w:t>noviembre</w:t>
                            </w:r>
                            <w:r w:rsidR="0035435A" w:rsidRPr="007C756A">
                              <w:rPr>
                                <w:rFonts w:asciiTheme="minorHAnsi" w:hAnsiTheme="minorHAnsi"/>
                                <w:color w:val="FFFFFF" w:themeColor="background1"/>
                                <w:sz w:val="22"/>
                                <w:lang w:val="es-US"/>
                              </w:rPr>
                              <w:t xml:space="preserve"> 20</w:t>
                            </w:r>
                            <w:r w:rsidR="0035435A">
                              <w:rPr>
                                <w:rFonts w:asciiTheme="minorHAnsi" w:hAnsiTheme="minorHAnsi"/>
                                <w:color w:val="FFFFFF" w:themeColor="background1"/>
                                <w:sz w:val="22"/>
                                <w:lang w:val="es-US"/>
                              </w:rPr>
                              <w:t>19</w:t>
                            </w:r>
                          </w:p>
                          <w:p w14:paraId="6F794F9F" w14:textId="77777777" w:rsidR="0035435A" w:rsidRPr="007C756A" w:rsidRDefault="0035435A"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DE26" id="Text Box 8" o:spid="_x0000_s1027" type="#_x0000_t202" style="position:absolute;left:0;text-align:left;margin-left:-32.85pt;margin-top:13.2pt;width:115.2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" filled="f" stroked="f" strokeweight=".5pt">
                <v:textbox>
                  <w:txbxContent>
                    <w:p w14:paraId="238A4322" w14:textId="77777777" w:rsidR="0035435A" w:rsidRPr="00EB061A" w:rsidRDefault="004D2437" w:rsidP="007A5817">
                      <w:pPr>
                        <w:spacing w:line="276" w:lineRule="auto"/>
                        <w:jc w:val="right"/>
                        <w:rPr>
                          <w:rFonts w:asciiTheme="minorHAnsi" w:hAnsiTheme="minorHAnsi"/>
                          <w:color w:val="FFFFFF" w:themeColor="background1"/>
                          <w:sz w:val="22"/>
                          <w:lang w:val="pt-BR"/>
                        </w:rPr>
                      </w:pPr>
                      <w:r w:rsidRPr="00EB061A">
                        <w:rPr>
                          <w:rFonts w:asciiTheme="minorHAnsi" w:hAnsiTheme="minorHAnsi"/>
                          <w:color w:val="FFFFFF" w:themeColor="background1"/>
                          <w:sz w:val="22"/>
                          <w:lang w:val="pt-BR"/>
                        </w:rPr>
                        <w:t>OEA/Ser.L/V/II.174</w:t>
                      </w:r>
                    </w:p>
                    <w:p w14:paraId="0A3E4227" w14:textId="77777777" w:rsidR="0035435A" w:rsidRPr="00EB061A" w:rsidRDefault="004D2437" w:rsidP="007A5817">
                      <w:pPr>
                        <w:spacing w:line="276" w:lineRule="auto"/>
                        <w:jc w:val="right"/>
                        <w:rPr>
                          <w:rFonts w:asciiTheme="minorHAnsi" w:hAnsiTheme="minorHAnsi"/>
                          <w:color w:val="FFFFFF" w:themeColor="background1"/>
                          <w:sz w:val="22"/>
                          <w:lang w:val="pt-BR"/>
                        </w:rPr>
                      </w:pPr>
                      <w:r w:rsidRPr="00EB061A">
                        <w:rPr>
                          <w:rFonts w:asciiTheme="minorHAnsi" w:hAnsiTheme="minorHAnsi"/>
                          <w:color w:val="FFFFFF" w:themeColor="background1"/>
                          <w:sz w:val="22"/>
                          <w:lang w:val="pt-BR"/>
                        </w:rPr>
                        <w:t>Doc. 185</w:t>
                      </w:r>
                    </w:p>
                    <w:p w14:paraId="117C7AA2" w14:textId="77777777" w:rsidR="0035435A" w:rsidRPr="007C756A" w:rsidRDefault="00D75AED" w:rsidP="006351ED">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w:t>
                      </w:r>
                      <w:r w:rsidR="0035435A" w:rsidRPr="007C756A">
                        <w:rPr>
                          <w:rFonts w:asciiTheme="minorHAnsi" w:hAnsiTheme="minorHAnsi"/>
                          <w:color w:val="FFFFFF" w:themeColor="background1"/>
                          <w:sz w:val="22"/>
                          <w:lang w:val="es-US"/>
                        </w:rPr>
                        <w:t xml:space="preserve"> </w:t>
                      </w:r>
                      <w:r w:rsidR="0035435A">
                        <w:rPr>
                          <w:rFonts w:asciiTheme="minorHAnsi" w:hAnsiTheme="minorHAnsi"/>
                          <w:color w:val="FFFFFF" w:themeColor="background1"/>
                          <w:sz w:val="22"/>
                          <w:lang w:val="es-US"/>
                        </w:rPr>
                        <w:t>noviembre</w:t>
                      </w:r>
                      <w:r w:rsidR="0035435A" w:rsidRPr="007C756A">
                        <w:rPr>
                          <w:rFonts w:asciiTheme="minorHAnsi" w:hAnsiTheme="minorHAnsi"/>
                          <w:color w:val="FFFFFF" w:themeColor="background1"/>
                          <w:sz w:val="22"/>
                          <w:lang w:val="es-US"/>
                        </w:rPr>
                        <w:t xml:space="preserve"> 20</w:t>
                      </w:r>
                      <w:r w:rsidR="0035435A">
                        <w:rPr>
                          <w:rFonts w:asciiTheme="minorHAnsi" w:hAnsiTheme="minorHAnsi"/>
                          <w:color w:val="FFFFFF" w:themeColor="background1"/>
                          <w:sz w:val="22"/>
                          <w:lang w:val="es-US"/>
                        </w:rPr>
                        <w:t>19</w:t>
                      </w:r>
                    </w:p>
                    <w:p w14:paraId="6F794F9F" w14:textId="77777777" w:rsidR="0035435A" w:rsidRPr="007C756A" w:rsidRDefault="0035435A"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r w:rsidR="003D3BC2" w:rsidRPr="0082469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2A65FDC" wp14:editId="63B82E8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1B22A" w14:textId="77777777" w:rsidR="0035435A" w:rsidRPr="00A9586B" w:rsidRDefault="0035435A" w:rsidP="00997BC5">
                            <w:pPr>
                              <w:spacing w:line="276" w:lineRule="auto"/>
                              <w:rPr>
                                <w:rFonts w:asciiTheme="majorHAnsi" w:hAnsiTheme="majorHAnsi" w:cs="Arial"/>
                                <w:b/>
                                <w:bCs/>
                                <w:color w:val="0D0D0D" w:themeColor="text1" w:themeTint="F2"/>
                                <w:sz w:val="36"/>
                                <w:szCs w:val="22"/>
                                <w:lang w:val="es-US"/>
                              </w:rPr>
                            </w:pPr>
                            <w:r w:rsidRPr="00A9586B">
                              <w:rPr>
                                <w:rFonts w:asciiTheme="majorHAnsi" w:hAnsiTheme="majorHAnsi" w:cs="Arial"/>
                                <w:b/>
                                <w:bCs/>
                                <w:color w:val="0D0D0D" w:themeColor="text1" w:themeTint="F2"/>
                                <w:sz w:val="36"/>
                                <w:szCs w:val="22"/>
                                <w:lang w:val="es-US"/>
                              </w:rPr>
                              <w:t xml:space="preserve">INFORME </w:t>
                            </w:r>
                            <w:r w:rsidRPr="00A9586B">
                              <w:rPr>
                                <w:rFonts w:asciiTheme="majorHAnsi" w:hAnsiTheme="majorHAnsi" w:cs="Arial"/>
                                <w:b/>
                                <w:bCs/>
                                <w:color w:val="0D0D0D" w:themeColor="text1" w:themeTint="F2"/>
                                <w:sz w:val="36"/>
                                <w:szCs w:val="40"/>
                                <w:lang w:val="es-US"/>
                              </w:rPr>
                              <w:t>No.</w:t>
                            </w:r>
                            <w:r w:rsidR="004D2437">
                              <w:rPr>
                                <w:rFonts w:asciiTheme="majorHAnsi" w:hAnsiTheme="majorHAnsi" w:cs="Arial"/>
                                <w:b/>
                                <w:bCs/>
                                <w:color w:val="0D0D0D" w:themeColor="text1" w:themeTint="F2"/>
                                <w:sz w:val="36"/>
                                <w:szCs w:val="22"/>
                                <w:lang w:val="es-US"/>
                              </w:rPr>
                              <w:t xml:space="preserve"> 165</w:t>
                            </w:r>
                            <w:r w:rsidRPr="00A9586B">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19</w:t>
                            </w:r>
                          </w:p>
                          <w:p w14:paraId="318CE1E8" w14:textId="77777777" w:rsidR="0035435A" w:rsidRPr="00DF47DE" w:rsidRDefault="0035435A" w:rsidP="00997BC5">
                            <w:pPr>
                              <w:spacing w:line="276" w:lineRule="auto"/>
                              <w:rPr>
                                <w:rFonts w:asciiTheme="majorHAnsi" w:hAnsiTheme="majorHAnsi" w:cs="Arial"/>
                                <w:b/>
                                <w:color w:val="0D0D0D" w:themeColor="text1" w:themeTint="F2"/>
                                <w:sz w:val="36"/>
                                <w:szCs w:val="22"/>
                                <w:lang w:val="es-US"/>
                              </w:rPr>
                            </w:pPr>
                            <w:r>
                              <w:rPr>
                                <w:rFonts w:asciiTheme="majorHAnsi" w:hAnsiTheme="majorHAnsi" w:cs="Arial"/>
                                <w:b/>
                                <w:color w:val="0D0D0D" w:themeColor="text1" w:themeTint="F2"/>
                                <w:sz w:val="36"/>
                                <w:szCs w:val="22"/>
                                <w:lang w:val="es-US"/>
                              </w:rPr>
                              <w:t>CASO 12</w:t>
                            </w:r>
                            <w:r w:rsidRPr="00DF47DE">
                              <w:rPr>
                                <w:rFonts w:asciiTheme="majorHAnsi" w:hAnsiTheme="majorHAnsi" w:cs="Arial"/>
                                <w:b/>
                                <w:color w:val="0D0D0D" w:themeColor="text1" w:themeTint="F2"/>
                                <w:sz w:val="36"/>
                                <w:szCs w:val="22"/>
                                <w:lang w:val="es-US"/>
                              </w:rPr>
                              <w:t>.</w:t>
                            </w:r>
                            <w:r>
                              <w:rPr>
                                <w:rFonts w:asciiTheme="majorHAnsi" w:hAnsiTheme="majorHAnsi" w:cs="Arial"/>
                                <w:b/>
                                <w:color w:val="0D0D0D" w:themeColor="text1" w:themeTint="F2"/>
                                <w:sz w:val="36"/>
                                <w:szCs w:val="22"/>
                                <w:lang w:val="es-US"/>
                              </w:rPr>
                              <w:t>944</w:t>
                            </w:r>
                          </w:p>
                          <w:p w14:paraId="04C34372" w14:textId="77777777" w:rsidR="0035435A" w:rsidRPr="0010736F" w:rsidRDefault="0035435A"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51FF2ECD" w14:textId="77777777" w:rsidR="0035435A" w:rsidRPr="0010736F" w:rsidRDefault="0035435A" w:rsidP="00997BC5">
                            <w:pPr>
                              <w:spacing w:line="276" w:lineRule="auto"/>
                              <w:rPr>
                                <w:rFonts w:asciiTheme="majorHAnsi" w:hAnsiTheme="majorHAnsi" w:cs="Arial"/>
                                <w:color w:val="0D0D0D" w:themeColor="text1" w:themeTint="F2"/>
                                <w:szCs w:val="22"/>
                                <w:lang w:val="es-ES_tradnl"/>
                              </w:rPr>
                            </w:pPr>
                            <w:bookmarkStart w:id="0" w:name="_ftnref1"/>
                          </w:p>
                          <w:p w14:paraId="45B345C4" w14:textId="77777777" w:rsidR="0035435A" w:rsidRPr="0010736F" w:rsidRDefault="00FE59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BAPTISTE WILLER Y </w:t>
                            </w:r>
                            <w:r w:rsidR="000F50C1">
                              <w:rPr>
                                <w:rFonts w:asciiTheme="majorHAnsi" w:hAnsiTheme="majorHAnsi" w:cs="Arial"/>
                                <w:color w:val="0D0D0D" w:themeColor="text1" w:themeTint="F2"/>
                                <w:szCs w:val="22"/>
                                <w:lang w:val="es-ES_tradnl"/>
                              </w:rPr>
                              <w:t>FAMILIARES</w:t>
                            </w:r>
                          </w:p>
                          <w:bookmarkEnd w:id="0"/>
                          <w:p w14:paraId="09883B23" w14:textId="77777777" w:rsidR="0035435A" w:rsidRPr="0010736F" w:rsidRDefault="0035435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HAITI</w:t>
                            </w:r>
                          </w:p>
                          <w:p w14:paraId="4A515367" w14:textId="77777777" w:rsidR="0035435A" w:rsidRPr="00AE5488" w:rsidRDefault="0035435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5FDC"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7431B22A" w14:textId="77777777" w:rsidR="0035435A" w:rsidRPr="00A9586B" w:rsidRDefault="0035435A" w:rsidP="00997BC5">
                      <w:pPr>
                        <w:spacing w:line="276" w:lineRule="auto"/>
                        <w:rPr>
                          <w:rFonts w:asciiTheme="majorHAnsi" w:hAnsiTheme="majorHAnsi" w:cs="Arial"/>
                          <w:b/>
                          <w:bCs/>
                          <w:color w:val="0D0D0D" w:themeColor="text1" w:themeTint="F2"/>
                          <w:sz w:val="36"/>
                          <w:szCs w:val="22"/>
                          <w:lang w:val="es-US"/>
                        </w:rPr>
                      </w:pPr>
                      <w:r w:rsidRPr="00A9586B">
                        <w:rPr>
                          <w:rFonts w:asciiTheme="majorHAnsi" w:hAnsiTheme="majorHAnsi" w:cs="Arial"/>
                          <w:b/>
                          <w:bCs/>
                          <w:color w:val="0D0D0D" w:themeColor="text1" w:themeTint="F2"/>
                          <w:sz w:val="36"/>
                          <w:szCs w:val="22"/>
                          <w:lang w:val="es-US"/>
                        </w:rPr>
                        <w:t xml:space="preserve">INFORME </w:t>
                      </w:r>
                      <w:r w:rsidRPr="00A9586B">
                        <w:rPr>
                          <w:rFonts w:asciiTheme="majorHAnsi" w:hAnsiTheme="majorHAnsi" w:cs="Arial"/>
                          <w:b/>
                          <w:bCs/>
                          <w:color w:val="0D0D0D" w:themeColor="text1" w:themeTint="F2"/>
                          <w:sz w:val="36"/>
                          <w:szCs w:val="40"/>
                          <w:lang w:val="es-US"/>
                        </w:rPr>
                        <w:t>No.</w:t>
                      </w:r>
                      <w:r w:rsidR="004D2437">
                        <w:rPr>
                          <w:rFonts w:asciiTheme="majorHAnsi" w:hAnsiTheme="majorHAnsi" w:cs="Arial"/>
                          <w:b/>
                          <w:bCs/>
                          <w:color w:val="0D0D0D" w:themeColor="text1" w:themeTint="F2"/>
                          <w:sz w:val="36"/>
                          <w:szCs w:val="22"/>
                          <w:lang w:val="es-US"/>
                        </w:rPr>
                        <w:t xml:space="preserve"> 165</w:t>
                      </w:r>
                      <w:r w:rsidRPr="00A9586B">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19</w:t>
                      </w:r>
                    </w:p>
                    <w:p w14:paraId="318CE1E8" w14:textId="77777777" w:rsidR="0035435A" w:rsidRPr="00DF47DE" w:rsidRDefault="0035435A" w:rsidP="00997BC5">
                      <w:pPr>
                        <w:spacing w:line="276" w:lineRule="auto"/>
                        <w:rPr>
                          <w:rFonts w:asciiTheme="majorHAnsi" w:hAnsiTheme="majorHAnsi" w:cs="Arial"/>
                          <w:b/>
                          <w:color w:val="0D0D0D" w:themeColor="text1" w:themeTint="F2"/>
                          <w:sz w:val="36"/>
                          <w:szCs w:val="22"/>
                          <w:lang w:val="es-US"/>
                        </w:rPr>
                      </w:pPr>
                      <w:r>
                        <w:rPr>
                          <w:rFonts w:asciiTheme="majorHAnsi" w:hAnsiTheme="majorHAnsi" w:cs="Arial"/>
                          <w:b/>
                          <w:color w:val="0D0D0D" w:themeColor="text1" w:themeTint="F2"/>
                          <w:sz w:val="36"/>
                          <w:szCs w:val="22"/>
                          <w:lang w:val="es-US"/>
                        </w:rPr>
                        <w:t>CASO 12</w:t>
                      </w:r>
                      <w:r w:rsidRPr="00DF47DE">
                        <w:rPr>
                          <w:rFonts w:asciiTheme="majorHAnsi" w:hAnsiTheme="majorHAnsi" w:cs="Arial"/>
                          <w:b/>
                          <w:color w:val="0D0D0D" w:themeColor="text1" w:themeTint="F2"/>
                          <w:sz w:val="36"/>
                          <w:szCs w:val="22"/>
                          <w:lang w:val="es-US"/>
                        </w:rPr>
                        <w:t>.</w:t>
                      </w:r>
                      <w:r>
                        <w:rPr>
                          <w:rFonts w:asciiTheme="majorHAnsi" w:hAnsiTheme="majorHAnsi" w:cs="Arial"/>
                          <w:b/>
                          <w:color w:val="0D0D0D" w:themeColor="text1" w:themeTint="F2"/>
                          <w:sz w:val="36"/>
                          <w:szCs w:val="22"/>
                          <w:lang w:val="es-US"/>
                        </w:rPr>
                        <w:t>944</w:t>
                      </w:r>
                    </w:p>
                    <w:p w14:paraId="04C34372" w14:textId="77777777" w:rsidR="0035435A" w:rsidRPr="0010736F" w:rsidRDefault="0035435A"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51FF2ECD" w14:textId="77777777" w:rsidR="0035435A" w:rsidRPr="0010736F" w:rsidRDefault="0035435A" w:rsidP="00997BC5">
                      <w:pPr>
                        <w:spacing w:line="276" w:lineRule="auto"/>
                        <w:rPr>
                          <w:rFonts w:asciiTheme="majorHAnsi" w:hAnsiTheme="majorHAnsi" w:cs="Arial"/>
                          <w:color w:val="0D0D0D" w:themeColor="text1" w:themeTint="F2"/>
                          <w:szCs w:val="22"/>
                          <w:lang w:val="es-ES_tradnl"/>
                        </w:rPr>
                      </w:pPr>
                      <w:bookmarkStart w:id="1" w:name="_ftnref1"/>
                    </w:p>
                    <w:p w14:paraId="45B345C4" w14:textId="77777777" w:rsidR="0035435A" w:rsidRPr="0010736F" w:rsidRDefault="00FE596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BAPTISTE WILLER Y </w:t>
                      </w:r>
                      <w:r w:rsidR="000F50C1">
                        <w:rPr>
                          <w:rFonts w:asciiTheme="majorHAnsi" w:hAnsiTheme="majorHAnsi" w:cs="Arial"/>
                          <w:color w:val="0D0D0D" w:themeColor="text1" w:themeTint="F2"/>
                          <w:szCs w:val="22"/>
                          <w:lang w:val="es-ES_tradnl"/>
                        </w:rPr>
                        <w:t>FAMILIARES</w:t>
                      </w:r>
                    </w:p>
                    <w:bookmarkEnd w:id="1"/>
                    <w:p w14:paraId="09883B23" w14:textId="77777777" w:rsidR="0035435A" w:rsidRPr="0010736F" w:rsidRDefault="0035435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HAITI</w:t>
                      </w:r>
                    </w:p>
                    <w:p w14:paraId="4A515367" w14:textId="77777777" w:rsidR="0035435A" w:rsidRPr="00AE5488" w:rsidRDefault="0035435A" w:rsidP="007A5817">
                      <w:pPr>
                        <w:rPr>
                          <w:color w:val="0D0D0D" w:themeColor="text1" w:themeTint="F2"/>
                          <w:lang w:val="es-ES_tradnl"/>
                        </w:rPr>
                      </w:pPr>
                    </w:p>
                  </w:txbxContent>
                </v:textbox>
              </v:shape>
            </w:pict>
          </mc:Fallback>
        </mc:AlternateContent>
      </w:r>
    </w:p>
    <w:p w14:paraId="3F555FE3"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494C517E"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0FDF3A4C" w14:textId="77777777" w:rsidR="00040C3A" w:rsidRPr="00824696" w:rsidRDefault="00040C3A" w:rsidP="00040C3A">
      <w:pPr>
        <w:tabs>
          <w:tab w:val="center" w:pos="5400"/>
        </w:tabs>
        <w:suppressAutoHyphens/>
        <w:jc w:val="center"/>
        <w:rPr>
          <w:rFonts w:asciiTheme="majorHAnsi" w:hAnsiTheme="majorHAnsi" w:cs="Arial"/>
          <w:sz w:val="22"/>
          <w:szCs w:val="22"/>
          <w:lang w:val="es-ES_tradnl"/>
        </w:rPr>
      </w:pPr>
    </w:p>
    <w:p w14:paraId="01CC4231"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1413F758"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5D049E85"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154243F6"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2A360092" w14:textId="77777777" w:rsidR="005128E4" w:rsidRPr="00824696" w:rsidRDefault="005128E4" w:rsidP="00040C3A">
      <w:pPr>
        <w:tabs>
          <w:tab w:val="center" w:pos="5400"/>
        </w:tabs>
        <w:suppressAutoHyphens/>
        <w:jc w:val="center"/>
        <w:rPr>
          <w:rFonts w:asciiTheme="majorHAnsi" w:hAnsiTheme="majorHAnsi"/>
          <w:sz w:val="22"/>
          <w:szCs w:val="22"/>
          <w:lang w:val="es-ES_tradnl"/>
        </w:rPr>
      </w:pPr>
    </w:p>
    <w:p w14:paraId="74C0B076"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1F3E8D64" w14:textId="77777777" w:rsidR="005128E4" w:rsidRPr="00824696" w:rsidRDefault="005128E4" w:rsidP="00040C3A">
      <w:pPr>
        <w:tabs>
          <w:tab w:val="center" w:pos="5400"/>
        </w:tabs>
        <w:suppressAutoHyphens/>
        <w:jc w:val="center"/>
        <w:rPr>
          <w:rFonts w:asciiTheme="majorHAnsi" w:hAnsiTheme="majorHAnsi"/>
          <w:sz w:val="22"/>
          <w:szCs w:val="22"/>
          <w:lang w:val="es-ES_tradnl"/>
        </w:rPr>
      </w:pPr>
    </w:p>
    <w:p w14:paraId="3DC2E5CF" w14:textId="77777777" w:rsidR="005128E4" w:rsidRPr="00824696" w:rsidRDefault="005128E4" w:rsidP="00040C3A">
      <w:pPr>
        <w:tabs>
          <w:tab w:val="center" w:pos="5400"/>
        </w:tabs>
        <w:suppressAutoHyphens/>
        <w:jc w:val="center"/>
        <w:rPr>
          <w:rFonts w:asciiTheme="majorHAnsi" w:hAnsiTheme="majorHAnsi"/>
          <w:sz w:val="22"/>
          <w:szCs w:val="22"/>
          <w:lang w:val="es-ES_tradnl"/>
        </w:rPr>
      </w:pPr>
    </w:p>
    <w:p w14:paraId="78F6FDAD" w14:textId="77777777" w:rsidR="005128E4" w:rsidRPr="00824696" w:rsidRDefault="005128E4" w:rsidP="00040C3A">
      <w:pPr>
        <w:tabs>
          <w:tab w:val="center" w:pos="5400"/>
        </w:tabs>
        <w:suppressAutoHyphens/>
        <w:jc w:val="center"/>
        <w:rPr>
          <w:rFonts w:asciiTheme="majorHAnsi" w:hAnsiTheme="majorHAnsi"/>
          <w:sz w:val="22"/>
          <w:szCs w:val="22"/>
          <w:lang w:val="es-ES_tradnl"/>
        </w:rPr>
      </w:pPr>
    </w:p>
    <w:p w14:paraId="366EE0FE"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56BA2F96" w14:textId="77777777" w:rsidR="00040C3A" w:rsidRPr="00824696" w:rsidRDefault="00040C3A" w:rsidP="00040C3A">
      <w:pPr>
        <w:tabs>
          <w:tab w:val="center" w:pos="5400"/>
        </w:tabs>
        <w:suppressAutoHyphens/>
        <w:jc w:val="center"/>
        <w:rPr>
          <w:rFonts w:asciiTheme="majorHAnsi" w:hAnsiTheme="majorHAnsi"/>
          <w:sz w:val="22"/>
          <w:szCs w:val="22"/>
          <w:lang w:val="es-ES_tradnl"/>
        </w:rPr>
      </w:pPr>
    </w:p>
    <w:p w14:paraId="3FC079FD"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5614B959"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74176E62"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41F2AAC0"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158D590D"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6A9DFE45"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4A307FE6"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41A7646F"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4DC4D3E9"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13026677"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5E21AE62"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4D2BC68F"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236D3770"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2FF49536"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550D0412" w14:textId="77777777" w:rsidR="00A50FCF" w:rsidRPr="00824696" w:rsidRDefault="0090270B" w:rsidP="00040C3A">
      <w:pPr>
        <w:tabs>
          <w:tab w:val="center" w:pos="5400"/>
        </w:tabs>
        <w:suppressAutoHyphens/>
        <w:jc w:val="center"/>
        <w:rPr>
          <w:rFonts w:asciiTheme="majorHAnsi" w:hAnsiTheme="majorHAnsi"/>
          <w:sz w:val="18"/>
          <w:szCs w:val="22"/>
          <w:lang w:val="es-ES_tradnl"/>
        </w:rPr>
      </w:pPr>
      <w:r w:rsidRPr="0082469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BDE9078" wp14:editId="14591CB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DED76" w14:textId="77777777" w:rsidR="0035435A" w:rsidRPr="008C7E1A" w:rsidRDefault="0035435A"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D2437">
                              <w:rPr>
                                <w:rFonts w:asciiTheme="majorHAnsi" w:hAnsiTheme="majorHAnsi"/>
                                <w:color w:val="0D0D0D" w:themeColor="text1" w:themeTint="F2"/>
                                <w:sz w:val="18"/>
                                <w:szCs w:val="20"/>
                                <w:lang w:val="es-ES"/>
                              </w:rPr>
                              <w:t>2160</w:t>
                            </w:r>
                            <w:r w:rsidRPr="00890650">
                              <w:rPr>
                                <w:rFonts w:asciiTheme="majorHAnsi" w:hAnsiTheme="majorHAnsi"/>
                                <w:color w:val="0D0D0D" w:themeColor="text1" w:themeTint="F2"/>
                                <w:sz w:val="18"/>
                                <w:szCs w:val="20"/>
                                <w:lang w:val="es-ES"/>
                              </w:rPr>
                              <w:t xml:space="preserve"> c</w:t>
                            </w:r>
                            <w:r w:rsidR="004D2437">
                              <w:rPr>
                                <w:rFonts w:asciiTheme="majorHAnsi" w:hAnsiTheme="majorHAnsi"/>
                                <w:color w:val="0D0D0D" w:themeColor="text1" w:themeTint="F2"/>
                                <w:sz w:val="18"/>
                                <w:szCs w:val="20"/>
                                <w:lang w:val="es-ES"/>
                              </w:rPr>
                              <w:t>elebrada el 9</w:t>
                            </w:r>
                            <w:r>
                              <w:rPr>
                                <w:rFonts w:asciiTheme="majorHAnsi" w:hAnsiTheme="majorHAnsi"/>
                                <w:color w:val="0D0D0D" w:themeColor="text1" w:themeTint="F2"/>
                                <w:sz w:val="18"/>
                                <w:szCs w:val="20"/>
                                <w:lang w:val="es-ES"/>
                              </w:rPr>
                              <w:t xml:space="preserve">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sidR="004D2437">
                              <w:rPr>
                                <w:rFonts w:asciiTheme="majorHAnsi" w:hAnsiTheme="majorHAnsi" w:cs="Univers"/>
                                <w:color w:val="0D0D0D" w:themeColor="text1" w:themeTint="F2"/>
                                <w:sz w:val="18"/>
                                <w:szCs w:val="20"/>
                                <w:lang w:val="es-ES"/>
                              </w:rPr>
                              <w:t>174</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C7E1A">
                              <w:rPr>
                                <w:rFonts w:asciiTheme="majorHAnsi" w:hAnsiTheme="majorHAnsi" w:cs="Univers"/>
                                <w:color w:val="0D0D0D" w:themeColor="text1" w:themeTint="F2"/>
                                <w:sz w:val="18"/>
                                <w:szCs w:val="20"/>
                                <w:lang w:val="es-ES_tradnl"/>
                              </w:rPr>
                              <w:t>eríodo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14:paraId="663BC43F" w14:textId="77777777" w:rsidR="0035435A" w:rsidRPr="007A5817" w:rsidRDefault="0035435A" w:rsidP="00247403">
                            <w:pPr>
                              <w:tabs>
                                <w:tab w:val="center" w:pos="5400"/>
                              </w:tabs>
                              <w:suppressAutoHyphens/>
                              <w:spacing w:before="60"/>
                              <w:rPr>
                                <w:rFonts w:asciiTheme="minorHAnsi" w:hAnsiTheme="minorHAnsi" w:cs="Univers"/>
                                <w:color w:val="0D0D0D" w:themeColor="text1" w:themeTint="F2"/>
                                <w:sz w:val="20"/>
                                <w:szCs w:val="20"/>
                                <w:lang w:val="es-ES"/>
                              </w:rPr>
                            </w:pPr>
                          </w:p>
                          <w:p w14:paraId="1DE492CF" w14:textId="77777777" w:rsidR="0035435A" w:rsidRPr="00167A34" w:rsidRDefault="0035435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907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A6DED76" w14:textId="77777777" w:rsidR="0035435A" w:rsidRPr="008C7E1A" w:rsidRDefault="0035435A"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D2437">
                        <w:rPr>
                          <w:rFonts w:asciiTheme="majorHAnsi" w:hAnsiTheme="majorHAnsi"/>
                          <w:color w:val="0D0D0D" w:themeColor="text1" w:themeTint="F2"/>
                          <w:sz w:val="18"/>
                          <w:szCs w:val="20"/>
                          <w:lang w:val="es-ES"/>
                        </w:rPr>
                        <w:t>2160</w:t>
                      </w:r>
                      <w:r w:rsidRPr="00890650">
                        <w:rPr>
                          <w:rFonts w:asciiTheme="majorHAnsi" w:hAnsiTheme="majorHAnsi"/>
                          <w:color w:val="0D0D0D" w:themeColor="text1" w:themeTint="F2"/>
                          <w:sz w:val="18"/>
                          <w:szCs w:val="20"/>
                          <w:lang w:val="es-ES"/>
                        </w:rPr>
                        <w:t xml:space="preserve"> c</w:t>
                      </w:r>
                      <w:r w:rsidR="004D2437">
                        <w:rPr>
                          <w:rFonts w:asciiTheme="majorHAnsi" w:hAnsiTheme="majorHAnsi"/>
                          <w:color w:val="0D0D0D" w:themeColor="text1" w:themeTint="F2"/>
                          <w:sz w:val="18"/>
                          <w:szCs w:val="20"/>
                          <w:lang w:val="es-ES"/>
                        </w:rPr>
                        <w:t>elebrada el 9</w:t>
                      </w:r>
                      <w:r>
                        <w:rPr>
                          <w:rFonts w:asciiTheme="majorHAnsi" w:hAnsiTheme="majorHAnsi"/>
                          <w:color w:val="0D0D0D" w:themeColor="text1" w:themeTint="F2"/>
                          <w:sz w:val="18"/>
                          <w:szCs w:val="20"/>
                          <w:lang w:val="es-ES"/>
                        </w:rPr>
                        <w:t xml:space="preserve">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sidR="004D2437">
                        <w:rPr>
                          <w:rFonts w:asciiTheme="majorHAnsi" w:hAnsiTheme="majorHAnsi" w:cs="Univers"/>
                          <w:color w:val="0D0D0D" w:themeColor="text1" w:themeTint="F2"/>
                          <w:sz w:val="18"/>
                          <w:szCs w:val="20"/>
                          <w:lang w:val="es-ES"/>
                        </w:rPr>
                        <w:t>174</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C7E1A">
                        <w:rPr>
                          <w:rFonts w:asciiTheme="majorHAnsi" w:hAnsiTheme="majorHAnsi" w:cs="Univers"/>
                          <w:color w:val="0D0D0D" w:themeColor="text1" w:themeTint="F2"/>
                          <w:sz w:val="18"/>
                          <w:szCs w:val="20"/>
                          <w:lang w:val="es-ES_tradnl"/>
                        </w:rPr>
                        <w:t>eríodo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14:paraId="663BC43F" w14:textId="77777777" w:rsidR="0035435A" w:rsidRPr="007A5817" w:rsidRDefault="0035435A" w:rsidP="00247403">
                      <w:pPr>
                        <w:tabs>
                          <w:tab w:val="center" w:pos="5400"/>
                        </w:tabs>
                        <w:suppressAutoHyphens/>
                        <w:spacing w:before="60"/>
                        <w:rPr>
                          <w:rFonts w:asciiTheme="minorHAnsi" w:hAnsiTheme="minorHAnsi" w:cs="Univers"/>
                          <w:color w:val="0D0D0D" w:themeColor="text1" w:themeTint="F2"/>
                          <w:sz w:val="20"/>
                          <w:szCs w:val="20"/>
                          <w:lang w:val="es-ES"/>
                        </w:rPr>
                      </w:pPr>
                    </w:p>
                    <w:p w14:paraId="1DE492CF" w14:textId="77777777" w:rsidR="0035435A" w:rsidRPr="00167A34" w:rsidRDefault="0035435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1FD01"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1D3400BB"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6F0CD907"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5AEECC3D"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161E332E" w14:textId="77777777" w:rsidR="00A50FCF" w:rsidRPr="00824696" w:rsidRDefault="0090270B" w:rsidP="00040C3A">
      <w:pPr>
        <w:tabs>
          <w:tab w:val="center" w:pos="5400"/>
        </w:tabs>
        <w:suppressAutoHyphens/>
        <w:jc w:val="center"/>
        <w:rPr>
          <w:rFonts w:asciiTheme="majorHAnsi" w:hAnsiTheme="majorHAnsi"/>
          <w:sz w:val="18"/>
          <w:szCs w:val="22"/>
          <w:lang w:val="es-ES_tradnl"/>
        </w:rPr>
      </w:pPr>
      <w:r w:rsidRPr="0082469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9B07400" wp14:editId="415EE8B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8399D" w14:textId="77777777" w:rsidR="0035435A" w:rsidRPr="007C756A" w:rsidRDefault="0035435A"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4D2437" w:rsidRPr="00EB061A">
                              <w:rPr>
                                <w:rFonts w:asciiTheme="majorHAnsi" w:hAnsiTheme="majorHAnsi"/>
                                <w:color w:val="595959" w:themeColor="text1" w:themeTint="A6"/>
                                <w:sz w:val="18"/>
                                <w:szCs w:val="18"/>
                                <w:lang w:val="pt-BR"/>
                              </w:rPr>
                              <w:t>165</w:t>
                            </w:r>
                            <w:r w:rsidRPr="00EB061A">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Caso 12.944.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Baptiste Willer y </w:t>
                            </w:r>
                            <w:r w:rsidR="00EB516A">
                              <w:rPr>
                                <w:rFonts w:asciiTheme="majorHAnsi" w:hAnsiTheme="majorHAnsi"/>
                                <w:color w:val="595959" w:themeColor="text1" w:themeTint="A6"/>
                                <w:sz w:val="18"/>
                                <w:szCs w:val="18"/>
                                <w:lang w:val="es-ES_tradnl"/>
                              </w:rPr>
                              <w:t>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Haiti</w:t>
                            </w:r>
                            <w:r w:rsidRPr="00890650">
                              <w:rPr>
                                <w:rFonts w:asciiTheme="majorHAnsi" w:hAnsiTheme="majorHAnsi"/>
                                <w:color w:val="595959" w:themeColor="text1" w:themeTint="A6"/>
                                <w:sz w:val="18"/>
                                <w:szCs w:val="18"/>
                                <w:lang w:val="es-ES_tradnl"/>
                              </w:rPr>
                              <w:t xml:space="preserve">. </w:t>
                            </w:r>
                            <w:r w:rsidR="004D2437">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US"/>
                              </w:rPr>
                              <w:t xml:space="preserve"> de noviembre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740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048399D" w14:textId="77777777" w:rsidR="0035435A" w:rsidRPr="007C756A" w:rsidRDefault="0035435A"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4D2437" w:rsidRPr="00EB061A">
                        <w:rPr>
                          <w:rFonts w:asciiTheme="majorHAnsi" w:hAnsiTheme="majorHAnsi"/>
                          <w:color w:val="595959" w:themeColor="text1" w:themeTint="A6"/>
                          <w:sz w:val="18"/>
                          <w:szCs w:val="18"/>
                          <w:lang w:val="pt-BR"/>
                        </w:rPr>
                        <w:t>165</w:t>
                      </w:r>
                      <w:r w:rsidRPr="00EB061A">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Caso 12.944.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Baptiste Willer y </w:t>
                      </w:r>
                      <w:r w:rsidR="00EB516A">
                        <w:rPr>
                          <w:rFonts w:asciiTheme="majorHAnsi" w:hAnsiTheme="majorHAnsi"/>
                          <w:color w:val="595959" w:themeColor="text1" w:themeTint="A6"/>
                          <w:sz w:val="18"/>
                          <w:szCs w:val="18"/>
                          <w:lang w:val="es-ES_tradnl"/>
                        </w:rPr>
                        <w:t>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Haiti</w:t>
                      </w:r>
                      <w:r w:rsidRPr="00890650">
                        <w:rPr>
                          <w:rFonts w:asciiTheme="majorHAnsi" w:hAnsiTheme="majorHAnsi"/>
                          <w:color w:val="595959" w:themeColor="text1" w:themeTint="A6"/>
                          <w:sz w:val="18"/>
                          <w:szCs w:val="18"/>
                          <w:lang w:val="es-ES_tradnl"/>
                        </w:rPr>
                        <w:t xml:space="preserve">. </w:t>
                      </w:r>
                      <w:r w:rsidR="004D2437">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US"/>
                        </w:rPr>
                        <w:t xml:space="preserve"> de noviembre de 2019</w:t>
                      </w:r>
                      <w:r w:rsidRPr="007C756A">
                        <w:rPr>
                          <w:rFonts w:asciiTheme="majorHAnsi" w:hAnsiTheme="majorHAnsi"/>
                          <w:color w:val="595959" w:themeColor="text1" w:themeTint="A6"/>
                          <w:sz w:val="18"/>
                          <w:szCs w:val="18"/>
                          <w:lang w:val="es-US"/>
                        </w:rPr>
                        <w:t>.</w:t>
                      </w:r>
                    </w:p>
                  </w:txbxContent>
                </v:textbox>
              </v:shape>
            </w:pict>
          </mc:Fallback>
        </mc:AlternateContent>
      </w:r>
    </w:p>
    <w:p w14:paraId="1F9E1838" w14:textId="77777777" w:rsidR="00A50FCF" w:rsidRPr="00824696" w:rsidRDefault="00A50FCF" w:rsidP="00040C3A">
      <w:pPr>
        <w:tabs>
          <w:tab w:val="center" w:pos="5400"/>
        </w:tabs>
        <w:suppressAutoHyphens/>
        <w:jc w:val="center"/>
        <w:rPr>
          <w:rFonts w:asciiTheme="majorHAnsi" w:hAnsiTheme="majorHAnsi"/>
          <w:sz w:val="18"/>
          <w:szCs w:val="22"/>
          <w:lang w:val="es-ES_tradnl"/>
        </w:rPr>
      </w:pPr>
    </w:p>
    <w:p w14:paraId="0F13F224" w14:textId="77777777" w:rsidR="0090270B" w:rsidRPr="00824696" w:rsidRDefault="00D306D1" w:rsidP="005516A1">
      <w:pPr>
        <w:tabs>
          <w:tab w:val="center" w:pos="5400"/>
        </w:tabs>
        <w:suppressAutoHyphens/>
        <w:jc w:val="center"/>
        <w:rPr>
          <w:rFonts w:asciiTheme="majorHAnsi" w:hAnsiTheme="majorHAnsi"/>
          <w:b/>
          <w:sz w:val="20"/>
          <w:lang w:val="es-ES_tradnl"/>
        </w:rPr>
      </w:pPr>
      <w:r w:rsidRPr="0082469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112573F" wp14:editId="67A9F0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E1172" w14:textId="77777777" w:rsidR="0035435A" w:rsidRPr="00D72DC6" w:rsidRDefault="0035435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6E64AA1" wp14:editId="7BC9EB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2573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B7E1172" w14:textId="77777777" w:rsidR="0035435A" w:rsidRPr="00D72DC6" w:rsidRDefault="0035435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6E64AA1" wp14:editId="7BC9EB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2469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D7CCFB1" wp14:editId="3838AE0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5B1CE" w14:textId="77777777" w:rsidR="0035435A" w:rsidRPr="004B7EB6" w:rsidRDefault="0035435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CFB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675B1CE" w14:textId="77777777" w:rsidR="0035435A" w:rsidRPr="004B7EB6" w:rsidRDefault="0035435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B3D01BC" w14:textId="77777777" w:rsidR="0070697F" w:rsidRPr="00824696" w:rsidRDefault="0070697F" w:rsidP="005516A1">
      <w:pPr>
        <w:tabs>
          <w:tab w:val="center" w:pos="5400"/>
        </w:tabs>
        <w:suppressAutoHyphens/>
        <w:jc w:val="center"/>
        <w:rPr>
          <w:rFonts w:asciiTheme="majorHAnsi" w:hAnsiTheme="majorHAnsi"/>
          <w:b/>
          <w:sz w:val="20"/>
          <w:lang w:val="es-ES_tradnl"/>
        </w:rPr>
        <w:sectPr w:rsidR="0070697F" w:rsidRPr="00824696"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E7834AE" w14:textId="77777777" w:rsidR="00722C9F" w:rsidRPr="00484AB4" w:rsidRDefault="00722C9F" w:rsidP="00722C9F">
      <w:pPr>
        <w:tabs>
          <w:tab w:val="center" w:pos="5400"/>
        </w:tabs>
        <w:suppressAutoHyphens/>
        <w:spacing w:line="276" w:lineRule="auto"/>
        <w:jc w:val="center"/>
        <w:rPr>
          <w:rFonts w:ascii="Cambria" w:hAnsi="Cambria"/>
          <w:b/>
          <w:sz w:val="20"/>
          <w:szCs w:val="20"/>
          <w:lang w:val="es-ES_tradnl"/>
        </w:rPr>
      </w:pPr>
      <w:r w:rsidRPr="00484AB4">
        <w:rPr>
          <w:rFonts w:ascii="Cambria" w:hAnsi="Cambria"/>
          <w:b/>
          <w:sz w:val="20"/>
          <w:szCs w:val="20"/>
          <w:lang w:val="es-ES_tradnl"/>
        </w:rPr>
        <w:lastRenderedPageBreak/>
        <w:t>ÍNDICE</w:t>
      </w:r>
    </w:p>
    <w:p w14:paraId="2489D792" w14:textId="77777777" w:rsidR="008D768D" w:rsidRPr="00484AB4" w:rsidRDefault="008D768D" w:rsidP="006125C3">
      <w:pPr>
        <w:tabs>
          <w:tab w:val="center" w:pos="5400"/>
        </w:tabs>
        <w:suppressAutoHyphens/>
        <w:spacing w:line="276" w:lineRule="auto"/>
        <w:rPr>
          <w:rFonts w:ascii="Cambria" w:hAnsi="Cambria"/>
          <w:sz w:val="20"/>
          <w:szCs w:val="20"/>
          <w:lang w:val="es-ES_tradnl"/>
        </w:rPr>
      </w:pPr>
    </w:p>
    <w:p w14:paraId="571FC624" w14:textId="77777777" w:rsidR="00E909AA" w:rsidRPr="00484AB4" w:rsidRDefault="00E909AA" w:rsidP="00E909AA">
      <w:pPr>
        <w:suppressAutoHyphens/>
        <w:rPr>
          <w:rFonts w:ascii="Cambria" w:hAnsi="Cambria"/>
          <w:b/>
          <w:sz w:val="20"/>
          <w:szCs w:val="20"/>
          <w:lang w:val="es-ES_tradnl"/>
        </w:rPr>
      </w:pPr>
    </w:p>
    <w:p w14:paraId="79014591" w14:textId="49E0143F" w:rsidR="00484AB4" w:rsidRPr="00484AB4" w:rsidRDefault="006125C3">
      <w:pPr>
        <w:pStyle w:val="TOC1"/>
        <w:tabs>
          <w:tab w:val="left" w:pos="1440"/>
          <w:tab w:val="right" w:leader="dot" w:pos="9350"/>
        </w:tabs>
        <w:rPr>
          <w:rFonts w:ascii="Cambria" w:eastAsiaTheme="minorEastAsia" w:hAnsi="Cambria" w:cstheme="minorBidi"/>
          <w:noProof/>
          <w:sz w:val="20"/>
          <w:szCs w:val="20"/>
        </w:rPr>
      </w:pPr>
      <w:r w:rsidRPr="00484AB4">
        <w:rPr>
          <w:rFonts w:ascii="Cambria" w:hAnsi="Cambria"/>
          <w:sz w:val="20"/>
          <w:szCs w:val="20"/>
          <w:lang w:val="es-ES_tradnl"/>
        </w:rPr>
        <w:fldChar w:fldCharType="begin"/>
      </w:r>
      <w:r w:rsidRPr="00484AB4">
        <w:rPr>
          <w:rFonts w:ascii="Cambria" w:hAnsi="Cambria"/>
          <w:sz w:val="20"/>
          <w:szCs w:val="20"/>
          <w:lang w:val="es-ES_tradnl"/>
        </w:rPr>
        <w:instrText xml:space="preserve"> TOC \o "1-7" \h \z \u </w:instrText>
      </w:r>
      <w:r w:rsidRPr="00484AB4">
        <w:rPr>
          <w:rFonts w:ascii="Cambria" w:hAnsi="Cambria"/>
          <w:sz w:val="20"/>
          <w:szCs w:val="20"/>
          <w:lang w:val="es-ES_tradnl"/>
        </w:rPr>
        <w:fldChar w:fldCharType="separate"/>
      </w:r>
      <w:hyperlink w:anchor="_Toc22308266" w:history="1">
        <w:r w:rsidR="00484AB4" w:rsidRPr="00484AB4">
          <w:rPr>
            <w:rStyle w:val="Hyperlink"/>
            <w:rFonts w:ascii="Cambria" w:hAnsi="Cambria"/>
            <w:noProof/>
            <w:sz w:val="20"/>
            <w:szCs w:val="20"/>
          </w:rPr>
          <w:t>I.</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rPr>
          <w:t>INTRODUCCIÓN</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_Toc22308266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sidR="004B28A0">
          <w:rPr>
            <w:rFonts w:ascii="Cambria" w:hAnsi="Cambria"/>
            <w:noProof/>
            <w:webHidden/>
            <w:sz w:val="20"/>
            <w:szCs w:val="20"/>
          </w:rPr>
          <w:t>2</w:t>
        </w:r>
        <w:r w:rsidR="00484AB4" w:rsidRPr="00484AB4">
          <w:rPr>
            <w:rFonts w:ascii="Cambria" w:hAnsi="Cambria"/>
            <w:noProof/>
            <w:webHidden/>
            <w:sz w:val="20"/>
            <w:szCs w:val="20"/>
          </w:rPr>
          <w:fldChar w:fldCharType="end"/>
        </w:r>
      </w:hyperlink>
    </w:p>
    <w:p w14:paraId="40D6BA7F" w14:textId="370777CC" w:rsidR="00484AB4" w:rsidRPr="00484AB4" w:rsidRDefault="004B28A0">
      <w:pPr>
        <w:pStyle w:val="TOC1"/>
        <w:tabs>
          <w:tab w:val="left" w:pos="1440"/>
          <w:tab w:val="right" w:leader="dot" w:pos="9350"/>
        </w:tabs>
        <w:rPr>
          <w:rFonts w:ascii="Cambria" w:eastAsiaTheme="minorEastAsia" w:hAnsi="Cambria" w:cstheme="minorBidi"/>
          <w:noProof/>
          <w:sz w:val="20"/>
          <w:szCs w:val="20"/>
        </w:rPr>
      </w:pPr>
      <w:hyperlink w:anchor="_Toc22308267" w:history="1">
        <w:r w:rsidR="00484AB4" w:rsidRPr="00484AB4">
          <w:rPr>
            <w:rStyle w:val="Hyperlink"/>
            <w:rFonts w:ascii="Cambria" w:hAnsi="Cambria"/>
            <w:noProof/>
            <w:sz w:val="20"/>
            <w:szCs w:val="20"/>
          </w:rPr>
          <w:t>II.</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rPr>
          <w:t>ALEGATOS DE LAS PARTES</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_Toc22308267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2</w:t>
        </w:r>
        <w:r w:rsidR="00484AB4" w:rsidRPr="00484AB4">
          <w:rPr>
            <w:rFonts w:ascii="Cambria" w:hAnsi="Cambria"/>
            <w:noProof/>
            <w:webHidden/>
            <w:sz w:val="20"/>
            <w:szCs w:val="20"/>
          </w:rPr>
          <w:fldChar w:fldCharType="end"/>
        </w:r>
      </w:hyperlink>
    </w:p>
    <w:p w14:paraId="08BD667E" w14:textId="69CA89E4" w:rsidR="00484AB4" w:rsidRPr="00484AB4" w:rsidRDefault="004B28A0">
      <w:pPr>
        <w:pStyle w:val="TOC2"/>
        <w:rPr>
          <w:rFonts w:ascii="Cambria" w:eastAsiaTheme="minorEastAsia" w:hAnsi="Cambria" w:cstheme="minorBidi"/>
          <w:noProof/>
          <w:sz w:val="20"/>
          <w:szCs w:val="20"/>
        </w:rPr>
      </w:pPr>
      <w:hyperlink w:anchor="_Toc22308268" w:history="1">
        <w:r w:rsidR="00484AB4" w:rsidRPr="00484AB4">
          <w:rPr>
            <w:rStyle w:val="Hyperlink"/>
            <w:rFonts w:ascii="Cambria" w:hAnsi="Cambria"/>
            <w:noProof/>
            <w:sz w:val="20"/>
            <w:szCs w:val="20"/>
            <w:lang w:val="es-ES_tradnl"/>
          </w:rPr>
          <w:t>A.</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ES_tradnl"/>
          </w:rPr>
          <w:t>Parte peticionaria</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_Toc22308268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2</w:t>
        </w:r>
        <w:r w:rsidR="00484AB4" w:rsidRPr="00484AB4">
          <w:rPr>
            <w:rFonts w:ascii="Cambria" w:hAnsi="Cambria"/>
            <w:noProof/>
            <w:webHidden/>
            <w:sz w:val="20"/>
            <w:szCs w:val="20"/>
          </w:rPr>
          <w:fldChar w:fldCharType="end"/>
        </w:r>
      </w:hyperlink>
    </w:p>
    <w:p w14:paraId="6511A6C5" w14:textId="46FCF443" w:rsidR="00484AB4" w:rsidRPr="00484AB4" w:rsidRDefault="004B28A0">
      <w:pPr>
        <w:pStyle w:val="TOC2"/>
        <w:rPr>
          <w:rFonts w:ascii="Cambria" w:eastAsiaTheme="minorEastAsia" w:hAnsi="Cambria" w:cstheme="minorBidi"/>
          <w:noProof/>
          <w:sz w:val="20"/>
          <w:szCs w:val="20"/>
        </w:rPr>
      </w:pPr>
      <w:hyperlink w:anchor="_Toc22308269" w:history="1">
        <w:r w:rsidR="00484AB4" w:rsidRPr="00484AB4">
          <w:rPr>
            <w:rStyle w:val="Hyperlink"/>
            <w:rFonts w:ascii="Cambria" w:hAnsi="Cambria"/>
            <w:noProof/>
            <w:sz w:val="20"/>
            <w:szCs w:val="20"/>
            <w:lang w:val="es-ES_tradnl"/>
          </w:rPr>
          <w:t>B.</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ES_tradnl"/>
          </w:rPr>
          <w:t>Estado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_Toc22308269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3</w:t>
        </w:r>
        <w:r w:rsidR="00484AB4" w:rsidRPr="00484AB4">
          <w:rPr>
            <w:rFonts w:ascii="Cambria" w:hAnsi="Cambria"/>
            <w:noProof/>
            <w:webHidden/>
            <w:sz w:val="20"/>
            <w:szCs w:val="20"/>
          </w:rPr>
          <w:fldChar w:fldCharType="end"/>
        </w:r>
      </w:hyperlink>
    </w:p>
    <w:p w14:paraId="7137B9D7" w14:textId="62BF6A14" w:rsidR="00484AB4" w:rsidRPr="00484AB4" w:rsidRDefault="004B28A0">
      <w:pPr>
        <w:pStyle w:val="TOC1"/>
        <w:tabs>
          <w:tab w:val="left" w:pos="1440"/>
          <w:tab w:val="right" w:leader="dot" w:pos="9350"/>
        </w:tabs>
        <w:rPr>
          <w:rFonts w:ascii="Cambria" w:eastAsiaTheme="minorEastAsia" w:hAnsi="Cambria" w:cstheme="minorBidi"/>
          <w:noProof/>
          <w:sz w:val="20"/>
          <w:szCs w:val="20"/>
        </w:rPr>
      </w:pPr>
      <w:hyperlink w:anchor="_Toc22308270" w:history="1">
        <w:r w:rsidR="00484AB4" w:rsidRPr="00484AB4">
          <w:rPr>
            <w:rStyle w:val="Hyperlink"/>
            <w:rFonts w:ascii="Cambria" w:hAnsi="Cambria"/>
            <w:noProof/>
            <w:sz w:val="20"/>
            <w:szCs w:val="20"/>
          </w:rPr>
          <w:t>III.</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rPr>
          <w:t>DETERMINACIONES DE HECHO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_Toc22308270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4</w:t>
        </w:r>
        <w:r w:rsidR="00484AB4" w:rsidRPr="00484AB4">
          <w:rPr>
            <w:rFonts w:ascii="Cambria" w:hAnsi="Cambria"/>
            <w:noProof/>
            <w:webHidden/>
            <w:sz w:val="20"/>
            <w:szCs w:val="20"/>
          </w:rPr>
          <w:fldChar w:fldCharType="end"/>
        </w:r>
      </w:hyperlink>
    </w:p>
    <w:p w14:paraId="01E16AFD" w14:textId="3A4CE434" w:rsidR="00484AB4" w:rsidRPr="00484AB4" w:rsidRDefault="004B28A0">
      <w:pPr>
        <w:pStyle w:val="TOC2"/>
        <w:rPr>
          <w:rFonts w:ascii="Cambria" w:eastAsiaTheme="minorEastAsia" w:hAnsi="Cambria" w:cstheme="minorBidi"/>
          <w:noProof/>
          <w:sz w:val="20"/>
          <w:szCs w:val="20"/>
        </w:rPr>
      </w:pPr>
      <w:hyperlink w:anchor="_Toc22308271" w:history="1">
        <w:r w:rsidR="00484AB4" w:rsidRPr="00484AB4">
          <w:rPr>
            <w:rStyle w:val="Hyperlink"/>
            <w:rFonts w:ascii="Cambria" w:hAnsi="Cambria"/>
            <w:noProof/>
            <w:sz w:val="20"/>
            <w:szCs w:val="20"/>
            <w:lang w:val="es-US"/>
          </w:rPr>
          <w:t>A.</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US"/>
          </w:rPr>
          <w:t>Información disponible sobre las presuntas víctimas y sus familiares</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_Toc22308271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4</w:t>
        </w:r>
        <w:r w:rsidR="00484AB4" w:rsidRPr="00484AB4">
          <w:rPr>
            <w:rFonts w:ascii="Cambria" w:hAnsi="Cambria"/>
            <w:noProof/>
            <w:webHidden/>
            <w:sz w:val="20"/>
            <w:szCs w:val="20"/>
          </w:rPr>
          <w:fldChar w:fldCharType="end"/>
        </w:r>
      </w:hyperlink>
    </w:p>
    <w:p w14:paraId="3FD22561" w14:textId="295A281B" w:rsidR="00484AB4" w:rsidRPr="00484AB4" w:rsidRDefault="004B28A0">
      <w:pPr>
        <w:pStyle w:val="TOC2"/>
        <w:rPr>
          <w:rFonts w:ascii="Cambria" w:eastAsiaTheme="minorEastAsia" w:hAnsi="Cambria" w:cstheme="minorBidi"/>
          <w:noProof/>
          <w:sz w:val="20"/>
          <w:szCs w:val="20"/>
        </w:rPr>
      </w:pPr>
      <w:hyperlink w:anchor="_Toc22308272" w:history="1">
        <w:r w:rsidR="00484AB4" w:rsidRPr="00484AB4">
          <w:rPr>
            <w:rStyle w:val="Hyperlink"/>
            <w:rFonts w:ascii="Cambria" w:hAnsi="Cambria"/>
            <w:noProof/>
            <w:sz w:val="20"/>
            <w:szCs w:val="20"/>
            <w:lang w:val="es-US"/>
          </w:rPr>
          <w:t>B.</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US"/>
          </w:rPr>
          <w:t>Hechos del caso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_Toc22308272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4</w:t>
        </w:r>
        <w:r w:rsidR="00484AB4" w:rsidRPr="00484AB4">
          <w:rPr>
            <w:rFonts w:ascii="Cambria" w:hAnsi="Cambria"/>
            <w:noProof/>
            <w:webHidden/>
            <w:sz w:val="20"/>
            <w:szCs w:val="20"/>
          </w:rPr>
          <w:fldChar w:fldCharType="end"/>
        </w:r>
      </w:hyperlink>
    </w:p>
    <w:p w14:paraId="7BF0E04A" w14:textId="5033DB03" w:rsidR="00484AB4" w:rsidRPr="00484AB4" w:rsidRDefault="004B28A0">
      <w:pPr>
        <w:pStyle w:val="TOC1"/>
        <w:tabs>
          <w:tab w:val="left" w:pos="1440"/>
          <w:tab w:val="right" w:leader="dot" w:pos="9350"/>
        </w:tabs>
        <w:rPr>
          <w:rFonts w:ascii="Cambria" w:eastAsiaTheme="minorEastAsia" w:hAnsi="Cambria" w:cstheme="minorBidi"/>
          <w:noProof/>
          <w:sz w:val="20"/>
          <w:szCs w:val="20"/>
        </w:rPr>
      </w:pPr>
      <w:hyperlink w:anchor="_Toc22308273" w:history="1">
        <w:r w:rsidR="00484AB4" w:rsidRPr="00484AB4">
          <w:rPr>
            <w:rStyle w:val="Hyperlink"/>
            <w:rFonts w:ascii="Cambria" w:hAnsi="Cambria"/>
            <w:noProof/>
            <w:sz w:val="20"/>
            <w:szCs w:val="20"/>
          </w:rPr>
          <w:t>IV.</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rPr>
          <w:t>ANÁLISIS DE DERECHO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_Toc22308273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6</w:t>
        </w:r>
        <w:r w:rsidR="00484AB4" w:rsidRPr="00484AB4">
          <w:rPr>
            <w:rFonts w:ascii="Cambria" w:hAnsi="Cambria"/>
            <w:noProof/>
            <w:webHidden/>
            <w:sz w:val="20"/>
            <w:szCs w:val="20"/>
          </w:rPr>
          <w:fldChar w:fldCharType="end"/>
        </w:r>
      </w:hyperlink>
    </w:p>
    <w:p w14:paraId="62D976DC" w14:textId="10794DB5" w:rsidR="00484AB4" w:rsidRPr="00484AB4" w:rsidRDefault="004B28A0">
      <w:pPr>
        <w:pStyle w:val="TOC2"/>
        <w:rPr>
          <w:rFonts w:ascii="Cambria" w:eastAsiaTheme="minorEastAsia" w:hAnsi="Cambria" w:cstheme="minorBidi"/>
          <w:noProof/>
          <w:sz w:val="20"/>
          <w:szCs w:val="20"/>
        </w:rPr>
      </w:pPr>
      <w:hyperlink w:anchor="_Toc22308274" w:history="1">
        <w:r w:rsidR="00484AB4" w:rsidRPr="00484AB4">
          <w:rPr>
            <w:rStyle w:val="Hyperlink"/>
            <w:rFonts w:ascii="Cambria" w:hAnsi="Cambria"/>
            <w:noProof/>
            <w:sz w:val="20"/>
            <w:szCs w:val="20"/>
            <w:lang w:val="es-VE"/>
          </w:rPr>
          <w:t>A.</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ES"/>
          </w:rPr>
          <w:t xml:space="preserve">Derechos a </w:t>
        </w:r>
        <w:r w:rsidR="00484AB4" w:rsidRPr="00484AB4">
          <w:rPr>
            <w:rStyle w:val="Hyperlink"/>
            <w:rFonts w:ascii="Cambria" w:hAnsi="Cambria"/>
            <w:noProof/>
            <w:sz w:val="20"/>
            <w:szCs w:val="20"/>
            <w:lang w:val="es-VE"/>
          </w:rPr>
          <w:t>la vida, a la integridad personal</w:t>
        </w:r>
        <w:r w:rsidR="00484AB4" w:rsidRPr="00484AB4">
          <w:rPr>
            <w:rStyle w:val="Hyperlink"/>
            <w:rFonts w:ascii="Cambria" w:hAnsi="Cambria"/>
            <w:noProof/>
            <w:sz w:val="20"/>
            <w:szCs w:val="20"/>
            <w:lang w:val="es-US"/>
          </w:rPr>
          <w:t xml:space="preserve"> y derechos del niño, </w:t>
        </w:r>
        <w:r w:rsidR="00484AB4" w:rsidRPr="00484AB4">
          <w:rPr>
            <w:rStyle w:val="Hyperlink"/>
            <w:rFonts w:ascii="Cambria" w:hAnsi="Cambria"/>
            <w:noProof/>
            <w:sz w:val="20"/>
            <w:szCs w:val="20"/>
            <w:lang w:val="es-VE"/>
          </w:rPr>
          <w:t>en relación con el artículo 1.1 de la Convención Americana</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_Toc22308274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6</w:t>
        </w:r>
        <w:r w:rsidR="00484AB4" w:rsidRPr="00484AB4">
          <w:rPr>
            <w:rFonts w:ascii="Cambria" w:hAnsi="Cambria"/>
            <w:noProof/>
            <w:webHidden/>
            <w:sz w:val="20"/>
            <w:szCs w:val="20"/>
          </w:rPr>
          <w:fldChar w:fldCharType="end"/>
        </w:r>
      </w:hyperlink>
    </w:p>
    <w:p w14:paraId="4BB1B90D" w14:textId="50B3D397" w:rsidR="00484AB4" w:rsidRPr="00484AB4" w:rsidRDefault="004B28A0">
      <w:pPr>
        <w:pStyle w:val="TOC3"/>
        <w:rPr>
          <w:rFonts w:ascii="Cambria" w:eastAsiaTheme="minorEastAsia" w:hAnsi="Cambria" w:cstheme="minorBidi"/>
          <w:noProof/>
          <w:sz w:val="20"/>
          <w:szCs w:val="20"/>
        </w:rPr>
      </w:pPr>
      <w:hyperlink w:anchor="_Toc22308275" w:history="1">
        <w:r w:rsidR="00484AB4" w:rsidRPr="00484AB4">
          <w:rPr>
            <w:rStyle w:val="Hyperlink"/>
            <w:rFonts w:ascii="Cambria" w:hAnsi="Cambria"/>
            <w:noProof/>
            <w:sz w:val="20"/>
            <w:szCs w:val="20"/>
            <w:lang w:val="es-ES"/>
          </w:rPr>
          <w:t>Análisis en el presente caso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_Toc22308275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8</w:t>
        </w:r>
        <w:r w:rsidR="00484AB4" w:rsidRPr="00484AB4">
          <w:rPr>
            <w:rFonts w:ascii="Cambria" w:hAnsi="Cambria"/>
            <w:noProof/>
            <w:webHidden/>
            <w:sz w:val="20"/>
            <w:szCs w:val="20"/>
          </w:rPr>
          <w:fldChar w:fldCharType="end"/>
        </w:r>
      </w:hyperlink>
    </w:p>
    <w:p w14:paraId="7C150D79" w14:textId="483B3A0B" w:rsidR="00484AB4" w:rsidRPr="00484AB4" w:rsidRDefault="004B28A0">
      <w:pPr>
        <w:pStyle w:val="TOC2"/>
        <w:rPr>
          <w:rFonts w:ascii="Cambria" w:eastAsiaTheme="minorEastAsia" w:hAnsi="Cambria" w:cstheme="minorBidi"/>
          <w:noProof/>
          <w:sz w:val="20"/>
          <w:szCs w:val="20"/>
        </w:rPr>
      </w:pPr>
      <w:hyperlink w:anchor="_Toc22308276" w:history="1">
        <w:r w:rsidR="00484AB4" w:rsidRPr="00484AB4">
          <w:rPr>
            <w:rStyle w:val="Hyperlink"/>
            <w:rFonts w:ascii="Cambria" w:hAnsi="Cambria"/>
            <w:noProof/>
            <w:sz w:val="20"/>
            <w:szCs w:val="20"/>
            <w:lang w:val="es-MX"/>
          </w:rPr>
          <w:t>B.</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MX"/>
          </w:rPr>
          <w:t xml:space="preserve">Derechos a la </w:t>
        </w:r>
        <w:r w:rsidR="00484AB4" w:rsidRPr="00484AB4">
          <w:rPr>
            <w:rStyle w:val="Hyperlink"/>
            <w:rFonts w:ascii="Cambria" w:hAnsi="Cambria"/>
            <w:noProof/>
            <w:sz w:val="20"/>
            <w:szCs w:val="20"/>
            <w:lang w:val="es-US"/>
          </w:rPr>
          <w:t>libertad de circulación y residencia y derechos del niño</w:t>
        </w:r>
        <w:r w:rsidR="00484AB4" w:rsidRPr="00484AB4">
          <w:rPr>
            <w:rStyle w:val="Hyperlink"/>
            <w:rFonts w:ascii="Cambria" w:hAnsi="Cambria"/>
            <w:noProof/>
            <w:sz w:val="20"/>
            <w:szCs w:val="20"/>
            <w:lang w:val="es-ES_tradnl"/>
          </w:rPr>
          <w:t xml:space="preserve">, </w:t>
        </w:r>
        <w:r w:rsidR="00484AB4" w:rsidRPr="00484AB4">
          <w:rPr>
            <w:rStyle w:val="Hyperlink"/>
            <w:rFonts w:ascii="Cambria" w:hAnsi="Cambria"/>
            <w:noProof/>
            <w:sz w:val="20"/>
            <w:szCs w:val="20"/>
            <w:lang w:val="es-VE"/>
          </w:rPr>
          <w:t>en relación con el artículo 1.1 de la Convención Americana</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_Toc22308276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9</w:t>
        </w:r>
        <w:r w:rsidR="00484AB4" w:rsidRPr="00484AB4">
          <w:rPr>
            <w:rFonts w:ascii="Cambria" w:hAnsi="Cambria"/>
            <w:noProof/>
            <w:webHidden/>
            <w:sz w:val="20"/>
            <w:szCs w:val="20"/>
          </w:rPr>
          <w:fldChar w:fldCharType="end"/>
        </w:r>
      </w:hyperlink>
    </w:p>
    <w:p w14:paraId="4EB2CE6C" w14:textId="4C1F161B" w:rsidR="00484AB4" w:rsidRPr="00484AB4" w:rsidRDefault="004B28A0">
      <w:pPr>
        <w:pStyle w:val="TOC3"/>
        <w:rPr>
          <w:rFonts w:ascii="Cambria" w:eastAsiaTheme="minorEastAsia" w:hAnsi="Cambria" w:cstheme="minorBidi"/>
          <w:noProof/>
          <w:sz w:val="20"/>
          <w:szCs w:val="20"/>
        </w:rPr>
      </w:pPr>
      <w:hyperlink w:anchor="_Toc22308277" w:history="1">
        <w:r w:rsidR="00484AB4" w:rsidRPr="00484AB4">
          <w:rPr>
            <w:rStyle w:val="Hyperlink"/>
            <w:rFonts w:ascii="Cambria" w:hAnsi="Cambria"/>
            <w:noProof/>
            <w:sz w:val="20"/>
            <w:szCs w:val="20"/>
            <w:lang w:val="es-ES"/>
          </w:rPr>
          <w:t>Análisis en el presente caso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_Toc22308277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10</w:t>
        </w:r>
        <w:r w:rsidR="00484AB4" w:rsidRPr="00484AB4">
          <w:rPr>
            <w:rFonts w:ascii="Cambria" w:hAnsi="Cambria"/>
            <w:noProof/>
            <w:webHidden/>
            <w:sz w:val="20"/>
            <w:szCs w:val="20"/>
          </w:rPr>
          <w:fldChar w:fldCharType="end"/>
        </w:r>
      </w:hyperlink>
    </w:p>
    <w:p w14:paraId="3CA5DBA1" w14:textId="12497BDC" w:rsidR="00484AB4" w:rsidRPr="00484AB4" w:rsidRDefault="004B28A0">
      <w:pPr>
        <w:pStyle w:val="TOC2"/>
        <w:rPr>
          <w:rFonts w:ascii="Cambria" w:eastAsiaTheme="minorEastAsia" w:hAnsi="Cambria" w:cstheme="minorBidi"/>
          <w:noProof/>
          <w:sz w:val="20"/>
          <w:szCs w:val="20"/>
        </w:rPr>
      </w:pPr>
      <w:hyperlink w:anchor="_Toc22308278" w:history="1">
        <w:r w:rsidR="00484AB4" w:rsidRPr="00484AB4">
          <w:rPr>
            <w:rStyle w:val="Hyperlink"/>
            <w:rFonts w:ascii="Cambria" w:hAnsi="Cambria"/>
            <w:noProof/>
            <w:sz w:val="20"/>
            <w:szCs w:val="20"/>
            <w:lang w:val="es-ES_tradnl"/>
          </w:rPr>
          <w:t>C.</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lang w:val="es-ES_tradnl"/>
          </w:rPr>
          <w:t>D</w:t>
        </w:r>
        <w:r w:rsidR="00484AB4" w:rsidRPr="00484AB4">
          <w:rPr>
            <w:rStyle w:val="Hyperlink"/>
            <w:rFonts w:ascii="Cambria" w:hAnsi="Cambria"/>
            <w:noProof/>
            <w:sz w:val="20"/>
            <w:szCs w:val="20"/>
            <w:lang w:val="es-ES"/>
          </w:rPr>
          <w:t xml:space="preserve">erechos a </w:t>
        </w:r>
        <w:r w:rsidR="00484AB4" w:rsidRPr="00484AB4">
          <w:rPr>
            <w:rStyle w:val="Hyperlink"/>
            <w:rFonts w:ascii="Cambria" w:hAnsi="Cambria"/>
            <w:noProof/>
            <w:sz w:val="20"/>
            <w:szCs w:val="20"/>
            <w:lang w:val="es-VE"/>
          </w:rPr>
          <w:t xml:space="preserve">las </w:t>
        </w:r>
        <w:r w:rsidR="00484AB4" w:rsidRPr="00484AB4">
          <w:rPr>
            <w:rStyle w:val="Hyperlink"/>
            <w:rFonts w:ascii="Cambria" w:hAnsi="Cambria"/>
            <w:noProof/>
            <w:sz w:val="20"/>
            <w:szCs w:val="20"/>
            <w:lang w:val="es-ES_tradnl"/>
          </w:rPr>
          <w:t>garantías judiciales y protección judicial y d</w:t>
        </w:r>
        <w:r w:rsidR="00484AB4" w:rsidRPr="00484AB4">
          <w:rPr>
            <w:rStyle w:val="Hyperlink"/>
            <w:rFonts w:ascii="Cambria" w:hAnsi="Cambria"/>
            <w:noProof/>
            <w:sz w:val="20"/>
            <w:szCs w:val="20"/>
            <w:lang w:val="es-ES"/>
          </w:rPr>
          <w:t xml:space="preserve">erecho a la integridad personal en cuanto a los familiares, </w:t>
        </w:r>
        <w:r w:rsidR="00484AB4" w:rsidRPr="00484AB4">
          <w:rPr>
            <w:rStyle w:val="Hyperlink"/>
            <w:rFonts w:ascii="Cambria" w:hAnsi="Cambria"/>
            <w:noProof/>
            <w:sz w:val="20"/>
            <w:szCs w:val="20"/>
            <w:lang w:val="es-VE"/>
          </w:rPr>
          <w:t>en relación con el artículo 1.1 de la Convención Americana</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_Toc22308278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10</w:t>
        </w:r>
        <w:r w:rsidR="00484AB4" w:rsidRPr="00484AB4">
          <w:rPr>
            <w:rFonts w:ascii="Cambria" w:hAnsi="Cambria"/>
            <w:noProof/>
            <w:webHidden/>
            <w:sz w:val="20"/>
            <w:szCs w:val="20"/>
          </w:rPr>
          <w:fldChar w:fldCharType="end"/>
        </w:r>
      </w:hyperlink>
    </w:p>
    <w:p w14:paraId="41E77386" w14:textId="2672A03E" w:rsidR="00484AB4" w:rsidRPr="00484AB4" w:rsidRDefault="004B28A0">
      <w:pPr>
        <w:pStyle w:val="TOC3"/>
        <w:rPr>
          <w:rFonts w:ascii="Cambria" w:eastAsiaTheme="minorEastAsia" w:hAnsi="Cambria" w:cstheme="minorBidi"/>
          <w:noProof/>
          <w:sz w:val="20"/>
          <w:szCs w:val="20"/>
        </w:rPr>
      </w:pPr>
      <w:hyperlink w:anchor="_Toc22308279" w:history="1">
        <w:r w:rsidR="00484AB4" w:rsidRPr="00484AB4">
          <w:rPr>
            <w:rStyle w:val="Hyperlink"/>
            <w:rFonts w:ascii="Cambria" w:hAnsi="Cambria"/>
            <w:noProof/>
            <w:sz w:val="20"/>
            <w:szCs w:val="20"/>
            <w:lang w:val="es-MX"/>
          </w:rPr>
          <w:t>Análisis en el presente caso</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_Toc22308279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12</w:t>
        </w:r>
        <w:r w:rsidR="00484AB4" w:rsidRPr="00484AB4">
          <w:rPr>
            <w:rFonts w:ascii="Cambria" w:hAnsi="Cambria"/>
            <w:noProof/>
            <w:webHidden/>
            <w:sz w:val="20"/>
            <w:szCs w:val="20"/>
          </w:rPr>
          <w:fldChar w:fldCharType="end"/>
        </w:r>
      </w:hyperlink>
    </w:p>
    <w:p w14:paraId="6747B2D2" w14:textId="66117558" w:rsidR="00484AB4" w:rsidRPr="00484AB4" w:rsidRDefault="004B28A0">
      <w:pPr>
        <w:pStyle w:val="TOC1"/>
        <w:tabs>
          <w:tab w:val="left" w:pos="1440"/>
          <w:tab w:val="right" w:leader="dot" w:pos="9350"/>
        </w:tabs>
        <w:rPr>
          <w:rFonts w:ascii="Cambria" w:eastAsiaTheme="minorEastAsia" w:hAnsi="Cambria" w:cstheme="minorBidi"/>
          <w:noProof/>
          <w:sz w:val="20"/>
          <w:szCs w:val="20"/>
        </w:rPr>
      </w:pPr>
      <w:hyperlink w:anchor="_Toc22308280" w:history="1">
        <w:r w:rsidR="00484AB4" w:rsidRPr="00484AB4">
          <w:rPr>
            <w:rStyle w:val="Hyperlink"/>
            <w:rFonts w:ascii="Cambria" w:hAnsi="Cambria"/>
            <w:noProof/>
            <w:sz w:val="20"/>
            <w:szCs w:val="20"/>
          </w:rPr>
          <w:t>V.</w:t>
        </w:r>
        <w:r w:rsidR="00484AB4" w:rsidRPr="00484AB4">
          <w:rPr>
            <w:rFonts w:ascii="Cambria" w:eastAsiaTheme="minorEastAsia" w:hAnsi="Cambria" w:cstheme="minorBidi"/>
            <w:noProof/>
            <w:sz w:val="20"/>
            <w:szCs w:val="20"/>
          </w:rPr>
          <w:tab/>
        </w:r>
        <w:r w:rsidR="00484AB4" w:rsidRPr="00484AB4">
          <w:rPr>
            <w:rStyle w:val="Hyperlink"/>
            <w:rFonts w:ascii="Cambria" w:hAnsi="Cambria"/>
            <w:noProof/>
            <w:sz w:val="20"/>
            <w:szCs w:val="20"/>
          </w:rPr>
          <w:t>CONCLUSIONES Y RECOMENDACIONES</w:t>
        </w:r>
        <w:r w:rsidR="00484AB4" w:rsidRPr="00484AB4">
          <w:rPr>
            <w:rFonts w:ascii="Cambria" w:hAnsi="Cambria"/>
            <w:noProof/>
            <w:webHidden/>
            <w:sz w:val="20"/>
            <w:szCs w:val="20"/>
          </w:rPr>
          <w:tab/>
        </w:r>
        <w:r w:rsidR="00484AB4" w:rsidRPr="00484AB4">
          <w:rPr>
            <w:rFonts w:ascii="Cambria" w:hAnsi="Cambria"/>
            <w:noProof/>
            <w:webHidden/>
            <w:sz w:val="20"/>
            <w:szCs w:val="20"/>
          </w:rPr>
          <w:fldChar w:fldCharType="begin"/>
        </w:r>
        <w:r w:rsidR="00484AB4" w:rsidRPr="00484AB4">
          <w:rPr>
            <w:rFonts w:ascii="Cambria" w:hAnsi="Cambria"/>
            <w:noProof/>
            <w:webHidden/>
            <w:sz w:val="20"/>
            <w:szCs w:val="20"/>
          </w:rPr>
          <w:instrText xml:space="preserve"> PAGEREF _Toc22308280 \h </w:instrText>
        </w:r>
        <w:r w:rsidR="00484AB4" w:rsidRPr="00484AB4">
          <w:rPr>
            <w:rFonts w:ascii="Cambria" w:hAnsi="Cambria"/>
            <w:noProof/>
            <w:webHidden/>
            <w:sz w:val="20"/>
            <w:szCs w:val="20"/>
          </w:rPr>
        </w:r>
        <w:r w:rsidR="00484AB4" w:rsidRPr="00484AB4">
          <w:rPr>
            <w:rFonts w:ascii="Cambria" w:hAnsi="Cambria"/>
            <w:noProof/>
            <w:webHidden/>
            <w:sz w:val="20"/>
            <w:szCs w:val="20"/>
          </w:rPr>
          <w:fldChar w:fldCharType="separate"/>
        </w:r>
        <w:r>
          <w:rPr>
            <w:rFonts w:ascii="Cambria" w:hAnsi="Cambria"/>
            <w:noProof/>
            <w:webHidden/>
            <w:sz w:val="20"/>
            <w:szCs w:val="20"/>
          </w:rPr>
          <w:t>13</w:t>
        </w:r>
        <w:r w:rsidR="00484AB4" w:rsidRPr="00484AB4">
          <w:rPr>
            <w:rFonts w:ascii="Cambria" w:hAnsi="Cambria"/>
            <w:noProof/>
            <w:webHidden/>
            <w:sz w:val="20"/>
            <w:szCs w:val="20"/>
          </w:rPr>
          <w:fldChar w:fldCharType="end"/>
        </w:r>
      </w:hyperlink>
    </w:p>
    <w:p w14:paraId="44A405A5" w14:textId="77777777" w:rsidR="008D768D" w:rsidRPr="007B328D" w:rsidRDefault="006125C3" w:rsidP="0011380E">
      <w:pPr>
        <w:tabs>
          <w:tab w:val="left" w:pos="720"/>
          <w:tab w:val="center" w:pos="5400"/>
        </w:tabs>
        <w:suppressAutoHyphens/>
        <w:spacing w:line="276" w:lineRule="auto"/>
        <w:rPr>
          <w:rFonts w:ascii="Cambria" w:hAnsi="Cambria"/>
          <w:sz w:val="20"/>
          <w:szCs w:val="20"/>
          <w:lang w:val="es-ES_tradnl"/>
        </w:rPr>
      </w:pPr>
      <w:r w:rsidRPr="00484AB4">
        <w:rPr>
          <w:rFonts w:ascii="Cambria" w:hAnsi="Cambria"/>
          <w:sz w:val="20"/>
          <w:szCs w:val="20"/>
          <w:lang w:val="es-ES_tradnl"/>
        </w:rPr>
        <w:fldChar w:fldCharType="end"/>
      </w:r>
    </w:p>
    <w:p w14:paraId="63795F3C" w14:textId="77777777" w:rsidR="00722C9F" w:rsidRPr="00824696" w:rsidRDefault="00722C9F" w:rsidP="0011380E">
      <w:pPr>
        <w:tabs>
          <w:tab w:val="left" w:pos="720"/>
        </w:tabs>
        <w:rPr>
          <w:rFonts w:ascii="Cambria" w:hAnsi="Cambria" w:cs="Calibri"/>
          <w:sz w:val="20"/>
          <w:szCs w:val="20"/>
          <w:lang w:val="es-ES_tradnl"/>
        </w:rPr>
      </w:pPr>
      <w:r w:rsidRPr="00824696">
        <w:rPr>
          <w:rFonts w:ascii="Cambria" w:hAnsi="Cambria" w:cs="Calibri"/>
          <w:sz w:val="20"/>
          <w:szCs w:val="20"/>
          <w:lang w:val="es-ES_tradnl"/>
        </w:rPr>
        <w:br w:type="page"/>
      </w:r>
    </w:p>
    <w:p w14:paraId="424767E6" w14:textId="77777777" w:rsidR="00D12193" w:rsidRPr="00824696" w:rsidRDefault="00A03A30" w:rsidP="0011380E">
      <w:pPr>
        <w:pStyle w:val="Heading1"/>
        <w:ind w:left="0" w:firstLine="0"/>
        <w:rPr>
          <w:color w:val="auto"/>
        </w:rPr>
      </w:pPr>
      <w:bookmarkStart w:id="2" w:name="_Toc534884869"/>
      <w:bookmarkStart w:id="3" w:name="_Toc534884924"/>
      <w:bookmarkStart w:id="4" w:name="_Toc22308266"/>
      <w:r w:rsidRPr="00824696">
        <w:rPr>
          <w:color w:val="auto"/>
        </w:rPr>
        <w:lastRenderedPageBreak/>
        <w:t>INTRODUCCIÓN</w:t>
      </w:r>
      <w:bookmarkEnd w:id="2"/>
      <w:bookmarkEnd w:id="3"/>
      <w:bookmarkEnd w:id="4"/>
    </w:p>
    <w:p w14:paraId="4869B9FF" w14:textId="77777777" w:rsidR="005C4CA5" w:rsidRPr="00824696" w:rsidRDefault="005C4CA5" w:rsidP="0011380E">
      <w:pPr>
        <w:suppressAutoHyphens/>
        <w:rPr>
          <w:rFonts w:asciiTheme="majorHAnsi" w:hAnsiTheme="majorHAnsi"/>
          <w:b/>
          <w:sz w:val="20"/>
          <w:szCs w:val="20"/>
          <w:lang w:val="es-ES_tradnl"/>
        </w:rPr>
      </w:pPr>
    </w:p>
    <w:p w14:paraId="1B114481" w14:textId="77777777" w:rsidR="009014A4" w:rsidRPr="00824696" w:rsidRDefault="005C4CA5" w:rsidP="00977B30">
      <w:pPr>
        <w:pStyle w:val="ListParagraph"/>
        <w:tabs>
          <w:tab w:val="left" w:pos="360"/>
        </w:tabs>
        <w:rPr>
          <w:rFonts w:asciiTheme="majorHAnsi" w:hAnsiTheme="majorHAnsi"/>
          <w:color w:val="auto"/>
          <w:szCs w:val="20"/>
          <w:lang w:val="es-ES_tradnl"/>
        </w:rPr>
      </w:pPr>
      <w:r w:rsidRPr="00824696">
        <w:rPr>
          <w:rFonts w:asciiTheme="majorHAnsi" w:hAnsiTheme="majorHAnsi"/>
          <w:color w:val="auto"/>
          <w:szCs w:val="20"/>
          <w:lang w:val="es-ES_tradnl"/>
        </w:rPr>
        <w:t xml:space="preserve">El </w:t>
      </w:r>
      <w:r w:rsidR="00894D28" w:rsidRPr="00824696">
        <w:rPr>
          <w:rFonts w:asciiTheme="majorHAnsi" w:hAnsiTheme="majorHAnsi"/>
          <w:color w:val="auto"/>
          <w:szCs w:val="20"/>
          <w:lang w:val="es-ES_tradnl"/>
        </w:rPr>
        <w:t>20</w:t>
      </w:r>
      <w:r w:rsidR="00B863CD" w:rsidRPr="00824696">
        <w:rPr>
          <w:rFonts w:asciiTheme="majorHAnsi" w:hAnsiTheme="majorHAnsi"/>
          <w:color w:val="auto"/>
          <w:szCs w:val="20"/>
          <w:lang w:val="es-ES_tradnl"/>
        </w:rPr>
        <w:t xml:space="preserve"> de </w:t>
      </w:r>
      <w:r w:rsidR="00894D28" w:rsidRPr="00824696">
        <w:rPr>
          <w:rFonts w:asciiTheme="majorHAnsi" w:hAnsiTheme="majorHAnsi"/>
          <w:color w:val="auto"/>
          <w:szCs w:val="20"/>
          <w:lang w:val="es-ES_tradnl"/>
        </w:rPr>
        <w:t>abril</w:t>
      </w:r>
      <w:r w:rsidR="004C73DD" w:rsidRPr="00824696">
        <w:rPr>
          <w:rFonts w:asciiTheme="majorHAnsi" w:hAnsiTheme="majorHAnsi"/>
          <w:color w:val="auto"/>
          <w:szCs w:val="20"/>
          <w:lang w:val="es-ES_tradnl"/>
        </w:rPr>
        <w:t xml:space="preserve"> </w:t>
      </w:r>
      <w:r w:rsidRPr="00824696">
        <w:rPr>
          <w:rFonts w:asciiTheme="majorHAnsi" w:hAnsiTheme="majorHAnsi"/>
          <w:color w:val="auto"/>
          <w:szCs w:val="20"/>
          <w:lang w:val="es-ES_tradnl"/>
        </w:rPr>
        <w:t xml:space="preserve">de </w:t>
      </w:r>
      <w:r w:rsidR="00894D28" w:rsidRPr="00824696">
        <w:rPr>
          <w:rFonts w:asciiTheme="majorHAnsi" w:hAnsiTheme="majorHAnsi"/>
          <w:color w:val="auto"/>
          <w:szCs w:val="20"/>
          <w:lang w:val="es-ES_tradnl"/>
        </w:rPr>
        <w:t>2007</w:t>
      </w:r>
      <w:r w:rsidRPr="00824696">
        <w:rPr>
          <w:rFonts w:asciiTheme="majorHAnsi" w:hAnsiTheme="majorHAnsi"/>
          <w:color w:val="auto"/>
          <w:szCs w:val="20"/>
          <w:lang w:val="es-ES_tradnl"/>
        </w:rPr>
        <w:t xml:space="preserve"> la Comisión Interamericana de Derechos Humanos (“la Comisión Interamericana”, “la Comisión” o “la CIDH”) recibió </w:t>
      </w:r>
      <w:r w:rsidR="0061034E" w:rsidRPr="00824696">
        <w:rPr>
          <w:rFonts w:asciiTheme="majorHAnsi" w:hAnsiTheme="majorHAnsi"/>
          <w:color w:val="auto"/>
          <w:szCs w:val="20"/>
          <w:lang w:val="es-ES_tradnl"/>
        </w:rPr>
        <w:t xml:space="preserve">una petición </w:t>
      </w:r>
      <w:r w:rsidRPr="00824696">
        <w:rPr>
          <w:rFonts w:asciiTheme="majorHAnsi" w:hAnsiTheme="majorHAnsi"/>
          <w:color w:val="auto"/>
          <w:szCs w:val="20"/>
          <w:lang w:val="es-ES_tradnl"/>
        </w:rPr>
        <w:t>presentada po</w:t>
      </w:r>
      <w:r w:rsidR="0061034E" w:rsidRPr="00824696">
        <w:rPr>
          <w:rFonts w:asciiTheme="majorHAnsi" w:hAnsiTheme="majorHAnsi"/>
          <w:color w:val="auto"/>
          <w:szCs w:val="20"/>
          <w:lang w:val="es-ES_tradnl"/>
        </w:rPr>
        <w:t xml:space="preserve">r </w:t>
      </w:r>
      <w:r w:rsidR="00894D28" w:rsidRPr="00824696">
        <w:rPr>
          <w:rFonts w:asciiTheme="majorHAnsi" w:hAnsiTheme="majorHAnsi"/>
          <w:color w:val="auto"/>
          <w:szCs w:val="20"/>
          <w:lang w:val="es-ES_tradnl"/>
        </w:rPr>
        <w:t xml:space="preserve">Baptiste Willer, </w:t>
      </w:r>
      <w:r w:rsidR="007C4858">
        <w:rPr>
          <w:rFonts w:asciiTheme="majorHAnsi" w:hAnsiTheme="majorHAnsi"/>
          <w:color w:val="auto"/>
          <w:szCs w:val="20"/>
          <w:lang w:val="es-ES_tradnl"/>
        </w:rPr>
        <w:t xml:space="preserve">quien </w:t>
      </w:r>
      <w:r w:rsidR="00894D28" w:rsidRPr="00824696">
        <w:rPr>
          <w:rFonts w:asciiTheme="majorHAnsi" w:hAnsiTheme="majorHAnsi"/>
          <w:color w:val="auto"/>
          <w:szCs w:val="20"/>
          <w:lang w:val="es-ES_tradnl"/>
        </w:rPr>
        <w:t xml:space="preserve">actualmente </w:t>
      </w:r>
      <w:r w:rsidR="007C4858">
        <w:rPr>
          <w:rFonts w:asciiTheme="majorHAnsi" w:hAnsiTheme="majorHAnsi"/>
          <w:color w:val="auto"/>
          <w:szCs w:val="20"/>
          <w:lang w:val="es-ES_tradnl"/>
        </w:rPr>
        <w:t xml:space="preserve">es </w:t>
      </w:r>
      <w:r w:rsidR="00AA409C" w:rsidRPr="00824696">
        <w:rPr>
          <w:rFonts w:asciiTheme="majorHAnsi" w:hAnsiTheme="majorHAnsi"/>
          <w:color w:val="auto"/>
          <w:szCs w:val="20"/>
          <w:lang w:val="es-ES_tradnl"/>
        </w:rPr>
        <w:t>asistido</w:t>
      </w:r>
      <w:r w:rsidR="00894D28" w:rsidRPr="00824696">
        <w:rPr>
          <w:rFonts w:asciiTheme="majorHAnsi" w:hAnsiTheme="majorHAnsi"/>
          <w:color w:val="auto"/>
          <w:szCs w:val="20"/>
          <w:lang w:val="es-ES_tradnl"/>
        </w:rPr>
        <w:t xml:space="preserve"> por African Canadi</w:t>
      </w:r>
      <w:r w:rsidR="00EE5A2C">
        <w:rPr>
          <w:rFonts w:asciiTheme="majorHAnsi" w:hAnsiTheme="majorHAnsi"/>
          <w:color w:val="auto"/>
          <w:szCs w:val="20"/>
          <w:lang w:val="es-ES_tradnl"/>
        </w:rPr>
        <w:t>an</w:t>
      </w:r>
      <w:r w:rsidR="00894D28" w:rsidRPr="00824696">
        <w:rPr>
          <w:rFonts w:asciiTheme="majorHAnsi" w:hAnsiTheme="majorHAnsi"/>
          <w:color w:val="auto"/>
          <w:szCs w:val="20"/>
          <w:lang w:val="es-ES_tradnl"/>
        </w:rPr>
        <w:t xml:space="preserve"> Legal Clinic</w:t>
      </w:r>
      <w:r w:rsidRPr="00824696">
        <w:rPr>
          <w:rFonts w:asciiTheme="majorHAnsi" w:hAnsiTheme="majorHAnsi"/>
          <w:color w:val="auto"/>
          <w:szCs w:val="20"/>
          <w:lang w:val="es-ES_tradnl"/>
        </w:rPr>
        <w:t xml:space="preserve"> </w:t>
      </w:r>
      <w:r w:rsidR="0058449C" w:rsidRPr="00824696">
        <w:rPr>
          <w:rFonts w:asciiTheme="majorHAnsi" w:hAnsiTheme="majorHAnsi"/>
          <w:color w:val="auto"/>
          <w:szCs w:val="20"/>
          <w:lang w:val="es-ES_tradnl"/>
        </w:rPr>
        <w:t>(</w:t>
      </w:r>
      <w:r w:rsidR="00406258" w:rsidRPr="00824696">
        <w:rPr>
          <w:rFonts w:asciiTheme="majorHAnsi" w:hAnsiTheme="majorHAnsi"/>
          <w:color w:val="auto"/>
          <w:szCs w:val="20"/>
          <w:lang w:val="es-ES_tradnl"/>
        </w:rPr>
        <w:t>“l</w:t>
      </w:r>
      <w:r w:rsidR="007C6B47" w:rsidRPr="00824696">
        <w:rPr>
          <w:rFonts w:asciiTheme="majorHAnsi" w:hAnsiTheme="majorHAnsi"/>
          <w:color w:val="auto"/>
          <w:szCs w:val="20"/>
          <w:lang w:val="es-ES_tradnl"/>
        </w:rPr>
        <w:t>a parte peticionaria</w:t>
      </w:r>
      <w:r w:rsidR="005725B2" w:rsidRPr="00824696">
        <w:rPr>
          <w:rFonts w:asciiTheme="majorHAnsi" w:hAnsiTheme="majorHAnsi"/>
          <w:color w:val="auto"/>
          <w:szCs w:val="20"/>
          <w:lang w:val="es-ES_tradnl"/>
        </w:rPr>
        <w:t>”</w:t>
      </w:r>
      <w:r w:rsidR="0058449C" w:rsidRPr="00824696">
        <w:rPr>
          <w:rFonts w:asciiTheme="majorHAnsi" w:hAnsiTheme="majorHAnsi"/>
          <w:color w:val="auto"/>
          <w:szCs w:val="20"/>
          <w:lang w:val="es-ES_tradnl"/>
        </w:rPr>
        <w:t>)</w:t>
      </w:r>
      <w:r w:rsidR="00DC667A" w:rsidRPr="00824696">
        <w:rPr>
          <w:rFonts w:asciiTheme="majorHAnsi" w:hAnsiTheme="majorHAnsi"/>
          <w:color w:val="auto"/>
          <w:szCs w:val="20"/>
          <w:lang w:val="es-ES_tradnl"/>
        </w:rPr>
        <w:t>,</w:t>
      </w:r>
      <w:r w:rsidRPr="00824696">
        <w:rPr>
          <w:rFonts w:asciiTheme="majorHAnsi" w:hAnsiTheme="majorHAnsi"/>
          <w:color w:val="auto"/>
          <w:szCs w:val="20"/>
          <w:lang w:val="es-ES_tradnl"/>
        </w:rPr>
        <w:t xml:space="preserve"> en la cual se alega la responsabilidad internacional de</w:t>
      </w:r>
      <w:r w:rsidR="00B86162" w:rsidRPr="00824696">
        <w:rPr>
          <w:rFonts w:asciiTheme="majorHAnsi" w:hAnsiTheme="majorHAnsi"/>
          <w:color w:val="auto"/>
          <w:szCs w:val="20"/>
          <w:lang w:val="es-ES_tradnl"/>
        </w:rPr>
        <w:t xml:space="preserve"> </w:t>
      </w:r>
      <w:r w:rsidR="00977B30" w:rsidRPr="00824696">
        <w:rPr>
          <w:rFonts w:asciiTheme="majorHAnsi" w:hAnsiTheme="majorHAnsi"/>
          <w:color w:val="auto"/>
          <w:szCs w:val="20"/>
          <w:lang w:val="es-ES_tradnl"/>
        </w:rPr>
        <w:t>la República de Hait</w:t>
      </w:r>
      <w:r w:rsidR="00EE5A2C">
        <w:rPr>
          <w:rFonts w:asciiTheme="majorHAnsi" w:hAnsiTheme="majorHAnsi"/>
          <w:color w:val="auto"/>
          <w:szCs w:val="20"/>
          <w:lang w:val="es-ES_tradnl"/>
        </w:rPr>
        <w:t>í</w:t>
      </w:r>
      <w:r w:rsidRPr="00824696">
        <w:rPr>
          <w:rFonts w:asciiTheme="majorHAnsi" w:hAnsiTheme="majorHAnsi"/>
          <w:color w:val="auto"/>
          <w:szCs w:val="20"/>
          <w:lang w:val="es-ES_tradnl"/>
        </w:rPr>
        <w:t xml:space="preserve"> (“el Estado</w:t>
      </w:r>
      <w:r w:rsidR="00977B30" w:rsidRPr="00824696">
        <w:rPr>
          <w:rFonts w:asciiTheme="majorHAnsi" w:hAnsiTheme="majorHAnsi"/>
          <w:color w:val="auto"/>
          <w:szCs w:val="20"/>
          <w:lang w:val="es-ES_tradnl"/>
        </w:rPr>
        <w:t>”</w:t>
      </w:r>
      <w:r w:rsidR="00D35279">
        <w:rPr>
          <w:rFonts w:asciiTheme="majorHAnsi" w:hAnsiTheme="majorHAnsi"/>
          <w:color w:val="auto"/>
          <w:szCs w:val="20"/>
          <w:lang w:val="es-ES_tradnl"/>
        </w:rPr>
        <w:t>,</w:t>
      </w:r>
      <w:r w:rsidRPr="00824696">
        <w:rPr>
          <w:rFonts w:asciiTheme="majorHAnsi" w:hAnsiTheme="majorHAnsi"/>
          <w:color w:val="auto"/>
          <w:szCs w:val="20"/>
          <w:lang w:val="es-ES_tradnl"/>
        </w:rPr>
        <w:t xml:space="preserve"> “</w:t>
      </w:r>
      <w:r w:rsidR="00433C4C" w:rsidRPr="00824696">
        <w:rPr>
          <w:rFonts w:asciiTheme="majorHAnsi" w:hAnsiTheme="majorHAnsi"/>
          <w:color w:val="auto"/>
          <w:szCs w:val="20"/>
          <w:lang w:val="es-ES_tradnl"/>
        </w:rPr>
        <w:t>Haití</w:t>
      </w:r>
      <w:r w:rsidRPr="00824696">
        <w:rPr>
          <w:rFonts w:asciiTheme="majorHAnsi" w:hAnsiTheme="majorHAnsi"/>
          <w:color w:val="auto"/>
          <w:szCs w:val="20"/>
          <w:lang w:val="es-ES_tradnl"/>
        </w:rPr>
        <w:t>”</w:t>
      </w:r>
      <w:r w:rsidR="00D35279">
        <w:rPr>
          <w:rFonts w:asciiTheme="majorHAnsi" w:hAnsiTheme="majorHAnsi"/>
          <w:color w:val="auto"/>
          <w:szCs w:val="20"/>
          <w:lang w:val="es-ES_tradnl"/>
        </w:rPr>
        <w:t xml:space="preserve"> o “el Estado haitiano”</w:t>
      </w:r>
      <w:r w:rsidRPr="00824696">
        <w:rPr>
          <w:rFonts w:asciiTheme="majorHAnsi" w:hAnsiTheme="majorHAnsi"/>
          <w:color w:val="auto"/>
          <w:szCs w:val="20"/>
          <w:lang w:val="es-ES_tradnl"/>
        </w:rPr>
        <w:t xml:space="preserve">) </w:t>
      </w:r>
      <w:r w:rsidR="0032742E" w:rsidRPr="00824696">
        <w:rPr>
          <w:rFonts w:asciiTheme="majorHAnsi" w:hAnsiTheme="majorHAnsi"/>
          <w:color w:val="auto"/>
          <w:szCs w:val="20"/>
          <w:lang w:val="es-ES_tradnl"/>
        </w:rPr>
        <w:t xml:space="preserve">por </w:t>
      </w:r>
      <w:r w:rsidR="00AA409C" w:rsidRPr="00824696">
        <w:rPr>
          <w:rFonts w:asciiTheme="majorHAnsi" w:hAnsiTheme="majorHAnsi"/>
          <w:color w:val="auto"/>
          <w:szCs w:val="20"/>
          <w:lang w:val="es-ES_tradnl"/>
        </w:rPr>
        <w:t>la</w:t>
      </w:r>
      <w:r w:rsidR="006A7FA0">
        <w:rPr>
          <w:rFonts w:asciiTheme="majorHAnsi" w:hAnsiTheme="majorHAnsi"/>
          <w:color w:val="auto"/>
          <w:szCs w:val="20"/>
          <w:lang w:val="es-ES_tradnl"/>
        </w:rPr>
        <w:t>s amenazas y</w:t>
      </w:r>
      <w:r w:rsidR="00AA409C" w:rsidRPr="00824696">
        <w:rPr>
          <w:rFonts w:asciiTheme="majorHAnsi" w:hAnsiTheme="majorHAnsi"/>
          <w:color w:val="auto"/>
          <w:szCs w:val="20"/>
          <w:lang w:val="es-ES_tradnl"/>
        </w:rPr>
        <w:t xml:space="preserve"> </w:t>
      </w:r>
      <w:r w:rsidR="00CD2F3B" w:rsidRPr="00824696">
        <w:rPr>
          <w:rFonts w:asciiTheme="majorHAnsi" w:hAnsiTheme="majorHAnsi"/>
          <w:color w:val="auto"/>
          <w:szCs w:val="20"/>
          <w:lang w:val="es-ES_tradnl"/>
        </w:rPr>
        <w:t xml:space="preserve">tentativa de homicidio </w:t>
      </w:r>
      <w:r w:rsidR="00E37128">
        <w:rPr>
          <w:rFonts w:asciiTheme="majorHAnsi" w:hAnsiTheme="majorHAnsi"/>
          <w:color w:val="auto"/>
          <w:szCs w:val="20"/>
          <w:lang w:val="es-ES_tradnl"/>
        </w:rPr>
        <w:t>que sufrió</w:t>
      </w:r>
      <w:r w:rsidR="00AA409C" w:rsidRPr="00824696">
        <w:rPr>
          <w:rFonts w:asciiTheme="majorHAnsi" w:hAnsiTheme="majorHAnsi"/>
          <w:color w:val="auto"/>
          <w:szCs w:val="20"/>
          <w:lang w:val="es-ES_tradnl"/>
        </w:rPr>
        <w:t xml:space="preserve"> Baptiste Willer</w:t>
      </w:r>
      <w:r w:rsidR="005F2D44" w:rsidRPr="00824696">
        <w:rPr>
          <w:rFonts w:asciiTheme="majorHAnsi" w:hAnsiTheme="majorHAnsi"/>
          <w:color w:val="auto"/>
          <w:szCs w:val="20"/>
          <w:lang w:val="es-ES_tradnl"/>
        </w:rPr>
        <w:t>,</w:t>
      </w:r>
      <w:r w:rsidR="00AA409C" w:rsidRPr="00824696">
        <w:rPr>
          <w:rFonts w:asciiTheme="majorHAnsi" w:hAnsiTheme="majorHAnsi"/>
          <w:color w:val="auto"/>
          <w:szCs w:val="20"/>
          <w:lang w:val="es-ES_tradnl"/>
        </w:rPr>
        <w:t xml:space="preserve"> </w:t>
      </w:r>
      <w:r w:rsidR="00CD2F3B" w:rsidRPr="00824696">
        <w:rPr>
          <w:rFonts w:asciiTheme="majorHAnsi" w:hAnsiTheme="majorHAnsi"/>
          <w:color w:val="auto"/>
          <w:szCs w:val="20"/>
          <w:lang w:val="es-ES_tradnl"/>
        </w:rPr>
        <w:t>el asesina</w:t>
      </w:r>
      <w:r w:rsidR="00AA409C" w:rsidRPr="00824696">
        <w:rPr>
          <w:rFonts w:asciiTheme="majorHAnsi" w:hAnsiTheme="majorHAnsi"/>
          <w:color w:val="auto"/>
          <w:szCs w:val="20"/>
          <w:lang w:val="es-ES_tradnl"/>
        </w:rPr>
        <w:t xml:space="preserve">to de su hermano </w:t>
      </w:r>
      <w:r w:rsidR="00883ACE">
        <w:rPr>
          <w:rFonts w:asciiTheme="majorHAnsi" w:hAnsiTheme="majorHAnsi"/>
          <w:color w:val="auto"/>
          <w:szCs w:val="20"/>
          <w:lang w:val="es-ES_tradnl"/>
        </w:rPr>
        <w:t xml:space="preserve">menor de edad, </w:t>
      </w:r>
      <w:r w:rsidR="00FE596B" w:rsidRPr="00FE596B">
        <w:rPr>
          <w:rFonts w:asciiTheme="majorHAnsi" w:hAnsiTheme="majorHAnsi"/>
          <w:color w:val="auto"/>
          <w:szCs w:val="20"/>
          <w:lang w:val="es-ES_tradnl"/>
        </w:rPr>
        <w:t>Frédo Guirant (o Guirand)</w:t>
      </w:r>
      <w:r w:rsidR="00AA409C" w:rsidRPr="00824696">
        <w:rPr>
          <w:rFonts w:asciiTheme="majorHAnsi" w:hAnsiTheme="majorHAnsi"/>
          <w:color w:val="auto"/>
          <w:szCs w:val="20"/>
          <w:lang w:val="es-ES_tradnl"/>
        </w:rPr>
        <w:t xml:space="preserve"> </w:t>
      </w:r>
      <w:r w:rsidR="00514D38">
        <w:rPr>
          <w:rFonts w:asciiTheme="majorHAnsi" w:hAnsiTheme="majorHAnsi"/>
          <w:color w:val="auto"/>
          <w:szCs w:val="20"/>
          <w:lang w:val="es-ES_tradnl"/>
        </w:rPr>
        <w:t xml:space="preserve">y la impunidad </w:t>
      </w:r>
      <w:r w:rsidR="005F2D44" w:rsidRPr="00824696">
        <w:rPr>
          <w:rFonts w:asciiTheme="majorHAnsi" w:hAnsiTheme="majorHAnsi"/>
          <w:color w:val="auto"/>
          <w:szCs w:val="20"/>
          <w:lang w:val="es-ES_tradnl"/>
        </w:rPr>
        <w:t xml:space="preserve"> existente </w:t>
      </w:r>
      <w:r w:rsidR="00883ACE">
        <w:rPr>
          <w:rFonts w:asciiTheme="majorHAnsi" w:hAnsiTheme="majorHAnsi"/>
          <w:color w:val="auto"/>
          <w:szCs w:val="20"/>
          <w:lang w:val="es-ES_tradnl"/>
        </w:rPr>
        <w:t xml:space="preserve">en Haití </w:t>
      </w:r>
      <w:r w:rsidR="005F2D44" w:rsidRPr="00824696">
        <w:rPr>
          <w:rFonts w:asciiTheme="majorHAnsi" w:hAnsiTheme="majorHAnsi"/>
          <w:color w:val="auto"/>
          <w:szCs w:val="20"/>
          <w:lang w:val="es-ES_tradnl"/>
        </w:rPr>
        <w:t>por tales hechos</w:t>
      </w:r>
      <w:r w:rsidRPr="00824696">
        <w:rPr>
          <w:rFonts w:asciiTheme="majorHAnsi" w:hAnsiTheme="majorHAnsi"/>
          <w:color w:val="auto"/>
          <w:szCs w:val="20"/>
          <w:lang w:val="es-ES_tradnl"/>
        </w:rPr>
        <w:t xml:space="preserve">. </w:t>
      </w:r>
    </w:p>
    <w:p w14:paraId="007DCCAD" w14:textId="77777777" w:rsidR="009014A4" w:rsidRPr="00824696" w:rsidRDefault="009014A4" w:rsidP="0011380E">
      <w:pPr>
        <w:pStyle w:val="ListParagraph"/>
        <w:numPr>
          <w:ilvl w:val="0"/>
          <w:numId w:val="0"/>
        </w:numPr>
        <w:rPr>
          <w:rFonts w:asciiTheme="majorHAnsi" w:hAnsiTheme="majorHAnsi"/>
          <w:color w:val="auto"/>
          <w:szCs w:val="20"/>
          <w:lang w:val="es-ES_tradnl"/>
        </w:rPr>
      </w:pPr>
    </w:p>
    <w:p w14:paraId="7521CB15" w14:textId="77777777" w:rsidR="00311990" w:rsidRPr="00824696" w:rsidRDefault="009014A4" w:rsidP="00941E39">
      <w:pPr>
        <w:pStyle w:val="ListParagraph"/>
        <w:tabs>
          <w:tab w:val="left" w:pos="360"/>
        </w:tabs>
        <w:rPr>
          <w:rFonts w:asciiTheme="majorHAnsi" w:hAnsiTheme="majorHAnsi"/>
          <w:color w:val="auto"/>
          <w:szCs w:val="20"/>
          <w:lang w:val="es-ES_tradnl"/>
        </w:rPr>
      </w:pPr>
      <w:r w:rsidRPr="00824696">
        <w:rPr>
          <w:lang w:val="es-ES_tradnl"/>
        </w:rPr>
        <w:t xml:space="preserve">La Comisión aprobó el informe de admisibilidad No. </w:t>
      </w:r>
      <w:r w:rsidR="00CD2F3B" w:rsidRPr="00824696">
        <w:rPr>
          <w:lang w:val="es-ES_tradnl"/>
        </w:rPr>
        <w:t>2</w:t>
      </w:r>
      <w:r w:rsidR="0045647B" w:rsidRPr="00824696">
        <w:rPr>
          <w:lang w:val="es-ES_tradnl"/>
        </w:rPr>
        <w:t>1</w:t>
      </w:r>
      <w:r w:rsidRPr="00824696">
        <w:rPr>
          <w:lang w:val="es-ES_tradnl"/>
        </w:rPr>
        <w:t>/</w:t>
      </w:r>
      <w:r w:rsidR="00CD2F3B" w:rsidRPr="00824696">
        <w:rPr>
          <w:lang w:val="es-ES_tradnl"/>
        </w:rPr>
        <w:t>1</w:t>
      </w:r>
      <w:r w:rsidR="0045647B" w:rsidRPr="00824696">
        <w:rPr>
          <w:lang w:val="es-ES_tradnl"/>
        </w:rPr>
        <w:t>4</w:t>
      </w:r>
      <w:r w:rsidRPr="00824696">
        <w:rPr>
          <w:lang w:val="es-ES_tradnl"/>
        </w:rPr>
        <w:t xml:space="preserve"> el </w:t>
      </w:r>
      <w:r w:rsidR="00B3721F" w:rsidRPr="00824696">
        <w:rPr>
          <w:lang w:val="es-ES_tradnl"/>
        </w:rPr>
        <w:t>4</w:t>
      </w:r>
      <w:r w:rsidRPr="00824696">
        <w:rPr>
          <w:lang w:val="es-ES_tradnl"/>
        </w:rPr>
        <w:t xml:space="preserve"> de </w:t>
      </w:r>
      <w:r w:rsidR="00B3721F" w:rsidRPr="00824696">
        <w:rPr>
          <w:lang w:val="es-ES_tradnl"/>
        </w:rPr>
        <w:t xml:space="preserve">abril </w:t>
      </w:r>
      <w:r w:rsidRPr="00824696">
        <w:rPr>
          <w:lang w:val="es-ES_tradnl"/>
        </w:rPr>
        <w:t xml:space="preserve">de </w:t>
      </w:r>
      <w:r w:rsidR="00F07CE3" w:rsidRPr="00824696">
        <w:rPr>
          <w:lang w:val="es-ES_tradnl"/>
        </w:rPr>
        <w:t>20</w:t>
      </w:r>
      <w:r w:rsidR="00B3721F" w:rsidRPr="00824696">
        <w:rPr>
          <w:lang w:val="es-ES_tradnl"/>
        </w:rPr>
        <w:t>1</w:t>
      </w:r>
      <w:r w:rsidR="0045647B" w:rsidRPr="00824696">
        <w:rPr>
          <w:lang w:val="es-ES_tradnl"/>
        </w:rPr>
        <w:t>4</w:t>
      </w:r>
      <w:r w:rsidRPr="00824696">
        <w:rPr>
          <w:rStyle w:val="FootnoteReference"/>
          <w:rFonts w:asciiTheme="majorHAnsi" w:hAnsiTheme="majorHAnsi"/>
          <w:color w:val="auto"/>
          <w:szCs w:val="20"/>
          <w:lang w:val="es-ES_tradnl"/>
        </w:rPr>
        <w:footnoteReference w:id="2"/>
      </w:r>
      <w:r w:rsidR="00AF7988" w:rsidRPr="00824696">
        <w:rPr>
          <w:lang w:val="es-ES_tradnl"/>
        </w:rPr>
        <w:t xml:space="preserve">. </w:t>
      </w:r>
      <w:r w:rsidRPr="00824696">
        <w:rPr>
          <w:lang w:val="es-ES_tradnl"/>
        </w:rPr>
        <w:t xml:space="preserve">El </w:t>
      </w:r>
      <w:r w:rsidR="007A29FD" w:rsidRPr="00824696">
        <w:rPr>
          <w:lang w:val="es-ES_tradnl"/>
        </w:rPr>
        <w:t>2</w:t>
      </w:r>
      <w:r w:rsidR="009011F2" w:rsidRPr="00824696">
        <w:rPr>
          <w:lang w:val="es-ES_tradnl"/>
        </w:rPr>
        <w:t>8</w:t>
      </w:r>
      <w:r w:rsidRPr="00824696">
        <w:rPr>
          <w:lang w:val="es-ES_tradnl"/>
        </w:rPr>
        <w:t xml:space="preserve"> de </w:t>
      </w:r>
      <w:r w:rsidR="009011F2" w:rsidRPr="00824696">
        <w:rPr>
          <w:lang w:val="es-ES_tradnl"/>
        </w:rPr>
        <w:t xml:space="preserve">abril </w:t>
      </w:r>
      <w:r w:rsidRPr="00824696">
        <w:rPr>
          <w:lang w:val="es-ES_tradnl"/>
        </w:rPr>
        <w:t xml:space="preserve">de </w:t>
      </w:r>
      <w:r w:rsidR="00570AD5" w:rsidRPr="00824696">
        <w:rPr>
          <w:lang w:val="es-ES_tradnl"/>
        </w:rPr>
        <w:t>20</w:t>
      </w:r>
      <w:r w:rsidR="009011F2" w:rsidRPr="00824696">
        <w:rPr>
          <w:lang w:val="es-ES_tradnl"/>
        </w:rPr>
        <w:t>1</w:t>
      </w:r>
      <w:r w:rsidR="007A29FD" w:rsidRPr="00824696">
        <w:rPr>
          <w:lang w:val="es-ES_tradnl"/>
        </w:rPr>
        <w:t>4</w:t>
      </w:r>
      <w:r w:rsidRPr="00824696">
        <w:rPr>
          <w:lang w:val="es-ES_tradnl"/>
        </w:rPr>
        <w:t xml:space="preserve"> la Comisión notificó dicho informe a las partes y se puso a su disposición a fin de </w:t>
      </w:r>
      <w:r w:rsidR="00144470" w:rsidRPr="00824696">
        <w:rPr>
          <w:lang w:val="es-ES_tradnl"/>
        </w:rPr>
        <w:t>arribar a</w:t>
      </w:r>
      <w:r w:rsidRPr="00824696">
        <w:rPr>
          <w:lang w:val="es-ES_tradnl"/>
        </w:rPr>
        <w:t xml:space="preserve"> una solución amistosa</w:t>
      </w:r>
      <w:r w:rsidR="00950994" w:rsidRPr="00824696">
        <w:rPr>
          <w:lang w:val="es-ES_tradnl"/>
        </w:rPr>
        <w:t xml:space="preserve">, sin que se </w:t>
      </w:r>
      <w:r w:rsidR="00293EB1" w:rsidRPr="00824696">
        <w:rPr>
          <w:lang w:val="es-ES_tradnl"/>
        </w:rPr>
        <w:t>dier</w:t>
      </w:r>
      <w:r w:rsidR="00950994" w:rsidRPr="00824696">
        <w:rPr>
          <w:lang w:val="es-ES_tradnl"/>
        </w:rPr>
        <w:t>a</w:t>
      </w:r>
      <w:r w:rsidR="00293EB1" w:rsidRPr="00824696">
        <w:rPr>
          <w:lang w:val="es-ES_tradnl"/>
        </w:rPr>
        <w:t xml:space="preserve">n las condiciones para </w:t>
      </w:r>
      <w:r w:rsidR="005F2D44" w:rsidRPr="00824696">
        <w:rPr>
          <w:lang w:val="es-ES_tradnl"/>
        </w:rPr>
        <w:t xml:space="preserve">proceder con </w:t>
      </w:r>
      <w:r w:rsidR="00E37128">
        <w:rPr>
          <w:lang w:val="es-ES_tradnl"/>
        </w:rPr>
        <w:t>un</w:t>
      </w:r>
      <w:r w:rsidR="00293EB1" w:rsidRPr="00824696">
        <w:rPr>
          <w:lang w:val="es-ES_tradnl"/>
        </w:rPr>
        <w:t xml:space="preserve"> </w:t>
      </w:r>
      <w:r w:rsidR="00124409" w:rsidRPr="00824696">
        <w:rPr>
          <w:lang w:val="es-ES_tradnl"/>
        </w:rPr>
        <w:t>acuerdo</w:t>
      </w:r>
      <w:r w:rsidRPr="00824696">
        <w:rPr>
          <w:lang w:val="es-ES_tradnl"/>
        </w:rPr>
        <w:t>. Las partes contaron con los plazos reglamentarios para presentar sus observaciones adicionales sobre el fondo.</w:t>
      </w:r>
      <w:r w:rsidR="008C3098" w:rsidRPr="00824696">
        <w:rPr>
          <w:lang w:val="es-ES_tradnl"/>
        </w:rPr>
        <w:t xml:space="preserve"> </w:t>
      </w:r>
      <w:r w:rsidR="003D0AE0" w:rsidRPr="00824696">
        <w:rPr>
          <w:lang w:val="es-ES_tradnl"/>
        </w:rPr>
        <w:t>L</w:t>
      </w:r>
      <w:r w:rsidR="007E3084" w:rsidRPr="00824696">
        <w:rPr>
          <w:lang w:val="es-ES_tradnl"/>
        </w:rPr>
        <w:t>a parte peticionaria</w:t>
      </w:r>
      <w:r w:rsidR="00307F8D" w:rsidRPr="00824696">
        <w:rPr>
          <w:lang w:val="es-ES_tradnl"/>
        </w:rPr>
        <w:t xml:space="preserve"> present</w:t>
      </w:r>
      <w:r w:rsidR="007E3084" w:rsidRPr="00824696">
        <w:rPr>
          <w:lang w:val="es-ES_tradnl"/>
        </w:rPr>
        <w:t>ó</w:t>
      </w:r>
      <w:r w:rsidR="003176D2" w:rsidRPr="00824696">
        <w:rPr>
          <w:lang w:val="es-ES_tradnl"/>
        </w:rPr>
        <w:t xml:space="preserve"> observaciones</w:t>
      </w:r>
      <w:r w:rsidR="009011F2" w:rsidRPr="00824696">
        <w:rPr>
          <w:lang w:val="es-ES_tradnl"/>
        </w:rPr>
        <w:t>,</w:t>
      </w:r>
      <w:r w:rsidR="00E50B1D" w:rsidRPr="00824696">
        <w:rPr>
          <w:lang w:val="es-ES_tradnl"/>
        </w:rPr>
        <w:t xml:space="preserve"> </w:t>
      </w:r>
      <w:r w:rsidR="009011F2" w:rsidRPr="00824696">
        <w:rPr>
          <w:lang w:val="es-ES_tradnl"/>
        </w:rPr>
        <w:t>pero e</w:t>
      </w:r>
      <w:r w:rsidR="00311990" w:rsidRPr="00824696">
        <w:rPr>
          <w:rFonts w:asciiTheme="majorHAnsi" w:hAnsiTheme="majorHAnsi"/>
          <w:color w:val="auto"/>
          <w:szCs w:val="20"/>
          <w:lang w:val="es-ES_tradnl"/>
        </w:rPr>
        <w:t xml:space="preserve">l Estado no presentó observaciones en la etapa de fondo. Toda la información recibida fue debidamente trasladada </w:t>
      </w:r>
      <w:r w:rsidR="005F2D44" w:rsidRPr="00824696">
        <w:rPr>
          <w:rFonts w:asciiTheme="majorHAnsi" w:hAnsiTheme="majorHAnsi"/>
          <w:color w:val="auto"/>
          <w:szCs w:val="20"/>
          <w:lang w:val="es-ES_tradnl"/>
        </w:rPr>
        <w:t>entre</w:t>
      </w:r>
      <w:r w:rsidR="00311990" w:rsidRPr="00824696">
        <w:rPr>
          <w:rFonts w:asciiTheme="majorHAnsi" w:hAnsiTheme="majorHAnsi"/>
          <w:color w:val="auto"/>
          <w:szCs w:val="20"/>
          <w:lang w:val="es-ES_tradnl"/>
        </w:rPr>
        <w:t xml:space="preserve"> las partes.</w:t>
      </w:r>
    </w:p>
    <w:p w14:paraId="2C78D45A" w14:textId="77777777" w:rsidR="009014A4" w:rsidRPr="00824696" w:rsidRDefault="009014A4" w:rsidP="00311990">
      <w:pPr>
        <w:pStyle w:val="ListParagraph"/>
        <w:numPr>
          <w:ilvl w:val="0"/>
          <w:numId w:val="0"/>
        </w:numPr>
        <w:rPr>
          <w:rFonts w:asciiTheme="majorHAnsi" w:hAnsiTheme="majorHAnsi"/>
          <w:color w:val="auto"/>
          <w:szCs w:val="20"/>
          <w:lang w:val="es-ES_tradnl"/>
        </w:rPr>
      </w:pPr>
      <w:r w:rsidRPr="00824696">
        <w:rPr>
          <w:rFonts w:asciiTheme="majorHAnsi" w:hAnsiTheme="majorHAnsi"/>
          <w:color w:val="auto"/>
          <w:szCs w:val="20"/>
          <w:lang w:val="es-ES_tradnl"/>
        </w:rPr>
        <w:t xml:space="preserve"> </w:t>
      </w:r>
    </w:p>
    <w:p w14:paraId="3277391E" w14:textId="77777777" w:rsidR="00A4478F" w:rsidRPr="00824696" w:rsidRDefault="00D12193" w:rsidP="00A4478F">
      <w:pPr>
        <w:pStyle w:val="Heading1"/>
        <w:ind w:left="0" w:firstLine="0"/>
        <w:rPr>
          <w:color w:val="auto"/>
        </w:rPr>
      </w:pPr>
      <w:bookmarkStart w:id="5" w:name="_Toc22308267"/>
      <w:r w:rsidRPr="00824696">
        <w:rPr>
          <w:color w:val="auto"/>
        </w:rPr>
        <w:t>ALEGATOS DE LAS PARTES</w:t>
      </w:r>
      <w:bookmarkEnd w:id="5"/>
    </w:p>
    <w:p w14:paraId="22D7051F" w14:textId="77777777" w:rsidR="005F3D64" w:rsidRPr="00824696" w:rsidRDefault="005F3D64" w:rsidP="005F3D64">
      <w:pPr>
        <w:rPr>
          <w:lang w:val="es-ES_tradnl" w:eastAsia="es-ES"/>
        </w:rPr>
      </w:pPr>
    </w:p>
    <w:p w14:paraId="2DEC4C35" w14:textId="77777777" w:rsidR="00D12193" w:rsidRPr="00824696" w:rsidRDefault="0022273F" w:rsidP="005F3D64">
      <w:pPr>
        <w:pStyle w:val="Heading2"/>
        <w:ind w:left="720" w:hanging="720"/>
        <w:rPr>
          <w:lang w:val="es-ES_tradnl"/>
        </w:rPr>
      </w:pPr>
      <w:bookmarkStart w:id="6" w:name="_Toc22308268"/>
      <w:r w:rsidRPr="00824696">
        <w:rPr>
          <w:lang w:val="es-ES_tradnl"/>
        </w:rPr>
        <w:t>Parte peticionaria</w:t>
      </w:r>
      <w:bookmarkEnd w:id="6"/>
      <w:r w:rsidRPr="00824696">
        <w:rPr>
          <w:lang w:val="es-ES_tradnl"/>
        </w:rPr>
        <w:t xml:space="preserve"> </w:t>
      </w:r>
    </w:p>
    <w:p w14:paraId="5D344DD7" w14:textId="77777777" w:rsidR="0064044A" w:rsidRPr="00824696" w:rsidRDefault="0064044A" w:rsidP="0011380E">
      <w:pPr>
        <w:pStyle w:val="ListParagraph"/>
        <w:numPr>
          <w:ilvl w:val="0"/>
          <w:numId w:val="0"/>
        </w:numPr>
        <w:rPr>
          <w:rFonts w:asciiTheme="majorHAnsi" w:hAnsiTheme="majorHAnsi"/>
          <w:color w:val="auto"/>
          <w:szCs w:val="20"/>
          <w:lang w:val="es-ES_tradnl"/>
        </w:rPr>
      </w:pPr>
    </w:p>
    <w:p w14:paraId="3A9B20F9" w14:textId="77777777" w:rsidR="00673D26" w:rsidRDefault="00D04CA5" w:rsidP="00673D26">
      <w:pPr>
        <w:pStyle w:val="ListParagraph"/>
        <w:tabs>
          <w:tab w:val="left" w:pos="360"/>
        </w:tabs>
        <w:rPr>
          <w:rFonts w:asciiTheme="majorHAnsi" w:hAnsiTheme="majorHAnsi"/>
          <w:color w:val="auto"/>
          <w:szCs w:val="20"/>
          <w:lang w:val="es-ES_tradnl"/>
        </w:rPr>
      </w:pPr>
      <w:r w:rsidRPr="00824696">
        <w:rPr>
          <w:rFonts w:asciiTheme="majorHAnsi" w:hAnsiTheme="majorHAnsi"/>
          <w:color w:val="auto"/>
          <w:szCs w:val="20"/>
          <w:lang w:val="es-ES_tradnl"/>
        </w:rPr>
        <w:t>L</w:t>
      </w:r>
      <w:r w:rsidR="007173E4" w:rsidRPr="00824696">
        <w:rPr>
          <w:rFonts w:asciiTheme="majorHAnsi" w:hAnsiTheme="majorHAnsi"/>
          <w:color w:val="auto"/>
          <w:szCs w:val="20"/>
          <w:lang w:val="es-ES_tradnl"/>
        </w:rPr>
        <w:t xml:space="preserve">a parte </w:t>
      </w:r>
      <w:r w:rsidR="00037C6D" w:rsidRPr="00824696">
        <w:rPr>
          <w:rFonts w:asciiTheme="majorHAnsi" w:hAnsiTheme="majorHAnsi"/>
          <w:color w:val="auto"/>
          <w:szCs w:val="20"/>
          <w:lang w:val="es-ES_tradnl"/>
        </w:rPr>
        <w:t>p</w:t>
      </w:r>
      <w:r w:rsidRPr="00824696">
        <w:rPr>
          <w:rFonts w:asciiTheme="majorHAnsi" w:hAnsiTheme="majorHAnsi"/>
          <w:color w:val="auto"/>
          <w:szCs w:val="20"/>
          <w:lang w:val="es-ES_tradnl"/>
        </w:rPr>
        <w:t>eticionari</w:t>
      </w:r>
      <w:r w:rsidR="007173E4" w:rsidRPr="00824696">
        <w:rPr>
          <w:rFonts w:asciiTheme="majorHAnsi" w:hAnsiTheme="majorHAnsi"/>
          <w:color w:val="auto"/>
          <w:szCs w:val="20"/>
          <w:lang w:val="es-ES_tradnl"/>
        </w:rPr>
        <w:t xml:space="preserve">a </w:t>
      </w:r>
      <w:r w:rsidR="00585515">
        <w:rPr>
          <w:rFonts w:asciiTheme="majorHAnsi" w:hAnsiTheme="majorHAnsi"/>
          <w:color w:val="auto"/>
          <w:szCs w:val="20"/>
          <w:lang w:val="es-ES_tradnl"/>
        </w:rPr>
        <w:t>alega</w:t>
      </w:r>
      <w:r w:rsidR="009B34EC" w:rsidRPr="00824696">
        <w:rPr>
          <w:rFonts w:asciiTheme="majorHAnsi" w:hAnsiTheme="majorHAnsi"/>
          <w:color w:val="auto"/>
          <w:szCs w:val="20"/>
          <w:lang w:val="es-ES_tradnl"/>
        </w:rPr>
        <w:t xml:space="preserve"> </w:t>
      </w:r>
      <w:r w:rsidR="003F2D64" w:rsidRPr="00824696">
        <w:rPr>
          <w:rFonts w:asciiTheme="majorHAnsi" w:hAnsiTheme="majorHAnsi"/>
          <w:color w:val="auto"/>
          <w:szCs w:val="20"/>
          <w:lang w:val="es-ES_tradnl"/>
        </w:rPr>
        <w:t>que</w:t>
      </w:r>
      <w:r w:rsidR="0029609F">
        <w:rPr>
          <w:rFonts w:asciiTheme="majorHAnsi" w:hAnsiTheme="majorHAnsi"/>
          <w:color w:val="auto"/>
          <w:szCs w:val="20"/>
          <w:lang w:val="es-ES_tradnl"/>
        </w:rPr>
        <w:t xml:space="preserve">, </w:t>
      </w:r>
      <w:r w:rsidR="00585515">
        <w:rPr>
          <w:rFonts w:asciiTheme="majorHAnsi" w:hAnsiTheme="majorHAnsi"/>
          <w:color w:val="auto"/>
          <w:szCs w:val="20"/>
          <w:lang w:val="es-ES_tradnl"/>
        </w:rPr>
        <w:t>mientras</w:t>
      </w:r>
      <w:r w:rsidR="001A0879" w:rsidRPr="00824696">
        <w:rPr>
          <w:rFonts w:asciiTheme="majorHAnsi" w:hAnsiTheme="majorHAnsi"/>
          <w:color w:val="auto"/>
          <w:szCs w:val="20"/>
          <w:lang w:val="es-ES_tradnl"/>
        </w:rPr>
        <w:t xml:space="preserve"> </w:t>
      </w:r>
      <w:r w:rsidR="00432964">
        <w:rPr>
          <w:rFonts w:asciiTheme="majorHAnsi" w:hAnsiTheme="majorHAnsi"/>
          <w:color w:val="auto"/>
          <w:szCs w:val="20"/>
          <w:lang w:val="es-ES_tradnl"/>
        </w:rPr>
        <w:t>Baptiste Willer</w:t>
      </w:r>
      <w:r w:rsidR="00472B68" w:rsidRPr="00824696">
        <w:rPr>
          <w:rFonts w:asciiTheme="majorHAnsi" w:hAnsiTheme="majorHAnsi"/>
          <w:color w:val="auto"/>
          <w:szCs w:val="20"/>
          <w:lang w:val="es-ES_tradnl"/>
        </w:rPr>
        <w:t xml:space="preserve"> y su familia </w:t>
      </w:r>
      <w:r w:rsidR="00585515">
        <w:rPr>
          <w:rFonts w:asciiTheme="majorHAnsi" w:hAnsiTheme="majorHAnsi"/>
          <w:color w:val="auto"/>
          <w:szCs w:val="20"/>
          <w:lang w:val="es-ES_tradnl"/>
        </w:rPr>
        <w:t xml:space="preserve">eran </w:t>
      </w:r>
      <w:r w:rsidR="005F2D44" w:rsidRPr="00824696">
        <w:rPr>
          <w:rFonts w:asciiTheme="majorHAnsi" w:hAnsiTheme="majorHAnsi"/>
          <w:color w:val="auto"/>
          <w:szCs w:val="20"/>
          <w:lang w:val="es-ES_tradnl"/>
        </w:rPr>
        <w:t>v</w:t>
      </w:r>
      <w:r w:rsidR="00472B68" w:rsidRPr="00824696">
        <w:rPr>
          <w:rFonts w:asciiTheme="majorHAnsi" w:hAnsiTheme="majorHAnsi"/>
          <w:color w:val="auto"/>
          <w:szCs w:val="20"/>
          <w:lang w:val="es-ES_tradnl"/>
        </w:rPr>
        <w:t>í</w:t>
      </w:r>
      <w:r w:rsidR="005F2D44" w:rsidRPr="00824696">
        <w:rPr>
          <w:rFonts w:asciiTheme="majorHAnsi" w:hAnsiTheme="majorHAnsi"/>
          <w:color w:val="auto"/>
          <w:szCs w:val="20"/>
          <w:lang w:val="es-ES_tradnl"/>
        </w:rPr>
        <w:t>ctima</w:t>
      </w:r>
      <w:r w:rsidR="00472B68" w:rsidRPr="00824696">
        <w:rPr>
          <w:rFonts w:asciiTheme="majorHAnsi" w:hAnsiTheme="majorHAnsi"/>
          <w:color w:val="auto"/>
          <w:szCs w:val="20"/>
          <w:lang w:val="es-ES_tradnl"/>
        </w:rPr>
        <w:t>s de</w:t>
      </w:r>
      <w:r w:rsidR="005F2D44" w:rsidRPr="00824696">
        <w:rPr>
          <w:rFonts w:asciiTheme="majorHAnsi" w:hAnsiTheme="majorHAnsi"/>
          <w:color w:val="auto"/>
          <w:szCs w:val="20"/>
          <w:lang w:val="es-ES_tradnl"/>
        </w:rPr>
        <w:t xml:space="preserve"> amenazas</w:t>
      </w:r>
      <w:r w:rsidR="00EE5A2C">
        <w:rPr>
          <w:rFonts w:asciiTheme="majorHAnsi" w:hAnsiTheme="majorHAnsi"/>
          <w:color w:val="auto"/>
          <w:szCs w:val="20"/>
          <w:lang w:val="es-ES_tradnl"/>
        </w:rPr>
        <w:t xml:space="preserve"> y </w:t>
      </w:r>
      <w:r w:rsidR="005F2D44" w:rsidRPr="00824696">
        <w:rPr>
          <w:rFonts w:asciiTheme="majorHAnsi" w:hAnsiTheme="majorHAnsi"/>
          <w:color w:val="auto"/>
          <w:szCs w:val="20"/>
          <w:lang w:val="es-ES_tradnl"/>
        </w:rPr>
        <w:t>actos de intimidación y hostigamiento</w:t>
      </w:r>
      <w:r w:rsidR="00472B68" w:rsidRPr="00824696">
        <w:rPr>
          <w:rFonts w:asciiTheme="majorHAnsi" w:hAnsiTheme="majorHAnsi"/>
          <w:color w:val="auto"/>
          <w:szCs w:val="20"/>
          <w:lang w:val="es-ES_tradnl"/>
        </w:rPr>
        <w:t>, la República de Hait</w:t>
      </w:r>
      <w:r w:rsidR="005832E2">
        <w:rPr>
          <w:rFonts w:asciiTheme="majorHAnsi" w:hAnsiTheme="majorHAnsi"/>
          <w:color w:val="auto"/>
          <w:szCs w:val="20"/>
          <w:lang w:val="es-ES_tradnl"/>
        </w:rPr>
        <w:t>í</w:t>
      </w:r>
      <w:r w:rsidR="0029609F">
        <w:rPr>
          <w:rFonts w:asciiTheme="majorHAnsi" w:hAnsiTheme="majorHAnsi"/>
          <w:color w:val="auto"/>
          <w:szCs w:val="20"/>
          <w:lang w:val="es-ES_tradnl"/>
        </w:rPr>
        <w:t xml:space="preserve"> </w:t>
      </w:r>
      <w:r w:rsidR="004C2B9A">
        <w:rPr>
          <w:rFonts w:asciiTheme="majorHAnsi" w:hAnsiTheme="majorHAnsi"/>
          <w:color w:val="auto"/>
          <w:szCs w:val="20"/>
          <w:lang w:val="es-ES_tradnl"/>
        </w:rPr>
        <w:t>incumplió</w:t>
      </w:r>
      <w:r w:rsidR="0029609F">
        <w:rPr>
          <w:rFonts w:asciiTheme="majorHAnsi" w:hAnsiTheme="majorHAnsi"/>
          <w:color w:val="auto"/>
          <w:szCs w:val="20"/>
          <w:lang w:val="es-ES_tradnl"/>
        </w:rPr>
        <w:t xml:space="preserve"> sus obligaciones de prote</w:t>
      </w:r>
      <w:r w:rsidR="00585515">
        <w:rPr>
          <w:rFonts w:asciiTheme="majorHAnsi" w:hAnsiTheme="majorHAnsi"/>
          <w:color w:val="auto"/>
          <w:szCs w:val="20"/>
          <w:lang w:val="es-ES_tradnl"/>
        </w:rPr>
        <w:t xml:space="preserve">cción </w:t>
      </w:r>
      <w:r w:rsidR="0072348E">
        <w:rPr>
          <w:rFonts w:asciiTheme="majorHAnsi" w:hAnsiTheme="majorHAnsi"/>
          <w:color w:val="auto"/>
          <w:szCs w:val="20"/>
          <w:lang w:val="es-ES_tradnl"/>
        </w:rPr>
        <w:t>y</w:t>
      </w:r>
      <w:r w:rsidR="00585515">
        <w:rPr>
          <w:rFonts w:asciiTheme="majorHAnsi" w:hAnsiTheme="majorHAnsi"/>
          <w:color w:val="auto"/>
          <w:szCs w:val="20"/>
          <w:lang w:val="es-ES_tradnl"/>
        </w:rPr>
        <w:t xml:space="preserve"> </w:t>
      </w:r>
      <w:r w:rsidR="00EE5A2C">
        <w:rPr>
          <w:rFonts w:asciiTheme="majorHAnsi" w:hAnsiTheme="majorHAnsi"/>
          <w:color w:val="auto"/>
          <w:szCs w:val="20"/>
          <w:lang w:val="es-ES_tradnl"/>
        </w:rPr>
        <w:t>de otorgar</w:t>
      </w:r>
      <w:r w:rsidR="00585515">
        <w:rPr>
          <w:rFonts w:asciiTheme="majorHAnsi" w:hAnsiTheme="majorHAnsi"/>
          <w:color w:val="auto"/>
          <w:szCs w:val="20"/>
          <w:lang w:val="es-ES_tradnl"/>
        </w:rPr>
        <w:t xml:space="preserve"> una debida administración de justicia</w:t>
      </w:r>
      <w:r w:rsidR="00EE5A2C">
        <w:rPr>
          <w:rFonts w:asciiTheme="majorHAnsi" w:hAnsiTheme="majorHAnsi"/>
          <w:color w:val="auto"/>
          <w:szCs w:val="20"/>
          <w:lang w:val="es-ES_tradnl"/>
        </w:rPr>
        <w:t>,</w:t>
      </w:r>
      <w:r w:rsidR="00585515">
        <w:rPr>
          <w:rFonts w:asciiTheme="majorHAnsi" w:hAnsiTheme="majorHAnsi"/>
          <w:color w:val="auto"/>
          <w:szCs w:val="20"/>
          <w:lang w:val="es-ES_tradnl"/>
        </w:rPr>
        <w:t xml:space="preserve"> en violación de los artículos 4, 5, 7 y 25 de la Convención Americana de Derechos Humanos (“Convención Americana”</w:t>
      </w:r>
      <w:r w:rsidR="00B55AFC">
        <w:rPr>
          <w:rFonts w:asciiTheme="majorHAnsi" w:hAnsiTheme="majorHAnsi"/>
          <w:color w:val="auto"/>
          <w:szCs w:val="20"/>
          <w:lang w:val="es-ES_tradnl"/>
        </w:rPr>
        <w:t xml:space="preserve"> o “Convención”</w:t>
      </w:r>
      <w:r w:rsidR="00585515">
        <w:rPr>
          <w:rFonts w:asciiTheme="majorHAnsi" w:hAnsiTheme="majorHAnsi"/>
          <w:color w:val="auto"/>
          <w:szCs w:val="20"/>
          <w:lang w:val="es-ES_tradnl"/>
        </w:rPr>
        <w:t>)</w:t>
      </w:r>
      <w:r w:rsidR="00EE5A2C">
        <w:rPr>
          <w:rFonts w:asciiTheme="majorHAnsi" w:hAnsiTheme="majorHAnsi"/>
          <w:color w:val="auto"/>
          <w:szCs w:val="20"/>
          <w:lang w:val="es-ES_tradnl"/>
        </w:rPr>
        <w:t>,</w:t>
      </w:r>
      <w:r w:rsidR="00585515">
        <w:rPr>
          <w:rFonts w:asciiTheme="majorHAnsi" w:hAnsiTheme="majorHAnsi"/>
          <w:color w:val="auto"/>
          <w:szCs w:val="20"/>
          <w:lang w:val="es-ES_tradnl"/>
        </w:rPr>
        <w:t xml:space="preserve"> en relación con el artículo 1.1 del mismo instrumento. </w:t>
      </w:r>
      <w:r w:rsidR="0029609F">
        <w:rPr>
          <w:rFonts w:asciiTheme="majorHAnsi" w:hAnsiTheme="majorHAnsi"/>
          <w:color w:val="auto"/>
          <w:szCs w:val="20"/>
          <w:lang w:val="es-ES_tradnl"/>
        </w:rPr>
        <w:t>En particular, alega que Hait</w:t>
      </w:r>
      <w:r w:rsidR="005832E2">
        <w:rPr>
          <w:rFonts w:asciiTheme="majorHAnsi" w:hAnsiTheme="majorHAnsi"/>
          <w:color w:val="auto"/>
          <w:szCs w:val="20"/>
          <w:lang w:val="es-ES_tradnl"/>
        </w:rPr>
        <w:t>í</w:t>
      </w:r>
      <w:r w:rsidR="0029609F">
        <w:rPr>
          <w:rFonts w:asciiTheme="majorHAnsi" w:hAnsiTheme="majorHAnsi"/>
          <w:color w:val="auto"/>
          <w:szCs w:val="20"/>
          <w:lang w:val="es-ES_tradnl"/>
        </w:rPr>
        <w:t xml:space="preserve"> </w:t>
      </w:r>
      <w:r w:rsidR="005832E2">
        <w:rPr>
          <w:rFonts w:asciiTheme="majorHAnsi" w:hAnsiTheme="majorHAnsi"/>
          <w:color w:val="auto"/>
          <w:szCs w:val="20"/>
          <w:lang w:val="es-ES_tradnl"/>
        </w:rPr>
        <w:t>incumplió sus obligaciones de</w:t>
      </w:r>
      <w:r w:rsidR="0029609F">
        <w:rPr>
          <w:rFonts w:asciiTheme="majorHAnsi" w:hAnsiTheme="majorHAnsi"/>
          <w:color w:val="auto"/>
          <w:szCs w:val="20"/>
          <w:lang w:val="es-ES_tradnl"/>
        </w:rPr>
        <w:t xml:space="preserve"> investigar las amenazas y ataques de l</w:t>
      </w:r>
      <w:r w:rsidR="00585515">
        <w:rPr>
          <w:rFonts w:asciiTheme="majorHAnsi" w:hAnsiTheme="majorHAnsi"/>
          <w:color w:val="auto"/>
          <w:szCs w:val="20"/>
          <w:lang w:val="es-ES_tradnl"/>
        </w:rPr>
        <w:t>a</w:t>
      </w:r>
      <w:r w:rsidR="0029609F">
        <w:rPr>
          <w:rFonts w:asciiTheme="majorHAnsi" w:hAnsiTheme="majorHAnsi"/>
          <w:color w:val="auto"/>
          <w:szCs w:val="20"/>
          <w:lang w:val="es-ES_tradnl"/>
        </w:rPr>
        <w:t>s que</w:t>
      </w:r>
      <w:r w:rsidR="00585515">
        <w:rPr>
          <w:rFonts w:asciiTheme="majorHAnsi" w:hAnsiTheme="majorHAnsi"/>
          <w:color w:val="auto"/>
          <w:szCs w:val="20"/>
          <w:lang w:val="es-ES_tradnl"/>
        </w:rPr>
        <w:t xml:space="preserve"> </w:t>
      </w:r>
      <w:r w:rsidR="00432964">
        <w:rPr>
          <w:rFonts w:asciiTheme="majorHAnsi" w:hAnsiTheme="majorHAnsi"/>
          <w:color w:val="auto"/>
          <w:szCs w:val="20"/>
          <w:lang w:val="es-ES_tradnl"/>
        </w:rPr>
        <w:t>Baptiste Willer</w:t>
      </w:r>
      <w:r w:rsidR="00585515">
        <w:rPr>
          <w:rFonts w:asciiTheme="majorHAnsi" w:hAnsiTheme="majorHAnsi"/>
          <w:color w:val="auto"/>
          <w:szCs w:val="20"/>
          <w:lang w:val="es-ES_tradnl"/>
        </w:rPr>
        <w:t xml:space="preserve"> y su familia</w:t>
      </w:r>
      <w:r w:rsidR="0029609F">
        <w:rPr>
          <w:rFonts w:asciiTheme="majorHAnsi" w:hAnsiTheme="majorHAnsi"/>
          <w:color w:val="auto"/>
          <w:szCs w:val="20"/>
          <w:lang w:val="es-ES_tradnl"/>
        </w:rPr>
        <w:t xml:space="preserve"> fueron víctimas</w:t>
      </w:r>
      <w:r w:rsidR="00673D26">
        <w:rPr>
          <w:rFonts w:asciiTheme="majorHAnsi" w:hAnsiTheme="majorHAnsi"/>
          <w:color w:val="auto"/>
          <w:szCs w:val="20"/>
          <w:lang w:val="es-ES_tradnl"/>
        </w:rPr>
        <w:t>,</w:t>
      </w:r>
      <w:r w:rsidR="005832E2">
        <w:rPr>
          <w:rFonts w:asciiTheme="majorHAnsi" w:hAnsiTheme="majorHAnsi"/>
          <w:color w:val="auto"/>
          <w:szCs w:val="20"/>
          <w:lang w:val="es-ES_tradnl"/>
        </w:rPr>
        <w:t xml:space="preserve"> </w:t>
      </w:r>
      <w:r w:rsidR="0029609F">
        <w:rPr>
          <w:rFonts w:asciiTheme="majorHAnsi" w:hAnsiTheme="majorHAnsi"/>
          <w:color w:val="auto"/>
          <w:szCs w:val="20"/>
          <w:lang w:val="es-ES_tradnl"/>
        </w:rPr>
        <w:t xml:space="preserve">no </w:t>
      </w:r>
      <w:r w:rsidR="00E37128">
        <w:rPr>
          <w:rFonts w:asciiTheme="majorHAnsi" w:hAnsiTheme="majorHAnsi"/>
          <w:color w:val="auto"/>
          <w:szCs w:val="20"/>
          <w:lang w:val="es-ES_tradnl"/>
        </w:rPr>
        <w:t>instauró investigaciones o procedimientos judiciales destinados a</w:t>
      </w:r>
      <w:r w:rsidR="0029609F">
        <w:rPr>
          <w:rFonts w:asciiTheme="majorHAnsi" w:hAnsiTheme="majorHAnsi"/>
          <w:color w:val="auto"/>
          <w:szCs w:val="20"/>
          <w:lang w:val="es-ES_tradnl"/>
        </w:rPr>
        <w:t xml:space="preserve"> identificar </w:t>
      </w:r>
      <w:r w:rsidR="00E37128">
        <w:rPr>
          <w:rFonts w:asciiTheme="majorHAnsi" w:hAnsiTheme="majorHAnsi"/>
          <w:color w:val="auto"/>
          <w:szCs w:val="20"/>
          <w:lang w:val="es-ES_tradnl"/>
        </w:rPr>
        <w:t>y</w:t>
      </w:r>
      <w:r w:rsidR="0029609F">
        <w:rPr>
          <w:rFonts w:asciiTheme="majorHAnsi" w:hAnsiTheme="majorHAnsi"/>
          <w:color w:val="auto"/>
          <w:szCs w:val="20"/>
          <w:lang w:val="es-ES_tradnl"/>
        </w:rPr>
        <w:t xml:space="preserve"> </w:t>
      </w:r>
      <w:r w:rsidR="00673D26">
        <w:rPr>
          <w:rFonts w:asciiTheme="majorHAnsi" w:hAnsiTheme="majorHAnsi"/>
          <w:color w:val="auto"/>
          <w:szCs w:val="20"/>
          <w:lang w:val="es-ES_tradnl"/>
        </w:rPr>
        <w:t>castigar</w:t>
      </w:r>
      <w:r w:rsidR="0029609F">
        <w:rPr>
          <w:rFonts w:asciiTheme="majorHAnsi" w:hAnsiTheme="majorHAnsi"/>
          <w:color w:val="auto"/>
          <w:szCs w:val="20"/>
          <w:lang w:val="es-ES_tradnl"/>
        </w:rPr>
        <w:t xml:space="preserve"> a los autores de los crímenes y, finalmente, fue incapaz de</w:t>
      </w:r>
      <w:r w:rsidR="00673D26">
        <w:rPr>
          <w:rFonts w:asciiTheme="majorHAnsi" w:hAnsiTheme="majorHAnsi"/>
          <w:color w:val="auto"/>
          <w:szCs w:val="20"/>
          <w:lang w:val="es-ES_tradnl"/>
        </w:rPr>
        <w:t xml:space="preserve"> prevenir y punir adecuadamente las violaciones </w:t>
      </w:r>
      <w:r w:rsidR="00585515">
        <w:rPr>
          <w:rFonts w:asciiTheme="majorHAnsi" w:hAnsiTheme="majorHAnsi"/>
          <w:color w:val="auto"/>
          <w:szCs w:val="20"/>
          <w:lang w:val="es-ES_tradnl"/>
        </w:rPr>
        <w:t>que sufrieron</w:t>
      </w:r>
      <w:r w:rsidR="00673D26">
        <w:rPr>
          <w:rFonts w:asciiTheme="majorHAnsi" w:hAnsiTheme="majorHAnsi"/>
          <w:color w:val="auto"/>
          <w:szCs w:val="20"/>
          <w:lang w:val="es-ES_tradnl"/>
        </w:rPr>
        <w:t>.</w:t>
      </w:r>
    </w:p>
    <w:p w14:paraId="6C4CD190" w14:textId="77777777" w:rsidR="001A0879" w:rsidRPr="00824696" w:rsidRDefault="00673D26" w:rsidP="00673D26">
      <w:pPr>
        <w:pStyle w:val="ListParagraph"/>
        <w:numPr>
          <w:ilvl w:val="0"/>
          <w:numId w:val="0"/>
        </w:numPr>
        <w:tabs>
          <w:tab w:val="left" w:pos="360"/>
        </w:tabs>
        <w:rPr>
          <w:rFonts w:asciiTheme="majorHAnsi" w:hAnsiTheme="majorHAnsi"/>
          <w:color w:val="auto"/>
          <w:szCs w:val="20"/>
          <w:lang w:val="es-ES_tradnl"/>
        </w:rPr>
      </w:pPr>
      <w:r w:rsidRPr="00824696">
        <w:rPr>
          <w:rFonts w:asciiTheme="majorHAnsi" w:hAnsiTheme="majorHAnsi"/>
          <w:color w:val="auto"/>
          <w:szCs w:val="20"/>
          <w:lang w:val="es-ES_tradnl"/>
        </w:rPr>
        <w:t xml:space="preserve"> </w:t>
      </w:r>
    </w:p>
    <w:p w14:paraId="5A106ABC" w14:textId="77777777" w:rsidR="00E74D70" w:rsidRPr="005E7CF5" w:rsidRDefault="00585515" w:rsidP="005E7CF5">
      <w:pPr>
        <w:pStyle w:val="ListParagraph"/>
        <w:rPr>
          <w:rFonts w:asciiTheme="majorHAnsi" w:hAnsiTheme="majorHAnsi"/>
          <w:color w:val="auto"/>
          <w:szCs w:val="20"/>
          <w:lang w:val="es-ES_tradnl"/>
        </w:rPr>
      </w:pPr>
      <w:r>
        <w:rPr>
          <w:lang w:val="es-ES_tradnl"/>
        </w:rPr>
        <w:t>Detalla</w:t>
      </w:r>
      <w:r w:rsidR="005832E2">
        <w:rPr>
          <w:lang w:val="es-ES_tradnl"/>
        </w:rPr>
        <w:t xml:space="preserve"> </w:t>
      </w:r>
      <w:r w:rsidR="00514D38">
        <w:rPr>
          <w:lang w:val="es-ES_tradnl"/>
        </w:rPr>
        <w:t>que</w:t>
      </w:r>
      <w:r w:rsidR="009273D8">
        <w:rPr>
          <w:lang w:val="es-ES_tradnl"/>
        </w:rPr>
        <w:t xml:space="preserve"> Baptiste Willer </w:t>
      </w:r>
      <w:r w:rsidR="00673D26">
        <w:rPr>
          <w:lang w:val="es-ES_tradnl"/>
        </w:rPr>
        <w:t>fue objeto de amenazas y tentativas de homicidio</w:t>
      </w:r>
      <w:r w:rsidR="009273D8">
        <w:rPr>
          <w:lang w:val="es-ES_tradnl"/>
        </w:rPr>
        <w:t xml:space="preserve"> en múltiples ocasiones,</w:t>
      </w:r>
      <w:r w:rsidR="009273D8" w:rsidRPr="009273D8">
        <w:rPr>
          <w:lang w:val="es-ES_tradnl"/>
        </w:rPr>
        <w:t xml:space="preserve"> por evitar involucrarse en actividades ilegales</w:t>
      </w:r>
      <w:r w:rsidR="009273D8">
        <w:rPr>
          <w:lang w:val="es-ES_tradnl"/>
        </w:rPr>
        <w:t>.</w:t>
      </w:r>
      <w:r w:rsidR="00673D26">
        <w:rPr>
          <w:lang w:val="es-ES_tradnl"/>
        </w:rPr>
        <w:t xml:space="preserve"> </w:t>
      </w:r>
      <w:r w:rsidR="009273D8">
        <w:rPr>
          <w:lang w:val="es-ES_tradnl"/>
        </w:rPr>
        <w:t xml:space="preserve">Los autores de tales hechos serían </w:t>
      </w:r>
      <w:r w:rsidR="00673D26">
        <w:rPr>
          <w:lang w:val="es-ES_tradnl"/>
        </w:rPr>
        <w:t xml:space="preserve">individuos que aún </w:t>
      </w:r>
      <w:r w:rsidR="00E74D70">
        <w:rPr>
          <w:lang w:val="es-ES_tradnl"/>
        </w:rPr>
        <w:t>gozan de</w:t>
      </w:r>
      <w:r w:rsidR="00673D26">
        <w:rPr>
          <w:lang w:val="es-ES_tradnl"/>
        </w:rPr>
        <w:t xml:space="preserve"> total impunidad.</w:t>
      </w:r>
      <w:r w:rsidR="009273D8" w:rsidRPr="009273D8">
        <w:rPr>
          <w:lang w:val="es-ES_tradnl"/>
        </w:rPr>
        <w:t xml:space="preserve"> </w:t>
      </w:r>
      <w:r w:rsidR="00EE5A2C">
        <w:rPr>
          <w:lang w:val="es-ES_tradnl"/>
        </w:rPr>
        <w:t xml:space="preserve">En particular, </w:t>
      </w:r>
      <w:r w:rsidR="009273D8">
        <w:rPr>
          <w:lang w:val="es-ES_tradnl"/>
        </w:rPr>
        <w:t xml:space="preserve">la parte peticionaria </w:t>
      </w:r>
      <w:r w:rsidR="00EE5A2C">
        <w:rPr>
          <w:lang w:val="es-ES_tradnl"/>
        </w:rPr>
        <w:t>alega que</w:t>
      </w:r>
      <w:r w:rsidR="009273D8">
        <w:rPr>
          <w:lang w:val="es-ES_tradnl"/>
        </w:rPr>
        <w:t>,</w:t>
      </w:r>
      <w:r w:rsidR="00EE5A2C">
        <w:rPr>
          <w:lang w:val="es-ES_tradnl"/>
        </w:rPr>
        <w:t xml:space="preserve"> e</w:t>
      </w:r>
      <w:r w:rsidR="00673D26">
        <w:rPr>
          <w:lang w:val="es-ES_tradnl"/>
        </w:rPr>
        <w:t xml:space="preserve">l 4 de febrero de 2007 a las 9:00 horas, </w:t>
      </w:r>
      <w:r w:rsidR="00432964">
        <w:rPr>
          <w:lang w:val="es-ES_tradnl"/>
        </w:rPr>
        <w:t>Baptiste Willer fue</w:t>
      </w:r>
      <w:r w:rsidR="00894DFB">
        <w:rPr>
          <w:lang w:val="es-ES_tradnl"/>
        </w:rPr>
        <w:t xml:space="preserve"> víctima de un </w:t>
      </w:r>
      <w:r w:rsidR="00EE5A2C">
        <w:rPr>
          <w:lang w:val="es-ES_tradnl"/>
        </w:rPr>
        <w:t>atentado</w:t>
      </w:r>
      <w:r w:rsidR="00894DFB">
        <w:rPr>
          <w:lang w:val="es-ES_tradnl"/>
        </w:rPr>
        <w:t xml:space="preserve"> de homicidio</w:t>
      </w:r>
      <w:r w:rsidR="00B17C73">
        <w:rPr>
          <w:lang w:val="es-ES_tradnl"/>
        </w:rPr>
        <w:t xml:space="preserve"> y</w:t>
      </w:r>
      <w:r w:rsidR="009273D8">
        <w:rPr>
          <w:lang w:val="es-ES_tradnl"/>
        </w:rPr>
        <w:t>,</w:t>
      </w:r>
      <w:r w:rsidR="00B17C73">
        <w:rPr>
          <w:lang w:val="es-ES_tradnl"/>
        </w:rPr>
        <w:t xml:space="preserve"> e</w:t>
      </w:r>
      <w:r w:rsidR="00894DFB">
        <w:rPr>
          <w:lang w:val="es-ES_tradnl"/>
        </w:rPr>
        <w:t>se mismo día entre las 17:00 y las 18:00 horas, su hermano menor de solo 16 años de edad fue asesinado por los mi</w:t>
      </w:r>
      <w:r w:rsidR="00FB7ED1">
        <w:rPr>
          <w:lang w:val="es-ES_tradnl"/>
        </w:rPr>
        <w:t>s</w:t>
      </w:r>
      <w:r w:rsidR="00894DFB">
        <w:rPr>
          <w:lang w:val="es-ES_tradnl"/>
        </w:rPr>
        <w:t xml:space="preserve">mos sujetos que habían </w:t>
      </w:r>
      <w:r w:rsidR="00FB7ED1">
        <w:rPr>
          <w:lang w:val="es-ES_tradnl"/>
        </w:rPr>
        <w:t>atentado contra su vida unas horas antes</w:t>
      </w:r>
      <w:r w:rsidR="005832E2">
        <w:rPr>
          <w:lang w:val="es-ES_tradnl"/>
        </w:rPr>
        <w:t>.</w:t>
      </w:r>
      <w:r w:rsidR="00B80BF8">
        <w:rPr>
          <w:lang w:val="es-ES_tradnl"/>
        </w:rPr>
        <w:t xml:space="preserve"> </w:t>
      </w:r>
      <w:r w:rsidR="00B80BF8" w:rsidRPr="00B80BF8">
        <w:rPr>
          <w:lang w:val="es-ES_tradnl"/>
        </w:rPr>
        <w:t xml:space="preserve">Tales actos, alega, </w:t>
      </w:r>
      <w:r w:rsidR="00E74D70">
        <w:rPr>
          <w:lang w:val="es-ES_tradnl"/>
        </w:rPr>
        <w:t xml:space="preserve">se desarrollaron </w:t>
      </w:r>
      <w:r>
        <w:rPr>
          <w:lang w:val="es-ES_tradnl"/>
        </w:rPr>
        <w:t xml:space="preserve">dentro de </w:t>
      </w:r>
      <w:r w:rsidR="00B80BF8" w:rsidRPr="00B80BF8">
        <w:rPr>
          <w:lang w:val="es-ES_tradnl"/>
        </w:rPr>
        <w:t>un contexto general de violencia social e inseguridad pública</w:t>
      </w:r>
      <w:r w:rsidR="00E74D70">
        <w:rPr>
          <w:lang w:val="es-ES_tradnl"/>
        </w:rPr>
        <w:t>,</w:t>
      </w:r>
      <w:r w:rsidR="00B80BF8" w:rsidRPr="00B80BF8">
        <w:rPr>
          <w:lang w:val="es-ES_tradnl"/>
        </w:rPr>
        <w:t xml:space="preserve"> en la que los autores de los crímenes </w:t>
      </w:r>
      <w:r w:rsidR="00EE5A2C">
        <w:rPr>
          <w:lang w:val="es-ES_tradnl"/>
        </w:rPr>
        <w:t>eran</w:t>
      </w:r>
      <w:r w:rsidR="00B80BF8" w:rsidRPr="00B80BF8">
        <w:rPr>
          <w:lang w:val="es-ES_tradnl"/>
        </w:rPr>
        <w:t xml:space="preserve"> delincuentes conocidos</w:t>
      </w:r>
      <w:r w:rsidR="00EE5A2C">
        <w:rPr>
          <w:lang w:val="es-ES_tradnl"/>
        </w:rPr>
        <w:t>,</w:t>
      </w:r>
      <w:r w:rsidR="00B80BF8" w:rsidRPr="00B80BF8">
        <w:rPr>
          <w:lang w:val="es-ES_tradnl"/>
        </w:rPr>
        <w:t xml:space="preserve"> tanto para los residentes de su </w:t>
      </w:r>
      <w:r w:rsidR="00EE5A2C">
        <w:rPr>
          <w:lang w:val="es-ES_tradnl"/>
        </w:rPr>
        <w:t>barrio</w:t>
      </w:r>
      <w:r w:rsidR="00B80BF8" w:rsidRPr="00B80BF8">
        <w:rPr>
          <w:lang w:val="es-ES_tradnl"/>
        </w:rPr>
        <w:t xml:space="preserve"> como para las fuerzas de policía.</w:t>
      </w:r>
      <w:r w:rsidR="005E7CF5">
        <w:rPr>
          <w:rFonts w:asciiTheme="majorHAnsi" w:hAnsiTheme="majorHAnsi"/>
          <w:color w:val="auto"/>
          <w:szCs w:val="20"/>
          <w:lang w:val="es-ES_tradnl"/>
        </w:rPr>
        <w:t xml:space="preserve"> Ante ello, </w:t>
      </w:r>
      <w:r w:rsidR="00E74D70" w:rsidRPr="005E7CF5">
        <w:rPr>
          <w:rFonts w:asciiTheme="majorHAnsi" w:hAnsiTheme="majorHAnsi"/>
          <w:color w:val="auto"/>
          <w:szCs w:val="20"/>
          <w:lang w:val="es-ES_tradnl"/>
        </w:rPr>
        <w:t>el 27 de febrero de 2007 envió una comunicación al Primer Ministro</w:t>
      </w:r>
      <w:r w:rsidR="00E37128">
        <w:rPr>
          <w:rFonts w:asciiTheme="majorHAnsi" w:hAnsiTheme="majorHAnsi"/>
          <w:color w:val="auto"/>
          <w:szCs w:val="20"/>
          <w:lang w:val="es-ES_tradnl"/>
        </w:rPr>
        <w:t xml:space="preserve"> – </w:t>
      </w:r>
      <w:r w:rsidR="00E74D70" w:rsidRPr="005E7CF5">
        <w:rPr>
          <w:rFonts w:asciiTheme="majorHAnsi" w:hAnsiTheme="majorHAnsi"/>
          <w:color w:val="auto"/>
          <w:szCs w:val="20"/>
          <w:lang w:val="es-ES_tradnl"/>
        </w:rPr>
        <w:t>la</w:t>
      </w:r>
      <w:r w:rsidR="00E37128">
        <w:rPr>
          <w:rFonts w:asciiTheme="majorHAnsi" w:hAnsiTheme="majorHAnsi"/>
          <w:color w:val="auto"/>
          <w:szCs w:val="20"/>
          <w:lang w:val="es-ES_tradnl"/>
        </w:rPr>
        <w:t xml:space="preserve"> </w:t>
      </w:r>
      <w:r w:rsidR="00E74D70" w:rsidRPr="005E7CF5">
        <w:rPr>
          <w:rFonts w:asciiTheme="majorHAnsi" w:hAnsiTheme="majorHAnsi"/>
          <w:color w:val="auto"/>
          <w:szCs w:val="20"/>
          <w:lang w:val="es-ES_tradnl"/>
        </w:rPr>
        <w:t>mayor autori</w:t>
      </w:r>
      <w:r w:rsidR="00432964">
        <w:rPr>
          <w:rFonts w:asciiTheme="majorHAnsi" w:hAnsiTheme="majorHAnsi"/>
          <w:color w:val="auto"/>
          <w:szCs w:val="20"/>
          <w:lang w:val="es-ES_tradnl"/>
        </w:rPr>
        <w:t>dad del Consejo Superior de la Policía N</w:t>
      </w:r>
      <w:r w:rsidR="00E74D70" w:rsidRPr="005E7CF5">
        <w:rPr>
          <w:rFonts w:asciiTheme="majorHAnsi" w:hAnsiTheme="majorHAnsi"/>
          <w:color w:val="auto"/>
          <w:szCs w:val="20"/>
          <w:lang w:val="es-ES_tradnl"/>
        </w:rPr>
        <w:t>acional</w:t>
      </w:r>
      <w:r w:rsidR="00E37128">
        <w:rPr>
          <w:rFonts w:asciiTheme="majorHAnsi" w:hAnsiTheme="majorHAnsi"/>
          <w:color w:val="auto"/>
          <w:szCs w:val="20"/>
          <w:lang w:val="es-ES_tradnl"/>
        </w:rPr>
        <w:t xml:space="preserve"> –</w:t>
      </w:r>
      <w:r w:rsidR="00E74D70" w:rsidRPr="005E7CF5">
        <w:rPr>
          <w:rFonts w:asciiTheme="majorHAnsi" w:hAnsiTheme="majorHAnsi"/>
          <w:color w:val="auto"/>
          <w:szCs w:val="20"/>
          <w:lang w:val="es-ES_tradnl"/>
        </w:rPr>
        <w:t xml:space="preserve"> al</w:t>
      </w:r>
      <w:r w:rsidR="00E37128">
        <w:rPr>
          <w:rFonts w:asciiTheme="majorHAnsi" w:hAnsiTheme="majorHAnsi"/>
          <w:color w:val="auto"/>
          <w:szCs w:val="20"/>
          <w:lang w:val="es-ES_tradnl"/>
        </w:rPr>
        <w:t xml:space="preserve"> </w:t>
      </w:r>
      <w:r w:rsidR="00E74D70" w:rsidRPr="005E7CF5">
        <w:rPr>
          <w:rFonts w:asciiTheme="majorHAnsi" w:hAnsiTheme="majorHAnsi"/>
          <w:color w:val="auto"/>
          <w:szCs w:val="20"/>
          <w:lang w:val="es-ES_tradnl"/>
        </w:rPr>
        <w:t>Ministro de Justicia y al Secretar</w:t>
      </w:r>
      <w:r w:rsidR="00A002CB">
        <w:rPr>
          <w:rFonts w:asciiTheme="majorHAnsi" w:hAnsiTheme="majorHAnsi"/>
          <w:color w:val="auto"/>
          <w:szCs w:val="20"/>
          <w:lang w:val="es-ES_tradnl"/>
        </w:rPr>
        <w:t>io de Estado responsable de la Seguridad P</w:t>
      </w:r>
      <w:r w:rsidR="00E74D70" w:rsidRPr="005E7CF5">
        <w:rPr>
          <w:rFonts w:asciiTheme="majorHAnsi" w:hAnsiTheme="majorHAnsi"/>
          <w:color w:val="auto"/>
          <w:szCs w:val="20"/>
          <w:lang w:val="es-ES_tradnl"/>
        </w:rPr>
        <w:t>ública</w:t>
      </w:r>
      <w:r w:rsidR="009273D8">
        <w:rPr>
          <w:rFonts w:asciiTheme="majorHAnsi" w:hAnsiTheme="majorHAnsi"/>
          <w:color w:val="auto"/>
          <w:szCs w:val="20"/>
          <w:lang w:val="es-ES_tradnl"/>
        </w:rPr>
        <w:t>. En ella</w:t>
      </w:r>
      <w:r w:rsidR="00E74D70" w:rsidRPr="005E7CF5">
        <w:rPr>
          <w:rFonts w:asciiTheme="majorHAnsi" w:hAnsiTheme="majorHAnsi"/>
          <w:color w:val="auto"/>
          <w:szCs w:val="20"/>
          <w:lang w:val="es-ES_tradnl"/>
        </w:rPr>
        <w:t xml:space="preserve"> inform</w:t>
      </w:r>
      <w:r w:rsidR="009273D8">
        <w:rPr>
          <w:rFonts w:asciiTheme="majorHAnsi" w:hAnsiTheme="majorHAnsi"/>
          <w:color w:val="auto"/>
          <w:szCs w:val="20"/>
          <w:lang w:val="es-ES_tradnl"/>
        </w:rPr>
        <w:t xml:space="preserve">ó a las autoridades </w:t>
      </w:r>
      <w:r w:rsidR="00E74D70" w:rsidRPr="005E7CF5">
        <w:rPr>
          <w:rFonts w:asciiTheme="majorHAnsi" w:hAnsiTheme="majorHAnsi"/>
          <w:color w:val="auto"/>
          <w:szCs w:val="20"/>
          <w:lang w:val="es-ES_tradnl"/>
        </w:rPr>
        <w:t>sobre lo</w:t>
      </w:r>
      <w:r w:rsidR="005E7CF5">
        <w:rPr>
          <w:rFonts w:asciiTheme="majorHAnsi" w:hAnsiTheme="majorHAnsi"/>
          <w:color w:val="auto"/>
          <w:szCs w:val="20"/>
          <w:lang w:val="es-ES_tradnl"/>
        </w:rPr>
        <w:t xml:space="preserve"> ocurrido</w:t>
      </w:r>
      <w:r w:rsidRPr="005E7CF5">
        <w:rPr>
          <w:rFonts w:asciiTheme="majorHAnsi" w:hAnsiTheme="majorHAnsi"/>
          <w:color w:val="auto"/>
          <w:szCs w:val="20"/>
          <w:lang w:val="es-ES_tradnl"/>
        </w:rPr>
        <w:t xml:space="preserve"> y </w:t>
      </w:r>
      <w:r w:rsidR="009273D8" w:rsidRPr="005E7CF5">
        <w:rPr>
          <w:rFonts w:asciiTheme="majorHAnsi" w:hAnsiTheme="majorHAnsi"/>
          <w:color w:val="auto"/>
          <w:szCs w:val="20"/>
          <w:lang w:val="es-ES_tradnl"/>
        </w:rPr>
        <w:t>demand</w:t>
      </w:r>
      <w:r w:rsidR="009273D8">
        <w:rPr>
          <w:rFonts w:asciiTheme="majorHAnsi" w:hAnsiTheme="majorHAnsi"/>
          <w:color w:val="auto"/>
          <w:szCs w:val="20"/>
          <w:lang w:val="es-ES_tradnl"/>
        </w:rPr>
        <w:t>ó</w:t>
      </w:r>
      <w:r w:rsidR="009273D8" w:rsidRPr="005E7CF5">
        <w:rPr>
          <w:rFonts w:asciiTheme="majorHAnsi" w:hAnsiTheme="majorHAnsi"/>
          <w:color w:val="auto"/>
          <w:szCs w:val="20"/>
          <w:lang w:val="es-ES_tradnl"/>
        </w:rPr>
        <w:t xml:space="preserve"> </w:t>
      </w:r>
      <w:r w:rsidRPr="005E7CF5">
        <w:rPr>
          <w:rFonts w:asciiTheme="majorHAnsi" w:hAnsiTheme="majorHAnsi"/>
          <w:color w:val="auto"/>
          <w:szCs w:val="20"/>
          <w:lang w:val="es-ES_tradnl"/>
        </w:rPr>
        <w:t>asistencia judicial</w:t>
      </w:r>
      <w:r w:rsidR="009273D8">
        <w:rPr>
          <w:rFonts w:asciiTheme="majorHAnsi" w:hAnsiTheme="majorHAnsi"/>
          <w:color w:val="auto"/>
          <w:szCs w:val="20"/>
          <w:lang w:val="es-ES_tradnl"/>
        </w:rPr>
        <w:t>,</w:t>
      </w:r>
      <w:r w:rsidR="00E37128">
        <w:rPr>
          <w:rFonts w:asciiTheme="majorHAnsi" w:hAnsiTheme="majorHAnsi"/>
          <w:color w:val="auto"/>
          <w:szCs w:val="20"/>
          <w:lang w:val="es-ES_tradnl"/>
        </w:rPr>
        <w:t xml:space="preserve"> en atención a</w:t>
      </w:r>
      <w:r w:rsidR="00E74D70" w:rsidRPr="005E7CF5">
        <w:rPr>
          <w:rFonts w:asciiTheme="majorHAnsi" w:hAnsiTheme="majorHAnsi"/>
          <w:color w:val="auto"/>
          <w:szCs w:val="20"/>
          <w:lang w:val="es-ES_tradnl"/>
        </w:rPr>
        <w:t xml:space="preserve"> que su vida y la de sus familiares </w:t>
      </w:r>
      <w:r w:rsidR="005E7CF5">
        <w:rPr>
          <w:rFonts w:asciiTheme="majorHAnsi" w:hAnsiTheme="majorHAnsi"/>
          <w:color w:val="auto"/>
          <w:szCs w:val="20"/>
          <w:lang w:val="es-ES_tradnl"/>
        </w:rPr>
        <w:t>corrían peligro</w:t>
      </w:r>
      <w:r w:rsidR="0064140F">
        <w:rPr>
          <w:rFonts w:asciiTheme="majorHAnsi" w:hAnsiTheme="majorHAnsi"/>
          <w:color w:val="auto"/>
          <w:szCs w:val="20"/>
          <w:lang w:val="es-ES_tradnl"/>
        </w:rPr>
        <w:t>, pero t</w:t>
      </w:r>
      <w:r w:rsidR="00EE5A2C">
        <w:rPr>
          <w:rFonts w:asciiTheme="majorHAnsi" w:hAnsiTheme="majorHAnsi"/>
          <w:color w:val="auto"/>
          <w:szCs w:val="20"/>
          <w:lang w:val="es-ES_tradnl"/>
        </w:rPr>
        <w:t>al r</w:t>
      </w:r>
      <w:r w:rsidR="00E74D70" w:rsidRPr="005E7CF5">
        <w:rPr>
          <w:rFonts w:asciiTheme="majorHAnsi" w:hAnsiTheme="majorHAnsi"/>
          <w:color w:val="auto"/>
          <w:szCs w:val="20"/>
          <w:lang w:val="es-ES_tradnl"/>
        </w:rPr>
        <w:t xml:space="preserve">equerimiento jamás </w:t>
      </w:r>
      <w:r w:rsidR="005E7CF5">
        <w:rPr>
          <w:rFonts w:asciiTheme="majorHAnsi" w:hAnsiTheme="majorHAnsi"/>
          <w:color w:val="auto"/>
          <w:szCs w:val="20"/>
          <w:lang w:val="es-ES_tradnl"/>
        </w:rPr>
        <w:t xml:space="preserve">fue </w:t>
      </w:r>
      <w:r w:rsidR="00E74D70" w:rsidRPr="005E7CF5">
        <w:rPr>
          <w:rFonts w:asciiTheme="majorHAnsi" w:hAnsiTheme="majorHAnsi"/>
          <w:color w:val="auto"/>
          <w:szCs w:val="20"/>
          <w:lang w:val="es-ES_tradnl"/>
        </w:rPr>
        <w:t>satisfecho.</w:t>
      </w:r>
    </w:p>
    <w:p w14:paraId="42DB9E04" w14:textId="77777777" w:rsidR="00E74D70" w:rsidRPr="00E74D70" w:rsidRDefault="00E74D70" w:rsidP="002169C4">
      <w:pPr>
        <w:pStyle w:val="ListParagraph"/>
        <w:numPr>
          <w:ilvl w:val="0"/>
          <w:numId w:val="0"/>
        </w:numPr>
        <w:rPr>
          <w:rFonts w:asciiTheme="majorHAnsi" w:hAnsiTheme="majorHAnsi"/>
          <w:color w:val="auto"/>
          <w:szCs w:val="20"/>
          <w:lang w:val="es-ES_tradnl"/>
        </w:rPr>
      </w:pPr>
    </w:p>
    <w:p w14:paraId="7E49D29F" w14:textId="77777777" w:rsidR="00894DFB" w:rsidRDefault="002169C4" w:rsidP="00894DFB">
      <w:pPr>
        <w:pStyle w:val="ListParagraph"/>
        <w:rPr>
          <w:rFonts w:asciiTheme="majorHAnsi" w:hAnsiTheme="majorHAnsi"/>
          <w:color w:val="auto"/>
          <w:szCs w:val="20"/>
          <w:lang w:val="es-ES_tradnl"/>
        </w:rPr>
      </w:pPr>
      <w:r>
        <w:rPr>
          <w:rFonts w:asciiTheme="majorHAnsi" w:hAnsiTheme="majorHAnsi"/>
          <w:color w:val="auto"/>
          <w:szCs w:val="20"/>
          <w:lang w:val="es-ES_tradnl"/>
        </w:rPr>
        <w:t>Alega además que otros eventos que tuvieron lugar entre los años 2007 y 2009 demuestran</w:t>
      </w:r>
      <w:r w:rsidR="00E74D70">
        <w:rPr>
          <w:rFonts w:asciiTheme="majorHAnsi" w:hAnsiTheme="majorHAnsi"/>
          <w:color w:val="auto"/>
          <w:szCs w:val="20"/>
          <w:lang w:val="es-ES_tradnl"/>
        </w:rPr>
        <w:t xml:space="preserve"> </w:t>
      </w:r>
      <w:r w:rsidR="005E7CF5">
        <w:rPr>
          <w:rFonts w:asciiTheme="majorHAnsi" w:hAnsiTheme="majorHAnsi"/>
          <w:color w:val="auto"/>
          <w:szCs w:val="20"/>
          <w:lang w:val="es-ES_tradnl"/>
        </w:rPr>
        <w:t>que</w:t>
      </w:r>
      <w:r w:rsidR="00E74D70">
        <w:rPr>
          <w:rFonts w:asciiTheme="majorHAnsi" w:hAnsiTheme="majorHAnsi"/>
          <w:color w:val="auto"/>
          <w:szCs w:val="20"/>
          <w:lang w:val="es-ES_tradnl"/>
        </w:rPr>
        <w:t xml:space="preserve"> su vida e integridad física </w:t>
      </w:r>
      <w:r>
        <w:rPr>
          <w:rFonts w:asciiTheme="majorHAnsi" w:hAnsiTheme="majorHAnsi"/>
          <w:color w:val="auto"/>
          <w:szCs w:val="20"/>
          <w:lang w:val="es-ES_tradnl"/>
        </w:rPr>
        <w:t>estaban en</w:t>
      </w:r>
      <w:r w:rsidR="00E74D70">
        <w:rPr>
          <w:rFonts w:asciiTheme="majorHAnsi" w:hAnsiTheme="majorHAnsi"/>
          <w:color w:val="auto"/>
          <w:szCs w:val="20"/>
          <w:lang w:val="es-ES_tradnl"/>
        </w:rPr>
        <w:t xml:space="preserve"> peligro.</w:t>
      </w:r>
      <w:r>
        <w:rPr>
          <w:rFonts w:asciiTheme="majorHAnsi" w:hAnsiTheme="majorHAnsi"/>
          <w:color w:val="auto"/>
          <w:szCs w:val="20"/>
          <w:lang w:val="es-ES_tradnl"/>
        </w:rPr>
        <w:t xml:space="preserve"> En efecto, el 9 de marzo de 2007, a las 11:00 horas fue objeto de un nuev</w:t>
      </w:r>
      <w:r w:rsidR="00EE5A2C">
        <w:rPr>
          <w:rFonts w:asciiTheme="majorHAnsi" w:hAnsiTheme="majorHAnsi"/>
          <w:color w:val="auto"/>
          <w:szCs w:val="20"/>
          <w:lang w:val="es-ES_tradnl"/>
        </w:rPr>
        <w:t>o</w:t>
      </w:r>
      <w:r>
        <w:rPr>
          <w:rFonts w:asciiTheme="majorHAnsi" w:hAnsiTheme="majorHAnsi"/>
          <w:color w:val="auto"/>
          <w:szCs w:val="20"/>
          <w:lang w:val="es-ES_tradnl"/>
        </w:rPr>
        <w:t xml:space="preserve"> </w:t>
      </w:r>
      <w:r w:rsidR="00EE5A2C">
        <w:rPr>
          <w:rFonts w:asciiTheme="majorHAnsi" w:hAnsiTheme="majorHAnsi"/>
          <w:color w:val="auto"/>
          <w:szCs w:val="20"/>
          <w:lang w:val="es-ES_tradnl"/>
        </w:rPr>
        <w:lastRenderedPageBreak/>
        <w:t>atentado contra su vida</w:t>
      </w:r>
      <w:r>
        <w:rPr>
          <w:rFonts w:asciiTheme="majorHAnsi" w:hAnsiTheme="majorHAnsi"/>
          <w:color w:val="auto"/>
          <w:szCs w:val="20"/>
          <w:lang w:val="es-ES_tradnl"/>
        </w:rPr>
        <w:t xml:space="preserve">, esta vez en su local comercial. Ante esto, abandonó su hogar y su local comercial. Sin embargo, el 22 de marzo de 2007, a las 11:00 horas, una persona de rasgos similares a los suyos y con el mismo nombre fue asesinada </w:t>
      </w:r>
      <w:r w:rsidR="00B76F12">
        <w:rPr>
          <w:rFonts w:asciiTheme="majorHAnsi" w:hAnsiTheme="majorHAnsi"/>
          <w:color w:val="auto"/>
          <w:szCs w:val="20"/>
          <w:lang w:val="es-ES_tradnl"/>
        </w:rPr>
        <w:t>por error, ya que el objetivo era él</w:t>
      </w:r>
      <w:r>
        <w:rPr>
          <w:rFonts w:asciiTheme="majorHAnsi" w:hAnsiTheme="majorHAnsi"/>
          <w:color w:val="auto"/>
          <w:szCs w:val="20"/>
          <w:lang w:val="es-ES_tradnl"/>
        </w:rPr>
        <w:t>. El 28 de agosto de 2008, su domicilio fue asaltado</w:t>
      </w:r>
      <w:r w:rsidR="00EE5A2C">
        <w:rPr>
          <w:rFonts w:asciiTheme="majorHAnsi" w:hAnsiTheme="majorHAnsi"/>
          <w:color w:val="auto"/>
          <w:szCs w:val="20"/>
          <w:lang w:val="es-ES_tradnl"/>
        </w:rPr>
        <w:t xml:space="preserve"> y c</w:t>
      </w:r>
      <w:r>
        <w:rPr>
          <w:rFonts w:asciiTheme="majorHAnsi" w:hAnsiTheme="majorHAnsi"/>
          <w:color w:val="auto"/>
          <w:szCs w:val="20"/>
          <w:lang w:val="es-ES_tradnl"/>
        </w:rPr>
        <w:t xml:space="preserve">uando denunció tal evento a la policía, un oficial le indicó que no era posible asegurar patrullaje en todos los </w:t>
      </w:r>
      <w:r w:rsidR="00EE5A2C">
        <w:rPr>
          <w:rFonts w:asciiTheme="majorHAnsi" w:hAnsiTheme="majorHAnsi"/>
          <w:color w:val="auto"/>
          <w:szCs w:val="20"/>
          <w:lang w:val="es-ES_tradnl"/>
        </w:rPr>
        <w:t>barrios</w:t>
      </w:r>
      <w:r w:rsidR="00962BF7">
        <w:rPr>
          <w:rFonts w:asciiTheme="majorHAnsi" w:hAnsiTheme="majorHAnsi"/>
          <w:color w:val="auto"/>
          <w:szCs w:val="20"/>
          <w:lang w:val="es-ES_tradnl"/>
        </w:rPr>
        <w:t xml:space="preserve">. Finalmente, el 26 de agosto de 2009 fue </w:t>
      </w:r>
      <w:r w:rsidR="00883ACE">
        <w:rPr>
          <w:rFonts w:asciiTheme="majorHAnsi" w:hAnsiTheme="majorHAnsi"/>
          <w:color w:val="auto"/>
          <w:szCs w:val="20"/>
          <w:lang w:val="es-ES_tradnl"/>
        </w:rPr>
        <w:t>perseguido</w:t>
      </w:r>
      <w:r w:rsidR="00962BF7">
        <w:rPr>
          <w:rFonts w:asciiTheme="majorHAnsi" w:hAnsiTheme="majorHAnsi"/>
          <w:color w:val="auto"/>
          <w:szCs w:val="20"/>
          <w:lang w:val="es-ES_tradnl"/>
        </w:rPr>
        <w:t xml:space="preserve"> por un grupo de desconocidos en la vía pública, pero afortunadamente logró escapar.</w:t>
      </w:r>
    </w:p>
    <w:p w14:paraId="71220F6D" w14:textId="77777777" w:rsidR="00962BF7" w:rsidRPr="00962BF7" w:rsidRDefault="00962BF7" w:rsidP="00962BF7">
      <w:pPr>
        <w:pStyle w:val="ListParagraph"/>
        <w:numPr>
          <w:ilvl w:val="0"/>
          <w:numId w:val="0"/>
        </w:numPr>
        <w:rPr>
          <w:rFonts w:asciiTheme="majorHAnsi" w:hAnsiTheme="majorHAnsi"/>
          <w:color w:val="auto"/>
          <w:szCs w:val="20"/>
          <w:lang w:val="es-ES_tradnl"/>
        </w:rPr>
      </w:pPr>
    </w:p>
    <w:p w14:paraId="42B6B791" w14:textId="77777777" w:rsidR="00F56082" w:rsidRDefault="00412E84" w:rsidP="00894DFB">
      <w:pPr>
        <w:pStyle w:val="ListParagraph"/>
        <w:rPr>
          <w:rFonts w:asciiTheme="majorHAnsi" w:hAnsiTheme="majorHAnsi"/>
          <w:color w:val="auto"/>
          <w:szCs w:val="20"/>
          <w:lang w:val="es-ES_tradnl"/>
        </w:rPr>
      </w:pPr>
      <w:r>
        <w:rPr>
          <w:rFonts w:asciiTheme="majorHAnsi" w:hAnsiTheme="majorHAnsi"/>
          <w:color w:val="auto"/>
          <w:szCs w:val="20"/>
          <w:lang w:val="es-ES_tradnl"/>
        </w:rPr>
        <w:t xml:space="preserve">En consecuencia, solicita </w:t>
      </w:r>
      <w:r w:rsidR="00EE5A2C">
        <w:rPr>
          <w:rFonts w:asciiTheme="majorHAnsi" w:hAnsiTheme="majorHAnsi"/>
          <w:color w:val="auto"/>
          <w:szCs w:val="20"/>
          <w:lang w:val="es-ES_tradnl"/>
        </w:rPr>
        <w:t>que</w:t>
      </w:r>
      <w:r>
        <w:rPr>
          <w:rFonts w:asciiTheme="majorHAnsi" w:hAnsiTheme="majorHAnsi"/>
          <w:color w:val="auto"/>
          <w:szCs w:val="20"/>
          <w:lang w:val="es-ES_tradnl"/>
        </w:rPr>
        <w:t xml:space="preserve"> la CIDH recomiende a la República de Hait</w:t>
      </w:r>
      <w:r w:rsidR="00BF43DA">
        <w:rPr>
          <w:rFonts w:asciiTheme="majorHAnsi" w:hAnsiTheme="majorHAnsi"/>
          <w:color w:val="auto"/>
          <w:szCs w:val="20"/>
          <w:lang w:val="es-ES_tradnl"/>
        </w:rPr>
        <w:t>í</w:t>
      </w:r>
      <w:r>
        <w:rPr>
          <w:rFonts w:asciiTheme="majorHAnsi" w:hAnsiTheme="majorHAnsi"/>
          <w:color w:val="auto"/>
          <w:szCs w:val="20"/>
          <w:lang w:val="es-ES_tradnl"/>
        </w:rPr>
        <w:t xml:space="preserve"> </w:t>
      </w:r>
      <w:r w:rsidR="00EE5A2C">
        <w:rPr>
          <w:rFonts w:asciiTheme="majorHAnsi" w:hAnsiTheme="majorHAnsi"/>
          <w:color w:val="auto"/>
          <w:szCs w:val="20"/>
          <w:lang w:val="es-ES_tradnl"/>
        </w:rPr>
        <w:t>adoptar medidas legislativas y operacionales</w:t>
      </w:r>
      <w:r w:rsidR="00EE5A2C" w:rsidRPr="006A3357">
        <w:rPr>
          <w:rFonts w:asciiTheme="majorHAnsi" w:hAnsiTheme="majorHAnsi"/>
          <w:color w:val="auto"/>
          <w:szCs w:val="20"/>
          <w:lang w:val="es-ES_tradnl"/>
        </w:rPr>
        <w:t xml:space="preserve"> </w:t>
      </w:r>
      <w:r w:rsidR="00EE5A2C">
        <w:rPr>
          <w:rFonts w:asciiTheme="majorHAnsi" w:hAnsiTheme="majorHAnsi"/>
          <w:color w:val="auto"/>
          <w:szCs w:val="20"/>
          <w:lang w:val="es-ES_tradnl"/>
        </w:rPr>
        <w:t xml:space="preserve">destinadas a la prevención, investigación y </w:t>
      </w:r>
      <w:r w:rsidR="008A0C11">
        <w:rPr>
          <w:rFonts w:asciiTheme="majorHAnsi" w:hAnsiTheme="majorHAnsi"/>
          <w:color w:val="auto"/>
          <w:szCs w:val="20"/>
          <w:lang w:val="es-ES_tradnl"/>
        </w:rPr>
        <w:t>sanción</w:t>
      </w:r>
      <w:r w:rsidR="00EE5A2C">
        <w:rPr>
          <w:rFonts w:asciiTheme="majorHAnsi" w:hAnsiTheme="majorHAnsi"/>
          <w:color w:val="auto"/>
          <w:szCs w:val="20"/>
          <w:lang w:val="es-ES_tradnl"/>
        </w:rPr>
        <w:t xml:space="preserve"> de las amenazas a los derechos a la libertad y a la seguridad personal por parte de particulares, en</w:t>
      </w:r>
      <w:r w:rsidR="007C3EB1">
        <w:rPr>
          <w:rFonts w:asciiTheme="majorHAnsi" w:hAnsiTheme="majorHAnsi"/>
          <w:color w:val="auto"/>
          <w:szCs w:val="20"/>
          <w:lang w:val="es-ES_tradnl"/>
        </w:rPr>
        <w:t xml:space="preserve"> </w:t>
      </w:r>
      <w:r w:rsidR="006A3357">
        <w:rPr>
          <w:rFonts w:asciiTheme="majorHAnsi" w:hAnsiTheme="majorHAnsi"/>
          <w:color w:val="auto"/>
          <w:szCs w:val="20"/>
          <w:lang w:val="es-ES_tradnl"/>
        </w:rPr>
        <w:t xml:space="preserve">casos como </w:t>
      </w:r>
      <w:r w:rsidR="00EE5A2C">
        <w:rPr>
          <w:rFonts w:asciiTheme="majorHAnsi" w:hAnsiTheme="majorHAnsi"/>
          <w:color w:val="auto"/>
          <w:szCs w:val="20"/>
          <w:lang w:val="es-ES_tradnl"/>
        </w:rPr>
        <w:t>el suyo</w:t>
      </w:r>
      <w:r w:rsidR="006A3357">
        <w:rPr>
          <w:rFonts w:asciiTheme="majorHAnsi" w:hAnsiTheme="majorHAnsi"/>
          <w:color w:val="auto"/>
          <w:szCs w:val="20"/>
          <w:lang w:val="es-ES_tradnl"/>
        </w:rPr>
        <w:t xml:space="preserve"> y </w:t>
      </w:r>
      <w:r w:rsidR="00B76F12">
        <w:rPr>
          <w:rFonts w:asciiTheme="majorHAnsi" w:hAnsiTheme="majorHAnsi"/>
          <w:color w:val="auto"/>
          <w:szCs w:val="20"/>
          <w:lang w:val="es-ES_tradnl"/>
        </w:rPr>
        <w:t xml:space="preserve">en </w:t>
      </w:r>
      <w:r w:rsidR="006A3357">
        <w:rPr>
          <w:rFonts w:asciiTheme="majorHAnsi" w:hAnsiTheme="majorHAnsi"/>
          <w:color w:val="auto"/>
          <w:szCs w:val="20"/>
          <w:lang w:val="es-ES_tradnl"/>
        </w:rPr>
        <w:t xml:space="preserve">todos aquellos relativos a crímenes violentos, </w:t>
      </w:r>
      <w:r w:rsidR="00595125">
        <w:rPr>
          <w:rFonts w:asciiTheme="majorHAnsi" w:hAnsiTheme="majorHAnsi"/>
          <w:color w:val="auto"/>
          <w:szCs w:val="20"/>
          <w:lang w:val="es-ES_tradnl"/>
        </w:rPr>
        <w:t>y que</w:t>
      </w:r>
      <w:r w:rsidR="006C10DF">
        <w:rPr>
          <w:rFonts w:asciiTheme="majorHAnsi" w:hAnsiTheme="majorHAnsi"/>
          <w:color w:val="auto"/>
          <w:szCs w:val="20"/>
          <w:lang w:val="es-ES_tradnl"/>
        </w:rPr>
        <w:t xml:space="preserve"> </w:t>
      </w:r>
      <w:r w:rsidR="00B76F12">
        <w:rPr>
          <w:rFonts w:asciiTheme="majorHAnsi" w:hAnsiTheme="majorHAnsi"/>
          <w:color w:val="auto"/>
          <w:szCs w:val="20"/>
          <w:lang w:val="es-ES_tradnl"/>
        </w:rPr>
        <w:t xml:space="preserve">se </w:t>
      </w:r>
      <w:r w:rsidR="00BF43DA">
        <w:rPr>
          <w:rFonts w:asciiTheme="majorHAnsi" w:hAnsiTheme="majorHAnsi"/>
          <w:color w:val="auto"/>
          <w:szCs w:val="20"/>
          <w:lang w:val="es-ES_tradnl"/>
        </w:rPr>
        <w:t>form</w:t>
      </w:r>
      <w:r w:rsidR="00595125">
        <w:rPr>
          <w:rFonts w:asciiTheme="majorHAnsi" w:hAnsiTheme="majorHAnsi"/>
          <w:color w:val="auto"/>
          <w:szCs w:val="20"/>
          <w:lang w:val="es-ES_tradnl"/>
        </w:rPr>
        <w:t>e</w:t>
      </w:r>
      <w:r w:rsidR="00BF43DA">
        <w:rPr>
          <w:rFonts w:asciiTheme="majorHAnsi" w:hAnsiTheme="majorHAnsi"/>
          <w:color w:val="auto"/>
          <w:szCs w:val="20"/>
          <w:lang w:val="es-ES_tradnl"/>
        </w:rPr>
        <w:t xml:space="preserve"> y equip</w:t>
      </w:r>
      <w:r w:rsidR="00595125">
        <w:rPr>
          <w:rFonts w:asciiTheme="majorHAnsi" w:hAnsiTheme="majorHAnsi"/>
          <w:color w:val="auto"/>
          <w:szCs w:val="20"/>
          <w:lang w:val="es-ES_tradnl"/>
        </w:rPr>
        <w:t>e debidamente a</w:t>
      </w:r>
      <w:r w:rsidR="00BF43DA">
        <w:rPr>
          <w:rFonts w:asciiTheme="majorHAnsi" w:hAnsiTheme="majorHAnsi"/>
          <w:color w:val="auto"/>
          <w:szCs w:val="20"/>
          <w:lang w:val="es-ES_tradnl"/>
        </w:rPr>
        <w:t xml:space="preserve"> una facción de las fuerzas de seguridad para </w:t>
      </w:r>
      <w:r w:rsidR="00EE5A2C">
        <w:rPr>
          <w:rFonts w:asciiTheme="majorHAnsi" w:hAnsiTheme="majorHAnsi"/>
          <w:color w:val="auto"/>
          <w:szCs w:val="20"/>
          <w:lang w:val="es-ES_tradnl"/>
        </w:rPr>
        <w:t xml:space="preserve">que intervengan </w:t>
      </w:r>
      <w:r w:rsidR="00595125">
        <w:rPr>
          <w:rFonts w:asciiTheme="majorHAnsi" w:hAnsiTheme="majorHAnsi"/>
          <w:color w:val="auto"/>
          <w:szCs w:val="20"/>
          <w:lang w:val="es-ES_tradnl"/>
        </w:rPr>
        <w:t xml:space="preserve">en tales </w:t>
      </w:r>
      <w:r w:rsidR="00EE5A2C">
        <w:rPr>
          <w:rFonts w:asciiTheme="majorHAnsi" w:hAnsiTheme="majorHAnsi"/>
          <w:color w:val="auto"/>
          <w:szCs w:val="20"/>
          <w:lang w:val="es-ES_tradnl"/>
        </w:rPr>
        <w:t>situaciones</w:t>
      </w:r>
      <w:r w:rsidR="00595125">
        <w:rPr>
          <w:rFonts w:asciiTheme="majorHAnsi" w:hAnsiTheme="majorHAnsi"/>
          <w:color w:val="auto"/>
          <w:szCs w:val="20"/>
          <w:lang w:val="es-ES_tradnl"/>
        </w:rPr>
        <w:t xml:space="preserve">. Además, solicita que se ordene al Estado indemnizar al peticionario por </w:t>
      </w:r>
      <w:r w:rsidR="00B76F12">
        <w:rPr>
          <w:rFonts w:asciiTheme="majorHAnsi" w:hAnsiTheme="majorHAnsi"/>
          <w:color w:val="auto"/>
          <w:szCs w:val="20"/>
          <w:lang w:val="es-ES_tradnl"/>
        </w:rPr>
        <w:t xml:space="preserve">su responsabilidad al </w:t>
      </w:r>
      <w:r w:rsidR="00595125">
        <w:rPr>
          <w:rFonts w:asciiTheme="majorHAnsi" w:hAnsiTheme="majorHAnsi"/>
          <w:color w:val="auto"/>
          <w:szCs w:val="20"/>
          <w:lang w:val="es-ES_tradnl"/>
        </w:rPr>
        <w:t xml:space="preserve">haber contribuido al atentado en contra de </w:t>
      </w:r>
      <w:r w:rsidR="008A0C11">
        <w:rPr>
          <w:rFonts w:asciiTheme="majorHAnsi" w:hAnsiTheme="majorHAnsi"/>
          <w:color w:val="auto"/>
          <w:szCs w:val="20"/>
          <w:lang w:val="es-ES_tradnl"/>
        </w:rPr>
        <w:t>los</w:t>
      </w:r>
      <w:r w:rsidR="00595125">
        <w:rPr>
          <w:rFonts w:asciiTheme="majorHAnsi" w:hAnsiTheme="majorHAnsi"/>
          <w:color w:val="auto"/>
          <w:szCs w:val="20"/>
          <w:lang w:val="es-ES_tradnl"/>
        </w:rPr>
        <w:t xml:space="preserve"> derechos</w:t>
      </w:r>
      <w:r w:rsidR="00BF43DA">
        <w:rPr>
          <w:rFonts w:asciiTheme="majorHAnsi" w:hAnsiTheme="majorHAnsi"/>
          <w:color w:val="auto"/>
          <w:szCs w:val="20"/>
          <w:lang w:val="es-ES_tradnl"/>
        </w:rPr>
        <w:t xml:space="preserve"> </w:t>
      </w:r>
      <w:r w:rsidR="00595125">
        <w:rPr>
          <w:rFonts w:asciiTheme="majorHAnsi" w:hAnsiTheme="majorHAnsi"/>
          <w:color w:val="auto"/>
          <w:szCs w:val="20"/>
          <w:lang w:val="es-ES_tradnl"/>
        </w:rPr>
        <w:t xml:space="preserve">garantizados por la Convención. </w:t>
      </w:r>
    </w:p>
    <w:p w14:paraId="76AD0FF6" w14:textId="77777777" w:rsidR="00F56082" w:rsidRPr="00F56082" w:rsidRDefault="00F56082" w:rsidP="00F56082">
      <w:pPr>
        <w:pStyle w:val="ListParagraph"/>
        <w:numPr>
          <w:ilvl w:val="0"/>
          <w:numId w:val="0"/>
        </w:numPr>
        <w:rPr>
          <w:rFonts w:asciiTheme="majorHAnsi" w:hAnsiTheme="majorHAnsi"/>
          <w:color w:val="auto"/>
          <w:szCs w:val="20"/>
          <w:lang w:val="es-ES_tradnl"/>
        </w:rPr>
      </w:pPr>
    </w:p>
    <w:p w14:paraId="684A4BD9" w14:textId="77777777" w:rsidR="00260893" w:rsidRDefault="00595125" w:rsidP="00260893">
      <w:pPr>
        <w:pStyle w:val="ListParagraph"/>
        <w:rPr>
          <w:rFonts w:asciiTheme="majorHAnsi" w:hAnsiTheme="majorHAnsi"/>
          <w:color w:val="auto"/>
          <w:szCs w:val="20"/>
          <w:lang w:val="es-ES_tradnl"/>
        </w:rPr>
      </w:pPr>
      <w:r>
        <w:rPr>
          <w:rFonts w:asciiTheme="majorHAnsi" w:hAnsiTheme="majorHAnsi"/>
          <w:color w:val="auto"/>
          <w:szCs w:val="20"/>
          <w:lang w:val="es-ES_tradnl"/>
        </w:rPr>
        <w:t xml:space="preserve">Asimismo, requiere que </w:t>
      </w:r>
      <w:r w:rsidR="00F56082">
        <w:rPr>
          <w:rFonts w:asciiTheme="majorHAnsi" w:hAnsiTheme="majorHAnsi"/>
          <w:color w:val="auto"/>
          <w:szCs w:val="20"/>
          <w:lang w:val="es-ES_tradnl"/>
        </w:rPr>
        <w:t>la Comisión</w:t>
      </w:r>
      <w:r>
        <w:rPr>
          <w:rFonts w:asciiTheme="majorHAnsi" w:hAnsiTheme="majorHAnsi"/>
          <w:color w:val="auto"/>
          <w:szCs w:val="20"/>
          <w:lang w:val="es-ES_tradnl"/>
        </w:rPr>
        <w:t xml:space="preserve"> imponga al Estado la obligación de proveer </w:t>
      </w:r>
      <w:r w:rsidR="00640AEC">
        <w:rPr>
          <w:rFonts w:asciiTheme="majorHAnsi" w:hAnsiTheme="majorHAnsi"/>
          <w:color w:val="auto"/>
          <w:szCs w:val="20"/>
          <w:lang w:val="es-ES_tradnl"/>
        </w:rPr>
        <w:t xml:space="preserve">plazos y </w:t>
      </w:r>
      <w:r>
        <w:rPr>
          <w:rFonts w:asciiTheme="majorHAnsi" w:hAnsiTheme="majorHAnsi"/>
          <w:color w:val="auto"/>
          <w:szCs w:val="20"/>
          <w:lang w:val="es-ES_tradnl"/>
        </w:rPr>
        <w:t>un informe público, tanto a nivel legislativo como respecto de los procedimientos administrativos</w:t>
      </w:r>
      <w:r w:rsidR="00B76F12">
        <w:rPr>
          <w:rFonts w:asciiTheme="majorHAnsi" w:hAnsiTheme="majorHAnsi"/>
          <w:color w:val="auto"/>
          <w:szCs w:val="20"/>
          <w:lang w:val="es-ES_tradnl"/>
        </w:rPr>
        <w:t>,</w:t>
      </w:r>
      <w:r>
        <w:rPr>
          <w:rFonts w:asciiTheme="majorHAnsi" w:hAnsiTheme="majorHAnsi"/>
          <w:color w:val="auto"/>
          <w:szCs w:val="20"/>
          <w:lang w:val="es-ES_tradnl"/>
        </w:rPr>
        <w:t xml:space="preserve"> </w:t>
      </w:r>
      <w:r w:rsidR="008A0C11">
        <w:rPr>
          <w:rFonts w:asciiTheme="majorHAnsi" w:hAnsiTheme="majorHAnsi"/>
          <w:color w:val="auto"/>
          <w:szCs w:val="20"/>
          <w:lang w:val="es-ES_tradnl"/>
        </w:rPr>
        <w:t>en cuanto a</w:t>
      </w:r>
      <w:r>
        <w:rPr>
          <w:rFonts w:asciiTheme="majorHAnsi" w:hAnsiTheme="majorHAnsi"/>
          <w:color w:val="auto"/>
          <w:szCs w:val="20"/>
          <w:lang w:val="es-ES_tradnl"/>
        </w:rPr>
        <w:t xml:space="preserve"> los procesos de investigación por parte de la policía y l</w:t>
      </w:r>
      <w:r w:rsidR="008A0C11">
        <w:rPr>
          <w:rFonts w:asciiTheme="majorHAnsi" w:hAnsiTheme="majorHAnsi"/>
          <w:color w:val="auto"/>
          <w:szCs w:val="20"/>
          <w:lang w:val="es-ES_tradnl"/>
        </w:rPr>
        <w:t>a</w:t>
      </w:r>
      <w:r>
        <w:rPr>
          <w:rFonts w:asciiTheme="majorHAnsi" w:hAnsiTheme="majorHAnsi"/>
          <w:color w:val="auto"/>
          <w:szCs w:val="20"/>
          <w:lang w:val="es-ES_tradnl"/>
        </w:rPr>
        <w:t xml:space="preserve"> persecución criminal, particularmente </w:t>
      </w:r>
      <w:r w:rsidR="008A0C11">
        <w:rPr>
          <w:rFonts w:asciiTheme="majorHAnsi" w:hAnsiTheme="majorHAnsi"/>
          <w:color w:val="auto"/>
          <w:szCs w:val="20"/>
          <w:lang w:val="es-ES_tradnl"/>
        </w:rPr>
        <w:t xml:space="preserve">sobre </w:t>
      </w:r>
      <w:r>
        <w:rPr>
          <w:rFonts w:asciiTheme="majorHAnsi" w:hAnsiTheme="majorHAnsi"/>
          <w:color w:val="auto"/>
          <w:szCs w:val="20"/>
          <w:lang w:val="es-ES_tradnl"/>
        </w:rPr>
        <w:t>el caso del peticionario, pero también respecto de otros casos de crímenes violentos</w:t>
      </w:r>
      <w:r w:rsidR="00F56082">
        <w:rPr>
          <w:rFonts w:asciiTheme="majorHAnsi" w:hAnsiTheme="majorHAnsi"/>
          <w:color w:val="auto"/>
          <w:szCs w:val="20"/>
          <w:lang w:val="es-ES_tradnl"/>
        </w:rPr>
        <w:t xml:space="preserve"> (incluidos los de naturaleza sexual), los atentados flagrantes a los derechos de las personas y los crímenes </w:t>
      </w:r>
      <w:r w:rsidR="00B76F12">
        <w:rPr>
          <w:rFonts w:asciiTheme="majorHAnsi" w:hAnsiTheme="majorHAnsi"/>
          <w:color w:val="auto"/>
          <w:szCs w:val="20"/>
          <w:lang w:val="es-ES_tradnl"/>
        </w:rPr>
        <w:t>de lesa</w:t>
      </w:r>
      <w:r w:rsidR="00F56082">
        <w:rPr>
          <w:rFonts w:asciiTheme="majorHAnsi" w:hAnsiTheme="majorHAnsi"/>
          <w:color w:val="auto"/>
          <w:szCs w:val="20"/>
          <w:lang w:val="es-ES_tradnl"/>
        </w:rPr>
        <w:t xml:space="preserve"> humanidad. </w:t>
      </w:r>
      <w:r w:rsidR="00640AEC">
        <w:rPr>
          <w:rFonts w:asciiTheme="majorHAnsi" w:hAnsiTheme="majorHAnsi"/>
          <w:color w:val="auto"/>
          <w:szCs w:val="20"/>
          <w:lang w:val="es-ES_tradnl"/>
        </w:rPr>
        <w:t>En consecuencia,</w:t>
      </w:r>
      <w:r w:rsidR="00ED0302">
        <w:rPr>
          <w:rFonts w:asciiTheme="majorHAnsi" w:hAnsiTheme="majorHAnsi"/>
          <w:color w:val="auto"/>
          <w:szCs w:val="20"/>
          <w:lang w:val="es-ES_tradnl"/>
        </w:rPr>
        <w:t xml:space="preserve"> </w:t>
      </w:r>
      <w:r w:rsidR="00F96300">
        <w:rPr>
          <w:rFonts w:asciiTheme="majorHAnsi" w:hAnsiTheme="majorHAnsi"/>
          <w:color w:val="auto"/>
          <w:szCs w:val="20"/>
          <w:lang w:val="es-ES_tradnl"/>
        </w:rPr>
        <w:t xml:space="preserve">requiere que se ordene que </w:t>
      </w:r>
      <w:r w:rsidR="00ED0302">
        <w:rPr>
          <w:rFonts w:asciiTheme="majorHAnsi" w:hAnsiTheme="majorHAnsi"/>
          <w:color w:val="auto"/>
          <w:szCs w:val="20"/>
          <w:lang w:val="es-ES_tradnl"/>
        </w:rPr>
        <w:t>l</w:t>
      </w:r>
      <w:r w:rsidR="00F56082">
        <w:rPr>
          <w:rFonts w:asciiTheme="majorHAnsi" w:hAnsiTheme="majorHAnsi"/>
          <w:color w:val="auto"/>
          <w:szCs w:val="20"/>
          <w:lang w:val="es-ES_tradnl"/>
        </w:rPr>
        <w:t>a ley y los procedimientos administrativos deb</w:t>
      </w:r>
      <w:r w:rsidR="00F96300">
        <w:rPr>
          <w:rFonts w:asciiTheme="majorHAnsi" w:hAnsiTheme="majorHAnsi"/>
          <w:color w:val="auto"/>
          <w:szCs w:val="20"/>
          <w:lang w:val="es-ES_tradnl"/>
        </w:rPr>
        <w:t>a</w:t>
      </w:r>
      <w:r w:rsidR="00F56082">
        <w:rPr>
          <w:rFonts w:asciiTheme="majorHAnsi" w:hAnsiTheme="majorHAnsi"/>
          <w:color w:val="auto"/>
          <w:szCs w:val="20"/>
          <w:lang w:val="es-ES_tradnl"/>
        </w:rPr>
        <w:t>n precisar la duración de cada etapa del procedimiento de investigación y enjuiciamiento</w:t>
      </w:r>
      <w:r w:rsidR="00ED0302">
        <w:rPr>
          <w:rFonts w:asciiTheme="majorHAnsi" w:hAnsiTheme="majorHAnsi"/>
          <w:color w:val="auto"/>
          <w:szCs w:val="20"/>
          <w:lang w:val="es-ES_tradnl"/>
        </w:rPr>
        <w:t xml:space="preserve"> y</w:t>
      </w:r>
      <w:r w:rsidR="00F56082">
        <w:rPr>
          <w:rFonts w:asciiTheme="majorHAnsi" w:hAnsiTheme="majorHAnsi"/>
          <w:color w:val="auto"/>
          <w:szCs w:val="20"/>
          <w:lang w:val="es-ES_tradnl"/>
        </w:rPr>
        <w:t xml:space="preserve"> la regularidad </w:t>
      </w:r>
      <w:r w:rsidR="00ED0302">
        <w:rPr>
          <w:rFonts w:asciiTheme="majorHAnsi" w:hAnsiTheme="majorHAnsi"/>
          <w:color w:val="auto"/>
          <w:szCs w:val="20"/>
          <w:lang w:val="es-ES_tradnl"/>
        </w:rPr>
        <w:t>con la que se deberán presentar</w:t>
      </w:r>
      <w:r w:rsidR="00F56082">
        <w:rPr>
          <w:rFonts w:asciiTheme="majorHAnsi" w:hAnsiTheme="majorHAnsi"/>
          <w:color w:val="auto"/>
          <w:szCs w:val="20"/>
          <w:lang w:val="es-ES_tradnl"/>
        </w:rPr>
        <w:t xml:space="preserve"> informes públicos</w:t>
      </w:r>
      <w:r w:rsidR="00ED0302">
        <w:rPr>
          <w:rFonts w:asciiTheme="majorHAnsi" w:hAnsiTheme="majorHAnsi"/>
          <w:color w:val="auto"/>
          <w:szCs w:val="20"/>
          <w:lang w:val="es-ES_tradnl"/>
        </w:rPr>
        <w:t>,</w:t>
      </w:r>
      <w:r w:rsidR="00F56082">
        <w:rPr>
          <w:rFonts w:asciiTheme="majorHAnsi" w:hAnsiTheme="majorHAnsi"/>
          <w:color w:val="auto"/>
          <w:szCs w:val="20"/>
          <w:lang w:val="es-ES_tradnl"/>
        </w:rPr>
        <w:t xml:space="preserve"> a fin de </w:t>
      </w:r>
      <w:r w:rsidR="00FF1758">
        <w:rPr>
          <w:rFonts w:asciiTheme="majorHAnsi" w:hAnsiTheme="majorHAnsi"/>
          <w:color w:val="auto"/>
          <w:szCs w:val="20"/>
          <w:lang w:val="es-ES_tradnl"/>
        </w:rPr>
        <w:t xml:space="preserve">controlar los atrasos y determinar </w:t>
      </w:r>
      <w:r w:rsidR="00640AEC">
        <w:rPr>
          <w:rFonts w:asciiTheme="majorHAnsi" w:hAnsiTheme="majorHAnsi"/>
          <w:color w:val="auto"/>
          <w:szCs w:val="20"/>
          <w:lang w:val="es-ES_tradnl"/>
        </w:rPr>
        <w:t>si</w:t>
      </w:r>
      <w:r w:rsidR="00FF1758">
        <w:rPr>
          <w:rFonts w:asciiTheme="majorHAnsi" w:hAnsiTheme="majorHAnsi"/>
          <w:color w:val="auto"/>
          <w:szCs w:val="20"/>
          <w:lang w:val="es-ES_tradnl"/>
        </w:rPr>
        <w:t xml:space="preserve"> los mecanismos de control, gubernamentales </w:t>
      </w:r>
      <w:r w:rsidR="00640AEC">
        <w:rPr>
          <w:rFonts w:asciiTheme="majorHAnsi" w:hAnsiTheme="majorHAnsi"/>
          <w:color w:val="auto"/>
          <w:szCs w:val="20"/>
          <w:lang w:val="es-ES_tradnl"/>
        </w:rPr>
        <w:t>y</w:t>
      </w:r>
      <w:r w:rsidR="00FF1758">
        <w:rPr>
          <w:rFonts w:asciiTheme="majorHAnsi" w:hAnsiTheme="majorHAnsi"/>
          <w:color w:val="auto"/>
          <w:szCs w:val="20"/>
          <w:lang w:val="es-ES_tradnl"/>
        </w:rPr>
        <w:t xml:space="preserve"> civiles, se encuentren activados.</w:t>
      </w:r>
    </w:p>
    <w:p w14:paraId="054CAADD" w14:textId="77777777" w:rsidR="00260893" w:rsidRPr="00260893" w:rsidRDefault="00260893" w:rsidP="00260893">
      <w:pPr>
        <w:pStyle w:val="ListParagraph"/>
        <w:numPr>
          <w:ilvl w:val="0"/>
          <w:numId w:val="0"/>
        </w:numPr>
        <w:rPr>
          <w:rFonts w:asciiTheme="majorHAnsi" w:hAnsiTheme="majorHAnsi"/>
          <w:szCs w:val="20"/>
          <w:lang w:val="es-ES_tradnl"/>
        </w:rPr>
      </w:pPr>
    </w:p>
    <w:p w14:paraId="69438A65" w14:textId="77777777" w:rsidR="00ED0302" w:rsidRPr="00ED0302" w:rsidRDefault="00FF1758" w:rsidP="00ED0302">
      <w:pPr>
        <w:pStyle w:val="ListParagraph"/>
        <w:rPr>
          <w:rFonts w:asciiTheme="majorHAnsi" w:hAnsiTheme="majorHAnsi"/>
          <w:color w:val="auto"/>
          <w:szCs w:val="20"/>
          <w:lang w:val="es-ES_tradnl"/>
        </w:rPr>
      </w:pPr>
      <w:r w:rsidRPr="00260893">
        <w:rPr>
          <w:rFonts w:asciiTheme="majorHAnsi" w:hAnsiTheme="majorHAnsi"/>
          <w:szCs w:val="20"/>
          <w:lang w:val="es-ES_tradnl"/>
        </w:rPr>
        <w:t>De la misma manera, solicita a la Comisión que</w:t>
      </w:r>
      <w:r w:rsidR="00ED0302">
        <w:rPr>
          <w:rFonts w:asciiTheme="majorHAnsi" w:hAnsiTheme="majorHAnsi"/>
          <w:szCs w:val="20"/>
          <w:lang w:val="es-ES_tradnl"/>
        </w:rPr>
        <w:t>,</w:t>
      </w:r>
      <w:r w:rsidRPr="00260893">
        <w:rPr>
          <w:rFonts w:asciiTheme="majorHAnsi" w:hAnsiTheme="majorHAnsi"/>
          <w:szCs w:val="20"/>
          <w:lang w:val="es-ES_tradnl"/>
        </w:rPr>
        <w:t xml:space="preserve"> en ejercicio de los poderes que le confiere el artículo 25.8 de la Convención y las normas respectivas del Reglamento, ordene</w:t>
      </w:r>
      <w:r w:rsidR="00ED0302">
        <w:rPr>
          <w:rFonts w:asciiTheme="majorHAnsi" w:hAnsiTheme="majorHAnsi"/>
          <w:szCs w:val="20"/>
          <w:lang w:val="es-ES_tradnl"/>
        </w:rPr>
        <w:t xml:space="preserve"> al Estado</w:t>
      </w:r>
      <w:r w:rsidRPr="00260893">
        <w:rPr>
          <w:rFonts w:asciiTheme="majorHAnsi" w:hAnsiTheme="majorHAnsi"/>
          <w:szCs w:val="20"/>
          <w:lang w:val="es-ES_tradnl"/>
        </w:rPr>
        <w:t xml:space="preserve"> la adopción de medidas </w:t>
      </w:r>
      <w:r w:rsidR="00640AEC">
        <w:rPr>
          <w:rFonts w:asciiTheme="majorHAnsi" w:hAnsiTheme="majorHAnsi"/>
          <w:szCs w:val="20"/>
          <w:lang w:val="es-ES_tradnl"/>
        </w:rPr>
        <w:t>cautelares</w:t>
      </w:r>
      <w:r w:rsidRPr="00260893">
        <w:rPr>
          <w:rFonts w:asciiTheme="majorHAnsi" w:hAnsiTheme="majorHAnsi"/>
          <w:szCs w:val="20"/>
          <w:lang w:val="es-ES_tradnl"/>
        </w:rPr>
        <w:t xml:space="preserve">, incluyendo </w:t>
      </w:r>
      <w:r w:rsidR="00B76F12">
        <w:rPr>
          <w:rFonts w:asciiTheme="majorHAnsi" w:hAnsiTheme="majorHAnsi"/>
          <w:szCs w:val="20"/>
          <w:lang w:val="es-ES_tradnl"/>
        </w:rPr>
        <w:t>aquellas</w:t>
      </w:r>
      <w:r w:rsidRPr="00260893">
        <w:rPr>
          <w:rFonts w:asciiTheme="majorHAnsi" w:hAnsiTheme="majorHAnsi"/>
          <w:szCs w:val="20"/>
          <w:lang w:val="es-ES_tradnl"/>
        </w:rPr>
        <w:t xml:space="preserve"> destinadas a la protección de la vida y la integridad física del peticionario y su familia, </w:t>
      </w:r>
      <w:r w:rsidR="00B76F12">
        <w:rPr>
          <w:rFonts w:asciiTheme="majorHAnsi" w:hAnsiTheme="majorHAnsi"/>
          <w:szCs w:val="20"/>
          <w:lang w:val="es-ES_tradnl"/>
        </w:rPr>
        <w:t xml:space="preserve">debiendo </w:t>
      </w:r>
      <w:r w:rsidRPr="00260893">
        <w:rPr>
          <w:rFonts w:asciiTheme="majorHAnsi" w:hAnsiTheme="majorHAnsi"/>
          <w:szCs w:val="20"/>
          <w:lang w:val="es-ES_tradnl"/>
        </w:rPr>
        <w:t>éstas se</w:t>
      </w:r>
      <w:r w:rsidR="00B76F12">
        <w:rPr>
          <w:rFonts w:asciiTheme="majorHAnsi" w:hAnsiTheme="majorHAnsi"/>
          <w:szCs w:val="20"/>
          <w:lang w:val="es-ES_tradnl"/>
        </w:rPr>
        <w:t>r</w:t>
      </w:r>
      <w:r w:rsidRPr="00260893">
        <w:rPr>
          <w:rFonts w:asciiTheme="majorHAnsi" w:hAnsiTheme="majorHAnsi"/>
          <w:szCs w:val="20"/>
          <w:lang w:val="es-ES_tradnl"/>
        </w:rPr>
        <w:t xml:space="preserve"> adoptadas en consulta con el peticionario</w:t>
      </w:r>
      <w:r w:rsidR="00B76F12">
        <w:rPr>
          <w:rFonts w:asciiTheme="majorHAnsi" w:hAnsiTheme="majorHAnsi"/>
          <w:szCs w:val="20"/>
          <w:lang w:val="es-ES_tradnl"/>
        </w:rPr>
        <w:t>,</w:t>
      </w:r>
      <w:r w:rsidRPr="00260893">
        <w:rPr>
          <w:rFonts w:asciiTheme="majorHAnsi" w:hAnsiTheme="majorHAnsi"/>
          <w:szCs w:val="20"/>
          <w:lang w:val="es-ES_tradnl"/>
        </w:rPr>
        <w:t xml:space="preserve"> a fin de asegurar que la protección otorgada es adecuada</w:t>
      </w:r>
      <w:r w:rsidR="00B76F12">
        <w:rPr>
          <w:rFonts w:asciiTheme="majorHAnsi" w:hAnsiTheme="majorHAnsi"/>
          <w:szCs w:val="20"/>
          <w:lang w:val="es-ES_tradnl"/>
        </w:rPr>
        <w:t xml:space="preserve"> e</w:t>
      </w:r>
      <w:r w:rsidRPr="00260893">
        <w:rPr>
          <w:rFonts w:asciiTheme="majorHAnsi" w:hAnsiTheme="majorHAnsi"/>
          <w:szCs w:val="20"/>
          <w:lang w:val="es-ES_tradnl"/>
        </w:rPr>
        <w:t xml:space="preserve"> </w:t>
      </w:r>
      <w:r w:rsidR="00B76F12">
        <w:rPr>
          <w:rFonts w:asciiTheme="majorHAnsi" w:hAnsiTheme="majorHAnsi"/>
          <w:szCs w:val="20"/>
          <w:lang w:val="es-ES_tradnl"/>
        </w:rPr>
        <w:t xml:space="preserve">informando debidamente </w:t>
      </w:r>
      <w:r w:rsidRPr="00260893">
        <w:rPr>
          <w:rFonts w:asciiTheme="majorHAnsi" w:hAnsiTheme="majorHAnsi"/>
          <w:szCs w:val="20"/>
          <w:lang w:val="es-ES_tradnl"/>
        </w:rPr>
        <w:t xml:space="preserve">a la Comisión </w:t>
      </w:r>
      <w:r w:rsidR="00B76F12">
        <w:rPr>
          <w:rFonts w:asciiTheme="majorHAnsi" w:hAnsiTheme="majorHAnsi"/>
          <w:szCs w:val="20"/>
          <w:lang w:val="es-ES_tradnl"/>
        </w:rPr>
        <w:t xml:space="preserve">para </w:t>
      </w:r>
      <w:r w:rsidRPr="00260893">
        <w:rPr>
          <w:rFonts w:asciiTheme="majorHAnsi" w:hAnsiTheme="majorHAnsi"/>
          <w:szCs w:val="20"/>
          <w:lang w:val="es-ES_tradnl"/>
        </w:rPr>
        <w:t>que ésta pueda asegurar la protección del peticionario</w:t>
      </w:r>
      <w:r w:rsidR="00260893" w:rsidRPr="00260893">
        <w:rPr>
          <w:rFonts w:asciiTheme="majorHAnsi" w:hAnsiTheme="majorHAnsi"/>
          <w:szCs w:val="20"/>
          <w:lang w:val="es-ES_tradnl"/>
        </w:rPr>
        <w:t>.</w:t>
      </w:r>
    </w:p>
    <w:p w14:paraId="5F2121AD" w14:textId="77777777" w:rsidR="00ED0302" w:rsidRPr="00ED0302" w:rsidRDefault="00ED0302" w:rsidP="00ED0302">
      <w:pPr>
        <w:pStyle w:val="ListParagraph"/>
        <w:numPr>
          <w:ilvl w:val="0"/>
          <w:numId w:val="0"/>
        </w:numPr>
        <w:rPr>
          <w:rFonts w:asciiTheme="majorHAnsi" w:hAnsiTheme="majorHAnsi"/>
          <w:szCs w:val="20"/>
          <w:lang w:val="es-ES_tradnl"/>
        </w:rPr>
      </w:pPr>
    </w:p>
    <w:p w14:paraId="1515D3A6" w14:textId="77777777" w:rsidR="00260893" w:rsidRPr="00ED0302" w:rsidRDefault="00260893" w:rsidP="00ED0302">
      <w:pPr>
        <w:pStyle w:val="ListParagraph"/>
        <w:rPr>
          <w:rFonts w:asciiTheme="majorHAnsi" w:hAnsiTheme="majorHAnsi"/>
          <w:color w:val="auto"/>
          <w:szCs w:val="20"/>
          <w:lang w:val="es-ES_tradnl"/>
        </w:rPr>
      </w:pPr>
      <w:r w:rsidRPr="00ED0302">
        <w:rPr>
          <w:rFonts w:asciiTheme="majorHAnsi" w:hAnsiTheme="majorHAnsi"/>
          <w:szCs w:val="20"/>
          <w:lang w:val="es-ES_tradnl"/>
        </w:rPr>
        <w:t xml:space="preserve">Por último, la parte peticionaria destaca que la Comisión ya ha confirmado que los tribunales y las fuerzas policíacas de la República de Haití se encuentran inmersas en una corrupción que favorece la impunidad y que las pandillas y organizaciones criminales disfrutan de </w:t>
      </w:r>
      <w:r w:rsidR="00B76F12">
        <w:rPr>
          <w:rFonts w:asciiTheme="majorHAnsi" w:hAnsiTheme="majorHAnsi"/>
          <w:szCs w:val="20"/>
          <w:lang w:val="es-ES_tradnl"/>
        </w:rPr>
        <w:t>ella</w:t>
      </w:r>
      <w:r w:rsidRPr="00ED0302">
        <w:rPr>
          <w:rFonts w:asciiTheme="majorHAnsi" w:hAnsiTheme="majorHAnsi"/>
          <w:szCs w:val="20"/>
          <w:lang w:val="es-ES_tradnl"/>
        </w:rPr>
        <w:t>. Sostiene</w:t>
      </w:r>
      <w:r w:rsidR="00B76F12">
        <w:rPr>
          <w:rFonts w:asciiTheme="majorHAnsi" w:hAnsiTheme="majorHAnsi"/>
          <w:szCs w:val="20"/>
          <w:lang w:val="es-ES_tradnl"/>
        </w:rPr>
        <w:t xml:space="preserve"> también</w:t>
      </w:r>
      <w:r w:rsidRPr="00ED0302">
        <w:rPr>
          <w:rFonts w:asciiTheme="majorHAnsi" w:hAnsiTheme="majorHAnsi"/>
          <w:szCs w:val="20"/>
          <w:lang w:val="es-ES_tradnl"/>
        </w:rPr>
        <w:t xml:space="preserve"> que tales prácticas son aún comunes y que la situación no ha mejorado desde que la Comisión constató tales circunstancias. Por ello, </w:t>
      </w:r>
      <w:r w:rsidR="00ED0302" w:rsidRPr="00ED0302">
        <w:rPr>
          <w:rFonts w:asciiTheme="majorHAnsi" w:hAnsiTheme="majorHAnsi"/>
          <w:szCs w:val="20"/>
          <w:lang w:val="es-ES_tradnl"/>
        </w:rPr>
        <w:t xml:space="preserve">argumenta que </w:t>
      </w:r>
      <w:r w:rsidRPr="00ED0302">
        <w:rPr>
          <w:rFonts w:asciiTheme="majorHAnsi" w:hAnsiTheme="majorHAnsi"/>
          <w:szCs w:val="20"/>
          <w:lang w:val="es-ES_tradnl"/>
        </w:rPr>
        <w:t>Haití debe abordar los atentados a los derechos de las personas</w:t>
      </w:r>
      <w:r w:rsidR="007517A3">
        <w:rPr>
          <w:rFonts w:asciiTheme="majorHAnsi" w:hAnsiTheme="majorHAnsi"/>
          <w:szCs w:val="20"/>
          <w:lang w:val="es-ES_tradnl"/>
        </w:rPr>
        <w:t>,</w:t>
      </w:r>
      <w:r w:rsidRPr="00ED0302">
        <w:rPr>
          <w:rFonts w:asciiTheme="majorHAnsi" w:hAnsiTheme="majorHAnsi"/>
          <w:szCs w:val="20"/>
          <w:lang w:val="es-ES_tradnl"/>
        </w:rPr>
        <w:t xml:space="preserve"> como el peticionario</w:t>
      </w:r>
      <w:r w:rsidR="007517A3">
        <w:rPr>
          <w:rFonts w:asciiTheme="majorHAnsi" w:hAnsiTheme="majorHAnsi"/>
          <w:szCs w:val="20"/>
          <w:lang w:val="es-ES_tradnl"/>
        </w:rPr>
        <w:t>,</w:t>
      </w:r>
      <w:r w:rsidR="00ED0302" w:rsidRPr="00ED0302">
        <w:rPr>
          <w:rFonts w:asciiTheme="majorHAnsi" w:hAnsiTheme="majorHAnsi"/>
          <w:szCs w:val="20"/>
          <w:lang w:val="es-ES_tradnl"/>
        </w:rPr>
        <w:t xml:space="preserve"> y reparar los perjuicios y demoras en la investigación y persecución penal, a fin de garantizar que los derechos de las personas son protegidos en Haití,</w:t>
      </w:r>
      <w:r w:rsidRPr="00ED0302">
        <w:rPr>
          <w:rFonts w:asciiTheme="majorHAnsi" w:hAnsiTheme="majorHAnsi"/>
          <w:szCs w:val="20"/>
          <w:lang w:val="es-ES_tradnl"/>
        </w:rPr>
        <w:t xml:space="preserve"> </w:t>
      </w:r>
      <w:r w:rsidR="00ED0302" w:rsidRPr="00ED0302">
        <w:rPr>
          <w:rFonts w:asciiTheme="majorHAnsi" w:hAnsiTheme="majorHAnsi"/>
          <w:szCs w:val="20"/>
          <w:lang w:val="es-ES_tradnl"/>
        </w:rPr>
        <w:t xml:space="preserve">lo </w:t>
      </w:r>
      <w:r w:rsidRPr="00ED0302">
        <w:rPr>
          <w:rFonts w:asciiTheme="majorHAnsi" w:hAnsiTheme="majorHAnsi"/>
          <w:szCs w:val="20"/>
          <w:lang w:val="es-ES_tradnl"/>
        </w:rPr>
        <w:t xml:space="preserve">que tiene el potencial de mejorar la administración de justicia y la igualdad de todos los haitianos y haitianas. </w:t>
      </w:r>
    </w:p>
    <w:p w14:paraId="01654D11" w14:textId="77777777" w:rsidR="00B81D9F" w:rsidRDefault="00B81D9F" w:rsidP="00B81D9F">
      <w:pPr>
        <w:pStyle w:val="Heading2"/>
        <w:numPr>
          <w:ilvl w:val="0"/>
          <w:numId w:val="0"/>
        </w:numPr>
        <w:ind w:left="720"/>
        <w:rPr>
          <w:lang w:val="es-ES_tradnl"/>
        </w:rPr>
      </w:pPr>
    </w:p>
    <w:p w14:paraId="264A3CC6" w14:textId="77777777" w:rsidR="00D12193" w:rsidRPr="00824696" w:rsidRDefault="0022273F" w:rsidP="005F3D64">
      <w:pPr>
        <w:pStyle w:val="Heading2"/>
        <w:ind w:left="720" w:hanging="720"/>
        <w:rPr>
          <w:lang w:val="es-ES_tradnl"/>
        </w:rPr>
      </w:pPr>
      <w:bookmarkStart w:id="7" w:name="_Toc22308269"/>
      <w:r w:rsidRPr="00824696">
        <w:rPr>
          <w:lang w:val="es-ES_tradnl"/>
        </w:rPr>
        <w:t>Estado</w:t>
      </w:r>
      <w:bookmarkEnd w:id="7"/>
      <w:r w:rsidR="00CC63CF" w:rsidRPr="00824696">
        <w:rPr>
          <w:lang w:val="es-ES_tradnl"/>
        </w:rPr>
        <w:t xml:space="preserve"> </w:t>
      </w:r>
    </w:p>
    <w:p w14:paraId="090A493B" w14:textId="77777777" w:rsidR="00DE4662" w:rsidRPr="00824696" w:rsidRDefault="00DE4662" w:rsidP="00DE4662">
      <w:pPr>
        <w:rPr>
          <w:lang w:val="es-ES_tradnl"/>
        </w:rPr>
      </w:pPr>
    </w:p>
    <w:p w14:paraId="6AA81E7B" w14:textId="77777777" w:rsidR="00092076" w:rsidRPr="00092076" w:rsidRDefault="007517A3" w:rsidP="00DE4662">
      <w:pPr>
        <w:pStyle w:val="ListParagraph"/>
        <w:tabs>
          <w:tab w:val="left" w:pos="360"/>
        </w:tabs>
        <w:rPr>
          <w:lang w:val="es-ES_tradnl"/>
        </w:rPr>
      </w:pPr>
      <w:r>
        <w:rPr>
          <w:lang w:val="es-ES_tradnl"/>
        </w:rPr>
        <w:t>E</w:t>
      </w:r>
      <w:r w:rsidR="00DE4662" w:rsidRPr="00824696">
        <w:rPr>
          <w:lang w:val="es-ES_tradnl"/>
        </w:rPr>
        <w:t>l Estado</w:t>
      </w:r>
      <w:r>
        <w:rPr>
          <w:lang w:val="es-ES_tradnl"/>
        </w:rPr>
        <w:t xml:space="preserve"> no presentó observaciones en la etapa de fondo. Sin embargo, como se indicó en el informe de admisibilidad, </w:t>
      </w:r>
      <w:r w:rsidR="005E592A">
        <w:rPr>
          <w:lang w:val="es-ES_tradnl"/>
        </w:rPr>
        <w:t>en agosto del año 2007</w:t>
      </w:r>
      <w:r>
        <w:rPr>
          <w:lang w:val="es-ES_tradnl"/>
        </w:rPr>
        <w:t xml:space="preserve"> la República de Haití </w:t>
      </w:r>
      <w:r w:rsidR="00092076">
        <w:rPr>
          <w:lang w:val="es-ES_tradnl"/>
        </w:rPr>
        <w:t xml:space="preserve">se limitó a </w:t>
      </w:r>
      <w:r>
        <w:rPr>
          <w:lang w:val="es-ES_tradnl"/>
        </w:rPr>
        <w:t>h</w:t>
      </w:r>
      <w:r w:rsidR="00092076">
        <w:rPr>
          <w:lang w:val="es-ES_tradnl"/>
        </w:rPr>
        <w:t>acer</w:t>
      </w:r>
      <w:r>
        <w:rPr>
          <w:lang w:val="es-ES_tradnl"/>
        </w:rPr>
        <w:t xml:space="preserve"> notar que ningún elemento del expediente dem</w:t>
      </w:r>
      <w:r w:rsidR="005E592A">
        <w:rPr>
          <w:lang w:val="es-ES_tradnl"/>
        </w:rPr>
        <w:t>ostraba</w:t>
      </w:r>
      <w:r>
        <w:rPr>
          <w:lang w:val="es-ES_tradnl"/>
        </w:rPr>
        <w:t xml:space="preserve"> que algún agente del Estado h</w:t>
      </w:r>
      <w:r w:rsidR="00F762DF">
        <w:rPr>
          <w:lang w:val="es-ES_tradnl"/>
        </w:rPr>
        <w:t>ubiera</w:t>
      </w:r>
      <w:r>
        <w:rPr>
          <w:lang w:val="es-ES_tradnl"/>
        </w:rPr>
        <w:t xml:space="preserve"> estado implicado en las tentativas de asesinato de las alega haber sido víctima </w:t>
      </w:r>
      <w:r w:rsidRPr="00824696">
        <w:rPr>
          <w:rFonts w:asciiTheme="majorHAnsi" w:hAnsiTheme="majorHAnsi"/>
          <w:color w:val="auto"/>
          <w:szCs w:val="20"/>
          <w:lang w:val="es-ES_tradnl"/>
        </w:rPr>
        <w:t>Baptiste Willer</w:t>
      </w:r>
      <w:r>
        <w:rPr>
          <w:rFonts w:asciiTheme="majorHAnsi" w:hAnsiTheme="majorHAnsi"/>
          <w:color w:val="auto"/>
          <w:szCs w:val="20"/>
          <w:lang w:val="es-ES_tradnl"/>
        </w:rPr>
        <w:t>, ni que las personas que él identifica</w:t>
      </w:r>
      <w:r w:rsidR="005E592A">
        <w:rPr>
          <w:rFonts w:asciiTheme="majorHAnsi" w:hAnsiTheme="majorHAnsi"/>
          <w:color w:val="auto"/>
          <w:szCs w:val="20"/>
          <w:lang w:val="es-ES_tradnl"/>
        </w:rPr>
        <w:t>ba</w:t>
      </w:r>
      <w:r w:rsidR="00F96300">
        <w:rPr>
          <w:rFonts w:asciiTheme="majorHAnsi" w:hAnsiTheme="majorHAnsi"/>
          <w:color w:val="auto"/>
          <w:szCs w:val="20"/>
          <w:lang w:val="es-ES_tradnl"/>
        </w:rPr>
        <w:t xml:space="preserve"> como autores o cómplices hubieran</w:t>
      </w:r>
      <w:r>
        <w:rPr>
          <w:rFonts w:asciiTheme="majorHAnsi" w:hAnsiTheme="majorHAnsi"/>
          <w:color w:val="auto"/>
          <w:szCs w:val="20"/>
          <w:lang w:val="es-ES_tradnl"/>
        </w:rPr>
        <w:t xml:space="preserve"> sido protegidos o encubiertos por las autoridades públicas haitianas</w:t>
      </w:r>
      <w:r>
        <w:rPr>
          <w:rStyle w:val="FootnoteReference"/>
          <w:rFonts w:asciiTheme="majorHAnsi" w:hAnsiTheme="majorHAnsi"/>
          <w:color w:val="auto"/>
          <w:szCs w:val="20"/>
          <w:lang w:val="es-ES_tradnl"/>
        </w:rPr>
        <w:footnoteReference w:id="3"/>
      </w:r>
      <w:r>
        <w:rPr>
          <w:rFonts w:asciiTheme="majorHAnsi" w:hAnsiTheme="majorHAnsi"/>
          <w:color w:val="auto"/>
          <w:szCs w:val="20"/>
          <w:lang w:val="es-ES_tradnl"/>
        </w:rPr>
        <w:t>. A</w:t>
      </w:r>
      <w:r w:rsidR="00092076">
        <w:rPr>
          <w:rFonts w:asciiTheme="majorHAnsi" w:hAnsiTheme="majorHAnsi"/>
          <w:color w:val="auto"/>
          <w:szCs w:val="20"/>
          <w:lang w:val="es-ES_tradnl"/>
        </w:rPr>
        <w:t>demás, indicó que uno de los presuntos autores estaba siendo buscado activamente por la policía y había sido objeto de un spot televisivo en el que se requería a la población colaborar con la justicia para proceder a su arresto</w:t>
      </w:r>
      <w:r w:rsidR="00092076">
        <w:rPr>
          <w:rStyle w:val="FootnoteReference"/>
          <w:rFonts w:asciiTheme="majorHAnsi" w:hAnsiTheme="majorHAnsi"/>
          <w:color w:val="auto"/>
          <w:szCs w:val="20"/>
          <w:lang w:val="es-ES_tradnl"/>
        </w:rPr>
        <w:footnoteReference w:id="4"/>
      </w:r>
      <w:r w:rsidR="00092076">
        <w:rPr>
          <w:rFonts w:asciiTheme="majorHAnsi" w:hAnsiTheme="majorHAnsi"/>
          <w:color w:val="auto"/>
          <w:szCs w:val="20"/>
          <w:lang w:val="es-ES_tradnl"/>
        </w:rPr>
        <w:t xml:space="preserve">. </w:t>
      </w:r>
    </w:p>
    <w:p w14:paraId="4EA64629" w14:textId="77777777" w:rsidR="00092076" w:rsidRPr="00092076" w:rsidRDefault="00092076" w:rsidP="00092076">
      <w:pPr>
        <w:pStyle w:val="ListParagraph"/>
        <w:numPr>
          <w:ilvl w:val="0"/>
          <w:numId w:val="0"/>
        </w:numPr>
        <w:tabs>
          <w:tab w:val="left" w:pos="360"/>
        </w:tabs>
        <w:rPr>
          <w:lang w:val="es-ES_tradnl"/>
        </w:rPr>
      </w:pPr>
    </w:p>
    <w:p w14:paraId="5BDE8396" w14:textId="77777777" w:rsidR="00DE4662" w:rsidRPr="00824696" w:rsidRDefault="00092076" w:rsidP="00DE4662">
      <w:pPr>
        <w:pStyle w:val="ListParagraph"/>
        <w:tabs>
          <w:tab w:val="left" w:pos="360"/>
        </w:tabs>
        <w:rPr>
          <w:lang w:val="es-ES_tradnl"/>
        </w:rPr>
      </w:pPr>
      <w:r>
        <w:rPr>
          <w:rFonts w:asciiTheme="majorHAnsi" w:hAnsiTheme="majorHAnsi"/>
          <w:color w:val="auto"/>
          <w:szCs w:val="20"/>
          <w:lang w:val="es-ES_tradnl"/>
        </w:rPr>
        <w:lastRenderedPageBreak/>
        <w:t>Sin embargo, el Estado no presentó prueba alguna en apoyo de sus afirmaciones, ni complementó durante la etapa de fondo la información respecto de los posibles avances en la investigación y enjuiciamiento de los responsables.</w:t>
      </w:r>
    </w:p>
    <w:p w14:paraId="026AF287" w14:textId="77777777" w:rsidR="007C756A" w:rsidRPr="00824696" w:rsidRDefault="007C756A" w:rsidP="0011380E">
      <w:pPr>
        <w:suppressAutoHyphens/>
        <w:rPr>
          <w:rFonts w:asciiTheme="majorHAnsi" w:hAnsiTheme="majorHAnsi"/>
          <w:sz w:val="20"/>
          <w:szCs w:val="20"/>
          <w:lang w:val="es-ES_tradnl"/>
        </w:rPr>
      </w:pPr>
    </w:p>
    <w:p w14:paraId="5BE6E122" w14:textId="77777777" w:rsidR="002648D8" w:rsidRDefault="00D12193" w:rsidP="00C3709E">
      <w:pPr>
        <w:pStyle w:val="Heading1"/>
        <w:ind w:left="0" w:firstLine="0"/>
        <w:rPr>
          <w:color w:val="auto"/>
        </w:rPr>
      </w:pPr>
      <w:bookmarkStart w:id="8" w:name="_Toc22308270"/>
      <w:r w:rsidRPr="00B55AFC">
        <w:rPr>
          <w:color w:val="auto"/>
        </w:rPr>
        <w:t>DETERMINACIONES DE HECHO</w:t>
      </w:r>
      <w:bookmarkEnd w:id="8"/>
    </w:p>
    <w:p w14:paraId="4357C91E" w14:textId="77777777" w:rsidR="002648D8" w:rsidRPr="002648D8" w:rsidRDefault="002648D8" w:rsidP="002648D8">
      <w:pPr>
        <w:rPr>
          <w:lang w:val="es-ES_tradnl" w:eastAsia="es-ES"/>
        </w:rPr>
      </w:pPr>
    </w:p>
    <w:p w14:paraId="19CB66BB" w14:textId="77777777" w:rsidR="002648D8" w:rsidRDefault="002648D8" w:rsidP="002648D8">
      <w:pPr>
        <w:pStyle w:val="Heading2"/>
        <w:numPr>
          <w:ilvl w:val="0"/>
          <w:numId w:val="60"/>
        </w:numPr>
        <w:rPr>
          <w:lang w:val="es-US"/>
        </w:rPr>
      </w:pPr>
      <w:bookmarkStart w:id="9" w:name="_Toc22308271"/>
      <w:r w:rsidRPr="002648D8">
        <w:rPr>
          <w:lang w:val="es-US"/>
        </w:rPr>
        <w:t xml:space="preserve">Información disponible sobre las presuntas víctimas y sus </w:t>
      </w:r>
      <w:r>
        <w:rPr>
          <w:lang w:val="es-US"/>
        </w:rPr>
        <w:t>familiares</w:t>
      </w:r>
      <w:bookmarkEnd w:id="9"/>
    </w:p>
    <w:p w14:paraId="2B30DDD1" w14:textId="77777777" w:rsidR="0065504C" w:rsidRDefault="0065504C" w:rsidP="0065504C">
      <w:pPr>
        <w:rPr>
          <w:lang w:val="es-US"/>
        </w:rPr>
      </w:pPr>
    </w:p>
    <w:p w14:paraId="0CBA5227" w14:textId="77777777" w:rsidR="0065504C" w:rsidRDefault="00C17F8E" w:rsidP="0065504C">
      <w:pPr>
        <w:pStyle w:val="ListParagraph"/>
        <w:rPr>
          <w:lang w:val="es-US"/>
        </w:rPr>
      </w:pPr>
      <w:r>
        <w:rPr>
          <w:lang w:val="es-US"/>
        </w:rPr>
        <w:t>Conforme consta de información aportada al expediente por l</w:t>
      </w:r>
      <w:r w:rsidR="005E592A">
        <w:rPr>
          <w:lang w:val="es-US"/>
        </w:rPr>
        <w:t>a parte peticionaria</w:t>
      </w:r>
      <w:r w:rsidR="00A502D6">
        <w:rPr>
          <w:lang w:val="es-US"/>
        </w:rPr>
        <w:t xml:space="preserve">, </w:t>
      </w:r>
      <w:r w:rsidR="00F96300">
        <w:rPr>
          <w:lang w:val="es-US"/>
        </w:rPr>
        <w:t xml:space="preserve">al tiempo en el que ocurrieron los hechos, </w:t>
      </w:r>
      <w:r w:rsidR="0065504C">
        <w:rPr>
          <w:lang w:val="es-US"/>
        </w:rPr>
        <w:t>Baptiste Willer</w:t>
      </w:r>
      <w:r w:rsidR="00BA160D">
        <w:rPr>
          <w:lang w:val="es-US"/>
        </w:rPr>
        <w:t xml:space="preserve"> </w:t>
      </w:r>
      <w:r w:rsidR="0065504C">
        <w:rPr>
          <w:lang w:val="es-US"/>
        </w:rPr>
        <w:t>se enc</w:t>
      </w:r>
      <w:r w:rsidR="00914BEB">
        <w:rPr>
          <w:lang w:val="es-US"/>
        </w:rPr>
        <w:t>ontraba</w:t>
      </w:r>
      <w:r>
        <w:rPr>
          <w:lang w:val="es-US"/>
        </w:rPr>
        <w:t xml:space="preserve"> </w:t>
      </w:r>
      <w:r w:rsidR="0065504C">
        <w:rPr>
          <w:lang w:val="es-US"/>
        </w:rPr>
        <w:t xml:space="preserve">casado </w:t>
      </w:r>
      <w:r w:rsidR="00BA160D">
        <w:rPr>
          <w:lang w:val="es-US"/>
        </w:rPr>
        <w:t>con Noëlzina Baptiste</w:t>
      </w:r>
      <w:r w:rsidR="00706870">
        <w:rPr>
          <w:lang w:val="es-US"/>
        </w:rPr>
        <w:t xml:space="preserve">, con quien </w:t>
      </w:r>
      <w:r w:rsidR="0065504C">
        <w:rPr>
          <w:lang w:val="es-US"/>
        </w:rPr>
        <w:t>t</w:t>
      </w:r>
      <w:r w:rsidR="00914BEB">
        <w:rPr>
          <w:lang w:val="es-US"/>
        </w:rPr>
        <w:t>enía</w:t>
      </w:r>
      <w:r>
        <w:rPr>
          <w:lang w:val="es-US"/>
        </w:rPr>
        <w:t xml:space="preserve"> </w:t>
      </w:r>
      <w:r w:rsidR="0065504C">
        <w:rPr>
          <w:lang w:val="es-US"/>
        </w:rPr>
        <w:t>tres hijos</w:t>
      </w:r>
      <w:r w:rsidR="0000378F">
        <w:rPr>
          <w:lang w:val="es-US"/>
        </w:rPr>
        <w:t xml:space="preserve"> menores de edad</w:t>
      </w:r>
      <w:r w:rsidR="00A502D6">
        <w:rPr>
          <w:lang w:val="es-US"/>
        </w:rPr>
        <w:t>, Baptiste Costaguinov, Baptiste Wilderson y Baptiste Noë-Willo</w:t>
      </w:r>
      <w:r w:rsidR="0065504C">
        <w:rPr>
          <w:rStyle w:val="FootnoteReference"/>
          <w:lang w:val="es-US"/>
        </w:rPr>
        <w:footnoteReference w:id="5"/>
      </w:r>
      <w:r w:rsidR="0065504C">
        <w:rPr>
          <w:lang w:val="es-US"/>
        </w:rPr>
        <w:t>.</w:t>
      </w:r>
      <w:r w:rsidR="00BA160D">
        <w:rPr>
          <w:lang w:val="es-US"/>
        </w:rPr>
        <w:t xml:space="preserve"> </w:t>
      </w:r>
    </w:p>
    <w:p w14:paraId="62EE509F" w14:textId="77777777" w:rsidR="00F42983" w:rsidRDefault="00F42983" w:rsidP="00F42983">
      <w:pPr>
        <w:pStyle w:val="ListParagraph"/>
        <w:numPr>
          <w:ilvl w:val="0"/>
          <w:numId w:val="0"/>
        </w:numPr>
        <w:rPr>
          <w:lang w:val="es-US"/>
        </w:rPr>
      </w:pPr>
    </w:p>
    <w:p w14:paraId="6B97D547" w14:textId="77777777" w:rsidR="00F42983" w:rsidRPr="0065504C" w:rsidRDefault="00F42983" w:rsidP="0065504C">
      <w:pPr>
        <w:pStyle w:val="ListParagraph"/>
        <w:rPr>
          <w:lang w:val="es-US"/>
        </w:rPr>
      </w:pPr>
      <w:r>
        <w:rPr>
          <w:lang w:val="es-US"/>
        </w:rPr>
        <w:t>En su petición inicial, el peticionario adem</w:t>
      </w:r>
      <w:r w:rsidR="00C17F8E">
        <w:rPr>
          <w:lang w:val="es-US"/>
        </w:rPr>
        <w:t>ás identificó</w:t>
      </w:r>
      <w:r>
        <w:rPr>
          <w:lang w:val="es-US"/>
        </w:rPr>
        <w:t xml:space="preserve"> como víctima de su hermano</w:t>
      </w:r>
      <w:r w:rsidR="009833F8">
        <w:rPr>
          <w:lang w:val="es-US"/>
        </w:rPr>
        <w:t xml:space="preserve"> fallecido, </w:t>
      </w:r>
      <w:r w:rsidR="00982431">
        <w:rPr>
          <w:lang w:val="es-ES_tradnl"/>
        </w:rPr>
        <w:t>Frédo Guirant (o Guirand)</w:t>
      </w:r>
      <w:r w:rsidR="009833F8">
        <w:rPr>
          <w:lang w:val="es-US"/>
        </w:rPr>
        <w:t>,</w:t>
      </w:r>
      <w:r>
        <w:rPr>
          <w:lang w:val="es-US"/>
        </w:rPr>
        <w:t xml:space="preserve"> a la madre de ambos, Heléne Charlné.</w:t>
      </w:r>
    </w:p>
    <w:p w14:paraId="3ADDE5C0" w14:textId="77777777" w:rsidR="002648D8" w:rsidRPr="002648D8" w:rsidRDefault="002648D8" w:rsidP="002648D8">
      <w:pPr>
        <w:rPr>
          <w:lang w:val="es-US"/>
        </w:rPr>
      </w:pPr>
    </w:p>
    <w:p w14:paraId="6DC3D263" w14:textId="77777777" w:rsidR="00A4478F" w:rsidRPr="002648D8" w:rsidRDefault="002648D8" w:rsidP="002648D8">
      <w:pPr>
        <w:pStyle w:val="Heading2"/>
        <w:numPr>
          <w:ilvl w:val="0"/>
          <w:numId w:val="60"/>
        </w:numPr>
        <w:rPr>
          <w:lang w:val="es-US"/>
        </w:rPr>
      </w:pPr>
      <w:bookmarkStart w:id="10" w:name="_Toc22308272"/>
      <w:r>
        <w:rPr>
          <w:lang w:val="es-US"/>
        </w:rPr>
        <w:t>Hechos del caso</w:t>
      </w:r>
      <w:bookmarkEnd w:id="10"/>
      <w:r w:rsidR="008A078F" w:rsidRPr="002648D8">
        <w:rPr>
          <w:lang w:val="es-US"/>
        </w:rPr>
        <w:t xml:space="preserve"> </w:t>
      </w:r>
    </w:p>
    <w:p w14:paraId="0C6AFF6D" w14:textId="77777777" w:rsidR="005F3D64" w:rsidRPr="00824696" w:rsidRDefault="005F3D64" w:rsidP="005F3D64">
      <w:pPr>
        <w:rPr>
          <w:lang w:val="es-ES_tradnl" w:eastAsia="es-ES"/>
        </w:rPr>
      </w:pPr>
    </w:p>
    <w:p w14:paraId="7FD5BBF4" w14:textId="77777777" w:rsidR="005F3D64" w:rsidRPr="006549DA" w:rsidRDefault="00EE7A86" w:rsidP="00F05CC0">
      <w:pPr>
        <w:pStyle w:val="ListParagraph"/>
        <w:tabs>
          <w:tab w:val="left" w:pos="360"/>
          <w:tab w:val="left" w:pos="720"/>
        </w:tabs>
        <w:rPr>
          <w:rFonts w:asciiTheme="majorHAnsi" w:hAnsiTheme="majorHAnsi"/>
          <w:color w:val="auto"/>
          <w:szCs w:val="20"/>
          <w:lang w:val="es-ES_tradnl"/>
        </w:rPr>
      </w:pPr>
      <w:r>
        <w:rPr>
          <w:lang w:val="es-ES_tradnl"/>
        </w:rPr>
        <w:t>Conforme alega l</w:t>
      </w:r>
      <w:r w:rsidR="00914BEB">
        <w:rPr>
          <w:lang w:val="es-ES_tradnl"/>
        </w:rPr>
        <w:t>a parte</w:t>
      </w:r>
      <w:r>
        <w:rPr>
          <w:lang w:val="es-ES_tradnl"/>
        </w:rPr>
        <w:t xml:space="preserve"> pe</w:t>
      </w:r>
      <w:r w:rsidR="00914BEB">
        <w:rPr>
          <w:lang w:val="es-ES_tradnl"/>
        </w:rPr>
        <w:t>ticionaria</w:t>
      </w:r>
      <w:r>
        <w:rPr>
          <w:lang w:val="es-ES_tradnl"/>
        </w:rPr>
        <w:t xml:space="preserve">, </w:t>
      </w:r>
      <w:r w:rsidR="004C1C07">
        <w:rPr>
          <w:lang w:val="es-ES_tradnl"/>
        </w:rPr>
        <w:t xml:space="preserve">el 4 de febrero de 2007, a las 9:00 horas, </w:t>
      </w:r>
      <w:r w:rsidR="00F96300">
        <w:rPr>
          <w:lang w:val="es-ES_tradnl"/>
        </w:rPr>
        <w:t xml:space="preserve">mientras se encontraba en las inmediaciones de su residencia, </w:t>
      </w:r>
      <w:r w:rsidR="006549DA">
        <w:rPr>
          <w:lang w:val="es-ES_tradnl"/>
        </w:rPr>
        <w:t xml:space="preserve">Baptiste Willer </w:t>
      </w:r>
      <w:r w:rsidR="004C1C07">
        <w:rPr>
          <w:lang w:val="es-ES_tradnl"/>
        </w:rPr>
        <w:t xml:space="preserve">fue víctima de un atentado de homicidio </w:t>
      </w:r>
      <w:r w:rsidR="004A1990">
        <w:rPr>
          <w:lang w:val="es-ES_tradnl"/>
        </w:rPr>
        <w:t xml:space="preserve">por parte de </w:t>
      </w:r>
      <w:r w:rsidR="00914BEB">
        <w:rPr>
          <w:lang w:val="es-ES_tradnl"/>
        </w:rPr>
        <w:t>delincuentes conocidos por las fuerzas de policía</w:t>
      </w:r>
      <w:r w:rsidR="00C17F8E">
        <w:rPr>
          <w:lang w:val="es-ES_tradnl"/>
        </w:rPr>
        <w:t xml:space="preserve">. </w:t>
      </w:r>
      <w:r w:rsidR="009F2714">
        <w:rPr>
          <w:lang w:val="es-ES_tradnl"/>
        </w:rPr>
        <w:t>Además, alega que e</w:t>
      </w:r>
      <w:r w:rsidR="004C1C07">
        <w:rPr>
          <w:lang w:val="es-ES_tradnl"/>
        </w:rPr>
        <w:t xml:space="preserve">se mismo día entre las 17:00 y las 18:00 horas, </w:t>
      </w:r>
      <w:r w:rsidR="00C17F8E">
        <w:rPr>
          <w:lang w:val="es-ES_tradnl"/>
        </w:rPr>
        <w:t xml:space="preserve">los mismos sujetos que </w:t>
      </w:r>
      <w:r w:rsidR="009F2714">
        <w:rPr>
          <w:lang w:val="es-ES_tradnl"/>
        </w:rPr>
        <w:t xml:space="preserve">atentaron contra su vida </w:t>
      </w:r>
      <w:r w:rsidR="00C17F8E">
        <w:rPr>
          <w:lang w:val="es-ES_tradnl"/>
        </w:rPr>
        <w:t xml:space="preserve">asesinaron a </w:t>
      </w:r>
      <w:r w:rsidR="009F2714">
        <w:rPr>
          <w:lang w:val="es-ES_tradnl"/>
        </w:rPr>
        <w:t xml:space="preserve">su hermano menor </w:t>
      </w:r>
      <w:r w:rsidR="00982431">
        <w:rPr>
          <w:lang w:val="es-ES_tradnl"/>
        </w:rPr>
        <w:t>Frédo Guirant (o Guirand)</w:t>
      </w:r>
      <w:r w:rsidR="00C17F8E">
        <w:rPr>
          <w:lang w:val="es-ES_tradnl"/>
        </w:rPr>
        <w:t xml:space="preserve">, </w:t>
      </w:r>
      <w:r w:rsidR="004C1C07">
        <w:rPr>
          <w:lang w:val="es-ES_tradnl"/>
        </w:rPr>
        <w:t>de solo 16 años de edad</w:t>
      </w:r>
      <w:r w:rsidR="006549DA">
        <w:rPr>
          <w:lang w:val="es-ES_tradnl"/>
        </w:rPr>
        <w:t xml:space="preserve">, </w:t>
      </w:r>
      <w:r w:rsidR="005A473A">
        <w:rPr>
          <w:lang w:val="es-ES_tradnl"/>
        </w:rPr>
        <w:t>quien</w:t>
      </w:r>
      <w:r w:rsidR="009F2714">
        <w:rPr>
          <w:lang w:val="es-ES_tradnl"/>
        </w:rPr>
        <w:t xml:space="preserve"> se encontraba de visita </w:t>
      </w:r>
      <w:r w:rsidR="0065504C">
        <w:rPr>
          <w:lang w:val="es-ES_tradnl"/>
        </w:rPr>
        <w:t xml:space="preserve">en </w:t>
      </w:r>
      <w:r w:rsidR="009F2714">
        <w:rPr>
          <w:lang w:val="es-ES_tradnl"/>
        </w:rPr>
        <w:t>su</w:t>
      </w:r>
      <w:r w:rsidR="0065504C">
        <w:rPr>
          <w:lang w:val="es-ES_tradnl"/>
        </w:rPr>
        <w:t xml:space="preserve"> d</w:t>
      </w:r>
      <w:r w:rsidR="00BA160D">
        <w:rPr>
          <w:lang w:val="es-ES_tradnl"/>
        </w:rPr>
        <w:t>omicilio</w:t>
      </w:r>
      <w:r w:rsidR="004C1C07">
        <w:rPr>
          <w:lang w:val="es-ES_tradnl"/>
        </w:rPr>
        <w:t xml:space="preserve">. </w:t>
      </w:r>
      <w:r w:rsidR="00E770DA">
        <w:rPr>
          <w:szCs w:val="20"/>
          <w:lang w:val="es-VE"/>
        </w:rPr>
        <w:t>El Estado no controvirtió dichas alegaciones.</w:t>
      </w:r>
    </w:p>
    <w:p w14:paraId="45988B28" w14:textId="77777777" w:rsidR="006549DA" w:rsidRPr="006549DA" w:rsidRDefault="006549DA" w:rsidP="006549DA">
      <w:pPr>
        <w:pStyle w:val="ListParagraph"/>
        <w:numPr>
          <w:ilvl w:val="0"/>
          <w:numId w:val="0"/>
        </w:numPr>
        <w:tabs>
          <w:tab w:val="left" w:pos="360"/>
          <w:tab w:val="left" w:pos="720"/>
        </w:tabs>
        <w:rPr>
          <w:rFonts w:asciiTheme="majorHAnsi" w:hAnsiTheme="majorHAnsi"/>
          <w:color w:val="auto"/>
          <w:szCs w:val="20"/>
          <w:lang w:val="es-ES_tradnl"/>
        </w:rPr>
      </w:pPr>
    </w:p>
    <w:p w14:paraId="081F5FC4" w14:textId="77777777" w:rsidR="006549DA" w:rsidRPr="00AE0F33" w:rsidRDefault="006549DA" w:rsidP="00CB66F8">
      <w:pPr>
        <w:pStyle w:val="ListParagraph"/>
        <w:tabs>
          <w:tab w:val="left" w:pos="360"/>
          <w:tab w:val="left" w:pos="720"/>
        </w:tabs>
        <w:rPr>
          <w:rFonts w:asciiTheme="majorHAnsi" w:hAnsiTheme="majorHAnsi"/>
          <w:color w:val="auto"/>
          <w:szCs w:val="20"/>
          <w:lang w:val="es-ES_tradnl"/>
        </w:rPr>
      </w:pPr>
      <w:r>
        <w:rPr>
          <w:szCs w:val="20"/>
          <w:lang w:val="es-VE"/>
        </w:rPr>
        <w:t>De los documentos acompañados por el peticionario, todos debidamente transmitidos al Estado, consta que</w:t>
      </w:r>
      <w:r w:rsidR="009A6711">
        <w:rPr>
          <w:szCs w:val="20"/>
          <w:lang w:val="es-VE"/>
        </w:rPr>
        <w:t xml:space="preserve"> con fecha 30 de septiembre de 2014, la Oficina de Estado Civil del Ministerio de Justicia de la República de Haití emitió un certificado de defunción que acredita el fallecimiento de </w:t>
      </w:r>
      <w:r w:rsidR="00982431">
        <w:rPr>
          <w:szCs w:val="20"/>
          <w:lang w:val="es-VE"/>
        </w:rPr>
        <w:t>Frédo Guirant (o Guirand)</w:t>
      </w:r>
      <w:r w:rsidR="009A6711">
        <w:rPr>
          <w:szCs w:val="20"/>
          <w:lang w:val="es-VE"/>
        </w:rPr>
        <w:t>, hijo de André Guirand y Heléne Charlné, ocurrido el 4 de febrero de 2007 como resultado de un asesinato por bala</w:t>
      </w:r>
      <w:r w:rsidR="00842977">
        <w:rPr>
          <w:szCs w:val="20"/>
          <w:lang w:val="es-VE"/>
        </w:rPr>
        <w:t xml:space="preserve">, siendo </w:t>
      </w:r>
      <w:r w:rsidR="003C314C">
        <w:rPr>
          <w:szCs w:val="20"/>
          <w:lang w:val="es-VE"/>
        </w:rPr>
        <w:t>el fallecido</w:t>
      </w:r>
      <w:r w:rsidR="00842977">
        <w:rPr>
          <w:szCs w:val="20"/>
          <w:lang w:val="es-VE"/>
        </w:rPr>
        <w:t xml:space="preserve"> menor de edad, de 16 años</w:t>
      </w:r>
      <w:r w:rsidR="00842977">
        <w:rPr>
          <w:rStyle w:val="FootnoteReference"/>
          <w:szCs w:val="20"/>
          <w:lang w:val="es-VE"/>
        </w:rPr>
        <w:footnoteReference w:id="6"/>
      </w:r>
      <w:r w:rsidR="00842977">
        <w:rPr>
          <w:szCs w:val="20"/>
          <w:lang w:val="es-VE"/>
        </w:rPr>
        <w:t>.</w:t>
      </w:r>
      <w:r w:rsidR="003C314C">
        <w:rPr>
          <w:szCs w:val="20"/>
          <w:lang w:val="es-VE"/>
        </w:rPr>
        <w:t xml:space="preserve"> También consta que, el 7 de febrero de 2007, el Juez de Paz</w:t>
      </w:r>
      <w:r w:rsidR="00CB66F8">
        <w:rPr>
          <w:szCs w:val="20"/>
          <w:lang w:val="es-VE"/>
        </w:rPr>
        <w:t xml:space="preserve"> de la Sección Sur de Puerto Príncipe,</w:t>
      </w:r>
      <w:r w:rsidR="003C314C" w:rsidRPr="00CB66F8">
        <w:rPr>
          <w:szCs w:val="20"/>
          <w:lang w:val="es-VE"/>
        </w:rPr>
        <w:t xml:space="preserve"> ordenó </w:t>
      </w:r>
      <w:r w:rsidR="00CB66F8">
        <w:rPr>
          <w:szCs w:val="20"/>
          <w:lang w:val="es-VE"/>
        </w:rPr>
        <w:t>al</w:t>
      </w:r>
      <w:r w:rsidR="00E174F7">
        <w:rPr>
          <w:szCs w:val="20"/>
          <w:lang w:val="es-VE"/>
        </w:rPr>
        <w:t xml:space="preserve"> administrador</w:t>
      </w:r>
      <w:r w:rsidR="00CB66F8">
        <w:rPr>
          <w:szCs w:val="20"/>
          <w:lang w:val="es-VE"/>
        </w:rPr>
        <w:t xml:space="preserve"> del Hospital de la Universidad de Estado de Haití, </w:t>
      </w:r>
      <w:r w:rsidR="003C314C" w:rsidRPr="00CB66F8">
        <w:rPr>
          <w:szCs w:val="20"/>
          <w:lang w:val="es-VE"/>
        </w:rPr>
        <w:t xml:space="preserve">la entrega del cadáver de </w:t>
      </w:r>
      <w:r w:rsidR="00982431">
        <w:rPr>
          <w:szCs w:val="20"/>
          <w:lang w:val="es-VE"/>
        </w:rPr>
        <w:t>Frédo Guirant (o Guirand)</w:t>
      </w:r>
      <w:r w:rsidR="00CB66F8">
        <w:rPr>
          <w:szCs w:val="20"/>
          <w:lang w:val="es-VE"/>
        </w:rPr>
        <w:t>, sin autopsia, a su primo</w:t>
      </w:r>
      <w:r w:rsidR="00B32F16">
        <w:rPr>
          <w:szCs w:val="20"/>
          <w:lang w:val="es-VE"/>
        </w:rPr>
        <w:t xml:space="preserve"> Mernelas Sapentier</w:t>
      </w:r>
      <w:r w:rsidR="00CB66F8">
        <w:rPr>
          <w:rStyle w:val="FootnoteReference"/>
          <w:szCs w:val="20"/>
          <w:lang w:val="es-VE"/>
        </w:rPr>
        <w:footnoteReference w:id="7"/>
      </w:r>
      <w:r w:rsidR="00F96300">
        <w:rPr>
          <w:szCs w:val="20"/>
          <w:lang w:val="es-VE"/>
        </w:rPr>
        <w:t>. E</w:t>
      </w:r>
      <w:r w:rsidR="00CB66F8">
        <w:rPr>
          <w:szCs w:val="20"/>
          <w:lang w:val="es-VE"/>
        </w:rPr>
        <w:t>l 10 de febrero</w:t>
      </w:r>
      <w:r w:rsidR="00FB13C3">
        <w:rPr>
          <w:szCs w:val="20"/>
          <w:lang w:val="es-VE"/>
        </w:rPr>
        <w:t>,</w:t>
      </w:r>
      <w:r w:rsidR="00CB66F8">
        <w:rPr>
          <w:szCs w:val="20"/>
          <w:lang w:val="es-VE"/>
        </w:rPr>
        <w:t xml:space="preserve"> Baptiste Willer autorizó a la empresa funeraria S</w:t>
      </w:r>
      <w:r w:rsidR="001135D5">
        <w:rPr>
          <w:szCs w:val="20"/>
          <w:lang w:val="es-VE"/>
        </w:rPr>
        <w:t>t.</w:t>
      </w:r>
      <w:r w:rsidR="00CB66F8">
        <w:rPr>
          <w:szCs w:val="20"/>
          <w:lang w:val="es-VE"/>
        </w:rPr>
        <w:t xml:space="preserve">-Jacques el levantamiento del cadáver de </w:t>
      </w:r>
      <w:r w:rsidR="00982431">
        <w:rPr>
          <w:szCs w:val="20"/>
          <w:lang w:val="es-VE"/>
        </w:rPr>
        <w:t>Frédo Guirant (o Guirand)</w:t>
      </w:r>
      <w:r w:rsidR="00CB66F8">
        <w:rPr>
          <w:szCs w:val="20"/>
          <w:lang w:val="es-VE"/>
        </w:rPr>
        <w:t>, a efectos de organizar sus funerales</w:t>
      </w:r>
      <w:r w:rsidR="00E174F7">
        <w:rPr>
          <w:rStyle w:val="FootnoteReference"/>
          <w:szCs w:val="20"/>
          <w:lang w:val="es-VE"/>
        </w:rPr>
        <w:footnoteReference w:id="8"/>
      </w:r>
      <w:r w:rsidR="00CB66F8">
        <w:rPr>
          <w:szCs w:val="20"/>
          <w:lang w:val="es-VE"/>
        </w:rPr>
        <w:t xml:space="preserve">. </w:t>
      </w:r>
      <w:r w:rsidR="0008509D">
        <w:rPr>
          <w:szCs w:val="20"/>
          <w:lang w:val="es-VE"/>
        </w:rPr>
        <w:t>Además, se acompañaron fotografías</w:t>
      </w:r>
      <w:r w:rsidR="0008509D">
        <w:rPr>
          <w:rStyle w:val="FootnoteReference"/>
          <w:szCs w:val="20"/>
          <w:lang w:val="es-VE"/>
        </w:rPr>
        <w:footnoteReference w:id="9"/>
      </w:r>
      <w:r w:rsidR="0008509D">
        <w:rPr>
          <w:szCs w:val="20"/>
          <w:lang w:val="es-VE"/>
        </w:rPr>
        <w:t xml:space="preserve"> y un video</w:t>
      </w:r>
      <w:r w:rsidR="0008509D">
        <w:rPr>
          <w:rStyle w:val="FootnoteReference"/>
          <w:szCs w:val="20"/>
          <w:lang w:val="es-VE"/>
        </w:rPr>
        <w:footnoteReference w:id="10"/>
      </w:r>
      <w:r w:rsidR="009F2714">
        <w:rPr>
          <w:szCs w:val="20"/>
          <w:lang w:val="es-VE"/>
        </w:rPr>
        <w:t xml:space="preserve"> que dan cuenta de</w:t>
      </w:r>
      <w:r w:rsidR="0008509D">
        <w:rPr>
          <w:szCs w:val="20"/>
          <w:lang w:val="es-VE"/>
        </w:rPr>
        <w:t>l</w:t>
      </w:r>
      <w:r w:rsidR="009F2714">
        <w:rPr>
          <w:szCs w:val="20"/>
          <w:lang w:val="es-VE"/>
        </w:rPr>
        <w:t xml:space="preserve"> </w:t>
      </w:r>
      <w:r w:rsidR="0008509D">
        <w:rPr>
          <w:szCs w:val="20"/>
          <w:lang w:val="es-VE"/>
        </w:rPr>
        <w:t>funeral.</w:t>
      </w:r>
    </w:p>
    <w:p w14:paraId="36A99AB3" w14:textId="77777777" w:rsidR="00AE0F33" w:rsidRPr="00AE0F33" w:rsidRDefault="00AE0F33" w:rsidP="00AE0F33">
      <w:pPr>
        <w:pStyle w:val="ListParagraph"/>
        <w:numPr>
          <w:ilvl w:val="0"/>
          <w:numId w:val="0"/>
        </w:numPr>
        <w:rPr>
          <w:rFonts w:asciiTheme="majorHAnsi" w:hAnsiTheme="majorHAnsi"/>
          <w:color w:val="auto"/>
          <w:szCs w:val="20"/>
          <w:lang w:val="es-ES_tradnl"/>
        </w:rPr>
      </w:pPr>
    </w:p>
    <w:p w14:paraId="23A09D38" w14:textId="77777777" w:rsidR="002202A0" w:rsidRPr="002E305A" w:rsidRDefault="00AE0F33" w:rsidP="002E305A">
      <w:pPr>
        <w:pStyle w:val="ListParagraph"/>
        <w:tabs>
          <w:tab w:val="left" w:pos="360"/>
          <w:tab w:val="left" w:pos="720"/>
        </w:tabs>
        <w:rPr>
          <w:rFonts w:asciiTheme="majorHAnsi" w:hAnsiTheme="majorHAnsi"/>
          <w:color w:val="auto"/>
          <w:szCs w:val="20"/>
          <w:lang w:val="es-ES_tradnl"/>
        </w:rPr>
      </w:pPr>
      <w:r>
        <w:rPr>
          <w:rFonts w:asciiTheme="majorHAnsi" w:hAnsiTheme="majorHAnsi"/>
          <w:color w:val="auto"/>
          <w:szCs w:val="20"/>
          <w:lang w:val="es-ES_tradnl"/>
        </w:rPr>
        <w:t>Consta también de documentos que obran en el expediente, que el 27 de febrero de 2007, Baptiste Willer</w:t>
      </w:r>
      <w:r w:rsidR="00F96300">
        <w:rPr>
          <w:rFonts w:asciiTheme="majorHAnsi" w:hAnsiTheme="majorHAnsi"/>
          <w:color w:val="auto"/>
          <w:szCs w:val="20"/>
          <w:lang w:val="es-ES_tradnl"/>
        </w:rPr>
        <w:t xml:space="preserve">, quien se </w:t>
      </w:r>
      <w:r w:rsidR="002E305A">
        <w:rPr>
          <w:rFonts w:asciiTheme="majorHAnsi" w:hAnsiTheme="majorHAnsi"/>
          <w:color w:val="auto"/>
          <w:szCs w:val="20"/>
          <w:lang w:val="es-ES_tradnl"/>
        </w:rPr>
        <w:t>identific</w:t>
      </w:r>
      <w:r w:rsidR="00F96300">
        <w:rPr>
          <w:rFonts w:asciiTheme="majorHAnsi" w:hAnsiTheme="majorHAnsi"/>
          <w:color w:val="auto"/>
          <w:szCs w:val="20"/>
          <w:lang w:val="es-ES_tradnl"/>
        </w:rPr>
        <w:t xml:space="preserve">a </w:t>
      </w:r>
      <w:r w:rsidR="002E305A">
        <w:rPr>
          <w:rFonts w:asciiTheme="majorHAnsi" w:hAnsiTheme="majorHAnsi"/>
          <w:color w:val="auto"/>
          <w:szCs w:val="20"/>
          <w:lang w:val="es-ES_tradnl"/>
        </w:rPr>
        <w:t xml:space="preserve">como orfebre, fotógrafo y realizador de videos, </w:t>
      </w:r>
      <w:r>
        <w:rPr>
          <w:rFonts w:asciiTheme="majorHAnsi" w:hAnsiTheme="majorHAnsi"/>
          <w:color w:val="auto"/>
          <w:szCs w:val="20"/>
          <w:lang w:val="es-ES_tradnl"/>
        </w:rPr>
        <w:t>remitió una carta al gabinete del Primer Ministro, al Ministro de Justicia y a la Secretaría de Estado de la Seguridad Pública</w:t>
      </w:r>
      <w:r w:rsidR="00952BB6">
        <w:rPr>
          <w:rFonts w:asciiTheme="majorHAnsi" w:hAnsiTheme="majorHAnsi"/>
          <w:color w:val="auto"/>
          <w:szCs w:val="20"/>
          <w:lang w:val="es-ES_tradnl"/>
        </w:rPr>
        <w:t xml:space="preserve"> de Haití</w:t>
      </w:r>
      <w:r>
        <w:rPr>
          <w:rFonts w:asciiTheme="majorHAnsi" w:hAnsiTheme="majorHAnsi"/>
          <w:color w:val="auto"/>
          <w:szCs w:val="20"/>
          <w:lang w:val="es-ES_tradnl"/>
        </w:rPr>
        <w:t xml:space="preserve">, </w:t>
      </w:r>
      <w:r w:rsidR="00F14B34">
        <w:rPr>
          <w:rFonts w:asciiTheme="majorHAnsi" w:hAnsiTheme="majorHAnsi"/>
          <w:color w:val="auto"/>
          <w:szCs w:val="20"/>
          <w:lang w:val="es-ES_tradnl"/>
        </w:rPr>
        <w:t xml:space="preserve">indicando que </w:t>
      </w:r>
      <w:r w:rsidR="00952BB6">
        <w:rPr>
          <w:rFonts w:asciiTheme="majorHAnsi" w:hAnsiTheme="majorHAnsi"/>
          <w:color w:val="auto"/>
          <w:szCs w:val="20"/>
          <w:lang w:val="es-ES_tradnl"/>
        </w:rPr>
        <w:t xml:space="preserve">su vida y la de su familia </w:t>
      </w:r>
      <w:r w:rsidR="00BA160D">
        <w:rPr>
          <w:rFonts w:asciiTheme="majorHAnsi" w:hAnsiTheme="majorHAnsi"/>
          <w:color w:val="auto"/>
          <w:szCs w:val="20"/>
          <w:lang w:val="es-ES_tradnl"/>
        </w:rPr>
        <w:t xml:space="preserve">corrían </w:t>
      </w:r>
      <w:r w:rsidR="00952BB6">
        <w:rPr>
          <w:rFonts w:asciiTheme="majorHAnsi" w:hAnsiTheme="majorHAnsi"/>
          <w:color w:val="auto"/>
          <w:szCs w:val="20"/>
          <w:lang w:val="es-ES_tradnl"/>
        </w:rPr>
        <w:t>peligro y solicitando expresamente “ayuda judicial” (</w:t>
      </w:r>
      <w:r w:rsidR="002202A0" w:rsidRPr="009F2714">
        <w:rPr>
          <w:rFonts w:asciiTheme="majorHAnsi" w:hAnsiTheme="majorHAnsi"/>
          <w:i/>
          <w:color w:val="auto"/>
          <w:szCs w:val="20"/>
          <w:lang w:val="es-ES_tradnl"/>
        </w:rPr>
        <w:t>“</w:t>
      </w:r>
      <w:r w:rsidR="00952BB6" w:rsidRPr="009F2714">
        <w:rPr>
          <w:rFonts w:asciiTheme="majorHAnsi" w:hAnsiTheme="majorHAnsi"/>
          <w:i/>
          <w:color w:val="auto"/>
          <w:szCs w:val="20"/>
          <w:lang w:val="es-ES_tradnl"/>
        </w:rPr>
        <w:t>aide Judiciaire</w:t>
      </w:r>
      <w:r w:rsidR="002202A0" w:rsidRPr="009F2714">
        <w:rPr>
          <w:rFonts w:asciiTheme="majorHAnsi" w:hAnsiTheme="majorHAnsi"/>
          <w:i/>
          <w:color w:val="auto"/>
          <w:szCs w:val="20"/>
          <w:lang w:val="es-ES_tradnl"/>
        </w:rPr>
        <w:t>”</w:t>
      </w:r>
      <w:r w:rsidR="00952BB6">
        <w:rPr>
          <w:rFonts w:asciiTheme="majorHAnsi" w:hAnsiTheme="majorHAnsi"/>
          <w:color w:val="auto"/>
          <w:szCs w:val="20"/>
          <w:lang w:val="es-ES_tradnl"/>
        </w:rPr>
        <w:t>)</w:t>
      </w:r>
      <w:r w:rsidR="00952BB6">
        <w:rPr>
          <w:rStyle w:val="FootnoteReference"/>
          <w:rFonts w:asciiTheme="majorHAnsi" w:hAnsiTheme="majorHAnsi"/>
          <w:color w:val="auto"/>
          <w:szCs w:val="20"/>
          <w:lang w:val="es-ES_tradnl"/>
        </w:rPr>
        <w:footnoteReference w:id="11"/>
      </w:r>
      <w:r w:rsidR="00952BB6">
        <w:rPr>
          <w:rFonts w:asciiTheme="majorHAnsi" w:hAnsiTheme="majorHAnsi"/>
          <w:color w:val="auto"/>
          <w:szCs w:val="20"/>
          <w:lang w:val="es-ES_tradnl"/>
        </w:rPr>
        <w:t xml:space="preserve">. En dicha carta, el peticionario </w:t>
      </w:r>
      <w:r>
        <w:rPr>
          <w:rFonts w:asciiTheme="majorHAnsi" w:hAnsiTheme="majorHAnsi"/>
          <w:color w:val="auto"/>
          <w:szCs w:val="20"/>
          <w:lang w:val="es-ES_tradnl"/>
        </w:rPr>
        <w:t xml:space="preserve">refirió en detalle los hechos </w:t>
      </w:r>
      <w:r w:rsidR="00BF2F79">
        <w:rPr>
          <w:rFonts w:asciiTheme="majorHAnsi" w:hAnsiTheme="majorHAnsi"/>
          <w:color w:val="auto"/>
          <w:szCs w:val="20"/>
          <w:lang w:val="es-ES_tradnl"/>
        </w:rPr>
        <w:t>ocurridos el 4 de febrero de 2007</w:t>
      </w:r>
      <w:r w:rsidR="001A0C24">
        <w:rPr>
          <w:rFonts w:asciiTheme="majorHAnsi" w:hAnsiTheme="majorHAnsi"/>
          <w:color w:val="auto"/>
          <w:szCs w:val="20"/>
          <w:lang w:val="es-ES_tradnl"/>
        </w:rPr>
        <w:t>;</w:t>
      </w:r>
      <w:r w:rsidR="00F14B34">
        <w:rPr>
          <w:rFonts w:asciiTheme="majorHAnsi" w:hAnsiTheme="majorHAnsi"/>
          <w:color w:val="auto"/>
          <w:szCs w:val="20"/>
          <w:lang w:val="es-ES_tradnl"/>
        </w:rPr>
        <w:t xml:space="preserve"> </w:t>
      </w:r>
      <w:r w:rsidR="0065504C">
        <w:rPr>
          <w:rFonts w:asciiTheme="majorHAnsi" w:hAnsiTheme="majorHAnsi"/>
          <w:color w:val="auto"/>
          <w:szCs w:val="20"/>
          <w:lang w:val="es-ES_tradnl"/>
        </w:rPr>
        <w:t>indicó que había debido abandonar su residencia por motivos de seguridad</w:t>
      </w:r>
      <w:r w:rsidR="001A0C24">
        <w:rPr>
          <w:rFonts w:asciiTheme="majorHAnsi" w:hAnsiTheme="majorHAnsi"/>
          <w:color w:val="auto"/>
          <w:szCs w:val="20"/>
          <w:lang w:val="es-ES_tradnl"/>
        </w:rPr>
        <w:t>;</w:t>
      </w:r>
      <w:r w:rsidR="0065504C">
        <w:rPr>
          <w:rFonts w:asciiTheme="majorHAnsi" w:hAnsiTheme="majorHAnsi"/>
          <w:color w:val="auto"/>
          <w:szCs w:val="20"/>
          <w:lang w:val="es-ES_tradnl"/>
        </w:rPr>
        <w:t xml:space="preserve"> </w:t>
      </w:r>
      <w:r w:rsidR="00C3709E">
        <w:rPr>
          <w:rFonts w:asciiTheme="majorHAnsi" w:hAnsiTheme="majorHAnsi"/>
          <w:color w:val="auto"/>
          <w:szCs w:val="20"/>
          <w:lang w:val="es-ES_tradnl"/>
        </w:rPr>
        <w:t>aport</w:t>
      </w:r>
      <w:r w:rsidR="00D23AD2">
        <w:rPr>
          <w:rFonts w:asciiTheme="majorHAnsi" w:hAnsiTheme="majorHAnsi"/>
          <w:color w:val="auto"/>
          <w:szCs w:val="20"/>
          <w:lang w:val="es-ES_tradnl"/>
        </w:rPr>
        <w:t>ó</w:t>
      </w:r>
      <w:r w:rsidR="00C3709E">
        <w:rPr>
          <w:rFonts w:asciiTheme="majorHAnsi" w:hAnsiTheme="majorHAnsi"/>
          <w:color w:val="auto"/>
          <w:szCs w:val="20"/>
          <w:lang w:val="es-ES_tradnl"/>
        </w:rPr>
        <w:t xml:space="preserve"> información sobre </w:t>
      </w:r>
      <w:r w:rsidR="00F14B34">
        <w:rPr>
          <w:rFonts w:asciiTheme="majorHAnsi" w:hAnsiTheme="majorHAnsi"/>
          <w:color w:val="auto"/>
          <w:szCs w:val="20"/>
          <w:lang w:val="es-ES_tradnl"/>
        </w:rPr>
        <w:t>los nombres de los sospechosos</w:t>
      </w:r>
      <w:r w:rsidR="001A0C24">
        <w:rPr>
          <w:rFonts w:asciiTheme="majorHAnsi" w:hAnsiTheme="majorHAnsi"/>
          <w:color w:val="auto"/>
          <w:szCs w:val="20"/>
          <w:lang w:val="es-ES_tradnl"/>
        </w:rPr>
        <w:t>;</w:t>
      </w:r>
      <w:r w:rsidR="00C3709E">
        <w:rPr>
          <w:rFonts w:asciiTheme="majorHAnsi" w:hAnsiTheme="majorHAnsi"/>
          <w:color w:val="auto"/>
          <w:szCs w:val="20"/>
          <w:lang w:val="es-ES_tradnl"/>
        </w:rPr>
        <w:t xml:space="preserve"> detall</w:t>
      </w:r>
      <w:r w:rsidR="00D23AD2">
        <w:rPr>
          <w:rFonts w:asciiTheme="majorHAnsi" w:hAnsiTheme="majorHAnsi"/>
          <w:color w:val="auto"/>
          <w:szCs w:val="20"/>
          <w:lang w:val="es-ES_tradnl"/>
        </w:rPr>
        <w:t>ó</w:t>
      </w:r>
      <w:r w:rsidR="00C3709E">
        <w:rPr>
          <w:rFonts w:asciiTheme="majorHAnsi" w:hAnsiTheme="majorHAnsi"/>
          <w:color w:val="auto"/>
          <w:szCs w:val="20"/>
          <w:lang w:val="es-ES_tradnl"/>
        </w:rPr>
        <w:t xml:space="preserve"> </w:t>
      </w:r>
      <w:r w:rsidR="00BF2F79">
        <w:rPr>
          <w:rFonts w:asciiTheme="majorHAnsi" w:hAnsiTheme="majorHAnsi"/>
          <w:color w:val="auto"/>
          <w:szCs w:val="20"/>
          <w:lang w:val="es-ES_tradnl"/>
        </w:rPr>
        <w:t xml:space="preserve">otras </w:t>
      </w:r>
      <w:r w:rsidR="00C3709E">
        <w:rPr>
          <w:rFonts w:asciiTheme="majorHAnsi" w:hAnsiTheme="majorHAnsi"/>
          <w:color w:val="auto"/>
          <w:szCs w:val="20"/>
          <w:lang w:val="es-ES_tradnl"/>
        </w:rPr>
        <w:t xml:space="preserve">instancias en las que sujetos relacionados </w:t>
      </w:r>
      <w:r w:rsidR="009F2714">
        <w:rPr>
          <w:rFonts w:asciiTheme="majorHAnsi" w:hAnsiTheme="majorHAnsi"/>
          <w:color w:val="auto"/>
          <w:szCs w:val="20"/>
          <w:lang w:val="es-ES_tradnl"/>
        </w:rPr>
        <w:t xml:space="preserve">con </w:t>
      </w:r>
      <w:r w:rsidR="005A473A">
        <w:rPr>
          <w:rFonts w:asciiTheme="majorHAnsi" w:hAnsiTheme="majorHAnsi"/>
          <w:color w:val="auto"/>
          <w:szCs w:val="20"/>
          <w:lang w:val="es-ES_tradnl"/>
        </w:rPr>
        <w:t xml:space="preserve">los agresores </w:t>
      </w:r>
      <w:r w:rsidR="00C3709E">
        <w:rPr>
          <w:rFonts w:asciiTheme="majorHAnsi" w:hAnsiTheme="majorHAnsi"/>
          <w:color w:val="auto"/>
          <w:szCs w:val="20"/>
          <w:lang w:val="es-ES_tradnl"/>
        </w:rPr>
        <w:t>lo espiaban</w:t>
      </w:r>
      <w:r w:rsidR="002E305A">
        <w:rPr>
          <w:rFonts w:asciiTheme="majorHAnsi" w:hAnsiTheme="majorHAnsi"/>
          <w:color w:val="auto"/>
          <w:szCs w:val="20"/>
          <w:lang w:val="es-ES_tradnl"/>
        </w:rPr>
        <w:t xml:space="preserve"> en su negocio</w:t>
      </w:r>
      <w:r w:rsidR="00C3709E">
        <w:rPr>
          <w:rFonts w:asciiTheme="majorHAnsi" w:hAnsiTheme="majorHAnsi"/>
          <w:color w:val="auto"/>
          <w:szCs w:val="20"/>
          <w:lang w:val="es-ES_tradnl"/>
        </w:rPr>
        <w:t xml:space="preserve"> </w:t>
      </w:r>
      <w:r w:rsidR="00F14B34">
        <w:rPr>
          <w:rFonts w:asciiTheme="majorHAnsi" w:hAnsiTheme="majorHAnsi"/>
          <w:color w:val="auto"/>
          <w:szCs w:val="20"/>
          <w:lang w:val="es-ES_tradnl"/>
        </w:rPr>
        <w:t xml:space="preserve">y </w:t>
      </w:r>
      <w:r w:rsidR="00C3709E">
        <w:rPr>
          <w:rFonts w:asciiTheme="majorHAnsi" w:hAnsiTheme="majorHAnsi"/>
          <w:color w:val="auto"/>
          <w:szCs w:val="20"/>
          <w:lang w:val="es-ES_tradnl"/>
        </w:rPr>
        <w:t>la forma en la que se realizaban las amenazas</w:t>
      </w:r>
      <w:r w:rsidR="001A0C24">
        <w:rPr>
          <w:rFonts w:asciiTheme="majorHAnsi" w:hAnsiTheme="majorHAnsi"/>
          <w:color w:val="auto"/>
          <w:szCs w:val="20"/>
          <w:lang w:val="es-ES_tradnl"/>
        </w:rPr>
        <w:t>;</w:t>
      </w:r>
      <w:r w:rsidR="00BF2F79">
        <w:rPr>
          <w:rFonts w:asciiTheme="majorHAnsi" w:hAnsiTheme="majorHAnsi"/>
          <w:color w:val="auto"/>
          <w:szCs w:val="20"/>
          <w:lang w:val="es-ES_tradnl"/>
        </w:rPr>
        <w:t xml:space="preserve"> </w:t>
      </w:r>
      <w:r w:rsidR="001A0C24">
        <w:rPr>
          <w:rFonts w:asciiTheme="majorHAnsi" w:hAnsiTheme="majorHAnsi"/>
          <w:color w:val="auto"/>
          <w:szCs w:val="20"/>
          <w:lang w:val="es-ES_tradnl"/>
        </w:rPr>
        <w:t xml:space="preserve">y </w:t>
      </w:r>
      <w:r w:rsidR="0053572B">
        <w:rPr>
          <w:rFonts w:asciiTheme="majorHAnsi" w:hAnsiTheme="majorHAnsi"/>
          <w:color w:val="auto"/>
          <w:szCs w:val="20"/>
          <w:lang w:val="es-ES_tradnl"/>
        </w:rPr>
        <w:t>ofreci</w:t>
      </w:r>
      <w:r w:rsidR="001A0C24">
        <w:rPr>
          <w:rFonts w:asciiTheme="majorHAnsi" w:hAnsiTheme="majorHAnsi"/>
          <w:color w:val="auto"/>
          <w:szCs w:val="20"/>
          <w:lang w:val="es-ES_tradnl"/>
        </w:rPr>
        <w:t>ó</w:t>
      </w:r>
      <w:r w:rsidR="009F2714">
        <w:rPr>
          <w:rFonts w:asciiTheme="majorHAnsi" w:hAnsiTheme="majorHAnsi"/>
          <w:color w:val="auto"/>
          <w:szCs w:val="20"/>
          <w:lang w:val="es-ES_tradnl"/>
        </w:rPr>
        <w:t xml:space="preserve"> </w:t>
      </w:r>
      <w:r w:rsidR="00BF2F79">
        <w:rPr>
          <w:rFonts w:asciiTheme="majorHAnsi" w:hAnsiTheme="majorHAnsi"/>
          <w:color w:val="auto"/>
          <w:szCs w:val="20"/>
          <w:lang w:val="es-ES_tradnl"/>
        </w:rPr>
        <w:t>aporta</w:t>
      </w:r>
      <w:r w:rsidR="0053572B">
        <w:rPr>
          <w:rFonts w:asciiTheme="majorHAnsi" w:hAnsiTheme="majorHAnsi"/>
          <w:color w:val="auto"/>
          <w:szCs w:val="20"/>
          <w:lang w:val="es-ES_tradnl"/>
        </w:rPr>
        <w:t>r</w:t>
      </w:r>
      <w:r w:rsidR="00BF2F79" w:rsidRPr="00BF2F79">
        <w:rPr>
          <w:rFonts w:asciiTheme="majorHAnsi" w:hAnsiTheme="majorHAnsi"/>
          <w:color w:val="auto"/>
          <w:szCs w:val="20"/>
          <w:lang w:val="es-ES_tradnl"/>
        </w:rPr>
        <w:t xml:space="preserve"> </w:t>
      </w:r>
      <w:r w:rsidR="00BF2F79">
        <w:rPr>
          <w:rFonts w:asciiTheme="majorHAnsi" w:hAnsiTheme="majorHAnsi"/>
          <w:color w:val="auto"/>
          <w:szCs w:val="20"/>
          <w:lang w:val="es-ES_tradnl"/>
        </w:rPr>
        <w:t>fotografías de uno de los espías que</w:t>
      </w:r>
      <w:r w:rsidR="00D23AD2">
        <w:rPr>
          <w:rFonts w:asciiTheme="majorHAnsi" w:hAnsiTheme="majorHAnsi"/>
          <w:color w:val="auto"/>
          <w:szCs w:val="20"/>
          <w:lang w:val="es-ES_tradnl"/>
        </w:rPr>
        <w:t>, alega,</w:t>
      </w:r>
      <w:r w:rsidR="00BF2F79">
        <w:rPr>
          <w:rFonts w:asciiTheme="majorHAnsi" w:hAnsiTheme="majorHAnsi"/>
          <w:color w:val="auto"/>
          <w:szCs w:val="20"/>
          <w:lang w:val="es-ES_tradnl"/>
        </w:rPr>
        <w:t xml:space="preserve"> concurrió al </w:t>
      </w:r>
      <w:r w:rsidR="00BF2F79">
        <w:rPr>
          <w:rFonts w:asciiTheme="majorHAnsi" w:hAnsiTheme="majorHAnsi"/>
          <w:color w:val="auto"/>
          <w:szCs w:val="20"/>
          <w:lang w:val="es-ES_tradnl"/>
        </w:rPr>
        <w:lastRenderedPageBreak/>
        <w:t>funeral de su hermano</w:t>
      </w:r>
      <w:r w:rsidR="00BF2F79">
        <w:rPr>
          <w:rStyle w:val="FootnoteReference"/>
          <w:rFonts w:asciiTheme="majorHAnsi" w:hAnsiTheme="majorHAnsi"/>
          <w:color w:val="auto"/>
          <w:szCs w:val="20"/>
          <w:lang w:val="es-ES_tradnl"/>
        </w:rPr>
        <w:footnoteReference w:id="12"/>
      </w:r>
      <w:r w:rsidR="00BF2F79">
        <w:rPr>
          <w:rFonts w:asciiTheme="majorHAnsi" w:hAnsiTheme="majorHAnsi"/>
          <w:color w:val="auto"/>
          <w:szCs w:val="20"/>
          <w:lang w:val="es-ES_tradnl"/>
        </w:rPr>
        <w:t xml:space="preserve">. También indicó que el caso ya se encontraba registrado en la </w:t>
      </w:r>
      <w:r w:rsidR="009F2714" w:rsidRPr="009F2714">
        <w:rPr>
          <w:rFonts w:asciiTheme="majorHAnsi" w:hAnsiTheme="majorHAnsi"/>
          <w:i/>
          <w:szCs w:val="20"/>
          <w:lang w:val="es-ES"/>
        </w:rPr>
        <w:t>Réseau National de Défense des Droits Humains</w:t>
      </w:r>
      <w:r w:rsidR="009F2714">
        <w:rPr>
          <w:rFonts w:asciiTheme="majorHAnsi" w:hAnsiTheme="majorHAnsi"/>
          <w:color w:val="auto"/>
          <w:szCs w:val="20"/>
          <w:lang w:val="es-ES_tradnl"/>
        </w:rPr>
        <w:t xml:space="preserve"> (</w:t>
      </w:r>
      <w:r w:rsidR="00BF2F79">
        <w:rPr>
          <w:rFonts w:asciiTheme="majorHAnsi" w:hAnsiTheme="majorHAnsi"/>
          <w:color w:val="auto"/>
          <w:szCs w:val="20"/>
          <w:lang w:val="es-ES_tradnl"/>
        </w:rPr>
        <w:t>R.N.D.D.H.</w:t>
      </w:r>
      <w:r w:rsidR="009F2714">
        <w:rPr>
          <w:rFonts w:asciiTheme="majorHAnsi" w:hAnsiTheme="majorHAnsi"/>
          <w:color w:val="auto"/>
          <w:szCs w:val="20"/>
          <w:lang w:val="es-ES_tradnl"/>
        </w:rPr>
        <w:t>)</w:t>
      </w:r>
      <w:r w:rsidR="00C3709E">
        <w:rPr>
          <w:rFonts w:asciiTheme="majorHAnsi" w:hAnsiTheme="majorHAnsi"/>
          <w:color w:val="auto"/>
          <w:szCs w:val="20"/>
          <w:lang w:val="es-ES_tradnl"/>
        </w:rPr>
        <w:t xml:space="preserve"> y</w:t>
      </w:r>
      <w:r w:rsidR="00BF2F79">
        <w:rPr>
          <w:rFonts w:asciiTheme="majorHAnsi" w:hAnsiTheme="majorHAnsi"/>
          <w:color w:val="auto"/>
          <w:szCs w:val="20"/>
          <w:lang w:val="es-ES_tradnl"/>
        </w:rPr>
        <w:t xml:space="preserve"> ofreció aportar </w:t>
      </w:r>
      <w:r w:rsidR="00C3709E">
        <w:rPr>
          <w:rFonts w:asciiTheme="majorHAnsi" w:hAnsiTheme="majorHAnsi"/>
          <w:color w:val="auto"/>
          <w:szCs w:val="20"/>
          <w:lang w:val="es-ES_tradnl"/>
        </w:rPr>
        <w:t xml:space="preserve">mayor documentación </w:t>
      </w:r>
      <w:r w:rsidR="00F96300">
        <w:rPr>
          <w:rFonts w:asciiTheme="majorHAnsi" w:hAnsiTheme="majorHAnsi"/>
          <w:color w:val="auto"/>
          <w:szCs w:val="20"/>
          <w:lang w:val="es-ES_tradnl"/>
        </w:rPr>
        <w:t xml:space="preserve">e información </w:t>
      </w:r>
      <w:r w:rsidR="00C3709E">
        <w:rPr>
          <w:rFonts w:asciiTheme="majorHAnsi" w:hAnsiTheme="majorHAnsi"/>
          <w:color w:val="auto"/>
          <w:szCs w:val="20"/>
          <w:lang w:val="es-ES_tradnl"/>
        </w:rPr>
        <w:t>en apoyo de sus alegaciones</w:t>
      </w:r>
      <w:r w:rsidR="004927F2">
        <w:rPr>
          <w:rStyle w:val="FootnoteReference"/>
          <w:rFonts w:asciiTheme="majorHAnsi" w:hAnsiTheme="majorHAnsi"/>
          <w:color w:val="auto"/>
          <w:szCs w:val="20"/>
          <w:lang w:val="es-ES_tradnl"/>
        </w:rPr>
        <w:footnoteReference w:id="13"/>
      </w:r>
      <w:r w:rsidR="00C3709E">
        <w:rPr>
          <w:rFonts w:asciiTheme="majorHAnsi" w:hAnsiTheme="majorHAnsi"/>
          <w:color w:val="auto"/>
          <w:szCs w:val="20"/>
          <w:lang w:val="es-ES_tradnl"/>
        </w:rPr>
        <w:t xml:space="preserve">. </w:t>
      </w:r>
      <w:r w:rsidR="00646F40">
        <w:rPr>
          <w:rFonts w:asciiTheme="majorHAnsi" w:hAnsiTheme="majorHAnsi"/>
          <w:color w:val="auto"/>
          <w:szCs w:val="20"/>
          <w:lang w:val="es-ES_tradnl"/>
        </w:rPr>
        <w:t xml:space="preserve">En tal escrito, Baptiste Willer mencionó también que </w:t>
      </w:r>
      <w:r w:rsidR="002E305A">
        <w:rPr>
          <w:rFonts w:asciiTheme="majorHAnsi" w:hAnsiTheme="majorHAnsi"/>
          <w:color w:val="auto"/>
          <w:szCs w:val="20"/>
          <w:lang w:val="es-ES_tradnl"/>
        </w:rPr>
        <w:t>tales agresiones tenían relación con su negativa a involucrarse en actividades de un grupo delictivo que operaba en la zona, cuyos integrantes fueron identificados en la propia comunicación</w:t>
      </w:r>
      <w:r w:rsidR="002E305A" w:rsidRPr="002E305A">
        <w:rPr>
          <w:rStyle w:val="FootnoteReference"/>
          <w:rFonts w:asciiTheme="majorHAnsi" w:hAnsiTheme="majorHAnsi"/>
          <w:color w:val="auto"/>
          <w:szCs w:val="20"/>
          <w:lang w:val="es-ES_tradnl"/>
        </w:rPr>
        <w:t xml:space="preserve"> </w:t>
      </w:r>
      <w:r w:rsidR="002E305A">
        <w:rPr>
          <w:rStyle w:val="FootnoteReference"/>
          <w:rFonts w:asciiTheme="majorHAnsi" w:hAnsiTheme="majorHAnsi"/>
          <w:color w:val="auto"/>
          <w:szCs w:val="20"/>
          <w:lang w:val="es-ES_tradnl"/>
        </w:rPr>
        <w:footnoteReference w:id="14"/>
      </w:r>
      <w:r w:rsidR="002E305A" w:rsidRPr="002E305A">
        <w:rPr>
          <w:rFonts w:asciiTheme="majorHAnsi" w:hAnsiTheme="majorHAnsi"/>
          <w:color w:val="auto"/>
          <w:szCs w:val="20"/>
          <w:lang w:val="es-ES_tradnl"/>
        </w:rPr>
        <w:t>.</w:t>
      </w:r>
    </w:p>
    <w:p w14:paraId="63BC3F2A" w14:textId="77777777" w:rsidR="002E305A" w:rsidRDefault="002E305A" w:rsidP="002E305A">
      <w:pPr>
        <w:pStyle w:val="ListParagraph"/>
        <w:numPr>
          <w:ilvl w:val="0"/>
          <w:numId w:val="0"/>
        </w:numPr>
        <w:tabs>
          <w:tab w:val="left" w:pos="360"/>
          <w:tab w:val="left" w:pos="720"/>
        </w:tabs>
        <w:rPr>
          <w:rFonts w:asciiTheme="majorHAnsi" w:hAnsiTheme="majorHAnsi"/>
          <w:color w:val="auto"/>
          <w:szCs w:val="20"/>
          <w:lang w:val="es-ES_tradnl"/>
        </w:rPr>
      </w:pPr>
    </w:p>
    <w:p w14:paraId="47D01595" w14:textId="77777777" w:rsidR="0053572B" w:rsidRDefault="0053572B" w:rsidP="003B184A">
      <w:pPr>
        <w:pStyle w:val="ListParagraph"/>
        <w:tabs>
          <w:tab w:val="left" w:pos="360"/>
          <w:tab w:val="left" w:pos="720"/>
        </w:tabs>
        <w:rPr>
          <w:rFonts w:asciiTheme="majorHAnsi" w:hAnsiTheme="majorHAnsi"/>
          <w:color w:val="auto"/>
          <w:szCs w:val="20"/>
          <w:lang w:val="es-ES_tradnl"/>
        </w:rPr>
      </w:pPr>
      <w:r w:rsidRPr="003B184A">
        <w:rPr>
          <w:rFonts w:asciiTheme="majorHAnsi" w:hAnsiTheme="majorHAnsi"/>
          <w:color w:val="auto"/>
          <w:szCs w:val="20"/>
          <w:lang w:val="es-ES_tradnl"/>
        </w:rPr>
        <w:t>De las divers</w:t>
      </w:r>
      <w:r w:rsidR="00914BEB">
        <w:rPr>
          <w:rFonts w:asciiTheme="majorHAnsi" w:hAnsiTheme="majorHAnsi"/>
          <w:color w:val="auto"/>
          <w:szCs w:val="20"/>
          <w:lang w:val="es-ES_tradnl"/>
        </w:rPr>
        <w:t xml:space="preserve">as comunicaciones enviadas por </w:t>
      </w:r>
      <w:r w:rsidRPr="003B184A">
        <w:rPr>
          <w:rFonts w:asciiTheme="majorHAnsi" w:hAnsiTheme="majorHAnsi"/>
          <w:color w:val="auto"/>
          <w:szCs w:val="20"/>
          <w:lang w:val="es-ES_tradnl"/>
        </w:rPr>
        <w:t>l</w:t>
      </w:r>
      <w:r w:rsidR="00914BEB">
        <w:rPr>
          <w:rFonts w:asciiTheme="majorHAnsi" w:hAnsiTheme="majorHAnsi"/>
          <w:color w:val="auto"/>
          <w:szCs w:val="20"/>
          <w:lang w:val="es-ES_tradnl"/>
        </w:rPr>
        <w:t>a parte peticionaria</w:t>
      </w:r>
      <w:r w:rsidRPr="003B184A">
        <w:rPr>
          <w:rFonts w:asciiTheme="majorHAnsi" w:hAnsiTheme="majorHAnsi"/>
          <w:color w:val="auto"/>
          <w:szCs w:val="20"/>
          <w:lang w:val="es-ES_tradnl"/>
        </w:rPr>
        <w:t xml:space="preserve"> a la Comisión, consta que éste presentó su caso ante la R.N.D.D.H.</w:t>
      </w:r>
      <w:r w:rsidR="00167601">
        <w:rPr>
          <w:rFonts w:asciiTheme="majorHAnsi" w:hAnsiTheme="majorHAnsi"/>
          <w:color w:val="auto"/>
          <w:szCs w:val="20"/>
          <w:lang w:val="es-ES_tradnl"/>
        </w:rPr>
        <w:t xml:space="preserve"> y que éstos </w:t>
      </w:r>
      <w:r>
        <w:rPr>
          <w:rFonts w:asciiTheme="majorHAnsi" w:hAnsiTheme="majorHAnsi"/>
          <w:szCs w:val="20"/>
          <w:lang w:val="es-ES"/>
        </w:rPr>
        <w:t xml:space="preserve">inicialmente </w:t>
      </w:r>
      <w:r w:rsidRPr="003B184A">
        <w:rPr>
          <w:rFonts w:asciiTheme="majorHAnsi" w:hAnsiTheme="majorHAnsi"/>
          <w:szCs w:val="20"/>
          <w:lang w:val="es-ES"/>
        </w:rPr>
        <w:t>le prestaron asistencia e información</w:t>
      </w:r>
      <w:r>
        <w:rPr>
          <w:rStyle w:val="FootnoteReference"/>
          <w:rFonts w:asciiTheme="majorHAnsi" w:hAnsiTheme="majorHAnsi"/>
          <w:szCs w:val="20"/>
          <w:lang w:val="es-ES"/>
        </w:rPr>
        <w:footnoteReference w:id="15"/>
      </w:r>
      <w:r>
        <w:rPr>
          <w:rFonts w:asciiTheme="majorHAnsi" w:hAnsiTheme="majorHAnsi"/>
          <w:szCs w:val="20"/>
          <w:lang w:val="es-ES"/>
        </w:rPr>
        <w:t>. En particular, el peticionario in</w:t>
      </w:r>
      <w:r w:rsidR="009F2714">
        <w:rPr>
          <w:rFonts w:asciiTheme="majorHAnsi" w:hAnsiTheme="majorHAnsi"/>
          <w:szCs w:val="20"/>
          <w:lang w:val="es-ES"/>
        </w:rPr>
        <w:t>dicó que el 28 de marzo de 2007</w:t>
      </w:r>
      <w:r>
        <w:rPr>
          <w:rFonts w:asciiTheme="majorHAnsi" w:hAnsiTheme="majorHAnsi"/>
          <w:szCs w:val="20"/>
          <w:lang w:val="es-ES"/>
        </w:rPr>
        <w:t xml:space="preserve"> un funcionario de la R.N</w:t>
      </w:r>
      <w:r w:rsidR="00167601">
        <w:rPr>
          <w:rFonts w:asciiTheme="majorHAnsi" w:hAnsiTheme="majorHAnsi"/>
          <w:szCs w:val="20"/>
          <w:lang w:val="es-ES"/>
        </w:rPr>
        <w:t>.D.D.H., Darfus Richard, le info</w:t>
      </w:r>
      <w:r>
        <w:rPr>
          <w:rFonts w:asciiTheme="majorHAnsi" w:hAnsiTheme="majorHAnsi"/>
          <w:szCs w:val="20"/>
          <w:lang w:val="es-ES"/>
        </w:rPr>
        <w:t>rmó que se había encontrado el cuerpo de un sujeto asesinado</w:t>
      </w:r>
      <w:r w:rsidR="00167CA8">
        <w:rPr>
          <w:rFonts w:asciiTheme="majorHAnsi" w:hAnsiTheme="majorHAnsi"/>
          <w:szCs w:val="20"/>
          <w:lang w:val="es-ES"/>
        </w:rPr>
        <w:t xml:space="preserve">, </w:t>
      </w:r>
      <w:r>
        <w:rPr>
          <w:rFonts w:asciiTheme="majorHAnsi" w:hAnsiTheme="majorHAnsi"/>
          <w:szCs w:val="20"/>
          <w:lang w:val="es-ES"/>
        </w:rPr>
        <w:t>qu</w:t>
      </w:r>
      <w:r w:rsidR="00167CA8">
        <w:rPr>
          <w:rFonts w:asciiTheme="majorHAnsi" w:hAnsiTheme="majorHAnsi"/>
          <w:szCs w:val="20"/>
          <w:lang w:val="es-ES"/>
        </w:rPr>
        <w:t>ien tenía e</w:t>
      </w:r>
      <w:r>
        <w:rPr>
          <w:rFonts w:asciiTheme="majorHAnsi" w:hAnsiTheme="majorHAnsi"/>
          <w:szCs w:val="20"/>
          <w:lang w:val="es-ES"/>
        </w:rPr>
        <w:t>l mismo nombre del peticionario y con quien compartía semejanzas físicas</w:t>
      </w:r>
      <w:r w:rsidR="00167CA8">
        <w:rPr>
          <w:rStyle w:val="FootnoteReference"/>
          <w:rFonts w:asciiTheme="majorHAnsi" w:hAnsiTheme="majorHAnsi"/>
          <w:szCs w:val="20"/>
          <w:lang w:val="es-ES"/>
        </w:rPr>
        <w:footnoteReference w:id="16"/>
      </w:r>
      <w:r>
        <w:rPr>
          <w:rFonts w:asciiTheme="majorHAnsi" w:hAnsiTheme="majorHAnsi"/>
          <w:szCs w:val="20"/>
          <w:lang w:val="es-ES"/>
        </w:rPr>
        <w:t>.</w:t>
      </w:r>
    </w:p>
    <w:p w14:paraId="14D8E17A" w14:textId="77777777" w:rsidR="0053572B" w:rsidRDefault="0053572B" w:rsidP="0053572B">
      <w:pPr>
        <w:pStyle w:val="ListParagraph"/>
        <w:numPr>
          <w:ilvl w:val="0"/>
          <w:numId w:val="0"/>
        </w:numPr>
        <w:tabs>
          <w:tab w:val="left" w:pos="360"/>
          <w:tab w:val="left" w:pos="720"/>
        </w:tabs>
        <w:rPr>
          <w:rFonts w:asciiTheme="majorHAnsi" w:hAnsiTheme="majorHAnsi"/>
          <w:color w:val="auto"/>
          <w:szCs w:val="20"/>
          <w:lang w:val="es-ES_tradnl"/>
        </w:rPr>
      </w:pPr>
    </w:p>
    <w:p w14:paraId="5F4ED1D2" w14:textId="77777777" w:rsidR="003B184A" w:rsidRDefault="00C3709E" w:rsidP="003B184A">
      <w:pPr>
        <w:pStyle w:val="ListParagraph"/>
        <w:tabs>
          <w:tab w:val="left" w:pos="360"/>
          <w:tab w:val="left" w:pos="720"/>
        </w:tabs>
        <w:rPr>
          <w:rFonts w:asciiTheme="majorHAnsi" w:hAnsiTheme="majorHAnsi"/>
          <w:color w:val="auto"/>
          <w:szCs w:val="20"/>
          <w:lang w:val="es-ES_tradnl"/>
        </w:rPr>
      </w:pPr>
      <w:r>
        <w:rPr>
          <w:rFonts w:asciiTheme="majorHAnsi" w:hAnsiTheme="majorHAnsi"/>
          <w:color w:val="auto"/>
          <w:szCs w:val="20"/>
          <w:lang w:val="es-ES_tradnl"/>
        </w:rPr>
        <w:t xml:space="preserve">El Estado no controvirtió </w:t>
      </w:r>
      <w:r w:rsidR="004927F2">
        <w:rPr>
          <w:rFonts w:asciiTheme="majorHAnsi" w:hAnsiTheme="majorHAnsi"/>
          <w:color w:val="auto"/>
          <w:szCs w:val="20"/>
          <w:lang w:val="es-ES_tradnl"/>
        </w:rPr>
        <w:t xml:space="preserve">tales alegaciones ni aportó información alguna relativa a posibles investigaciones </w:t>
      </w:r>
      <w:r w:rsidR="009F2714">
        <w:rPr>
          <w:rFonts w:asciiTheme="majorHAnsi" w:hAnsiTheme="majorHAnsi"/>
          <w:color w:val="auto"/>
          <w:szCs w:val="20"/>
          <w:lang w:val="es-ES_tradnl"/>
        </w:rPr>
        <w:t xml:space="preserve">o acciones de protección </w:t>
      </w:r>
      <w:r w:rsidR="004927F2">
        <w:rPr>
          <w:rFonts w:asciiTheme="majorHAnsi" w:hAnsiTheme="majorHAnsi"/>
          <w:color w:val="auto"/>
          <w:szCs w:val="20"/>
          <w:lang w:val="es-ES_tradnl"/>
        </w:rPr>
        <w:t xml:space="preserve">que se hubieran </w:t>
      </w:r>
      <w:r w:rsidR="00167601">
        <w:rPr>
          <w:rFonts w:asciiTheme="majorHAnsi" w:hAnsiTheme="majorHAnsi"/>
          <w:color w:val="auto"/>
          <w:szCs w:val="20"/>
          <w:lang w:val="es-ES_tradnl"/>
        </w:rPr>
        <w:t xml:space="preserve">implementado </w:t>
      </w:r>
      <w:r w:rsidR="004927F2">
        <w:rPr>
          <w:rFonts w:asciiTheme="majorHAnsi" w:hAnsiTheme="majorHAnsi"/>
          <w:color w:val="auto"/>
          <w:szCs w:val="20"/>
          <w:lang w:val="es-ES_tradnl"/>
        </w:rPr>
        <w:t xml:space="preserve">a partir de </w:t>
      </w:r>
      <w:r w:rsidR="0053572B">
        <w:rPr>
          <w:rFonts w:asciiTheme="majorHAnsi" w:hAnsiTheme="majorHAnsi"/>
          <w:color w:val="auto"/>
          <w:szCs w:val="20"/>
          <w:lang w:val="es-ES_tradnl"/>
        </w:rPr>
        <w:t>la</w:t>
      </w:r>
      <w:r w:rsidR="004927F2">
        <w:rPr>
          <w:rFonts w:asciiTheme="majorHAnsi" w:hAnsiTheme="majorHAnsi"/>
          <w:color w:val="auto"/>
          <w:szCs w:val="20"/>
          <w:lang w:val="es-ES_tradnl"/>
        </w:rPr>
        <w:t xml:space="preserve"> denuncia</w:t>
      </w:r>
      <w:r w:rsidR="0053572B">
        <w:rPr>
          <w:rFonts w:asciiTheme="majorHAnsi" w:hAnsiTheme="majorHAnsi"/>
          <w:color w:val="auto"/>
          <w:szCs w:val="20"/>
          <w:lang w:val="es-ES_tradnl"/>
        </w:rPr>
        <w:t xml:space="preserve"> enviada a las autoridades el 27 de febrero de 2007 </w:t>
      </w:r>
      <w:r w:rsidR="00F25C37">
        <w:rPr>
          <w:rFonts w:asciiTheme="majorHAnsi" w:hAnsiTheme="majorHAnsi"/>
          <w:color w:val="auto"/>
          <w:szCs w:val="20"/>
          <w:lang w:val="es-ES_tradnl"/>
        </w:rPr>
        <w:t xml:space="preserve">o </w:t>
      </w:r>
      <w:r w:rsidR="009F2714">
        <w:rPr>
          <w:rFonts w:asciiTheme="majorHAnsi" w:hAnsiTheme="majorHAnsi"/>
          <w:color w:val="auto"/>
          <w:szCs w:val="20"/>
          <w:lang w:val="es-ES_tradnl"/>
        </w:rPr>
        <w:t>como consecuencia d</w:t>
      </w:r>
      <w:r w:rsidR="0053572B">
        <w:rPr>
          <w:rFonts w:asciiTheme="majorHAnsi" w:hAnsiTheme="majorHAnsi"/>
          <w:color w:val="auto"/>
          <w:szCs w:val="20"/>
          <w:lang w:val="es-ES_tradnl"/>
        </w:rPr>
        <w:t>el caso abierto ante la R.N.D.D.H.</w:t>
      </w:r>
      <w:r w:rsidR="004927F2">
        <w:rPr>
          <w:rFonts w:asciiTheme="majorHAnsi" w:hAnsiTheme="majorHAnsi"/>
          <w:color w:val="auto"/>
          <w:szCs w:val="20"/>
          <w:lang w:val="es-ES_tradnl"/>
        </w:rPr>
        <w:t xml:space="preserve"> Sin embargo, en agosto del año 2007, </w:t>
      </w:r>
      <w:r w:rsidR="002202A0">
        <w:rPr>
          <w:rFonts w:asciiTheme="majorHAnsi" w:hAnsiTheme="majorHAnsi"/>
          <w:color w:val="auto"/>
          <w:szCs w:val="20"/>
          <w:lang w:val="es-ES_tradnl"/>
        </w:rPr>
        <w:t>la República de Haití</w:t>
      </w:r>
      <w:r w:rsidR="004927F2">
        <w:rPr>
          <w:rFonts w:asciiTheme="majorHAnsi" w:hAnsiTheme="majorHAnsi"/>
          <w:color w:val="auto"/>
          <w:szCs w:val="20"/>
          <w:lang w:val="es-ES_tradnl"/>
        </w:rPr>
        <w:t xml:space="preserve"> indicó </w:t>
      </w:r>
      <w:r w:rsidR="0053572B">
        <w:rPr>
          <w:rFonts w:asciiTheme="majorHAnsi" w:hAnsiTheme="majorHAnsi"/>
          <w:color w:val="auto"/>
          <w:szCs w:val="20"/>
          <w:lang w:val="es-ES_tradnl"/>
        </w:rPr>
        <w:t xml:space="preserve">a la CIDH </w:t>
      </w:r>
      <w:r w:rsidR="004927F2">
        <w:rPr>
          <w:rFonts w:asciiTheme="majorHAnsi" w:hAnsiTheme="majorHAnsi"/>
          <w:color w:val="auto"/>
          <w:szCs w:val="20"/>
          <w:lang w:val="es-ES_tradnl"/>
        </w:rPr>
        <w:t xml:space="preserve">que </w:t>
      </w:r>
      <w:r w:rsidR="00B33B99">
        <w:rPr>
          <w:rFonts w:asciiTheme="majorHAnsi" w:hAnsiTheme="majorHAnsi"/>
          <w:color w:val="auto"/>
          <w:szCs w:val="20"/>
          <w:lang w:val="es-ES_tradnl"/>
        </w:rPr>
        <w:t xml:space="preserve">no existía información en el expediente que implicara a </w:t>
      </w:r>
      <w:r w:rsidR="004927F2">
        <w:rPr>
          <w:rFonts w:asciiTheme="majorHAnsi" w:hAnsiTheme="majorHAnsi"/>
          <w:color w:val="auto"/>
          <w:szCs w:val="20"/>
          <w:lang w:val="es-ES_tradnl"/>
        </w:rPr>
        <w:t xml:space="preserve">agentes del Estado </w:t>
      </w:r>
      <w:r w:rsidR="00B33B99">
        <w:rPr>
          <w:rFonts w:asciiTheme="majorHAnsi" w:hAnsiTheme="majorHAnsi"/>
          <w:color w:val="auto"/>
          <w:szCs w:val="20"/>
          <w:lang w:val="es-ES_tradnl"/>
        </w:rPr>
        <w:t xml:space="preserve">en la tentativa de asesinato de Baptiste Willer, </w:t>
      </w:r>
      <w:r w:rsidR="004927F2">
        <w:rPr>
          <w:rFonts w:asciiTheme="majorHAnsi" w:hAnsiTheme="majorHAnsi"/>
          <w:color w:val="auto"/>
          <w:szCs w:val="20"/>
          <w:lang w:val="es-ES_tradnl"/>
        </w:rPr>
        <w:t xml:space="preserve">ni </w:t>
      </w:r>
      <w:r w:rsidR="00B33B99">
        <w:rPr>
          <w:rFonts w:asciiTheme="majorHAnsi" w:hAnsiTheme="majorHAnsi"/>
          <w:color w:val="auto"/>
          <w:szCs w:val="20"/>
          <w:lang w:val="es-ES_tradnl"/>
        </w:rPr>
        <w:t xml:space="preserve">que los </w:t>
      </w:r>
      <w:r w:rsidR="004927F2">
        <w:rPr>
          <w:rFonts w:asciiTheme="majorHAnsi" w:hAnsiTheme="majorHAnsi"/>
          <w:color w:val="auto"/>
          <w:szCs w:val="20"/>
          <w:lang w:val="es-ES_tradnl"/>
        </w:rPr>
        <w:t xml:space="preserve">individuos que </w:t>
      </w:r>
      <w:r w:rsidR="00B33B99">
        <w:rPr>
          <w:rFonts w:asciiTheme="majorHAnsi" w:hAnsiTheme="majorHAnsi"/>
          <w:color w:val="auto"/>
          <w:szCs w:val="20"/>
          <w:lang w:val="es-ES_tradnl"/>
        </w:rPr>
        <w:t xml:space="preserve">él identificaba como autores o cómplices </w:t>
      </w:r>
      <w:r w:rsidR="004927F2">
        <w:rPr>
          <w:rFonts w:asciiTheme="majorHAnsi" w:hAnsiTheme="majorHAnsi"/>
          <w:color w:val="auto"/>
          <w:szCs w:val="20"/>
          <w:lang w:val="es-ES_tradnl"/>
        </w:rPr>
        <w:t>conta</w:t>
      </w:r>
      <w:r w:rsidR="00B33B99">
        <w:rPr>
          <w:rFonts w:asciiTheme="majorHAnsi" w:hAnsiTheme="majorHAnsi"/>
          <w:color w:val="auto"/>
          <w:szCs w:val="20"/>
          <w:lang w:val="es-ES_tradnl"/>
        </w:rPr>
        <w:t xml:space="preserve">ban </w:t>
      </w:r>
      <w:r w:rsidR="004927F2">
        <w:rPr>
          <w:rFonts w:asciiTheme="majorHAnsi" w:hAnsiTheme="majorHAnsi"/>
          <w:color w:val="auto"/>
          <w:szCs w:val="20"/>
          <w:lang w:val="es-ES_tradnl"/>
        </w:rPr>
        <w:t>con la protección o encubrimiento de las autoridades públicas haitianas</w:t>
      </w:r>
      <w:r w:rsidR="00BA6C57">
        <w:rPr>
          <w:rFonts w:asciiTheme="majorHAnsi" w:hAnsiTheme="majorHAnsi"/>
          <w:color w:val="auto"/>
          <w:szCs w:val="20"/>
          <w:lang w:val="es-ES_tradnl"/>
        </w:rPr>
        <w:t>; aun</w:t>
      </w:r>
      <w:r w:rsidR="00D23AD2">
        <w:rPr>
          <w:rFonts w:asciiTheme="majorHAnsi" w:hAnsiTheme="majorHAnsi"/>
          <w:color w:val="auto"/>
          <w:szCs w:val="20"/>
          <w:lang w:val="es-ES_tradnl"/>
        </w:rPr>
        <w:t xml:space="preserve"> cuando afirmó </w:t>
      </w:r>
      <w:r w:rsidR="004927F2">
        <w:rPr>
          <w:rFonts w:asciiTheme="majorHAnsi" w:hAnsiTheme="majorHAnsi"/>
          <w:color w:val="auto"/>
          <w:szCs w:val="20"/>
          <w:lang w:val="es-ES_tradnl"/>
        </w:rPr>
        <w:t>que la policía estaba buscando activamente</w:t>
      </w:r>
      <w:r w:rsidR="00D23AD2">
        <w:rPr>
          <w:rFonts w:asciiTheme="majorHAnsi" w:hAnsiTheme="majorHAnsi"/>
          <w:color w:val="auto"/>
          <w:szCs w:val="20"/>
          <w:lang w:val="es-ES_tradnl"/>
        </w:rPr>
        <w:t xml:space="preserve"> a </w:t>
      </w:r>
      <w:r w:rsidR="00B33B99">
        <w:rPr>
          <w:rFonts w:asciiTheme="majorHAnsi" w:hAnsiTheme="majorHAnsi"/>
          <w:color w:val="auto"/>
          <w:szCs w:val="20"/>
          <w:lang w:val="es-ES_tradnl"/>
        </w:rPr>
        <w:t xml:space="preserve">uno de </w:t>
      </w:r>
      <w:r w:rsidR="00D23AD2">
        <w:rPr>
          <w:rFonts w:asciiTheme="majorHAnsi" w:hAnsiTheme="majorHAnsi"/>
          <w:color w:val="auto"/>
          <w:szCs w:val="20"/>
          <w:lang w:val="es-ES_tradnl"/>
        </w:rPr>
        <w:t xml:space="preserve">los </w:t>
      </w:r>
      <w:r w:rsidR="00B33B99">
        <w:rPr>
          <w:rFonts w:asciiTheme="majorHAnsi" w:hAnsiTheme="majorHAnsi"/>
          <w:color w:val="auto"/>
          <w:szCs w:val="20"/>
          <w:lang w:val="es-ES_tradnl"/>
        </w:rPr>
        <w:t xml:space="preserve">presuntos </w:t>
      </w:r>
      <w:r w:rsidR="00D23AD2">
        <w:rPr>
          <w:rFonts w:asciiTheme="majorHAnsi" w:hAnsiTheme="majorHAnsi"/>
          <w:color w:val="auto"/>
          <w:szCs w:val="20"/>
          <w:lang w:val="es-ES_tradnl"/>
        </w:rPr>
        <w:t>responsables</w:t>
      </w:r>
      <w:r w:rsidR="00B33B99">
        <w:rPr>
          <w:rFonts w:asciiTheme="majorHAnsi" w:hAnsiTheme="majorHAnsi"/>
          <w:color w:val="auto"/>
          <w:szCs w:val="20"/>
          <w:lang w:val="es-ES_tradnl"/>
        </w:rPr>
        <w:t>, por medio de un spot televisivo en el que requería a la población colaborar con la justicia para proceder a su arresto</w:t>
      </w:r>
      <w:r w:rsidR="004927F2">
        <w:rPr>
          <w:rStyle w:val="FootnoteReference"/>
          <w:rFonts w:asciiTheme="majorHAnsi" w:hAnsiTheme="majorHAnsi"/>
          <w:color w:val="auto"/>
          <w:szCs w:val="20"/>
          <w:lang w:val="es-ES_tradnl"/>
        </w:rPr>
        <w:footnoteReference w:id="17"/>
      </w:r>
      <w:r w:rsidR="004927F2">
        <w:rPr>
          <w:rFonts w:asciiTheme="majorHAnsi" w:hAnsiTheme="majorHAnsi"/>
          <w:color w:val="auto"/>
          <w:szCs w:val="20"/>
          <w:lang w:val="es-ES_tradnl"/>
        </w:rPr>
        <w:t xml:space="preserve">. </w:t>
      </w:r>
      <w:r w:rsidR="004927F2" w:rsidRPr="003B184A">
        <w:rPr>
          <w:rFonts w:asciiTheme="majorHAnsi" w:hAnsiTheme="majorHAnsi"/>
          <w:color w:val="auto"/>
          <w:szCs w:val="20"/>
          <w:lang w:val="es-ES_tradnl"/>
        </w:rPr>
        <w:t>Con posterioridad a esta nota, Haití no aportó ninguna información adicional relevante.</w:t>
      </w:r>
    </w:p>
    <w:p w14:paraId="6DD45095" w14:textId="77777777" w:rsidR="003B184A" w:rsidRDefault="003B184A" w:rsidP="003B184A">
      <w:pPr>
        <w:pStyle w:val="ListParagraph"/>
        <w:numPr>
          <w:ilvl w:val="0"/>
          <w:numId w:val="0"/>
        </w:numPr>
        <w:tabs>
          <w:tab w:val="left" w:pos="360"/>
          <w:tab w:val="left" w:pos="720"/>
        </w:tabs>
        <w:rPr>
          <w:rFonts w:asciiTheme="majorHAnsi" w:hAnsiTheme="majorHAnsi"/>
          <w:color w:val="auto"/>
          <w:szCs w:val="20"/>
          <w:lang w:val="es-ES_tradnl"/>
        </w:rPr>
      </w:pPr>
    </w:p>
    <w:p w14:paraId="05246888" w14:textId="77777777" w:rsidR="00E7064B" w:rsidRPr="00E7064B" w:rsidRDefault="003B184A" w:rsidP="003B184A">
      <w:pPr>
        <w:pStyle w:val="ListParagraph"/>
        <w:tabs>
          <w:tab w:val="left" w:pos="360"/>
          <w:tab w:val="left" w:pos="720"/>
        </w:tabs>
        <w:rPr>
          <w:rFonts w:asciiTheme="majorHAnsi" w:hAnsiTheme="majorHAnsi"/>
          <w:color w:val="auto"/>
          <w:szCs w:val="20"/>
          <w:lang w:val="es-ES_tradnl"/>
        </w:rPr>
      </w:pPr>
      <w:r>
        <w:rPr>
          <w:rFonts w:asciiTheme="majorHAnsi" w:hAnsiTheme="majorHAnsi"/>
          <w:color w:val="auto"/>
          <w:szCs w:val="20"/>
          <w:lang w:val="es-ES_tradnl"/>
        </w:rPr>
        <w:t>L</w:t>
      </w:r>
      <w:r w:rsidR="00B52D9C" w:rsidRPr="003B184A">
        <w:rPr>
          <w:rFonts w:asciiTheme="majorHAnsi" w:hAnsiTheme="majorHAnsi"/>
          <w:color w:val="auto"/>
          <w:szCs w:val="20"/>
          <w:lang w:val="es-ES_tradnl"/>
        </w:rPr>
        <w:t xml:space="preserve">a CIDH </w:t>
      </w:r>
      <w:r w:rsidR="009F2714">
        <w:rPr>
          <w:rFonts w:asciiTheme="majorHAnsi" w:hAnsiTheme="majorHAnsi"/>
          <w:color w:val="auto"/>
          <w:szCs w:val="20"/>
          <w:lang w:val="es-ES_tradnl"/>
        </w:rPr>
        <w:t xml:space="preserve">tampoco </w:t>
      </w:r>
      <w:r w:rsidR="00B52D9C" w:rsidRPr="003B184A">
        <w:rPr>
          <w:rFonts w:asciiTheme="majorHAnsi" w:hAnsiTheme="majorHAnsi"/>
          <w:color w:val="auto"/>
          <w:szCs w:val="20"/>
          <w:lang w:val="es-ES_tradnl"/>
        </w:rPr>
        <w:t xml:space="preserve">tiene constancia de que se hayan iniciado procedimientos judiciales a fin de investigar, enjuiciar y sancionar a los posibles responsables de las amenazas y atentado de homicidio en contra de Baptiste Willer, </w:t>
      </w:r>
      <w:r w:rsidR="002202A0">
        <w:rPr>
          <w:rFonts w:asciiTheme="majorHAnsi" w:hAnsiTheme="majorHAnsi"/>
          <w:color w:val="auto"/>
          <w:szCs w:val="20"/>
          <w:lang w:val="es-ES_tradnl"/>
        </w:rPr>
        <w:t xml:space="preserve">o respecto </w:t>
      </w:r>
      <w:r w:rsidR="00B52D9C" w:rsidRPr="003B184A">
        <w:rPr>
          <w:rFonts w:asciiTheme="majorHAnsi" w:hAnsiTheme="majorHAnsi"/>
          <w:color w:val="auto"/>
          <w:szCs w:val="20"/>
          <w:lang w:val="es-ES_tradnl"/>
        </w:rPr>
        <w:t xml:space="preserve">del asesinato de </w:t>
      </w:r>
      <w:r w:rsidR="00982431">
        <w:rPr>
          <w:rFonts w:asciiTheme="majorHAnsi" w:hAnsiTheme="majorHAnsi"/>
          <w:color w:val="auto"/>
          <w:szCs w:val="20"/>
          <w:lang w:val="es-ES_tradnl"/>
        </w:rPr>
        <w:t>Frédo Guirant (o Guirand)</w:t>
      </w:r>
      <w:r w:rsidR="00B52D9C" w:rsidRPr="003B184A">
        <w:rPr>
          <w:rFonts w:asciiTheme="majorHAnsi" w:hAnsiTheme="majorHAnsi"/>
          <w:color w:val="auto"/>
          <w:szCs w:val="20"/>
          <w:lang w:val="es-ES_tradnl"/>
        </w:rPr>
        <w:t>.</w:t>
      </w:r>
      <w:r w:rsidR="000624EB" w:rsidRPr="003B184A">
        <w:rPr>
          <w:rFonts w:asciiTheme="majorHAnsi" w:hAnsiTheme="majorHAnsi"/>
          <w:color w:val="auto"/>
          <w:szCs w:val="20"/>
          <w:lang w:val="es-ES_tradnl"/>
        </w:rPr>
        <w:t xml:space="preserve"> </w:t>
      </w:r>
      <w:r w:rsidR="00F25C37">
        <w:rPr>
          <w:rFonts w:asciiTheme="majorHAnsi" w:hAnsiTheme="majorHAnsi"/>
          <w:szCs w:val="20"/>
          <w:lang w:val="es-ES"/>
        </w:rPr>
        <w:t>En múltiples oportunidades l</w:t>
      </w:r>
      <w:r w:rsidR="00914BEB">
        <w:rPr>
          <w:rFonts w:asciiTheme="majorHAnsi" w:hAnsiTheme="majorHAnsi"/>
          <w:szCs w:val="20"/>
          <w:lang w:val="es-ES"/>
        </w:rPr>
        <w:t>a parte peticionaria</w:t>
      </w:r>
      <w:r w:rsidR="0038770E" w:rsidRPr="003B184A">
        <w:rPr>
          <w:rFonts w:asciiTheme="majorHAnsi" w:hAnsiTheme="majorHAnsi"/>
          <w:szCs w:val="20"/>
          <w:lang w:val="es-ES"/>
        </w:rPr>
        <w:t xml:space="preserve"> </w:t>
      </w:r>
      <w:r w:rsidR="00F25C37">
        <w:rPr>
          <w:rFonts w:asciiTheme="majorHAnsi" w:hAnsiTheme="majorHAnsi"/>
          <w:szCs w:val="20"/>
          <w:lang w:val="es-ES"/>
        </w:rPr>
        <w:t xml:space="preserve">indicó que </w:t>
      </w:r>
      <w:r w:rsidR="0038770E" w:rsidRPr="003B184A">
        <w:rPr>
          <w:rFonts w:asciiTheme="majorHAnsi" w:hAnsiTheme="majorHAnsi"/>
          <w:szCs w:val="20"/>
          <w:lang w:val="es-ES"/>
        </w:rPr>
        <w:t xml:space="preserve">contaba con </w:t>
      </w:r>
      <w:r w:rsidR="00891F97">
        <w:rPr>
          <w:rFonts w:asciiTheme="majorHAnsi" w:hAnsiTheme="majorHAnsi"/>
          <w:szCs w:val="20"/>
          <w:lang w:val="es-ES"/>
        </w:rPr>
        <w:t xml:space="preserve">que </w:t>
      </w:r>
      <w:r w:rsidR="0038770E" w:rsidRPr="003B184A">
        <w:rPr>
          <w:rFonts w:asciiTheme="majorHAnsi" w:hAnsiTheme="majorHAnsi"/>
          <w:szCs w:val="20"/>
          <w:lang w:val="es-ES"/>
        </w:rPr>
        <w:t>la</w:t>
      </w:r>
      <w:r w:rsidR="002202A0">
        <w:rPr>
          <w:rFonts w:asciiTheme="majorHAnsi" w:hAnsiTheme="majorHAnsi"/>
          <w:szCs w:val="20"/>
          <w:lang w:val="es-ES"/>
        </w:rPr>
        <w:t>s</w:t>
      </w:r>
      <w:r w:rsidR="0038770E" w:rsidRPr="003B184A">
        <w:rPr>
          <w:rFonts w:asciiTheme="majorHAnsi" w:hAnsiTheme="majorHAnsi"/>
          <w:szCs w:val="20"/>
          <w:lang w:val="es-ES"/>
        </w:rPr>
        <w:t xml:space="preserve"> autoridades</w:t>
      </w:r>
      <w:r w:rsidR="002202A0">
        <w:rPr>
          <w:rFonts w:asciiTheme="majorHAnsi" w:hAnsiTheme="majorHAnsi"/>
          <w:szCs w:val="20"/>
          <w:lang w:val="es-ES"/>
        </w:rPr>
        <w:t xml:space="preserve"> tomarían las medidas </w:t>
      </w:r>
      <w:r w:rsidR="00891F97">
        <w:rPr>
          <w:rFonts w:asciiTheme="majorHAnsi" w:hAnsiTheme="majorHAnsi"/>
          <w:szCs w:val="20"/>
          <w:lang w:val="es-ES"/>
        </w:rPr>
        <w:t xml:space="preserve">judiciales </w:t>
      </w:r>
      <w:r w:rsidR="002202A0">
        <w:rPr>
          <w:rFonts w:asciiTheme="majorHAnsi" w:hAnsiTheme="majorHAnsi"/>
          <w:szCs w:val="20"/>
          <w:lang w:val="es-ES"/>
        </w:rPr>
        <w:t>necesarias</w:t>
      </w:r>
      <w:r w:rsidR="00891F97">
        <w:rPr>
          <w:rFonts w:asciiTheme="majorHAnsi" w:hAnsiTheme="majorHAnsi"/>
          <w:szCs w:val="20"/>
          <w:lang w:val="es-ES"/>
        </w:rPr>
        <w:t>,</w:t>
      </w:r>
      <w:r w:rsidR="0038770E" w:rsidRPr="003B184A">
        <w:rPr>
          <w:rFonts w:asciiTheme="majorHAnsi" w:hAnsiTheme="majorHAnsi"/>
          <w:szCs w:val="20"/>
          <w:lang w:val="es-ES"/>
        </w:rPr>
        <w:t xml:space="preserve"> </w:t>
      </w:r>
      <w:r w:rsidR="002202A0">
        <w:rPr>
          <w:rFonts w:asciiTheme="majorHAnsi" w:hAnsiTheme="majorHAnsi"/>
          <w:szCs w:val="20"/>
          <w:lang w:val="es-ES"/>
        </w:rPr>
        <w:t xml:space="preserve">ya </w:t>
      </w:r>
      <w:r w:rsidR="00D74F15">
        <w:rPr>
          <w:rFonts w:asciiTheme="majorHAnsi" w:hAnsiTheme="majorHAnsi"/>
          <w:szCs w:val="20"/>
          <w:lang w:val="es-ES"/>
        </w:rPr>
        <w:t>que</w:t>
      </w:r>
      <w:r w:rsidR="0038770E" w:rsidRPr="003B184A">
        <w:rPr>
          <w:rFonts w:asciiTheme="majorHAnsi" w:hAnsiTheme="majorHAnsi"/>
          <w:szCs w:val="20"/>
          <w:lang w:val="es-ES"/>
        </w:rPr>
        <w:t xml:space="preserve"> </w:t>
      </w:r>
      <w:r w:rsidR="002202A0">
        <w:rPr>
          <w:rFonts w:asciiTheme="majorHAnsi" w:hAnsiTheme="majorHAnsi"/>
          <w:szCs w:val="20"/>
          <w:lang w:val="es-ES"/>
        </w:rPr>
        <w:t xml:space="preserve">les había </w:t>
      </w:r>
      <w:r w:rsidR="0038770E" w:rsidRPr="003B184A">
        <w:rPr>
          <w:rFonts w:asciiTheme="majorHAnsi" w:hAnsiTheme="majorHAnsi"/>
          <w:szCs w:val="20"/>
          <w:lang w:val="es-ES"/>
        </w:rPr>
        <w:t>envi</w:t>
      </w:r>
      <w:r w:rsidR="002202A0">
        <w:rPr>
          <w:rFonts w:asciiTheme="majorHAnsi" w:hAnsiTheme="majorHAnsi"/>
          <w:szCs w:val="20"/>
          <w:lang w:val="es-ES"/>
        </w:rPr>
        <w:t>ado</w:t>
      </w:r>
      <w:r w:rsidR="0038770E" w:rsidRPr="003B184A">
        <w:rPr>
          <w:rFonts w:asciiTheme="majorHAnsi" w:hAnsiTheme="majorHAnsi"/>
          <w:szCs w:val="20"/>
          <w:lang w:val="es-ES"/>
        </w:rPr>
        <w:t xml:space="preserve"> </w:t>
      </w:r>
      <w:r w:rsidR="00891F97">
        <w:rPr>
          <w:rFonts w:asciiTheme="majorHAnsi" w:hAnsiTheme="majorHAnsi"/>
          <w:szCs w:val="20"/>
          <w:lang w:val="es-ES"/>
        </w:rPr>
        <w:t xml:space="preserve">un </w:t>
      </w:r>
      <w:r w:rsidR="0038770E" w:rsidRPr="003B184A">
        <w:rPr>
          <w:rFonts w:asciiTheme="majorHAnsi" w:hAnsiTheme="majorHAnsi"/>
          <w:szCs w:val="20"/>
          <w:lang w:val="es-ES"/>
        </w:rPr>
        <w:t>requerimiento de asistencia judicial</w:t>
      </w:r>
      <w:r w:rsidR="00891F97">
        <w:rPr>
          <w:rFonts w:asciiTheme="majorHAnsi" w:hAnsiTheme="majorHAnsi"/>
          <w:szCs w:val="20"/>
          <w:lang w:val="es-ES"/>
        </w:rPr>
        <w:t xml:space="preserve">, </w:t>
      </w:r>
      <w:r w:rsidR="002202A0">
        <w:rPr>
          <w:rFonts w:asciiTheme="majorHAnsi" w:hAnsiTheme="majorHAnsi"/>
          <w:szCs w:val="20"/>
          <w:lang w:val="es-ES"/>
        </w:rPr>
        <w:t>pero</w:t>
      </w:r>
      <w:r w:rsidR="00891F97">
        <w:rPr>
          <w:rFonts w:asciiTheme="majorHAnsi" w:hAnsiTheme="majorHAnsi"/>
          <w:szCs w:val="20"/>
          <w:lang w:val="es-ES"/>
        </w:rPr>
        <w:t>,</w:t>
      </w:r>
      <w:r w:rsidR="002202A0">
        <w:rPr>
          <w:rFonts w:asciiTheme="majorHAnsi" w:hAnsiTheme="majorHAnsi"/>
          <w:szCs w:val="20"/>
          <w:lang w:val="es-ES"/>
        </w:rPr>
        <w:t xml:space="preserve"> </w:t>
      </w:r>
      <w:r w:rsidR="00891F97">
        <w:rPr>
          <w:rFonts w:asciiTheme="majorHAnsi" w:hAnsiTheme="majorHAnsi"/>
          <w:szCs w:val="20"/>
          <w:lang w:val="es-ES"/>
        </w:rPr>
        <w:t xml:space="preserve">a </w:t>
      </w:r>
      <w:r w:rsidR="00914BEB">
        <w:rPr>
          <w:rFonts w:asciiTheme="majorHAnsi" w:hAnsiTheme="majorHAnsi"/>
          <w:szCs w:val="20"/>
          <w:lang w:val="es-ES"/>
        </w:rPr>
        <w:t xml:space="preserve">su </w:t>
      </w:r>
      <w:r w:rsidR="00891F97">
        <w:rPr>
          <w:rFonts w:asciiTheme="majorHAnsi" w:hAnsiTheme="majorHAnsi"/>
          <w:szCs w:val="20"/>
          <w:lang w:val="es-ES"/>
        </w:rPr>
        <w:t xml:space="preserve">juicio, </w:t>
      </w:r>
      <w:r w:rsidR="002202A0">
        <w:rPr>
          <w:rFonts w:asciiTheme="majorHAnsi" w:hAnsiTheme="majorHAnsi"/>
          <w:szCs w:val="20"/>
          <w:lang w:val="es-ES"/>
        </w:rPr>
        <w:t>dichas autoridades</w:t>
      </w:r>
      <w:r w:rsidR="0038770E" w:rsidRPr="003B184A">
        <w:rPr>
          <w:rFonts w:asciiTheme="majorHAnsi" w:hAnsiTheme="majorHAnsi"/>
          <w:szCs w:val="20"/>
          <w:lang w:val="es-ES"/>
        </w:rPr>
        <w:t xml:space="preserve"> simplemente se negaron a prestarle ayuda (“</w:t>
      </w:r>
      <w:r w:rsidR="0038770E" w:rsidRPr="003B184A">
        <w:rPr>
          <w:rFonts w:asciiTheme="majorHAnsi" w:hAnsiTheme="majorHAnsi"/>
          <w:i/>
          <w:iCs/>
          <w:szCs w:val="20"/>
          <w:lang w:val="es-ES"/>
        </w:rPr>
        <w:t>elles ont tout simp</w:t>
      </w:r>
      <w:r w:rsidR="00765EAD" w:rsidRPr="003B184A">
        <w:rPr>
          <w:rFonts w:asciiTheme="majorHAnsi" w:hAnsiTheme="majorHAnsi"/>
          <w:i/>
          <w:iCs/>
          <w:szCs w:val="20"/>
          <w:lang w:val="es-ES"/>
        </w:rPr>
        <w:t>l</w:t>
      </w:r>
      <w:r w:rsidR="0038770E" w:rsidRPr="003B184A">
        <w:rPr>
          <w:rFonts w:asciiTheme="majorHAnsi" w:hAnsiTheme="majorHAnsi"/>
          <w:i/>
          <w:iCs/>
          <w:szCs w:val="20"/>
          <w:lang w:val="es-ES"/>
        </w:rPr>
        <w:t>ement refuser de m</w:t>
      </w:r>
      <w:r w:rsidR="00963746">
        <w:rPr>
          <w:rFonts w:asciiTheme="majorHAnsi" w:hAnsiTheme="majorHAnsi"/>
          <w:i/>
          <w:iCs/>
          <w:szCs w:val="20"/>
          <w:lang w:val="es-ES"/>
        </w:rPr>
        <w:t>’a</w:t>
      </w:r>
      <w:r w:rsidR="00765EAD" w:rsidRPr="003B184A">
        <w:rPr>
          <w:rFonts w:asciiTheme="majorHAnsi" w:hAnsiTheme="majorHAnsi"/>
          <w:i/>
          <w:iCs/>
          <w:szCs w:val="20"/>
          <w:lang w:val="es-ES"/>
        </w:rPr>
        <w:t>pporter leur aide</w:t>
      </w:r>
      <w:r w:rsidR="00765EAD" w:rsidRPr="003B184A">
        <w:rPr>
          <w:rFonts w:asciiTheme="majorHAnsi" w:hAnsiTheme="majorHAnsi"/>
          <w:szCs w:val="20"/>
          <w:lang w:val="es-ES"/>
        </w:rPr>
        <w:t>”</w:t>
      </w:r>
      <w:r w:rsidR="00765EAD">
        <w:rPr>
          <w:rStyle w:val="FootnoteReference"/>
          <w:rFonts w:asciiTheme="majorHAnsi" w:hAnsiTheme="majorHAnsi"/>
          <w:szCs w:val="20"/>
          <w:lang w:val="es-ES"/>
        </w:rPr>
        <w:footnoteReference w:id="18"/>
      </w:r>
      <w:r w:rsidR="00765EAD" w:rsidRPr="003B184A">
        <w:rPr>
          <w:rFonts w:asciiTheme="majorHAnsi" w:hAnsiTheme="majorHAnsi"/>
          <w:szCs w:val="20"/>
          <w:lang w:val="es-ES"/>
        </w:rPr>
        <w:t>)</w:t>
      </w:r>
      <w:r w:rsidR="00D74F15">
        <w:rPr>
          <w:rFonts w:asciiTheme="majorHAnsi" w:hAnsiTheme="majorHAnsi"/>
          <w:szCs w:val="20"/>
          <w:lang w:val="es-ES"/>
        </w:rPr>
        <w:t xml:space="preserve">. </w:t>
      </w:r>
    </w:p>
    <w:p w14:paraId="60CADB62" w14:textId="77777777" w:rsidR="00E7064B" w:rsidRPr="00E7064B" w:rsidRDefault="00E7064B" w:rsidP="00E7064B">
      <w:pPr>
        <w:pStyle w:val="ListParagraph"/>
        <w:numPr>
          <w:ilvl w:val="0"/>
          <w:numId w:val="0"/>
        </w:numPr>
        <w:rPr>
          <w:rFonts w:asciiTheme="majorHAnsi" w:hAnsiTheme="majorHAnsi"/>
          <w:szCs w:val="20"/>
          <w:lang w:val="es-ES"/>
        </w:rPr>
      </w:pPr>
    </w:p>
    <w:p w14:paraId="614F1E5C" w14:textId="77777777" w:rsidR="00A236E6" w:rsidRPr="003B184A" w:rsidRDefault="00914BEB" w:rsidP="002F2A3F">
      <w:pPr>
        <w:pStyle w:val="ListParagraph"/>
        <w:rPr>
          <w:color w:val="auto"/>
          <w:lang w:val="es-ES_tradnl"/>
        </w:rPr>
      </w:pPr>
      <w:r>
        <w:rPr>
          <w:lang w:val="es-ES"/>
        </w:rPr>
        <w:t>Baptiste Willer</w:t>
      </w:r>
      <w:r w:rsidR="00AB4066">
        <w:rPr>
          <w:lang w:val="es-ES"/>
        </w:rPr>
        <w:t xml:space="preserve"> </w:t>
      </w:r>
      <w:r w:rsidR="005D234F">
        <w:rPr>
          <w:lang w:val="es-ES"/>
        </w:rPr>
        <w:t xml:space="preserve">alega que él </w:t>
      </w:r>
      <w:r w:rsidR="00E7064B">
        <w:rPr>
          <w:lang w:val="es-ES"/>
        </w:rPr>
        <w:t xml:space="preserve">y su familia </w:t>
      </w:r>
      <w:r w:rsidR="00AB4066">
        <w:rPr>
          <w:lang w:val="es-ES"/>
        </w:rPr>
        <w:t>continu</w:t>
      </w:r>
      <w:r w:rsidR="00E7064B">
        <w:rPr>
          <w:lang w:val="es-ES"/>
        </w:rPr>
        <w:t>aron</w:t>
      </w:r>
      <w:r w:rsidR="00AB4066">
        <w:rPr>
          <w:lang w:val="es-ES"/>
        </w:rPr>
        <w:t xml:space="preserve"> experimentando una permanente sensación de inseguridad</w:t>
      </w:r>
      <w:r w:rsidR="00E7064B">
        <w:rPr>
          <w:lang w:val="es-ES"/>
        </w:rPr>
        <w:t>, ya que</w:t>
      </w:r>
      <w:r w:rsidR="005D234F">
        <w:rPr>
          <w:lang w:val="es-ES"/>
        </w:rPr>
        <w:t xml:space="preserve"> </w:t>
      </w:r>
      <w:r w:rsidR="00E7064B">
        <w:rPr>
          <w:lang w:val="es-ES"/>
        </w:rPr>
        <w:t>los agresores circulaban fuertemente armados y</w:t>
      </w:r>
      <w:r w:rsidR="00BA71CB">
        <w:rPr>
          <w:lang w:val="es-ES"/>
        </w:rPr>
        <w:t>,</w:t>
      </w:r>
      <w:r w:rsidR="00E7064B">
        <w:rPr>
          <w:lang w:val="es-ES"/>
        </w:rPr>
        <w:t xml:space="preserve"> personalmente</w:t>
      </w:r>
      <w:r w:rsidR="00BA71CB">
        <w:rPr>
          <w:lang w:val="es-ES"/>
        </w:rPr>
        <w:t>,</w:t>
      </w:r>
      <w:r w:rsidR="00E7064B">
        <w:rPr>
          <w:lang w:val="es-ES"/>
        </w:rPr>
        <w:t xml:space="preserve"> fue víctima de una serie de </w:t>
      </w:r>
      <w:r w:rsidR="00D2191C">
        <w:rPr>
          <w:lang w:val="es-ES"/>
        </w:rPr>
        <w:t xml:space="preserve">amenazas de muerte tanto telefónicas como personales y </w:t>
      </w:r>
      <w:r w:rsidR="00E7064B">
        <w:rPr>
          <w:lang w:val="es-ES"/>
        </w:rPr>
        <w:t>nuevos atentados</w:t>
      </w:r>
      <w:r w:rsidR="00F25C37">
        <w:rPr>
          <w:lang w:val="es-ES"/>
        </w:rPr>
        <w:t xml:space="preserve"> a su persona y su negocio</w:t>
      </w:r>
      <w:r w:rsidR="00391C6A">
        <w:rPr>
          <w:lang w:val="es-ES"/>
        </w:rPr>
        <w:t>, con posterioridad al 27 de febrero de 2007</w:t>
      </w:r>
      <w:r w:rsidR="00D74F15">
        <w:rPr>
          <w:rStyle w:val="FootnoteReference"/>
          <w:rFonts w:asciiTheme="majorHAnsi" w:hAnsiTheme="majorHAnsi"/>
          <w:szCs w:val="20"/>
          <w:lang w:val="es-ES"/>
        </w:rPr>
        <w:footnoteReference w:id="19"/>
      </w:r>
      <w:r w:rsidR="00F25C37">
        <w:rPr>
          <w:lang w:val="es-ES"/>
        </w:rPr>
        <w:t xml:space="preserve">. </w:t>
      </w:r>
      <w:r w:rsidR="00965F76">
        <w:rPr>
          <w:lang w:val="es-ES"/>
        </w:rPr>
        <w:t xml:space="preserve">Entre otros, </w:t>
      </w:r>
      <w:r w:rsidR="00F52A11">
        <w:rPr>
          <w:lang w:val="es-ES"/>
        </w:rPr>
        <w:t xml:space="preserve">alega que </w:t>
      </w:r>
      <w:r w:rsidR="00965F76">
        <w:rPr>
          <w:lang w:val="es-ES"/>
        </w:rPr>
        <w:t>el 9 de marzo de 2007</w:t>
      </w:r>
      <w:r w:rsidR="001661B8">
        <w:rPr>
          <w:lang w:val="es-ES"/>
        </w:rPr>
        <w:t xml:space="preserve"> los mismos agresores </w:t>
      </w:r>
      <w:r w:rsidR="001661B8">
        <w:rPr>
          <w:lang w:val="es-ES"/>
        </w:rPr>
        <w:lastRenderedPageBreak/>
        <w:t>inspeccionaron su negocio, pero él logró escapar y decidió no volver a ese lugar</w:t>
      </w:r>
      <w:r w:rsidR="001661B8">
        <w:rPr>
          <w:rStyle w:val="FootnoteReference"/>
          <w:lang w:val="es-ES"/>
        </w:rPr>
        <w:footnoteReference w:id="20"/>
      </w:r>
      <w:r w:rsidR="00F52A11">
        <w:rPr>
          <w:lang w:val="es-ES"/>
        </w:rPr>
        <w:t>. L</w:t>
      </w:r>
      <w:r w:rsidR="001661B8">
        <w:rPr>
          <w:lang w:val="es-ES"/>
        </w:rPr>
        <w:t xml:space="preserve">a vivienda que él ocupaba </w:t>
      </w:r>
      <w:r w:rsidR="002345F8">
        <w:rPr>
          <w:lang w:val="es-ES"/>
        </w:rPr>
        <w:t xml:space="preserve">hasta el primer atentado y asesinato de su hermano fue nuevamente asaltada los días </w:t>
      </w:r>
      <w:r w:rsidR="001661B8">
        <w:rPr>
          <w:lang w:val="es-ES"/>
        </w:rPr>
        <w:t>15 y 28 de agosto de 2008</w:t>
      </w:r>
      <w:r w:rsidR="001661B8">
        <w:rPr>
          <w:rStyle w:val="FootnoteReference"/>
          <w:lang w:val="es-ES"/>
        </w:rPr>
        <w:footnoteReference w:id="21"/>
      </w:r>
      <w:r w:rsidR="00965F76">
        <w:rPr>
          <w:lang w:val="es-ES"/>
        </w:rPr>
        <w:t xml:space="preserve">. </w:t>
      </w:r>
      <w:r w:rsidR="00B32F16">
        <w:rPr>
          <w:lang w:val="es-ES"/>
        </w:rPr>
        <w:t xml:space="preserve">Cuando </w:t>
      </w:r>
      <w:r w:rsidR="002345F8">
        <w:rPr>
          <w:lang w:val="es-ES"/>
        </w:rPr>
        <w:t xml:space="preserve">los residentes </w:t>
      </w:r>
      <w:r w:rsidR="00B32F16">
        <w:rPr>
          <w:lang w:val="es-ES"/>
        </w:rPr>
        <w:t>trat</w:t>
      </w:r>
      <w:r w:rsidR="002345F8">
        <w:rPr>
          <w:lang w:val="es-ES"/>
        </w:rPr>
        <w:t>aron</w:t>
      </w:r>
      <w:r w:rsidR="00B32F16">
        <w:rPr>
          <w:lang w:val="es-ES"/>
        </w:rPr>
        <w:t xml:space="preserve"> de denunciar</w:t>
      </w:r>
      <w:r w:rsidR="005D234F">
        <w:rPr>
          <w:lang w:val="es-ES"/>
        </w:rPr>
        <w:t xml:space="preserve"> tales hechos </w:t>
      </w:r>
      <w:r w:rsidR="00B32F16">
        <w:rPr>
          <w:lang w:val="es-ES"/>
        </w:rPr>
        <w:t>a la policía</w:t>
      </w:r>
      <w:r w:rsidR="002202A0">
        <w:rPr>
          <w:lang w:val="es-ES"/>
        </w:rPr>
        <w:t>,</w:t>
      </w:r>
      <w:r w:rsidR="00B32F16">
        <w:rPr>
          <w:lang w:val="es-ES"/>
        </w:rPr>
        <w:t xml:space="preserve"> </w:t>
      </w:r>
      <w:r w:rsidR="002345F8">
        <w:rPr>
          <w:lang w:val="es-ES"/>
        </w:rPr>
        <w:t>recibieron</w:t>
      </w:r>
      <w:r w:rsidR="00B32F16">
        <w:rPr>
          <w:lang w:val="es-ES"/>
        </w:rPr>
        <w:t xml:space="preserve"> respuestas evasivas que </w:t>
      </w:r>
      <w:r w:rsidR="00D2191C">
        <w:rPr>
          <w:lang w:val="es-ES"/>
        </w:rPr>
        <w:t>apuntaban a la falta de patrullaje policial disponibl</w:t>
      </w:r>
      <w:r w:rsidR="00B32F16">
        <w:rPr>
          <w:lang w:val="es-ES"/>
        </w:rPr>
        <w:t>es</w:t>
      </w:r>
      <w:r w:rsidR="00B32F16">
        <w:rPr>
          <w:rStyle w:val="FootnoteReference"/>
          <w:rFonts w:asciiTheme="majorHAnsi" w:hAnsiTheme="majorHAnsi"/>
          <w:szCs w:val="20"/>
          <w:lang w:val="es-ES"/>
        </w:rPr>
        <w:footnoteReference w:id="22"/>
      </w:r>
      <w:r w:rsidR="00B32F16">
        <w:rPr>
          <w:lang w:val="es-ES"/>
        </w:rPr>
        <w:t>.</w:t>
      </w:r>
      <w:r w:rsidR="005D234F">
        <w:rPr>
          <w:lang w:val="es-ES"/>
        </w:rPr>
        <w:t xml:space="preserve"> </w:t>
      </w:r>
      <w:r w:rsidR="002345F8">
        <w:rPr>
          <w:lang w:val="es-ES"/>
        </w:rPr>
        <w:t xml:space="preserve">Además </w:t>
      </w:r>
      <w:r w:rsidR="00751C6A">
        <w:rPr>
          <w:lang w:val="es-ES"/>
        </w:rPr>
        <w:t>el peticionario</w:t>
      </w:r>
      <w:r w:rsidR="00F52A11">
        <w:rPr>
          <w:lang w:val="es-ES"/>
        </w:rPr>
        <w:t xml:space="preserve"> alega que</w:t>
      </w:r>
      <w:r w:rsidR="00751C6A">
        <w:rPr>
          <w:lang w:val="es-ES"/>
        </w:rPr>
        <w:t xml:space="preserve"> </w:t>
      </w:r>
      <w:r w:rsidR="002345F8">
        <w:rPr>
          <w:lang w:val="es-ES"/>
        </w:rPr>
        <w:t xml:space="preserve">fue víctima de </w:t>
      </w:r>
      <w:r w:rsidR="00001B40">
        <w:rPr>
          <w:lang w:val="es-ES"/>
        </w:rPr>
        <w:t>otro</w:t>
      </w:r>
      <w:r w:rsidR="002345F8">
        <w:rPr>
          <w:lang w:val="es-ES"/>
        </w:rPr>
        <w:t xml:space="preserve"> ataque</w:t>
      </w:r>
      <w:r w:rsidR="00001B40">
        <w:rPr>
          <w:lang w:val="es-ES"/>
        </w:rPr>
        <w:t xml:space="preserve"> en la misma zona</w:t>
      </w:r>
      <w:r w:rsidR="002345F8">
        <w:rPr>
          <w:lang w:val="es-ES"/>
        </w:rPr>
        <w:t xml:space="preserve"> el 26 de agosto de 2009</w:t>
      </w:r>
      <w:r w:rsidR="002345F8">
        <w:rPr>
          <w:rStyle w:val="FootnoteReference"/>
          <w:lang w:val="es-ES"/>
        </w:rPr>
        <w:footnoteReference w:id="23"/>
      </w:r>
      <w:r w:rsidR="00001B40">
        <w:rPr>
          <w:lang w:val="es-ES"/>
        </w:rPr>
        <w:t>.</w:t>
      </w:r>
      <w:r w:rsidR="002345F8">
        <w:rPr>
          <w:lang w:val="es-ES"/>
        </w:rPr>
        <w:t xml:space="preserve"> </w:t>
      </w:r>
      <w:r w:rsidR="005D234F">
        <w:rPr>
          <w:lang w:val="es-ES"/>
        </w:rPr>
        <w:t xml:space="preserve">Por ello, </w:t>
      </w:r>
      <w:r w:rsidR="00891F97">
        <w:rPr>
          <w:lang w:val="es-ES"/>
        </w:rPr>
        <w:t xml:space="preserve">afirma que él </w:t>
      </w:r>
      <w:r w:rsidR="005D234F">
        <w:rPr>
          <w:lang w:val="es-ES"/>
        </w:rPr>
        <w:t>y su familia se vieron forzados a huir, abandonando su vivienda y comercio</w:t>
      </w:r>
      <w:r w:rsidR="002F2A3F">
        <w:rPr>
          <w:lang w:val="es-ES"/>
        </w:rPr>
        <w:t xml:space="preserve"> y vivir en fuga (</w:t>
      </w:r>
      <w:r w:rsidR="002F2A3F" w:rsidRPr="002F2A3F">
        <w:rPr>
          <w:i/>
          <w:lang w:val="es-ES"/>
        </w:rPr>
        <w:t>“j'étais forcé d'abandonner ma demeure' m pour vivre dans le marronage c'est-à-dire dans le fuite”</w:t>
      </w:r>
      <w:r w:rsidR="002F2A3F">
        <w:rPr>
          <w:lang w:val="es-ES"/>
        </w:rPr>
        <w:t>)</w:t>
      </w:r>
      <w:r w:rsidR="005D234F">
        <w:rPr>
          <w:rStyle w:val="FootnoteReference"/>
          <w:rFonts w:asciiTheme="majorHAnsi" w:hAnsiTheme="majorHAnsi"/>
          <w:szCs w:val="20"/>
          <w:lang w:val="es-ES"/>
        </w:rPr>
        <w:footnoteReference w:id="24"/>
      </w:r>
      <w:r w:rsidR="005D234F">
        <w:rPr>
          <w:lang w:val="es-ES"/>
        </w:rPr>
        <w:t xml:space="preserve">. </w:t>
      </w:r>
      <w:r w:rsidR="005D234F">
        <w:rPr>
          <w:lang w:val="es-VE"/>
        </w:rPr>
        <w:t>El Estado no controvirtió dichas alegaciones.</w:t>
      </w:r>
    </w:p>
    <w:p w14:paraId="334C8E82" w14:textId="77777777" w:rsidR="00F05CC0" w:rsidRPr="00824696" w:rsidRDefault="00F05CC0" w:rsidP="00F05CC0">
      <w:pPr>
        <w:pStyle w:val="ListParagraph"/>
        <w:numPr>
          <w:ilvl w:val="0"/>
          <w:numId w:val="0"/>
        </w:numPr>
        <w:tabs>
          <w:tab w:val="left" w:pos="360"/>
          <w:tab w:val="left" w:pos="720"/>
        </w:tabs>
        <w:rPr>
          <w:rFonts w:asciiTheme="majorHAnsi" w:hAnsiTheme="majorHAnsi"/>
          <w:color w:val="auto"/>
          <w:szCs w:val="20"/>
          <w:lang w:val="es-ES_tradnl"/>
        </w:rPr>
      </w:pPr>
    </w:p>
    <w:p w14:paraId="1B03D7F6" w14:textId="77777777" w:rsidR="00D12193" w:rsidRDefault="00D12193" w:rsidP="00A72DE3">
      <w:pPr>
        <w:pStyle w:val="Heading1"/>
        <w:ind w:left="0" w:firstLine="0"/>
        <w:rPr>
          <w:color w:val="auto"/>
        </w:rPr>
      </w:pPr>
      <w:bookmarkStart w:id="11" w:name="_Toc22308273"/>
      <w:r w:rsidRPr="00824696">
        <w:rPr>
          <w:color w:val="auto"/>
        </w:rPr>
        <w:t>ANÁLISIS DE DERECHO</w:t>
      </w:r>
      <w:bookmarkEnd w:id="11"/>
    </w:p>
    <w:p w14:paraId="7D80BDD3" w14:textId="77777777" w:rsidR="00410DB9" w:rsidRDefault="00410DB9" w:rsidP="00410DB9">
      <w:pPr>
        <w:rPr>
          <w:lang w:val="es-ES_tradnl" w:eastAsia="es-ES"/>
        </w:rPr>
      </w:pPr>
    </w:p>
    <w:p w14:paraId="4EFF301A" w14:textId="77777777" w:rsidR="00F51DC1" w:rsidRPr="00C55B05" w:rsidRDefault="00F7605E" w:rsidP="00C55B05">
      <w:pPr>
        <w:pStyle w:val="ListParagraph"/>
        <w:rPr>
          <w:lang w:val="es-ES"/>
        </w:rPr>
      </w:pPr>
      <w:r>
        <w:rPr>
          <w:lang w:val="es-ES"/>
        </w:rPr>
        <w:t>L</w:t>
      </w:r>
      <w:r w:rsidR="00410DB9" w:rsidRPr="00410DB9">
        <w:rPr>
          <w:lang w:val="es-ES"/>
        </w:rPr>
        <w:t xml:space="preserve">a Comisión destaca que no existe controversia entre las partes </w:t>
      </w:r>
      <w:r w:rsidR="005C2304">
        <w:rPr>
          <w:lang w:val="es-ES"/>
        </w:rPr>
        <w:t xml:space="preserve">en cuanto a </w:t>
      </w:r>
      <w:r w:rsidR="00410DB9" w:rsidRPr="00410DB9">
        <w:rPr>
          <w:lang w:val="es-ES"/>
        </w:rPr>
        <w:t>que los presunto</w:t>
      </w:r>
      <w:r w:rsidR="00410DB9">
        <w:rPr>
          <w:lang w:val="es-ES"/>
        </w:rPr>
        <w:t>s</w:t>
      </w:r>
      <w:r w:rsidR="00410DB9" w:rsidRPr="00410DB9">
        <w:rPr>
          <w:lang w:val="es-ES"/>
        </w:rPr>
        <w:t xml:space="preserve"> autor</w:t>
      </w:r>
      <w:r w:rsidR="00410DB9">
        <w:rPr>
          <w:lang w:val="es-ES"/>
        </w:rPr>
        <w:t>es</w:t>
      </w:r>
      <w:r w:rsidR="00410DB9" w:rsidRPr="00410DB9">
        <w:rPr>
          <w:lang w:val="es-ES"/>
        </w:rPr>
        <w:t xml:space="preserve"> de la</w:t>
      </w:r>
      <w:r w:rsidR="00410DB9">
        <w:rPr>
          <w:lang w:val="es-ES"/>
        </w:rPr>
        <w:t xml:space="preserve">s amenazas y atentados contra Baptiste Willer y del asesinato de su hermano </w:t>
      </w:r>
      <w:r w:rsidR="00982431">
        <w:rPr>
          <w:lang w:val="es-ES"/>
        </w:rPr>
        <w:t>Frédo Guirant (o Guirand)</w:t>
      </w:r>
      <w:r w:rsidR="00410DB9" w:rsidRPr="00410DB9">
        <w:rPr>
          <w:lang w:val="es-ES"/>
        </w:rPr>
        <w:t xml:space="preserve"> no </w:t>
      </w:r>
      <w:r w:rsidR="00AF5EB3">
        <w:rPr>
          <w:lang w:val="es-ES"/>
        </w:rPr>
        <w:t>son</w:t>
      </w:r>
      <w:r w:rsidR="00410DB9" w:rsidRPr="00410DB9">
        <w:rPr>
          <w:lang w:val="es-ES"/>
        </w:rPr>
        <w:t xml:space="preserve"> agente</w:t>
      </w:r>
      <w:r w:rsidR="00AF5EB3">
        <w:rPr>
          <w:lang w:val="es-ES"/>
        </w:rPr>
        <w:t>s</w:t>
      </w:r>
      <w:r w:rsidR="00410DB9" w:rsidRPr="00410DB9">
        <w:rPr>
          <w:lang w:val="es-ES"/>
        </w:rPr>
        <w:t xml:space="preserve"> estatal</w:t>
      </w:r>
      <w:r w:rsidR="00AF5EB3">
        <w:rPr>
          <w:lang w:val="es-ES"/>
        </w:rPr>
        <w:t>es</w:t>
      </w:r>
      <w:r w:rsidR="00410DB9" w:rsidRPr="00410DB9">
        <w:rPr>
          <w:lang w:val="es-ES"/>
        </w:rPr>
        <w:t xml:space="preserve">. Conforme a lo alegado por la parte peticionaria, la atribución de responsabilidad </w:t>
      </w:r>
      <w:r w:rsidR="00E01887">
        <w:rPr>
          <w:lang w:val="es-ES"/>
        </w:rPr>
        <w:t>al</w:t>
      </w:r>
      <w:r w:rsidR="00410DB9" w:rsidRPr="00410DB9">
        <w:rPr>
          <w:lang w:val="es-ES"/>
        </w:rPr>
        <w:t xml:space="preserve"> Estado por tales hechos </w:t>
      </w:r>
      <w:r w:rsidR="009833F8">
        <w:rPr>
          <w:lang w:val="es-ES"/>
        </w:rPr>
        <w:t>derivaría</w:t>
      </w:r>
      <w:r w:rsidR="004052B9">
        <w:rPr>
          <w:lang w:val="es-ES"/>
        </w:rPr>
        <w:t xml:space="preserve"> d</w:t>
      </w:r>
      <w:r w:rsidR="00410DB9" w:rsidRPr="00410DB9">
        <w:rPr>
          <w:lang w:val="es-ES"/>
        </w:rPr>
        <w:t xml:space="preserve">el artículo 1.1 de la Convención Americana, por </w:t>
      </w:r>
      <w:r w:rsidR="009F2714">
        <w:rPr>
          <w:lang w:val="es-ES"/>
        </w:rPr>
        <w:t xml:space="preserve">la falta de cumplimiento de </w:t>
      </w:r>
      <w:r w:rsidR="00410DB9">
        <w:rPr>
          <w:lang w:val="es-ES"/>
        </w:rPr>
        <w:t xml:space="preserve">su deber de </w:t>
      </w:r>
      <w:r w:rsidR="00462C0F" w:rsidRPr="00462C0F">
        <w:rPr>
          <w:lang w:val="es-ES"/>
        </w:rPr>
        <w:t>protección y de otorgar una debida administración de justicia</w:t>
      </w:r>
      <w:r w:rsidR="00410DB9" w:rsidRPr="00410DB9">
        <w:rPr>
          <w:lang w:val="es-ES"/>
        </w:rPr>
        <w:t xml:space="preserve">. </w:t>
      </w:r>
    </w:p>
    <w:p w14:paraId="2EE53761" w14:textId="77777777" w:rsidR="0011380E" w:rsidRPr="00824696" w:rsidRDefault="0011380E" w:rsidP="00A72DE3">
      <w:pPr>
        <w:rPr>
          <w:lang w:val="es-ES_tradnl" w:eastAsia="es-ES"/>
        </w:rPr>
      </w:pPr>
    </w:p>
    <w:p w14:paraId="2A8A473A" w14:textId="77777777" w:rsidR="00500B94" w:rsidRDefault="00D16405" w:rsidP="00460064">
      <w:pPr>
        <w:pStyle w:val="Heading2"/>
        <w:numPr>
          <w:ilvl w:val="0"/>
          <w:numId w:val="59"/>
        </w:numPr>
        <w:jc w:val="both"/>
        <w:rPr>
          <w:lang w:val="es-VE"/>
        </w:rPr>
      </w:pPr>
      <w:bookmarkStart w:id="12" w:name="_Toc535172809"/>
      <w:bookmarkStart w:id="13" w:name="_Toc22308274"/>
      <w:r>
        <w:rPr>
          <w:lang w:val="es-ES"/>
        </w:rPr>
        <w:t>D</w:t>
      </w:r>
      <w:r w:rsidR="00941DDC" w:rsidRPr="00460064">
        <w:rPr>
          <w:lang w:val="es-ES"/>
        </w:rPr>
        <w:t xml:space="preserve">erechos </w:t>
      </w:r>
      <w:r w:rsidR="00941DDC" w:rsidRPr="00325178">
        <w:rPr>
          <w:lang w:val="es-ES"/>
        </w:rPr>
        <w:t xml:space="preserve">a </w:t>
      </w:r>
      <w:r w:rsidR="00941DDC" w:rsidRPr="00325178">
        <w:rPr>
          <w:lang w:val="es-VE"/>
        </w:rPr>
        <w:t>la</w:t>
      </w:r>
      <w:r w:rsidR="00167601" w:rsidRPr="00325178">
        <w:rPr>
          <w:lang w:val="es-VE"/>
        </w:rPr>
        <w:t xml:space="preserve"> vida</w:t>
      </w:r>
      <w:r w:rsidR="00167601" w:rsidRPr="00325178">
        <w:rPr>
          <w:rStyle w:val="FootnoteReference"/>
          <w:lang w:val="es-VE"/>
        </w:rPr>
        <w:footnoteReference w:id="25"/>
      </w:r>
      <w:r w:rsidR="009C09CA">
        <w:rPr>
          <w:lang w:val="es-VE"/>
        </w:rPr>
        <w:t>,</w:t>
      </w:r>
      <w:r w:rsidR="000A3FA3">
        <w:rPr>
          <w:lang w:val="es-VE"/>
        </w:rPr>
        <w:t xml:space="preserve"> a la</w:t>
      </w:r>
      <w:r w:rsidR="00167601" w:rsidRPr="00325178">
        <w:rPr>
          <w:lang w:val="es-VE"/>
        </w:rPr>
        <w:t xml:space="preserve"> </w:t>
      </w:r>
      <w:r w:rsidR="00941DDC" w:rsidRPr="00325178">
        <w:rPr>
          <w:lang w:val="es-VE"/>
        </w:rPr>
        <w:t>integridad</w:t>
      </w:r>
      <w:r w:rsidR="00941DDC" w:rsidRPr="00460064">
        <w:rPr>
          <w:lang w:val="es-VE"/>
        </w:rPr>
        <w:t xml:space="preserve"> personal</w:t>
      </w:r>
      <w:r w:rsidR="00941DDC">
        <w:rPr>
          <w:rStyle w:val="FootnoteReference"/>
          <w:lang w:val="es-VE"/>
        </w:rPr>
        <w:footnoteReference w:id="26"/>
      </w:r>
      <w:bookmarkEnd w:id="12"/>
      <w:r w:rsidR="009C09CA">
        <w:rPr>
          <w:lang w:val="es-US"/>
        </w:rPr>
        <w:t xml:space="preserve"> y derechos del niño</w:t>
      </w:r>
      <w:r w:rsidR="009C09CA">
        <w:rPr>
          <w:rStyle w:val="FootnoteReference"/>
          <w:lang w:val="es-US"/>
        </w:rPr>
        <w:footnoteReference w:id="27"/>
      </w:r>
      <w:r w:rsidR="00735D83">
        <w:rPr>
          <w:lang w:val="es-US"/>
        </w:rPr>
        <w:t>,</w:t>
      </w:r>
      <w:r w:rsidR="00325178" w:rsidRPr="00325178">
        <w:rPr>
          <w:lang w:val="es-US"/>
        </w:rPr>
        <w:t xml:space="preserve"> </w:t>
      </w:r>
      <w:r w:rsidR="009942DE" w:rsidRPr="00460064">
        <w:rPr>
          <w:lang w:val="es-VE"/>
        </w:rPr>
        <w:t>en relación con el artículo 1.1</w:t>
      </w:r>
      <w:r w:rsidR="009942DE">
        <w:rPr>
          <w:rStyle w:val="FootnoteReference"/>
          <w:lang w:val="es-VE"/>
        </w:rPr>
        <w:footnoteReference w:id="28"/>
      </w:r>
      <w:r w:rsidR="009942DE" w:rsidRPr="00460064">
        <w:rPr>
          <w:lang w:val="es-VE"/>
        </w:rPr>
        <w:t xml:space="preserve"> de la Convención Americana</w:t>
      </w:r>
      <w:bookmarkEnd w:id="13"/>
    </w:p>
    <w:p w14:paraId="15DB3E62" w14:textId="77777777" w:rsidR="001B0717" w:rsidRPr="001B0717" w:rsidRDefault="001B0717" w:rsidP="001B0717">
      <w:pPr>
        <w:rPr>
          <w:lang w:val="es-ES_tradnl"/>
        </w:rPr>
      </w:pPr>
    </w:p>
    <w:p w14:paraId="16F505ED" w14:textId="77777777" w:rsidR="0021451E" w:rsidRDefault="0077490C" w:rsidP="0021451E">
      <w:pPr>
        <w:pStyle w:val="ListParagraph"/>
        <w:rPr>
          <w:lang w:val="es-ES"/>
        </w:rPr>
      </w:pPr>
      <w:r w:rsidRPr="002856B4">
        <w:rPr>
          <w:lang w:val="es-ES"/>
        </w:rPr>
        <w:t xml:space="preserve">La </w:t>
      </w:r>
      <w:r w:rsidR="00F51DC1" w:rsidRPr="004C3C03">
        <w:rPr>
          <w:lang w:val="es-ES"/>
        </w:rPr>
        <w:t>Corte Interamericana de Derechos Humanos (“Corte”)</w:t>
      </w:r>
      <w:r w:rsidR="00D25C04" w:rsidRPr="004C3C03">
        <w:rPr>
          <w:lang w:val="es-ES"/>
        </w:rPr>
        <w:t xml:space="preserve"> </w:t>
      </w:r>
      <w:r w:rsidRPr="002856B4">
        <w:rPr>
          <w:lang w:val="es-ES"/>
        </w:rPr>
        <w:t>ha establecido que “el derecho a la vida ocupa un espacio fundamental en la Convención Americana, por ser el presupuesto esencial para el ejercicio de los demás d</w:t>
      </w:r>
      <w:r w:rsidR="0072640D" w:rsidRPr="002856B4">
        <w:rPr>
          <w:lang w:val="es-ES"/>
        </w:rPr>
        <w:t>erechos. Los Estados tienen la obligación de garantizar la creación de las condiciones que se requieran para que no se produzcan violaciones de ese derecho inalienable”</w:t>
      </w:r>
      <w:r w:rsidR="0072640D" w:rsidRPr="002856B4">
        <w:rPr>
          <w:rStyle w:val="FootnoteReference"/>
          <w:lang w:val="es-ES"/>
        </w:rPr>
        <w:footnoteReference w:id="29"/>
      </w:r>
      <w:r w:rsidR="0072640D" w:rsidRPr="002856B4">
        <w:rPr>
          <w:lang w:val="es-ES"/>
        </w:rPr>
        <w:t>.</w:t>
      </w:r>
      <w:r w:rsidR="0072640D">
        <w:rPr>
          <w:lang w:val="es-ES"/>
        </w:rPr>
        <w:t xml:space="preserve"> </w:t>
      </w:r>
      <w:r w:rsidR="0021451E">
        <w:rPr>
          <w:lang w:val="es-ES"/>
        </w:rPr>
        <w:t>La protección activa del derecho a la vida por parte del Estado, involucra también a quienes deben resguardar la seguridad e impone al Estado el deber de adoptar las medidas necesarias no solo “</w:t>
      </w:r>
      <w:r w:rsidR="0021451E" w:rsidRPr="0021451E">
        <w:rPr>
          <w:lang w:val="es-ES"/>
        </w:rPr>
        <w:t>para prevenir, suprimir y castigar la privación de la vida como consecuencia de actos criminales, sino también para prevenir y proteger a los individuos de actos criminales de otros individuos e investigar efectivamente estas situaciones</w:t>
      </w:r>
      <w:r w:rsidR="0021451E">
        <w:rPr>
          <w:lang w:val="es-ES"/>
        </w:rPr>
        <w:t>”</w:t>
      </w:r>
      <w:r w:rsidR="0021451E">
        <w:rPr>
          <w:rStyle w:val="FootnoteReference"/>
          <w:lang w:val="es-ES"/>
        </w:rPr>
        <w:footnoteReference w:id="30"/>
      </w:r>
      <w:r w:rsidR="002856B4">
        <w:rPr>
          <w:lang w:val="es-ES"/>
        </w:rPr>
        <w:t>.</w:t>
      </w:r>
    </w:p>
    <w:p w14:paraId="50F12425" w14:textId="77777777" w:rsidR="0021451E" w:rsidRDefault="0021451E" w:rsidP="0021451E">
      <w:pPr>
        <w:pStyle w:val="ListParagraph"/>
        <w:numPr>
          <w:ilvl w:val="0"/>
          <w:numId w:val="0"/>
        </w:numPr>
        <w:rPr>
          <w:lang w:val="es-ES"/>
        </w:rPr>
      </w:pPr>
    </w:p>
    <w:p w14:paraId="4E04917B" w14:textId="77777777" w:rsidR="009B56A1" w:rsidRDefault="00933B8C" w:rsidP="00133E2A">
      <w:pPr>
        <w:pStyle w:val="ListParagraph"/>
        <w:rPr>
          <w:lang w:val="es-ES"/>
        </w:rPr>
      </w:pPr>
      <w:r w:rsidRPr="00133E2A">
        <w:rPr>
          <w:lang w:val="es-ES"/>
        </w:rPr>
        <w:t>Por su parte, e</w:t>
      </w:r>
      <w:r w:rsidR="000725CF" w:rsidRPr="00133E2A">
        <w:rPr>
          <w:lang w:val="es-ES"/>
        </w:rPr>
        <w:t>l artículo 5.1 de l</w:t>
      </w:r>
      <w:r w:rsidR="009B56A1" w:rsidRPr="00133E2A">
        <w:rPr>
          <w:lang w:val="es-ES"/>
        </w:rPr>
        <w:t>a Convención reconoce expresamente el derecho a la integridad personal, físi</w:t>
      </w:r>
      <w:r w:rsidR="001063A4" w:rsidRPr="00133E2A">
        <w:rPr>
          <w:lang w:val="es-ES"/>
        </w:rPr>
        <w:t>ca</w:t>
      </w:r>
      <w:r w:rsidR="000725CF" w:rsidRPr="00133E2A">
        <w:rPr>
          <w:lang w:val="es-ES"/>
        </w:rPr>
        <w:t>,</w:t>
      </w:r>
      <w:r w:rsidR="001063A4" w:rsidRPr="00133E2A">
        <w:rPr>
          <w:lang w:val="es-ES"/>
        </w:rPr>
        <w:t xml:space="preserve"> psíquica</w:t>
      </w:r>
      <w:r w:rsidR="000725CF" w:rsidRPr="00133E2A">
        <w:rPr>
          <w:lang w:val="es-ES"/>
        </w:rPr>
        <w:t xml:space="preserve"> y moral</w:t>
      </w:r>
      <w:r w:rsidR="001063A4" w:rsidRPr="00133E2A">
        <w:rPr>
          <w:lang w:val="es-ES"/>
        </w:rPr>
        <w:t>, cuya infracción “</w:t>
      </w:r>
      <w:r w:rsidR="009B56A1" w:rsidRPr="00133E2A">
        <w:rPr>
          <w:lang w:val="es-ES"/>
        </w:rPr>
        <w:t>es una clase de violación que tiene diversas connotaciones de grado y [...] cuyas secuelas físicas y psíquicas varían de intensidad según los factores endógenos y exógenos que deberán ser demostrados en cada situación concreta</w:t>
      </w:r>
      <w:r w:rsidR="001063A4" w:rsidRPr="00133E2A">
        <w:rPr>
          <w:lang w:val="es-ES"/>
        </w:rPr>
        <w:t>”</w:t>
      </w:r>
      <w:r w:rsidR="001063A4">
        <w:rPr>
          <w:rStyle w:val="FootnoteReference"/>
          <w:lang w:val="es-ES"/>
        </w:rPr>
        <w:footnoteReference w:id="31"/>
      </w:r>
      <w:r w:rsidR="009B56A1" w:rsidRPr="00133E2A">
        <w:rPr>
          <w:lang w:val="es-ES"/>
        </w:rPr>
        <w:t xml:space="preserve">. </w:t>
      </w:r>
      <w:r w:rsidR="002856B4" w:rsidRPr="00133E2A">
        <w:rPr>
          <w:lang w:val="es-ES"/>
        </w:rPr>
        <w:t>L</w:t>
      </w:r>
      <w:r w:rsidR="009B56A1" w:rsidRPr="00133E2A">
        <w:rPr>
          <w:lang w:val="es-ES"/>
        </w:rPr>
        <w:t xml:space="preserve">a Corte ha sostenido en </w:t>
      </w:r>
      <w:r w:rsidR="00E43099" w:rsidRPr="00133E2A">
        <w:rPr>
          <w:lang w:val="es-ES"/>
        </w:rPr>
        <w:t xml:space="preserve">reiteradas </w:t>
      </w:r>
      <w:r w:rsidR="009B56A1" w:rsidRPr="00133E2A">
        <w:rPr>
          <w:lang w:val="es-ES"/>
        </w:rPr>
        <w:t>oportunidades que</w:t>
      </w:r>
      <w:r w:rsidR="00133E2A">
        <w:rPr>
          <w:lang w:val="es-ES"/>
        </w:rPr>
        <w:t xml:space="preserve"> </w:t>
      </w:r>
      <w:r w:rsidR="000342ED">
        <w:rPr>
          <w:lang w:val="es-ES"/>
        </w:rPr>
        <w:t>“</w:t>
      </w:r>
      <w:r w:rsidR="009B56A1" w:rsidRPr="009B56A1">
        <w:rPr>
          <w:lang w:val="es-ES"/>
        </w:rPr>
        <w:t xml:space="preserve">la mera amenaza de que ocurra una conducta prohibida por el artículo 5 de la Convención, cuando sea </w:t>
      </w:r>
      <w:r w:rsidR="009B56A1" w:rsidRPr="009B56A1">
        <w:rPr>
          <w:lang w:val="es-ES"/>
        </w:rPr>
        <w:lastRenderedPageBreak/>
        <w:t xml:space="preserve">suficientemente real e inminente, puede en sí </w:t>
      </w:r>
      <w:r w:rsidR="009B56A1" w:rsidRPr="00133E2A">
        <w:rPr>
          <w:lang w:val="es-US"/>
        </w:rPr>
        <w:t>misma</w:t>
      </w:r>
      <w:r w:rsidR="009B56A1" w:rsidRPr="009B56A1">
        <w:rPr>
          <w:lang w:val="es-ES"/>
        </w:rPr>
        <w:t xml:space="preserve"> estar en conflicto con el derecho a la integridad personal</w:t>
      </w:r>
      <w:r w:rsidR="000342ED">
        <w:rPr>
          <w:lang w:val="es-ES"/>
        </w:rPr>
        <w:t>”</w:t>
      </w:r>
      <w:r w:rsidR="000342ED">
        <w:rPr>
          <w:rStyle w:val="FootnoteReference"/>
          <w:lang w:val="es-ES"/>
        </w:rPr>
        <w:footnoteReference w:id="32"/>
      </w:r>
      <w:r>
        <w:rPr>
          <w:lang w:val="es-ES"/>
        </w:rPr>
        <w:t>.</w:t>
      </w:r>
    </w:p>
    <w:p w14:paraId="204E070F" w14:textId="77777777" w:rsidR="00F51DC1" w:rsidRDefault="00F51DC1" w:rsidP="00F51DC1">
      <w:pPr>
        <w:pStyle w:val="ListParagraph"/>
        <w:numPr>
          <w:ilvl w:val="0"/>
          <w:numId w:val="0"/>
        </w:numPr>
        <w:rPr>
          <w:lang w:val="es-ES"/>
        </w:rPr>
      </w:pPr>
    </w:p>
    <w:p w14:paraId="6C718916" w14:textId="77777777" w:rsidR="00D25C04" w:rsidRPr="00D25C04" w:rsidRDefault="00F51DC1" w:rsidP="00C55B05">
      <w:pPr>
        <w:pStyle w:val="ListParagraph"/>
        <w:rPr>
          <w:lang w:val="es-ES"/>
        </w:rPr>
      </w:pPr>
      <w:r>
        <w:rPr>
          <w:lang w:val="es-ES"/>
        </w:rPr>
        <w:t>Dado que</w:t>
      </w:r>
      <w:r w:rsidR="00735D83">
        <w:rPr>
          <w:lang w:val="es-ES"/>
        </w:rPr>
        <w:t>,</w:t>
      </w:r>
      <w:r>
        <w:rPr>
          <w:lang w:val="es-ES"/>
        </w:rPr>
        <w:t xml:space="preserve"> como se ha señalado anteriormente</w:t>
      </w:r>
      <w:r w:rsidR="00735D83">
        <w:rPr>
          <w:lang w:val="es-ES"/>
        </w:rPr>
        <w:t>,</w:t>
      </w:r>
      <w:r>
        <w:rPr>
          <w:lang w:val="es-ES"/>
        </w:rPr>
        <w:t xml:space="preserve"> en el presente caso las amenazas y atentado</w:t>
      </w:r>
      <w:r w:rsidR="00735D83">
        <w:rPr>
          <w:lang w:val="es-ES"/>
        </w:rPr>
        <w:t>s de los que fueron víctimas</w:t>
      </w:r>
      <w:r>
        <w:rPr>
          <w:lang w:val="es-ES"/>
        </w:rPr>
        <w:t xml:space="preserve"> Baptiste Willer </w:t>
      </w:r>
      <w:r w:rsidR="00735D83">
        <w:rPr>
          <w:lang w:val="es-ES"/>
        </w:rPr>
        <w:t xml:space="preserve">y su familia </w:t>
      </w:r>
      <w:r>
        <w:rPr>
          <w:lang w:val="es-ES"/>
        </w:rPr>
        <w:t>no resultan directamente atribuibles a agentes de</w:t>
      </w:r>
      <w:r w:rsidR="00735D83">
        <w:rPr>
          <w:lang w:val="es-ES"/>
        </w:rPr>
        <w:t>l Estado, corresponde analizarlo</w:t>
      </w:r>
      <w:r>
        <w:rPr>
          <w:lang w:val="es-ES"/>
        </w:rPr>
        <w:t xml:space="preserve">s bajo el deber de protección, como componente de la obligación de garantía. </w:t>
      </w:r>
      <w:r w:rsidRPr="00462C0F">
        <w:rPr>
          <w:lang w:val="es-ES"/>
        </w:rPr>
        <w:t xml:space="preserve">Al </w:t>
      </w:r>
      <w:r>
        <w:rPr>
          <w:lang w:val="es-ES"/>
        </w:rPr>
        <w:t>respecto, la CIDH recalca que,</w:t>
      </w:r>
      <w:r w:rsidRPr="00462C0F">
        <w:rPr>
          <w:lang w:val="es-ES"/>
        </w:rPr>
        <w:t xml:space="preserve"> en cumplimiento de su deber general del artículo 1.1 de la Convención, los Estados no solo debe</w:t>
      </w:r>
      <w:r>
        <w:rPr>
          <w:lang w:val="es-ES"/>
        </w:rPr>
        <w:t>n</w:t>
      </w:r>
      <w:r w:rsidRPr="00462C0F">
        <w:rPr>
          <w:lang w:val="es-ES"/>
        </w:rPr>
        <w:t xml:space="preserve"> respetar los derechos allí consagrados, sino que deben adoptar “todas las medidas apropiadas para garantizarlos”</w:t>
      </w:r>
      <w:r>
        <w:rPr>
          <w:vertAlign w:val="superscript"/>
        </w:rPr>
        <w:footnoteReference w:id="33"/>
      </w:r>
      <w:r w:rsidRPr="00462C0F">
        <w:rPr>
          <w:lang w:val="es-ES"/>
        </w:rPr>
        <w:t>. L</w:t>
      </w:r>
      <w:r w:rsidRPr="00462C0F">
        <w:rPr>
          <w:bdr w:val="none" w:sz="0" w:space="0" w:color="auto"/>
          <w:lang w:val="es-ES"/>
        </w:rPr>
        <w:t>a obligación de garantía</w:t>
      </w:r>
      <w:r>
        <w:rPr>
          <w:bdr w:val="none" w:sz="0" w:space="0" w:color="auto"/>
          <w:lang w:val="es-ES"/>
        </w:rPr>
        <w:t>,</w:t>
      </w:r>
      <w:r w:rsidRPr="00462C0F">
        <w:rPr>
          <w:bdr w:val="none" w:sz="0" w:space="0" w:color="auto"/>
          <w:lang w:val="es-ES"/>
        </w:rPr>
        <w:t xml:space="preserve"> efectivamente</w:t>
      </w:r>
      <w:r>
        <w:rPr>
          <w:bdr w:val="none" w:sz="0" w:space="0" w:color="auto"/>
          <w:lang w:val="es-ES"/>
        </w:rPr>
        <w:t>,</w:t>
      </w:r>
      <w:r w:rsidRPr="00462C0F">
        <w:rPr>
          <w:bdr w:val="none" w:sz="0" w:space="0" w:color="auto"/>
          <w:lang w:val="es-ES"/>
        </w:rPr>
        <w:t xml:space="preserve"> se proyecta más allá de la relación entre los agentes estatales y las personas sometidas a su jurisdicción, “abarcando asimismo el deber de prevenir, en la esfera privada, que terceros vulneren los bienes jurídicos protegidos”</w:t>
      </w:r>
      <w:r w:rsidRPr="007D289F">
        <w:rPr>
          <w:bdr w:val="none" w:sz="0" w:space="0" w:color="auto"/>
          <w:vertAlign w:val="superscript"/>
        </w:rPr>
        <w:footnoteReference w:id="34"/>
      </w:r>
      <w:r w:rsidRPr="00462C0F">
        <w:rPr>
          <w:bdr w:val="none" w:sz="0" w:space="0" w:color="auto"/>
          <w:lang w:val="es-ES"/>
        </w:rPr>
        <w:t xml:space="preserve">. </w:t>
      </w:r>
    </w:p>
    <w:p w14:paraId="5AA50B80" w14:textId="77777777" w:rsidR="00D25C04" w:rsidRPr="00D25C04" w:rsidRDefault="00D25C04" w:rsidP="00C55B05">
      <w:pPr>
        <w:pStyle w:val="ListParagraph"/>
        <w:numPr>
          <w:ilvl w:val="0"/>
          <w:numId w:val="0"/>
        </w:numPr>
        <w:rPr>
          <w:lang w:val="es-ES"/>
        </w:rPr>
      </w:pPr>
    </w:p>
    <w:p w14:paraId="08B706BE" w14:textId="77777777" w:rsidR="004C3C03" w:rsidRDefault="00F51DC1" w:rsidP="00C55B05">
      <w:pPr>
        <w:pStyle w:val="ListParagraph"/>
        <w:rPr>
          <w:lang w:val="es-ES"/>
        </w:rPr>
      </w:pPr>
      <w:r w:rsidRPr="00462C0F">
        <w:rPr>
          <w:bdr w:val="none" w:sz="0" w:space="0" w:color="auto"/>
          <w:lang w:val="es-ES"/>
        </w:rPr>
        <w:t xml:space="preserve">Sin embargo, como lo ha indicado la jurisprudencia consistente de </w:t>
      </w:r>
      <w:r w:rsidR="004C3C03">
        <w:rPr>
          <w:bdr w:val="none" w:sz="0" w:space="0" w:color="auto"/>
          <w:lang w:val="es-ES"/>
        </w:rPr>
        <w:t>la Corte, u</w:t>
      </w:r>
      <w:r w:rsidRPr="007D289F">
        <w:rPr>
          <w:lang w:val="es-ES"/>
        </w:rPr>
        <w:t>n Estado no puede ser responsable por cualquier violación de derechos humanos cometida entre particulares dentro de su jurisdicción</w:t>
      </w:r>
      <w:r w:rsidR="001D098F">
        <w:rPr>
          <w:rStyle w:val="FootnoteReference"/>
          <w:lang w:val="es-ES"/>
        </w:rPr>
        <w:footnoteReference w:id="35"/>
      </w:r>
      <w:r w:rsidR="004C3C03">
        <w:rPr>
          <w:lang w:val="es-ES"/>
        </w:rPr>
        <w:t>, ya que “</w:t>
      </w:r>
      <w:r w:rsidRPr="00D25C04">
        <w:rPr>
          <w:lang w:val="es-ES"/>
        </w:rPr>
        <w:t>sus deberes de adoptar medidas de prevención y protección de los particulares en sus relaciones entre sí se encuentran condicionados al conocimiento de una situación de riesgo real e inmediato para un individuo […] y las posibilidades razonables de prevenir o evitar ese riesgo</w:t>
      </w:r>
      <w:r w:rsidR="00B5500A">
        <w:rPr>
          <w:lang w:val="es-ES"/>
        </w:rPr>
        <w:t>”</w:t>
      </w:r>
      <w:r w:rsidRPr="007D289F">
        <w:rPr>
          <w:vertAlign w:val="superscript"/>
        </w:rPr>
        <w:footnoteReference w:id="36"/>
      </w:r>
      <w:r w:rsidRPr="00D25C04">
        <w:rPr>
          <w:lang w:val="es-ES"/>
        </w:rPr>
        <w:t xml:space="preserve">. </w:t>
      </w:r>
      <w:r w:rsidR="00D25C04" w:rsidRPr="00D25C04">
        <w:rPr>
          <w:lang w:val="es-ES"/>
        </w:rPr>
        <w:t xml:space="preserve">En particular, </w:t>
      </w:r>
    </w:p>
    <w:p w14:paraId="708A674F" w14:textId="77777777" w:rsidR="004C3C03" w:rsidRDefault="004C3C03" w:rsidP="00B5500A">
      <w:pPr>
        <w:pStyle w:val="ListParagraph"/>
        <w:numPr>
          <w:ilvl w:val="0"/>
          <w:numId w:val="0"/>
        </w:numPr>
        <w:rPr>
          <w:lang w:val="es-ES"/>
        </w:rPr>
      </w:pPr>
    </w:p>
    <w:p w14:paraId="08AA3C10" w14:textId="77777777" w:rsidR="00377700" w:rsidRPr="00377700" w:rsidRDefault="00D25C04" w:rsidP="00C55B05">
      <w:pPr>
        <w:pStyle w:val="Quote"/>
        <w:rPr>
          <w:lang w:val="es-ES"/>
        </w:rPr>
      </w:pPr>
      <w:r w:rsidRPr="00C55B05">
        <w:rPr>
          <w:rFonts w:eastAsia="Cambria"/>
          <w:iCs w:val="0"/>
          <w:u w:color="000000"/>
          <w:bdr w:val="nil"/>
          <w:lang w:val="es-MX"/>
        </w:rPr>
        <w:t>a fin de establecer un incumplimiento del deber de prevenir violaciones a los derechos a la vida e integridad personal, debe verificarse que: i) las autoridades estatales sabían, o debían haber sabido, de la existencia de un riesgo real e inmediato para la vida y/o integridad personal de un individuo o grupo de individuos determinado, y que ii) tales autoridades no adoptaron las medidas necesarias dentro del ámbito de sus atribuciones que, juzgadas razonablemente, podían esperarse para prevenir o evitar ese riesgo</w:t>
      </w:r>
      <w:r w:rsidR="00623729">
        <w:rPr>
          <w:rStyle w:val="FootnoteReference"/>
          <w:rFonts w:eastAsia="Cambria"/>
          <w:u w:color="000000"/>
          <w:bdr w:val="nil"/>
          <w:lang w:val="es-MX"/>
        </w:rPr>
        <w:footnoteReference w:id="37"/>
      </w:r>
      <w:r>
        <w:rPr>
          <w:lang w:val="es-MX"/>
        </w:rPr>
        <w:t>.</w:t>
      </w:r>
    </w:p>
    <w:p w14:paraId="05CED6C2" w14:textId="77777777" w:rsidR="004C3C03" w:rsidRDefault="004C3C03" w:rsidP="00C55B05">
      <w:pPr>
        <w:rPr>
          <w:lang w:val="es-ES"/>
        </w:rPr>
      </w:pPr>
    </w:p>
    <w:p w14:paraId="6B1172A4" w14:textId="77777777" w:rsidR="00687B20" w:rsidRDefault="002B569A" w:rsidP="00C55B05">
      <w:pPr>
        <w:pStyle w:val="ListParagraph"/>
        <w:rPr>
          <w:lang w:val="es-ES"/>
        </w:rPr>
      </w:pPr>
      <w:r>
        <w:rPr>
          <w:lang w:val="es-ES"/>
        </w:rPr>
        <w:t>Además, e</w:t>
      </w:r>
      <w:r w:rsidR="00687B20">
        <w:rPr>
          <w:lang w:val="es-ES"/>
        </w:rPr>
        <w:t>l</w:t>
      </w:r>
      <w:r w:rsidR="00BD0A7E">
        <w:rPr>
          <w:lang w:val="es-ES"/>
        </w:rPr>
        <w:t xml:space="preserve"> </w:t>
      </w:r>
      <w:r w:rsidR="00462C0F">
        <w:rPr>
          <w:lang w:val="es-ES"/>
        </w:rPr>
        <w:t xml:space="preserve">deber de garantía puede ser cumplido </w:t>
      </w:r>
      <w:r>
        <w:rPr>
          <w:lang w:val="es-ES"/>
        </w:rPr>
        <w:t xml:space="preserve">por el Estado </w:t>
      </w:r>
      <w:r w:rsidR="00462C0F">
        <w:rPr>
          <w:lang w:val="es-ES"/>
        </w:rPr>
        <w:t>de diferentes maneras “en función del derecho específico que el Estado deba garantizar y de las particulares necesidades de protección”, para lo cual el Estado deberá organizar el aparato estatal a fin de “asegurar jurídicamente el libre y pleno ejercicio de los derechos humanos”</w:t>
      </w:r>
      <w:r w:rsidR="00462C0F">
        <w:rPr>
          <w:rStyle w:val="FootnoteReference"/>
          <w:lang w:val="es-ES"/>
        </w:rPr>
        <w:footnoteReference w:id="38"/>
      </w:r>
      <w:r w:rsidR="00462C0F">
        <w:rPr>
          <w:lang w:val="es-ES"/>
        </w:rPr>
        <w:t xml:space="preserve">. </w:t>
      </w:r>
    </w:p>
    <w:p w14:paraId="1767F731" w14:textId="77777777" w:rsidR="00687B20" w:rsidRDefault="00687B20" w:rsidP="00687B20">
      <w:pPr>
        <w:pStyle w:val="ListParagraph"/>
        <w:numPr>
          <w:ilvl w:val="0"/>
          <w:numId w:val="0"/>
        </w:numPr>
        <w:rPr>
          <w:lang w:val="es-ES"/>
        </w:rPr>
      </w:pPr>
    </w:p>
    <w:p w14:paraId="0A82BECA" w14:textId="77777777" w:rsidR="009B4D16" w:rsidRPr="009C09CA" w:rsidRDefault="005E58CF" w:rsidP="00C55B05">
      <w:pPr>
        <w:pStyle w:val="ListParagraph"/>
        <w:rPr>
          <w:lang w:val="es-MX"/>
        </w:rPr>
      </w:pPr>
      <w:r>
        <w:rPr>
          <w:lang w:val="es-MX"/>
        </w:rPr>
        <w:t>Por otra parte, c</w:t>
      </w:r>
      <w:r w:rsidR="00687B20" w:rsidRPr="008E6D7A">
        <w:rPr>
          <w:lang w:val="es-MX"/>
        </w:rPr>
        <w:t>omo ha establecido expresamente la Corte</w:t>
      </w:r>
      <w:r>
        <w:rPr>
          <w:lang w:val="es-MX"/>
        </w:rPr>
        <w:t>,</w:t>
      </w:r>
      <w:r w:rsidR="00687B20" w:rsidRPr="008E6D7A">
        <w:rPr>
          <w:lang w:val="es-MX"/>
        </w:rPr>
        <w:t xml:space="preserve"> </w:t>
      </w:r>
      <w:r w:rsidR="00687B20" w:rsidRPr="008E6D7A">
        <w:rPr>
          <w:lang w:val="es-US"/>
        </w:rPr>
        <w:t>no corresponde exigir a la persona afectada “</w:t>
      </w:r>
      <w:r w:rsidR="00687B20" w:rsidRPr="008E6D7A">
        <w:rPr>
          <w:lang w:val="es-MX"/>
        </w:rPr>
        <w:t>que conozca con exactitud cuál es la autoridad en mejor capacidad de atender su situación, ya que corresponde al Estado establecer medidas de coordinación entre sus entidades y funcionarios para tal fin”</w:t>
      </w:r>
      <w:r w:rsidR="00687B20" w:rsidRPr="00AD78EA">
        <w:rPr>
          <w:vertAlign w:val="superscript"/>
          <w:lang w:val="es-MX"/>
        </w:rPr>
        <w:footnoteReference w:id="39"/>
      </w:r>
      <w:r w:rsidR="009B4D16">
        <w:rPr>
          <w:lang w:val="es-MX"/>
        </w:rPr>
        <w:t xml:space="preserve">. Asimismo, </w:t>
      </w:r>
      <w:r w:rsidR="009B4D16" w:rsidRPr="009B4D16">
        <w:rPr>
          <w:lang w:val="es-MX"/>
        </w:rPr>
        <w:t>“</w:t>
      </w:r>
      <w:r w:rsidR="009B4D16" w:rsidRPr="009B4D16">
        <w:rPr>
          <w:lang w:val="es-US"/>
        </w:rPr>
        <w:t>corresponde a las autoridades estatales que toman conocimiento de la situación de riesgo especial, identificar o valorar si la persona objeto de amenazas y hostigamientos requiere de medidas de protección o remitir a la autoridad competente para hacerlo, así como ofrecer a la persona en riesgo información oportuna sobre las medidas disponibles”</w:t>
      </w:r>
      <w:r w:rsidR="009B4D16">
        <w:rPr>
          <w:rStyle w:val="FootnoteReference"/>
          <w:lang w:val="es-US"/>
        </w:rPr>
        <w:footnoteReference w:id="40"/>
      </w:r>
      <w:r w:rsidR="009B4D16" w:rsidRPr="009B4D16">
        <w:rPr>
          <w:lang w:val="es-US"/>
        </w:rPr>
        <w:t xml:space="preserve">. </w:t>
      </w:r>
    </w:p>
    <w:p w14:paraId="54DDF065" w14:textId="77777777" w:rsidR="009C09CA" w:rsidRPr="009C09CA" w:rsidRDefault="009C09CA" w:rsidP="009C09CA">
      <w:pPr>
        <w:pStyle w:val="ListParagraph"/>
        <w:numPr>
          <w:ilvl w:val="0"/>
          <w:numId w:val="0"/>
        </w:numPr>
        <w:rPr>
          <w:lang w:val="es-MX"/>
        </w:rPr>
      </w:pPr>
    </w:p>
    <w:p w14:paraId="615C488D" w14:textId="77777777" w:rsidR="009C09CA" w:rsidRPr="009B4D16" w:rsidRDefault="009C09CA" w:rsidP="00C55B05">
      <w:pPr>
        <w:pStyle w:val="ListParagraph"/>
        <w:rPr>
          <w:lang w:val="es-MX"/>
        </w:rPr>
      </w:pPr>
      <w:r w:rsidRPr="009C09CA">
        <w:rPr>
          <w:lang w:val="es-US"/>
        </w:rPr>
        <w:t>Por otra parte, como ha indicado la jurisprudencia consistente</w:t>
      </w:r>
      <w:r w:rsidR="006C1AE7">
        <w:rPr>
          <w:lang w:val="es-US"/>
        </w:rPr>
        <w:t xml:space="preserve"> de la Corte</w:t>
      </w:r>
      <w:r w:rsidRPr="009C09CA">
        <w:rPr>
          <w:lang w:val="es-US"/>
        </w:rPr>
        <w:t xml:space="preserve">, los niños y niñas son titulares de un derecho adicional y complementario, “que el tratado establece para seres humanos que por su desarrollo </w:t>
      </w:r>
      <w:r w:rsidRPr="009C09CA">
        <w:rPr>
          <w:lang w:val="es-US"/>
        </w:rPr>
        <w:lastRenderedPageBreak/>
        <w:t>físico y emocional necesitan medidas de protección especial”</w:t>
      </w:r>
      <w:r w:rsidRPr="009C09CA">
        <w:rPr>
          <w:vertAlign w:val="superscript"/>
          <w:lang w:val="es-ES"/>
        </w:rPr>
        <w:footnoteReference w:id="41"/>
      </w:r>
      <w:r w:rsidRPr="009C09CA">
        <w:rPr>
          <w:lang w:val="es-US"/>
        </w:rPr>
        <w:t>. En consecuencia, niños y niñas son titulares tanto de los derechos humanos que corresponden a todas las personas, como de aquellos derechos especiales derivados de su condición</w:t>
      </w:r>
      <w:r w:rsidRPr="009C09CA">
        <w:rPr>
          <w:vertAlign w:val="superscript"/>
          <w:lang w:val="es-ES"/>
        </w:rPr>
        <w:footnoteReference w:id="42"/>
      </w:r>
      <w:r w:rsidRPr="009C09CA">
        <w:rPr>
          <w:lang w:val="es-US"/>
        </w:rPr>
        <w:t>, tomando en consideración su condición particular de vulnerabilidad</w:t>
      </w:r>
      <w:r w:rsidRPr="009C09CA">
        <w:rPr>
          <w:vertAlign w:val="superscript"/>
          <w:lang w:val="es-ES"/>
        </w:rPr>
        <w:footnoteReference w:id="43"/>
      </w:r>
      <w:r w:rsidRPr="009C09CA">
        <w:rPr>
          <w:lang w:val="es-US"/>
        </w:rPr>
        <w:t>. Para resguardar tales derechos es necesario adoptar medidas especiales de protección</w:t>
      </w:r>
      <w:r w:rsidRPr="009C09CA">
        <w:rPr>
          <w:vertAlign w:val="superscript"/>
          <w:lang w:val="es-ES"/>
        </w:rPr>
        <w:footnoteReference w:id="44"/>
      </w:r>
      <w:r w:rsidRPr="009C09CA">
        <w:rPr>
          <w:lang w:val="es-US"/>
        </w:rPr>
        <w:t xml:space="preserve">, basadas en el </w:t>
      </w:r>
      <w:r w:rsidRPr="009C09CA">
        <w:rPr>
          <w:lang w:val="es-VE"/>
        </w:rPr>
        <w:t>principio del interés superior de niños y niñas</w:t>
      </w:r>
      <w:r w:rsidRPr="009C09CA">
        <w:rPr>
          <w:vertAlign w:val="superscript"/>
          <w:lang w:val="es-VE"/>
        </w:rPr>
        <w:footnoteReference w:id="45"/>
      </w:r>
      <w:r w:rsidRPr="009C09CA">
        <w:rPr>
          <w:lang w:val="es-US"/>
        </w:rPr>
        <w:t>.</w:t>
      </w:r>
    </w:p>
    <w:p w14:paraId="2C583EB6" w14:textId="77777777" w:rsidR="009B4D16" w:rsidRPr="00C55B05" w:rsidRDefault="009B4D16" w:rsidP="00687B20">
      <w:pPr>
        <w:pStyle w:val="ListParagraph"/>
        <w:numPr>
          <w:ilvl w:val="0"/>
          <w:numId w:val="0"/>
        </w:numPr>
        <w:rPr>
          <w:lang w:val="es-MX"/>
        </w:rPr>
      </w:pPr>
    </w:p>
    <w:p w14:paraId="506A9EC3" w14:textId="77777777" w:rsidR="00687B20" w:rsidRPr="00C55B05" w:rsidRDefault="00687B20" w:rsidP="006C1AE7">
      <w:pPr>
        <w:pStyle w:val="Heading3"/>
        <w:numPr>
          <w:ilvl w:val="0"/>
          <w:numId w:val="0"/>
        </w:numPr>
        <w:ind w:left="720"/>
        <w:rPr>
          <w:lang w:val="es-ES"/>
        </w:rPr>
      </w:pPr>
      <w:bookmarkStart w:id="14" w:name="_Toc22308275"/>
      <w:r>
        <w:rPr>
          <w:lang w:val="es-ES"/>
        </w:rPr>
        <w:t>Análisis en el presente caso</w:t>
      </w:r>
      <w:bookmarkEnd w:id="14"/>
    </w:p>
    <w:p w14:paraId="25598618" w14:textId="77777777" w:rsidR="00462C0F" w:rsidRPr="00462C0F" w:rsidRDefault="00462C0F" w:rsidP="00687B20">
      <w:pPr>
        <w:pStyle w:val="ListParagraph"/>
        <w:numPr>
          <w:ilvl w:val="0"/>
          <w:numId w:val="0"/>
        </w:numPr>
        <w:rPr>
          <w:rFonts w:asciiTheme="majorHAnsi" w:hAnsiTheme="majorHAnsi"/>
          <w:lang w:val="es-ES_tradnl"/>
        </w:rPr>
      </w:pPr>
    </w:p>
    <w:p w14:paraId="767A05BB" w14:textId="77777777" w:rsidR="00687B20" w:rsidRPr="00687B20" w:rsidRDefault="00687B20" w:rsidP="00687B20">
      <w:pPr>
        <w:pStyle w:val="ListParagraph"/>
        <w:rPr>
          <w:lang w:val="es-MX"/>
        </w:rPr>
      </w:pPr>
      <w:r>
        <w:rPr>
          <w:lang w:val="es-MX"/>
        </w:rPr>
        <w:t>A continuación</w:t>
      </w:r>
      <w:r w:rsidR="005A72AE">
        <w:rPr>
          <w:lang w:val="es-MX"/>
        </w:rPr>
        <w:t>,</w:t>
      </w:r>
      <w:r>
        <w:rPr>
          <w:lang w:val="es-MX"/>
        </w:rPr>
        <w:t xml:space="preserve"> la </w:t>
      </w:r>
      <w:r w:rsidR="009B4D16">
        <w:rPr>
          <w:lang w:val="es-MX"/>
        </w:rPr>
        <w:t>Comisión</w:t>
      </w:r>
      <w:r>
        <w:rPr>
          <w:lang w:val="es-MX"/>
        </w:rPr>
        <w:t xml:space="preserve"> analizara si el Estado cumplió con</w:t>
      </w:r>
      <w:r w:rsidR="0023231D">
        <w:rPr>
          <w:lang w:val="es-MX"/>
        </w:rPr>
        <w:t xml:space="preserve"> su deber de</w:t>
      </w:r>
      <w:r>
        <w:rPr>
          <w:lang w:val="es-MX"/>
        </w:rPr>
        <w:t xml:space="preserve"> proteger los derechos </w:t>
      </w:r>
      <w:r w:rsidR="005E58CF">
        <w:rPr>
          <w:lang w:val="es-MX"/>
        </w:rPr>
        <w:t xml:space="preserve">a la vida e integridad personal </w:t>
      </w:r>
      <w:r>
        <w:rPr>
          <w:lang w:val="es-MX"/>
        </w:rPr>
        <w:t xml:space="preserve">de </w:t>
      </w:r>
      <w:r w:rsidR="005A72AE">
        <w:rPr>
          <w:lang w:val="es-MX"/>
        </w:rPr>
        <w:t>Baptiste Willer y su familia</w:t>
      </w:r>
      <w:r w:rsidR="005E58CF">
        <w:rPr>
          <w:lang w:val="es-MX"/>
        </w:rPr>
        <w:t>,</w:t>
      </w:r>
      <w:r>
        <w:rPr>
          <w:lang w:val="es-MX"/>
        </w:rPr>
        <w:t xml:space="preserve"> de conformidad con los estándares </w:t>
      </w:r>
      <w:r w:rsidR="005D4F52">
        <w:rPr>
          <w:lang w:val="es-MX"/>
        </w:rPr>
        <w:t xml:space="preserve">antes </w:t>
      </w:r>
      <w:r>
        <w:rPr>
          <w:lang w:val="es-MX"/>
        </w:rPr>
        <w:t xml:space="preserve">señalados. </w:t>
      </w:r>
    </w:p>
    <w:p w14:paraId="423ACDEB" w14:textId="77777777" w:rsidR="008F1670" w:rsidRDefault="008F1670" w:rsidP="008F1670">
      <w:pPr>
        <w:pStyle w:val="ListParagraph"/>
        <w:numPr>
          <w:ilvl w:val="0"/>
          <w:numId w:val="0"/>
        </w:numPr>
        <w:rPr>
          <w:rFonts w:asciiTheme="majorHAnsi" w:hAnsiTheme="majorHAnsi"/>
          <w:lang w:val="es-ES_tradnl"/>
        </w:rPr>
      </w:pPr>
    </w:p>
    <w:p w14:paraId="64FA9B4B" w14:textId="77777777" w:rsidR="00A31856" w:rsidRPr="005A5283" w:rsidRDefault="00687B20" w:rsidP="00C55B05">
      <w:pPr>
        <w:pStyle w:val="ListParagraph"/>
        <w:rPr>
          <w:rFonts w:asciiTheme="majorHAnsi" w:hAnsiTheme="majorHAnsi"/>
          <w:szCs w:val="20"/>
          <w:lang w:val="es-ES_tradnl"/>
        </w:rPr>
      </w:pPr>
      <w:r>
        <w:rPr>
          <w:lang w:val="es-US"/>
        </w:rPr>
        <w:t xml:space="preserve">En </w:t>
      </w:r>
      <w:r w:rsidRPr="005A72AE">
        <w:rPr>
          <w:lang w:val="es-US"/>
        </w:rPr>
        <w:t>cuanto</w:t>
      </w:r>
      <w:r>
        <w:rPr>
          <w:lang w:val="es-US"/>
        </w:rPr>
        <w:t xml:space="preserve"> al conocimiento de la situación de riesgo, l</w:t>
      </w:r>
      <w:r w:rsidRPr="00DB48F8">
        <w:rPr>
          <w:lang w:val="es-US"/>
        </w:rPr>
        <w:t xml:space="preserve">a </w:t>
      </w:r>
      <w:r w:rsidR="00DB48F8" w:rsidRPr="00DB48F8">
        <w:rPr>
          <w:lang w:val="es-US"/>
        </w:rPr>
        <w:t xml:space="preserve">Comisión </w:t>
      </w:r>
      <w:r w:rsidR="005A72AE">
        <w:rPr>
          <w:lang w:val="es-US"/>
        </w:rPr>
        <w:t>destaca</w:t>
      </w:r>
      <w:r w:rsidR="009B4D16">
        <w:rPr>
          <w:lang w:val="es-US"/>
        </w:rPr>
        <w:t xml:space="preserve"> que</w:t>
      </w:r>
      <w:r w:rsidR="00F7605E">
        <w:rPr>
          <w:lang w:val="es-US"/>
        </w:rPr>
        <w:t xml:space="preserve"> </w:t>
      </w:r>
      <w:r w:rsidR="00DB48F8">
        <w:rPr>
          <w:rFonts w:asciiTheme="majorHAnsi" w:hAnsiTheme="majorHAnsi"/>
          <w:szCs w:val="20"/>
          <w:lang w:val="es-ES_tradnl"/>
        </w:rPr>
        <w:t xml:space="preserve">el 4 de febrero de 2007, Baptiste Willer fue víctima de un atentado contra su vida y su hermano menor de edad, </w:t>
      </w:r>
      <w:r w:rsidR="00982431">
        <w:rPr>
          <w:rFonts w:asciiTheme="majorHAnsi" w:hAnsiTheme="majorHAnsi"/>
          <w:szCs w:val="20"/>
          <w:lang w:val="es-ES_tradnl"/>
        </w:rPr>
        <w:t>Frédo Guirant (o Guirand)</w:t>
      </w:r>
      <w:r w:rsidR="00DB48F8">
        <w:rPr>
          <w:rFonts w:asciiTheme="majorHAnsi" w:hAnsiTheme="majorHAnsi"/>
          <w:szCs w:val="20"/>
          <w:lang w:val="es-ES_tradnl"/>
        </w:rPr>
        <w:t>, fue asesinado. Tales hechos ocurrieron en el contexto de continuas amenazas y hostigamientos a Baptiste Willer y su familia por parte de miembros de</w:t>
      </w:r>
      <w:r w:rsidR="00F331A6">
        <w:rPr>
          <w:rFonts w:asciiTheme="majorHAnsi" w:hAnsiTheme="majorHAnsi"/>
          <w:szCs w:val="20"/>
          <w:lang w:val="es-ES_tradnl"/>
        </w:rPr>
        <w:t xml:space="preserve"> una pandilla, quienes</w:t>
      </w:r>
      <w:r w:rsidR="000255DD">
        <w:rPr>
          <w:rFonts w:asciiTheme="majorHAnsi" w:hAnsiTheme="majorHAnsi"/>
          <w:szCs w:val="20"/>
          <w:lang w:val="es-ES_tradnl"/>
        </w:rPr>
        <w:t>,</w:t>
      </w:r>
      <w:r w:rsidR="00F331A6">
        <w:rPr>
          <w:rFonts w:asciiTheme="majorHAnsi" w:hAnsiTheme="majorHAnsi"/>
          <w:szCs w:val="20"/>
          <w:lang w:val="es-ES_tradnl"/>
        </w:rPr>
        <w:t xml:space="preserve"> pese a ser conocidos delincuentes</w:t>
      </w:r>
      <w:r w:rsidR="000255DD">
        <w:rPr>
          <w:rFonts w:asciiTheme="majorHAnsi" w:hAnsiTheme="majorHAnsi"/>
          <w:szCs w:val="20"/>
          <w:lang w:val="es-ES_tradnl"/>
        </w:rPr>
        <w:t>,</w:t>
      </w:r>
      <w:r w:rsidR="00F331A6">
        <w:rPr>
          <w:rFonts w:asciiTheme="majorHAnsi" w:hAnsiTheme="majorHAnsi"/>
          <w:szCs w:val="20"/>
          <w:lang w:val="es-ES_tradnl"/>
        </w:rPr>
        <w:t xml:space="preserve"> </w:t>
      </w:r>
      <w:r w:rsidR="009B4D16">
        <w:rPr>
          <w:rFonts w:asciiTheme="majorHAnsi" w:hAnsiTheme="majorHAnsi"/>
          <w:szCs w:val="20"/>
          <w:lang w:val="es-ES_tradnl"/>
        </w:rPr>
        <w:t>actua</w:t>
      </w:r>
      <w:r w:rsidR="005E58CF">
        <w:rPr>
          <w:rFonts w:asciiTheme="majorHAnsi" w:hAnsiTheme="majorHAnsi"/>
          <w:szCs w:val="20"/>
          <w:lang w:val="es-ES_tradnl"/>
        </w:rPr>
        <w:t>ban</w:t>
      </w:r>
      <w:r w:rsidR="009B4D16">
        <w:rPr>
          <w:rFonts w:asciiTheme="majorHAnsi" w:hAnsiTheme="majorHAnsi"/>
          <w:szCs w:val="20"/>
          <w:lang w:val="es-ES_tradnl"/>
        </w:rPr>
        <w:t xml:space="preserve"> con impunidad</w:t>
      </w:r>
      <w:r w:rsidR="00F331A6">
        <w:rPr>
          <w:rFonts w:asciiTheme="majorHAnsi" w:hAnsiTheme="majorHAnsi"/>
          <w:szCs w:val="20"/>
          <w:lang w:val="es-ES_tradnl"/>
        </w:rPr>
        <w:t>.</w:t>
      </w:r>
      <w:r w:rsidR="00150DF5">
        <w:rPr>
          <w:rFonts w:asciiTheme="majorHAnsi" w:hAnsiTheme="majorHAnsi"/>
          <w:szCs w:val="20"/>
          <w:lang w:val="es-ES_tradnl"/>
        </w:rPr>
        <w:t xml:space="preserve"> </w:t>
      </w:r>
      <w:r w:rsidR="00150DF5" w:rsidRPr="005A5283">
        <w:rPr>
          <w:rFonts w:asciiTheme="majorHAnsi" w:hAnsiTheme="majorHAnsi"/>
          <w:szCs w:val="20"/>
          <w:lang w:val="es-ES_tradnl"/>
        </w:rPr>
        <w:t>El 27 de febrero de 2007, Baptiste Willer alertó a las autoridades que su vida y la de su familia corrían peligro y solicitó ayuda judicial</w:t>
      </w:r>
      <w:r w:rsidR="009B4D16" w:rsidRPr="005A5283">
        <w:rPr>
          <w:rFonts w:asciiTheme="majorHAnsi" w:hAnsiTheme="majorHAnsi"/>
          <w:szCs w:val="20"/>
          <w:lang w:val="es-ES_tradnl"/>
        </w:rPr>
        <w:t xml:space="preserve"> mediante una carta dirigida a diversas autoridades</w:t>
      </w:r>
      <w:r w:rsidR="00150DF5" w:rsidRPr="005A5283">
        <w:rPr>
          <w:rFonts w:asciiTheme="majorHAnsi" w:hAnsiTheme="majorHAnsi"/>
          <w:szCs w:val="20"/>
          <w:lang w:val="es-ES_tradnl"/>
        </w:rPr>
        <w:t>, aportando información sobre la identidad de los sospechosos y el tipo de amenazas y hostigamientos de los que era víctima. Ta</w:t>
      </w:r>
      <w:r w:rsidR="002F2A3F" w:rsidRPr="005A5283">
        <w:rPr>
          <w:rFonts w:asciiTheme="majorHAnsi" w:hAnsiTheme="majorHAnsi"/>
          <w:szCs w:val="20"/>
          <w:lang w:val="es-ES_tradnl"/>
        </w:rPr>
        <w:t xml:space="preserve">mbién les informó que, temiendo por su seguridad y la de su familia, </w:t>
      </w:r>
      <w:r w:rsidR="009B4D16" w:rsidRPr="005A5283">
        <w:rPr>
          <w:rFonts w:asciiTheme="majorHAnsi" w:hAnsiTheme="majorHAnsi"/>
          <w:szCs w:val="20"/>
          <w:lang w:val="es-ES_tradnl"/>
        </w:rPr>
        <w:t xml:space="preserve">se </w:t>
      </w:r>
      <w:r w:rsidR="002F2A3F" w:rsidRPr="005A5283">
        <w:rPr>
          <w:rFonts w:asciiTheme="majorHAnsi" w:hAnsiTheme="majorHAnsi"/>
          <w:szCs w:val="20"/>
          <w:lang w:val="es-ES_tradnl"/>
        </w:rPr>
        <w:t xml:space="preserve">había </w:t>
      </w:r>
      <w:r w:rsidR="009B4D16" w:rsidRPr="005A5283">
        <w:rPr>
          <w:rFonts w:asciiTheme="majorHAnsi" w:hAnsiTheme="majorHAnsi"/>
          <w:szCs w:val="20"/>
          <w:lang w:val="es-ES_tradnl"/>
        </w:rPr>
        <w:t xml:space="preserve">visto forzado a </w:t>
      </w:r>
      <w:r w:rsidR="002F2A3F" w:rsidRPr="005A5283">
        <w:rPr>
          <w:rFonts w:asciiTheme="majorHAnsi" w:hAnsiTheme="majorHAnsi"/>
          <w:szCs w:val="20"/>
          <w:lang w:val="es-ES_tradnl"/>
        </w:rPr>
        <w:t>abandonar su residencia habitual y cambiar de domicilio.</w:t>
      </w:r>
      <w:r w:rsidR="00A31856" w:rsidRPr="005A5283">
        <w:rPr>
          <w:rFonts w:asciiTheme="majorHAnsi" w:hAnsiTheme="majorHAnsi"/>
          <w:szCs w:val="20"/>
          <w:lang w:val="es-ES_tradnl"/>
        </w:rPr>
        <w:t xml:space="preserve"> </w:t>
      </w:r>
      <w:r w:rsidR="009B4D16" w:rsidRPr="005A5283">
        <w:rPr>
          <w:rFonts w:asciiTheme="majorHAnsi" w:hAnsiTheme="majorHAnsi"/>
          <w:szCs w:val="20"/>
          <w:lang w:val="es-ES_tradnl"/>
        </w:rPr>
        <w:t xml:space="preserve">En vista de lo anterior, la Comisión concluye que el Estado estaba en conocimiento de la situación de riesgo específica respecto de </w:t>
      </w:r>
      <w:r w:rsidR="005A5283" w:rsidRPr="005A5283">
        <w:rPr>
          <w:rFonts w:asciiTheme="majorHAnsi" w:hAnsiTheme="majorHAnsi"/>
          <w:szCs w:val="20"/>
          <w:lang w:val="es-ES_tradnl"/>
        </w:rPr>
        <w:t>Baptiste Willer y su familia directa</w:t>
      </w:r>
      <w:r w:rsidR="009B4D16" w:rsidRPr="005A5283">
        <w:rPr>
          <w:rFonts w:asciiTheme="majorHAnsi" w:hAnsiTheme="majorHAnsi"/>
          <w:szCs w:val="20"/>
          <w:lang w:val="es-ES_tradnl"/>
        </w:rPr>
        <w:t xml:space="preserve">. </w:t>
      </w:r>
      <w:r w:rsidR="00F7605E">
        <w:rPr>
          <w:rFonts w:asciiTheme="majorHAnsi" w:hAnsiTheme="majorHAnsi"/>
          <w:szCs w:val="20"/>
          <w:lang w:val="es-ES_tradnl"/>
        </w:rPr>
        <w:t>E</w:t>
      </w:r>
      <w:r w:rsidR="009B4D16" w:rsidRPr="005A5283">
        <w:rPr>
          <w:rFonts w:asciiTheme="majorHAnsi" w:hAnsiTheme="majorHAnsi"/>
          <w:szCs w:val="20"/>
          <w:lang w:val="es-ES_tradnl"/>
        </w:rPr>
        <w:t>ste requisito se encuentra cumplido</w:t>
      </w:r>
      <w:r w:rsidR="00F7605E">
        <w:rPr>
          <w:rFonts w:asciiTheme="majorHAnsi" w:hAnsiTheme="majorHAnsi"/>
          <w:szCs w:val="20"/>
          <w:lang w:val="es-ES_tradnl"/>
        </w:rPr>
        <w:t>,</w:t>
      </w:r>
      <w:r w:rsidR="009B4D16" w:rsidRPr="005A5283">
        <w:rPr>
          <w:rFonts w:asciiTheme="majorHAnsi" w:hAnsiTheme="majorHAnsi"/>
          <w:szCs w:val="20"/>
          <w:lang w:val="es-ES_tradnl"/>
        </w:rPr>
        <w:t xml:space="preserve"> no obstante la autoridad o autoridades que </w:t>
      </w:r>
      <w:r w:rsidR="005E58CF">
        <w:rPr>
          <w:rFonts w:asciiTheme="majorHAnsi" w:hAnsiTheme="majorHAnsi"/>
          <w:szCs w:val="20"/>
          <w:lang w:val="es-ES_tradnl"/>
        </w:rPr>
        <w:t xml:space="preserve">fueron </w:t>
      </w:r>
      <w:r w:rsidR="009B4D16" w:rsidRPr="005A5283">
        <w:rPr>
          <w:rFonts w:asciiTheme="majorHAnsi" w:hAnsiTheme="majorHAnsi"/>
          <w:szCs w:val="20"/>
          <w:lang w:val="es-ES_tradnl"/>
        </w:rPr>
        <w:t xml:space="preserve">puestas en conocimiento de la situación </w:t>
      </w:r>
      <w:r w:rsidR="005E58CF">
        <w:rPr>
          <w:rFonts w:asciiTheme="majorHAnsi" w:hAnsiTheme="majorHAnsi"/>
          <w:szCs w:val="20"/>
          <w:lang w:val="es-ES_tradnl"/>
        </w:rPr>
        <w:t xml:space="preserve">hayan sido o no </w:t>
      </w:r>
      <w:r w:rsidR="009B4D16" w:rsidRPr="005A5283">
        <w:rPr>
          <w:rFonts w:asciiTheme="majorHAnsi" w:hAnsiTheme="majorHAnsi"/>
          <w:szCs w:val="20"/>
          <w:lang w:val="es-ES_tradnl"/>
        </w:rPr>
        <w:t>específicamente las encargadas de ofrecer protección</w:t>
      </w:r>
      <w:r w:rsidR="005A5283" w:rsidRPr="005A5283">
        <w:rPr>
          <w:rFonts w:asciiTheme="majorHAnsi" w:hAnsiTheme="majorHAnsi"/>
          <w:szCs w:val="20"/>
          <w:lang w:val="es-ES_tradnl"/>
        </w:rPr>
        <w:t>, ya que existe</w:t>
      </w:r>
      <w:r w:rsidR="009B4D16" w:rsidRPr="005A5283">
        <w:rPr>
          <w:rFonts w:asciiTheme="majorHAnsi" w:hAnsiTheme="majorHAnsi"/>
          <w:szCs w:val="20"/>
          <w:lang w:val="es-ES_tradnl"/>
        </w:rPr>
        <w:t xml:space="preserve"> un deber de coordinación </w:t>
      </w:r>
      <w:r w:rsidR="005E58CF">
        <w:rPr>
          <w:rFonts w:asciiTheme="majorHAnsi" w:hAnsiTheme="majorHAnsi"/>
          <w:szCs w:val="20"/>
          <w:lang w:val="es-ES_tradnl"/>
        </w:rPr>
        <w:t xml:space="preserve">entre sus entidades y funcionarios </w:t>
      </w:r>
      <w:r w:rsidR="009B4D16" w:rsidRPr="005A5283">
        <w:rPr>
          <w:rFonts w:asciiTheme="majorHAnsi" w:hAnsiTheme="majorHAnsi"/>
          <w:szCs w:val="20"/>
          <w:lang w:val="es-ES_tradnl"/>
        </w:rPr>
        <w:t>por parte del Estado.</w:t>
      </w:r>
    </w:p>
    <w:p w14:paraId="7D246DCD" w14:textId="77777777" w:rsidR="00397DA6" w:rsidRDefault="00397DA6" w:rsidP="00A31856">
      <w:pPr>
        <w:pStyle w:val="ListParagraph"/>
        <w:numPr>
          <w:ilvl w:val="0"/>
          <w:numId w:val="0"/>
        </w:numPr>
        <w:rPr>
          <w:rFonts w:asciiTheme="majorHAnsi" w:hAnsiTheme="majorHAnsi"/>
          <w:szCs w:val="20"/>
          <w:lang w:val="es-ES_tradnl"/>
        </w:rPr>
      </w:pPr>
    </w:p>
    <w:p w14:paraId="79953E57" w14:textId="77777777" w:rsidR="00397DA6" w:rsidRPr="00397DA6" w:rsidRDefault="009B4D16">
      <w:pPr>
        <w:pStyle w:val="ListParagraph"/>
        <w:rPr>
          <w:lang w:val="es-ES_tradnl"/>
        </w:rPr>
      </w:pPr>
      <w:r w:rsidRPr="00077649">
        <w:rPr>
          <w:lang w:val="es-ES_tradnl"/>
        </w:rPr>
        <w:t xml:space="preserve">En cuanto a si el riesgo era real e inmediato, </w:t>
      </w:r>
      <w:r w:rsidR="005D4F52">
        <w:rPr>
          <w:lang w:val="es-ES_tradnl"/>
        </w:rPr>
        <w:t xml:space="preserve">la CIDH considera que </w:t>
      </w:r>
      <w:r w:rsidR="00077649" w:rsidRPr="00077649">
        <w:rPr>
          <w:lang w:val="es-ES_tradnl"/>
        </w:rPr>
        <w:t xml:space="preserve">los hechos que fueron puestos en conocimiento de las autoridades, </w:t>
      </w:r>
      <w:r w:rsidR="00077649" w:rsidRPr="00A138A6">
        <w:rPr>
          <w:lang w:val="es-ES_tradnl"/>
        </w:rPr>
        <w:t>en sí mismos, revestían especial seriedad</w:t>
      </w:r>
      <w:r w:rsidR="00077649">
        <w:rPr>
          <w:lang w:val="es-ES_tradnl"/>
        </w:rPr>
        <w:t>. En efecto</w:t>
      </w:r>
      <w:r w:rsidR="00077649" w:rsidRPr="00A138A6">
        <w:rPr>
          <w:lang w:val="es-ES_tradnl"/>
        </w:rPr>
        <w:t xml:space="preserve">, </w:t>
      </w:r>
      <w:r w:rsidRPr="00077649">
        <w:rPr>
          <w:lang w:val="es-ES_tradnl"/>
        </w:rPr>
        <w:t>el atentado</w:t>
      </w:r>
      <w:r w:rsidR="00077649" w:rsidRPr="00077649">
        <w:rPr>
          <w:lang w:val="es-ES_tradnl"/>
        </w:rPr>
        <w:t xml:space="preserve"> y</w:t>
      </w:r>
      <w:r w:rsidRPr="00077649">
        <w:rPr>
          <w:lang w:val="es-ES_tradnl"/>
        </w:rPr>
        <w:t xml:space="preserve"> </w:t>
      </w:r>
      <w:r w:rsidR="005E58CF">
        <w:rPr>
          <w:lang w:val="es-ES_tradnl"/>
        </w:rPr>
        <w:t xml:space="preserve">las </w:t>
      </w:r>
      <w:r w:rsidRPr="00077649">
        <w:rPr>
          <w:lang w:val="es-ES_tradnl"/>
        </w:rPr>
        <w:t xml:space="preserve">amenazas </w:t>
      </w:r>
      <w:r w:rsidR="00077649" w:rsidRPr="00077649">
        <w:rPr>
          <w:lang w:val="es-ES_tradnl"/>
        </w:rPr>
        <w:t xml:space="preserve">sufridas por Baptiste Willer y </w:t>
      </w:r>
      <w:r w:rsidR="005E58CF">
        <w:rPr>
          <w:lang w:val="es-ES_tradnl"/>
        </w:rPr>
        <w:t xml:space="preserve">el </w:t>
      </w:r>
      <w:r w:rsidRPr="00077649">
        <w:rPr>
          <w:lang w:val="es-ES_tradnl"/>
        </w:rPr>
        <w:t>asesinato de</w:t>
      </w:r>
      <w:r w:rsidR="00077649" w:rsidRPr="00077649">
        <w:rPr>
          <w:lang w:val="es-ES_tradnl"/>
        </w:rPr>
        <w:t xml:space="preserve"> su </w:t>
      </w:r>
      <w:r w:rsidRPr="00077649">
        <w:rPr>
          <w:lang w:val="es-ES_tradnl"/>
        </w:rPr>
        <w:t>hermano</w:t>
      </w:r>
      <w:r w:rsidR="00077649">
        <w:rPr>
          <w:lang w:val="es-ES_tradnl"/>
        </w:rPr>
        <w:t xml:space="preserve"> eran suficientemente graves</w:t>
      </w:r>
      <w:r w:rsidR="00397DA6" w:rsidRPr="00077649">
        <w:rPr>
          <w:lang w:val="es-ES_tradnl"/>
        </w:rPr>
        <w:t>,</w:t>
      </w:r>
      <w:r w:rsidRPr="00077649">
        <w:rPr>
          <w:lang w:val="es-ES_tradnl"/>
        </w:rPr>
        <w:t xml:space="preserve"> </w:t>
      </w:r>
      <w:r w:rsidR="00397DA6" w:rsidRPr="00077649">
        <w:rPr>
          <w:lang w:val="es-ES_tradnl"/>
        </w:rPr>
        <w:t xml:space="preserve">al tratarse de afectaciones a </w:t>
      </w:r>
      <w:r w:rsidR="00077649" w:rsidRPr="00077649">
        <w:rPr>
          <w:lang w:val="es-ES_tradnl"/>
        </w:rPr>
        <w:t xml:space="preserve">la </w:t>
      </w:r>
      <w:r w:rsidR="00397DA6" w:rsidRPr="00077649">
        <w:rPr>
          <w:lang w:val="es-ES_tradnl"/>
        </w:rPr>
        <w:t>vida e integridad</w:t>
      </w:r>
      <w:r w:rsidR="00077649" w:rsidRPr="00077649">
        <w:rPr>
          <w:lang w:val="es-ES_tradnl"/>
        </w:rPr>
        <w:t xml:space="preserve"> </w:t>
      </w:r>
      <w:r w:rsidR="00077649">
        <w:rPr>
          <w:lang w:val="es-ES_tradnl"/>
        </w:rPr>
        <w:t xml:space="preserve">personal </w:t>
      </w:r>
      <w:r w:rsidR="00077649" w:rsidRPr="00077649">
        <w:rPr>
          <w:lang w:val="es-ES_tradnl"/>
        </w:rPr>
        <w:t>y</w:t>
      </w:r>
      <w:r w:rsidR="00397DA6" w:rsidRPr="00077649">
        <w:rPr>
          <w:lang w:val="es-ES_tradnl"/>
        </w:rPr>
        <w:t xml:space="preserve"> encontrándose </w:t>
      </w:r>
      <w:r w:rsidR="00077649">
        <w:rPr>
          <w:lang w:val="es-ES_tradnl"/>
        </w:rPr>
        <w:t xml:space="preserve">quien las denunciaba </w:t>
      </w:r>
      <w:r w:rsidR="00397DA6" w:rsidRPr="00077649">
        <w:rPr>
          <w:lang w:val="es-ES_tradnl"/>
        </w:rPr>
        <w:t>en una situación de ausencia de medidas de protección, precisamente requiriendo</w:t>
      </w:r>
      <w:r w:rsidR="00077649" w:rsidRPr="00077649">
        <w:rPr>
          <w:lang w:val="es-ES_tradnl"/>
        </w:rPr>
        <w:t xml:space="preserve"> éstas</w:t>
      </w:r>
      <w:r w:rsidR="00397DA6" w:rsidRPr="00077649">
        <w:rPr>
          <w:lang w:val="es-ES_tradnl"/>
        </w:rPr>
        <w:t xml:space="preserve"> al Estado. Dichos hechos</w:t>
      </w:r>
      <w:r w:rsidR="00077649">
        <w:rPr>
          <w:lang w:val="es-ES_tradnl"/>
        </w:rPr>
        <w:t>,</w:t>
      </w:r>
      <w:r w:rsidR="00397DA6" w:rsidRPr="00077649">
        <w:rPr>
          <w:lang w:val="es-ES_tradnl"/>
        </w:rPr>
        <w:t xml:space="preserve"> asimismo</w:t>
      </w:r>
      <w:r w:rsidR="00077649">
        <w:rPr>
          <w:lang w:val="es-ES_tradnl"/>
        </w:rPr>
        <w:t>,</w:t>
      </w:r>
      <w:r w:rsidR="00397DA6" w:rsidRPr="00077649">
        <w:rPr>
          <w:lang w:val="es-ES_tradnl"/>
        </w:rPr>
        <w:t xml:space="preserve"> habían ocurrido apenas unas semanas antes de </w:t>
      </w:r>
      <w:r w:rsidR="00077649">
        <w:rPr>
          <w:lang w:val="es-ES_tradnl"/>
        </w:rPr>
        <w:t xml:space="preserve">que se </w:t>
      </w:r>
      <w:r w:rsidR="00397DA6" w:rsidRPr="00077649">
        <w:rPr>
          <w:lang w:val="es-ES_tradnl"/>
        </w:rPr>
        <w:t>interpu</w:t>
      </w:r>
      <w:r w:rsidR="00077649">
        <w:rPr>
          <w:lang w:val="es-ES_tradnl"/>
        </w:rPr>
        <w:t xml:space="preserve">siera </w:t>
      </w:r>
      <w:r w:rsidR="00077649" w:rsidRPr="002362BB">
        <w:rPr>
          <w:lang w:val="es-ES_tradnl"/>
        </w:rPr>
        <w:t>la denuncia</w:t>
      </w:r>
      <w:r w:rsidR="00397DA6" w:rsidRPr="00077649">
        <w:rPr>
          <w:lang w:val="es-ES_tradnl"/>
        </w:rPr>
        <w:t xml:space="preserve">. </w:t>
      </w:r>
      <w:r w:rsidR="00F57DDC">
        <w:rPr>
          <w:lang w:val="es-ES_tradnl"/>
        </w:rPr>
        <w:t xml:space="preserve">Además, </w:t>
      </w:r>
      <w:r w:rsidR="00397DA6" w:rsidRPr="00077649">
        <w:rPr>
          <w:lang w:val="es-ES_tradnl"/>
        </w:rPr>
        <w:t xml:space="preserve">con posterioridad a </w:t>
      </w:r>
      <w:r w:rsidR="00077649">
        <w:rPr>
          <w:lang w:val="es-ES_tradnl"/>
        </w:rPr>
        <w:t>los</w:t>
      </w:r>
      <w:r w:rsidR="00397DA6" w:rsidRPr="00077649">
        <w:rPr>
          <w:lang w:val="es-ES_tradnl"/>
        </w:rPr>
        <w:t xml:space="preserve"> hechos </w:t>
      </w:r>
      <w:r w:rsidR="00077649">
        <w:rPr>
          <w:lang w:val="es-ES_tradnl"/>
        </w:rPr>
        <w:t>denunciados a las autoridades</w:t>
      </w:r>
      <w:r w:rsidR="00F7605E">
        <w:rPr>
          <w:lang w:val="es-ES_tradnl"/>
        </w:rPr>
        <w:t>,</w:t>
      </w:r>
      <w:r w:rsidR="00077649">
        <w:rPr>
          <w:lang w:val="es-ES_tradnl"/>
        </w:rPr>
        <w:t xml:space="preserve"> </w:t>
      </w:r>
      <w:r w:rsidR="00397DA6" w:rsidRPr="00077649">
        <w:rPr>
          <w:lang w:val="es-ES_tradnl"/>
        </w:rPr>
        <w:t xml:space="preserve">ocurrió una nueva secuencia de eventos de riesgo. </w:t>
      </w:r>
      <w:r w:rsidR="00F7605E">
        <w:rPr>
          <w:lang w:val="es-ES_tradnl"/>
        </w:rPr>
        <w:t>S</w:t>
      </w:r>
      <w:r w:rsidR="00397DA6" w:rsidRPr="00077649">
        <w:rPr>
          <w:lang w:val="es-ES_tradnl"/>
        </w:rPr>
        <w:t xml:space="preserve">olo un mes más tarde, el 28 de marzo de 2007, una persona que compartía nombre y rasgos con el peticionario </w:t>
      </w:r>
      <w:r w:rsidR="00077649">
        <w:rPr>
          <w:lang w:val="es-ES_tradnl"/>
        </w:rPr>
        <w:t xml:space="preserve">fue </w:t>
      </w:r>
      <w:r w:rsidR="00397DA6" w:rsidRPr="00077649">
        <w:rPr>
          <w:lang w:val="es-ES_tradnl"/>
        </w:rPr>
        <w:t>asesinad</w:t>
      </w:r>
      <w:r w:rsidR="00077649">
        <w:rPr>
          <w:lang w:val="es-ES_tradnl"/>
        </w:rPr>
        <w:t>a</w:t>
      </w:r>
      <w:r w:rsidR="00397DA6" w:rsidRPr="00077649">
        <w:rPr>
          <w:lang w:val="es-ES_tradnl"/>
        </w:rPr>
        <w:t>, probablemente intentando asesinar al señor Baptiste Willer. Además,</w:t>
      </w:r>
      <w:r w:rsidR="00077649" w:rsidRPr="00077649">
        <w:rPr>
          <w:rFonts w:ascii="Times New Roman" w:eastAsia="Times New Roman" w:hAnsi="Times New Roman" w:cs="Times New Roman"/>
          <w:color w:val="auto"/>
          <w:sz w:val="24"/>
          <w:bdr w:val="none" w:sz="0" w:space="0" w:color="auto"/>
          <w:lang w:val="es-ES_tradnl" w:eastAsia="en-US"/>
        </w:rPr>
        <w:t xml:space="preserve"> </w:t>
      </w:r>
      <w:r w:rsidR="00077649" w:rsidRPr="00077649">
        <w:rPr>
          <w:lang w:val="es-ES_tradnl"/>
        </w:rPr>
        <w:t>Baptiste Willer</w:t>
      </w:r>
      <w:r w:rsidR="00397DA6" w:rsidRPr="00077649">
        <w:rPr>
          <w:lang w:val="es-ES_tradnl"/>
        </w:rPr>
        <w:t>, su esposa y sus hijos, fueron víctimas de continuas amenazas telefónicas y en persona</w:t>
      </w:r>
      <w:r w:rsidR="005D4F52">
        <w:rPr>
          <w:lang w:val="es-ES_tradnl"/>
        </w:rPr>
        <w:t>,</w:t>
      </w:r>
      <w:r w:rsidR="00397DA6" w:rsidRPr="00077649">
        <w:rPr>
          <w:lang w:val="es-ES_tradnl"/>
        </w:rPr>
        <w:t xml:space="preserve"> </w:t>
      </w:r>
      <w:r w:rsidR="00F7605E">
        <w:rPr>
          <w:lang w:val="es-ES_tradnl"/>
        </w:rPr>
        <w:t xml:space="preserve">así como </w:t>
      </w:r>
      <w:r w:rsidR="00397DA6" w:rsidRPr="00077649">
        <w:rPr>
          <w:lang w:val="es-ES_tradnl"/>
        </w:rPr>
        <w:t>atentados, incluyendo un</w:t>
      </w:r>
      <w:r w:rsidR="00F7605E">
        <w:rPr>
          <w:lang w:val="es-ES_tradnl"/>
        </w:rPr>
        <w:t>o</w:t>
      </w:r>
      <w:r w:rsidR="00397DA6" w:rsidRPr="00077649">
        <w:rPr>
          <w:lang w:val="es-ES_tradnl"/>
        </w:rPr>
        <w:t xml:space="preserve"> a su negocio el 9 de marzo de 2007, dos asaltos a la viviend</w:t>
      </w:r>
      <w:r w:rsidR="005D4F52">
        <w:rPr>
          <w:lang w:val="es-ES_tradnl"/>
        </w:rPr>
        <w:t xml:space="preserve">a que ocupaban con anterioridad – </w:t>
      </w:r>
      <w:r w:rsidR="00397DA6" w:rsidRPr="00077649">
        <w:rPr>
          <w:lang w:val="es-ES_tradnl"/>
        </w:rPr>
        <w:t>el</w:t>
      </w:r>
      <w:r w:rsidR="005D4F52">
        <w:rPr>
          <w:lang w:val="es-ES_tradnl"/>
        </w:rPr>
        <w:t xml:space="preserve"> </w:t>
      </w:r>
      <w:r w:rsidR="00397DA6" w:rsidRPr="00077649">
        <w:rPr>
          <w:lang w:val="es-ES_tradnl"/>
        </w:rPr>
        <w:t>15 y 28 de agosto de 2008</w:t>
      </w:r>
      <w:r w:rsidR="005D4F52">
        <w:rPr>
          <w:lang w:val="es-ES_tradnl"/>
        </w:rPr>
        <w:t xml:space="preserve"> –</w:t>
      </w:r>
      <w:r w:rsidR="00397DA6" w:rsidRPr="00077649">
        <w:rPr>
          <w:lang w:val="es-ES_tradnl"/>
        </w:rPr>
        <w:t xml:space="preserve"> y</w:t>
      </w:r>
      <w:r w:rsidR="005D4F52">
        <w:rPr>
          <w:lang w:val="es-ES_tradnl"/>
        </w:rPr>
        <w:t xml:space="preserve"> </w:t>
      </w:r>
      <w:r w:rsidR="00397DA6" w:rsidRPr="00077649">
        <w:rPr>
          <w:lang w:val="es-ES_tradnl"/>
        </w:rPr>
        <w:t xml:space="preserve">otro ataque directamente a la persona de Baptiste Willer el 26 de agosto de 2009. </w:t>
      </w:r>
    </w:p>
    <w:p w14:paraId="6D858CF5" w14:textId="77777777" w:rsidR="00397DA6" w:rsidRDefault="00397DA6" w:rsidP="00C55B05">
      <w:pPr>
        <w:pStyle w:val="ListParagraph"/>
        <w:numPr>
          <w:ilvl w:val="0"/>
          <w:numId w:val="0"/>
        </w:numPr>
        <w:rPr>
          <w:rFonts w:asciiTheme="majorHAnsi" w:hAnsiTheme="majorHAnsi"/>
          <w:szCs w:val="20"/>
          <w:lang w:val="es-ES_tradnl"/>
        </w:rPr>
      </w:pPr>
    </w:p>
    <w:p w14:paraId="377D8EDC" w14:textId="77777777" w:rsidR="009B4D16" w:rsidRPr="00C55B05" w:rsidRDefault="00397DA6" w:rsidP="009B4D16">
      <w:pPr>
        <w:pStyle w:val="ListParagraph"/>
        <w:rPr>
          <w:rFonts w:asciiTheme="majorHAnsi" w:hAnsiTheme="majorHAnsi"/>
          <w:szCs w:val="20"/>
          <w:lang w:val="es-ES_tradnl"/>
        </w:rPr>
      </w:pPr>
      <w:r>
        <w:rPr>
          <w:rFonts w:asciiTheme="majorHAnsi" w:hAnsiTheme="majorHAnsi"/>
          <w:szCs w:val="20"/>
          <w:lang w:val="es-ES_tradnl"/>
        </w:rPr>
        <w:t xml:space="preserve"> La Comisión advierte que </w:t>
      </w:r>
      <w:r w:rsidR="00F7605E">
        <w:rPr>
          <w:rFonts w:asciiTheme="majorHAnsi" w:hAnsiTheme="majorHAnsi"/>
          <w:szCs w:val="20"/>
          <w:lang w:val="es-ES_tradnl"/>
        </w:rPr>
        <w:t>el riesgo enfrentado</w:t>
      </w:r>
      <w:r>
        <w:rPr>
          <w:rFonts w:asciiTheme="majorHAnsi" w:hAnsiTheme="majorHAnsi"/>
          <w:szCs w:val="20"/>
          <w:lang w:val="es-ES_tradnl"/>
        </w:rPr>
        <w:t xml:space="preserve"> por </w:t>
      </w:r>
      <w:r w:rsidR="00077649" w:rsidRPr="00077649">
        <w:rPr>
          <w:rFonts w:asciiTheme="majorHAnsi" w:hAnsiTheme="majorHAnsi"/>
          <w:szCs w:val="20"/>
          <w:lang w:val="es-ES_tradnl"/>
        </w:rPr>
        <w:t>Baptiste Willer, su esposa y sus hijos</w:t>
      </w:r>
      <w:r w:rsidR="00077649">
        <w:rPr>
          <w:rFonts w:asciiTheme="majorHAnsi" w:hAnsiTheme="majorHAnsi"/>
          <w:szCs w:val="20"/>
          <w:lang w:val="es-ES_tradnl"/>
        </w:rPr>
        <w:t>,</w:t>
      </w:r>
      <w:r w:rsidR="00077649" w:rsidRPr="00077649" w:rsidDel="00077649">
        <w:rPr>
          <w:rFonts w:asciiTheme="majorHAnsi" w:hAnsiTheme="majorHAnsi"/>
          <w:szCs w:val="20"/>
          <w:lang w:val="es-ES_tradnl"/>
        </w:rPr>
        <w:t xml:space="preserve"> </w:t>
      </w:r>
      <w:r w:rsidR="009B4D16">
        <w:rPr>
          <w:rFonts w:asciiTheme="majorHAnsi" w:hAnsiTheme="majorHAnsi"/>
          <w:szCs w:val="20"/>
          <w:lang w:val="es-ES_tradnl"/>
        </w:rPr>
        <w:t xml:space="preserve">es consistente con la situación de inseguridad que enfrentaba el país a la época de los hechos.  En efecto, </w:t>
      </w:r>
      <w:r w:rsidR="009B4D16" w:rsidRPr="009B4D16">
        <w:rPr>
          <w:lang w:val="es-US"/>
        </w:rPr>
        <w:t xml:space="preserve">como constató </w:t>
      </w:r>
      <w:r w:rsidR="009B4D16">
        <w:rPr>
          <w:lang w:val="es-US"/>
        </w:rPr>
        <w:t xml:space="preserve">la CIDH </w:t>
      </w:r>
      <w:r w:rsidR="009B4D16" w:rsidRPr="009B4D16">
        <w:rPr>
          <w:lang w:val="es-US"/>
        </w:rPr>
        <w:t>directamente en</w:t>
      </w:r>
      <w:r>
        <w:rPr>
          <w:lang w:val="es-US"/>
        </w:rPr>
        <w:t xml:space="preserve"> s</w:t>
      </w:r>
      <w:r w:rsidR="009B4D16">
        <w:rPr>
          <w:lang w:val="es-US"/>
        </w:rPr>
        <w:t>u</w:t>
      </w:r>
      <w:r w:rsidR="009B4D16" w:rsidRPr="009B4D16">
        <w:rPr>
          <w:lang w:val="es-US"/>
        </w:rPr>
        <w:t xml:space="preserve"> visita </w:t>
      </w:r>
      <w:r w:rsidR="009B4D16" w:rsidRPr="009B4D16">
        <w:rPr>
          <w:i/>
          <w:lang w:val="es-US"/>
        </w:rPr>
        <w:t>in loco</w:t>
      </w:r>
      <w:r w:rsidR="009B4D16" w:rsidRPr="009B4D16">
        <w:rPr>
          <w:lang w:val="es-US"/>
        </w:rPr>
        <w:t xml:space="preserve"> en Haití</w:t>
      </w:r>
      <w:r w:rsidR="00F57DDC">
        <w:rPr>
          <w:lang w:val="es-US"/>
        </w:rPr>
        <w:t>,</w:t>
      </w:r>
      <w:r w:rsidR="009B4D16" w:rsidRPr="009B4D16">
        <w:rPr>
          <w:lang w:val="es-US"/>
        </w:rPr>
        <w:t xml:space="preserve"> realizada precisam</w:t>
      </w:r>
      <w:r w:rsidR="00C213EE">
        <w:rPr>
          <w:lang w:val="es-US"/>
        </w:rPr>
        <w:t xml:space="preserve">ente en abril del año 2007, </w:t>
      </w:r>
      <w:r w:rsidR="00F57DDC">
        <w:rPr>
          <w:lang w:val="es-US"/>
        </w:rPr>
        <w:t xml:space="preserve">a la época </w:t>
      </w:r>
      <w:r w:rsidR="009B4D16" w:rsidRPr="009B4D16">
        <w:rPr>
          <w:lang w:val="es-US"/>
        </w:rPr>
        <w:t>prevalecía una situación de impunidad a gran escala en el país</w:t>
      </w:r>
      <w:r w:rsidR="009B4D16">
        <w:rPr>
          <w:rStyle w:val="FootnoteReference"/>
          <w:szCs w:val="20"/>
          <w:lang w:val="es-US"/>
        </w:rPr>
        <w:footnoteReference w:id="46"/>
      </w:r>
      <w:r w:rsidR="009B4D16" w:rsidRPr="009B4D16">
        <w:rPr>
          <w:lang w:val="es-US"/>
        </w:rPr>
        <w:t>. Si bien la CIDH constató algunas mejoras en seguridad</w:t>
      </w:r>
      <w:r w:rsidR="00F57DDC">
        <w:rPr>
          <w:lang w:val="es-US"/>
        </w:rPr>
        <w:t xml:space="preserve"> en comparación con la situación en años anteriores</w:t>
      </w:r>
      <w:r w:rsidR="009B4D16" w:rsidRPr="009B4D16">
        <w:rPr>
          <w:lang w:val="es-US"/>
        </w:rPr>
        <w:t xml:space="preserve">, destacó </w:t>
      </w:r>
      <w:r w:rsidR="00EF2A0E">
        <w:rPr>
          <w:lang w:val="es-US"/>
        </w:rPr>
        <w:t xml:space="preserve">que aún </w:t>
      </w:r>
      <w:r w:rsidR="009B4D16" w:rsidRPr="009B4D16">
        <w:rPr>
          <w:lang w:val="es-US"/>
        </w:rPr>
        <w:t>exist</w:t>
      </w:r>
      <w:r w:rsidR="00EF2A0E">
        <w:rPr>
          <w:lang w:val="es-US"/>
        </w:rPr>
        <w:t>ían</w:t>
      </w:r>
      <w:r w:rsidR="009B4D16" w:rsidRPr="009B4D16">
        <w:rPr>
          <w:lang w:val="es-US"/>
        </w:rPr>
        <w:t xml:space="preserve"> graves deficiencias y fragilidades </w:t>
      </w:r>
      <w:r w:rsidR="00EF2A0E">
        <w:rPr>
          <w:lang w:val="es-US"/>
        </w:rPr>
        <w:lastRenderedPageBreak/>
        <w:t xml:space="preserve">en </w:t>
      </w:r>
      <w:r w:rsidR="009B4D16" w:rsidRPr="009B4D16">
        <w:rPr>
          <w:lang w:val="es-US"/>
        </w:rPr>
        <w:t>el sistema de seguridad pública</w:t>
      </w:r>
      <w:r w:rsidR="009B4D16">
        <w:rPr>
          <w:rStyle w:val="FootnoteReference"/>
          <w:szCs w:val="20"/>
          <w:lang w:val="es-US"/>
        </w:rPr>
        <w:footnoteReference w:id="47"/>
      </w:r>
      <w:r w:rsidR="009B4D16" w:rsidRPr="009B4D16">
        <w:rPr>
          <w:lang w:val="es-US"/>
        </w:rPr>
        <w:t xml:space="preserve"> y en el sistema de justicia para investigar, juzgar y sancionar a los perpetradores de abusos a los derechos humanos y crímenes</w:t>
      </w:r>
      <w:r w:rsidR="009B4D16">
        <w:rPr>
          <w:rStyle w:val="FootnoteReference"/>
          <w:szCs w:val="20"/>
          <w:lang w:val="es-US"/>
        </w:rPr>
        <w:footnoteReference w:id="48"/>
      </w:r>
      <w:r w:rsidR="009B4D16" w:rsidRPr="009B4D16">
        <w:rPr>
          <w:lang w:val="es-US"/>
        </w:rPr>
        <w:t>, lo que facilitaba la proliferación de delincuencia violenta y las actividades del crimen organizado y pandillas que actuaban con impunidad</w:t>
      </w:r>
      <w:r w:rsidR="00F57DDC">
        <w:rPr>
          <w:rStyle w:val="FootnoteReference"/>
          <w:lang w:val="es-US"/>
        </w:rPr>
        <w:footnoteReference w:id="49"/>
      </w:r>
      <w:r w:rsidR="009B4D16" w:rsidRPr="009B4D16">
        <w:rPr>
          <w:lang w:val="es-US"/>
        </w:rPr>
        <w:t xml:space="preserve">. </w:t>
      </w:r>
    </w:p>
    <w:p w14:paraId="66DE7180" w14:textId="77777777" w:rsidR="00397DA6" w:rsidRPr="00C55B05" w:rsidRDefault="00397DA6" w:rsidP="00C55B05">
      <w:pPr>
        <w:pStyle w:val="ListParagraph"/>
        <w:numPr>
          <w:ilvl w:val="0"/>
          <w:numId w:val="0"/>
        </w:numPr>
        <w:rPr>
          <w:rFonts w:asciiTheme="majorHAnsi" w:hAnsiTheme="majorHAnsi"/>
          <w:szCs w:val="20"/>
          <w:lang w:val="es-ES_tradnl"/>
        </w:rPr>
      </w:pPr>
    </w:p>
    <w:p w14:paraId="7EB524B2" w14:textId="77777777" w:rsidR="00C213EE" w:rsidRPr="00C55B05" w:rsidRDefault="00C213EE" w:rsidP="009B4D16">
      <w:pPr>
        <w:pStyle w:val="ListParagraph"/>
        <w:rPr>
          <w:rFonts w:asciiTheme="majorHAnsi" w:hAnsiTheme="majorHAnsi"/>
          <w:szCs w:val="20"/>
          <w:lang w:val="es-ES_tradnl"/>
        </w:rPr>
      </w:pPr>
      <w:r>
        <w:rPr>
          <w:lang w:val="es-US"/>
        </w:rPr>
        <w:t xml:space="preserve">Por lo tanto, teniendo en cuenta </w:t>
      </w:r>
      <w:r>
        <w:rPr>
          <w:rFonts w:asciiTheme="majorHAnsi" w:hAnsiTheme="majorHAnsi"/>
          <w:szCs w:val="20"/>
          <w:lang w:val="es-MX"/>
        </w:rPr>
        <w:t xml:space="preserve">la información aportada por el peticionario a las autoridades, sumado al contexto de proliferación de la delincuencia violenta y el crimen organizado existente en el país al momento en el que ocurrieron los hechos, </w:t>
      </w:r>
      <w:r>
        <w:rPr>
          <w:lang w:val="es-US"/>
        </w:rPr>
        <w:t xml:space="preserve">la Comisión concluye que </w:t>
      </w:r>
      <w:r w:rsidR="00516521" w:rsidRPr="00516521">
        <w:rPr>
          <w:lang w:val="es-ES_tradnl"/>
        </w:rPr>
        <w:t>Baptiste Willer, su esposa y sus hijos</w:t>
      </w:r>
      <w:r w:rsidR="00516521" w:rsidRPr="00516521" w:rsidDel="00516521">
        <w:rPr>
          <w:lang w:val="es-US"/>
        </w:rPr>
        <w:t xml:space="preserve"> </w:t>
      </w:r>
      <w:r>
        <w:rPr>
          <w:lang w:val="es-US"/>
        </w:rPr>
        <w:t xml:space="preserve">enfrentaban un riesgo real e inmediato </w:t>
      </w:r>
      <w:r w:rsidR="00EF2A0E">
        <w:rPr>
          <w:lang w:val="es-US"/>
        </w:rPr>
        <w:t xml:space="preserve">para </w:t>
      </w:r>
      <w:r>
        <w:rPr>
          <w:lang w:val="es-US"/>
        </w:rPr>
        <w:t>su vida e integridad</w:t>
      </w:r>
      <w:r w:rsidR="00EF2A0E">
        <w:rPr>
          <w:lang w:val="es-US"/>
        </w:rPr>
        <w:t xml:space="preserve"> personal</w:t>
      </w:r>
      <w:r>
        <w:rPr>
          <w:lang w:val="es-US"/>
        </w:rPr>
        <w:t>.</w:t>
      </w:r>
    </w:p>
    <w:p w14:paraId="064DC1C5" w14:textId="77777777" w:rsidR="00C213EE" w:rsidRPr="00C55B05" w:rsidRDefault="00C213EE" w:rsidP="00C55B05">
      <w:pPr>
        <w:pStyle w:val="ListParagraph"/>
        <w:numPr>
          <w:ilvl w:val="0"/>
          <w:numId w:val="0"/>
        </w:numPr>
        <w:rPr>
          <w:rFonts w:asciiTheme="majorHAnsi" w:hAnsiTheme="majorHAnsi"/>
          <w:szCs w:val="20"/>
          <w:lang w:val="es-ES_tradnl"/>
        </w:rPr>
      </w:pPr>
    </w:p>
    <w:p w14:paraId="700F54D7" w14:textId="77777777" w:rsidR="00C213EE" w:rsidRPr="009C09CA" w:rsidRDefault="00C213EE" w:rsidP="00C55B05">
      <w:pPr>
        <w:pStyle w:val="ListParagraph"/>
        <w:rPr>
          <w:lang w:val="es-US"/>
        </w:rPr>
      </w:pPr>
      <w:r>
        <w:rPr>
          <w:lang w:val="es-ES_tradnl"/>
        </w:rPr>
        <w:t xml:space="preserve">En cuanto a si las autoridades que tuvieron conocimiento de la situación de riesgo adoptaron </w:t>
      </w:r>
      <w:r w:rsidR="00516521" w:rsidRPr="00516521">
        <w:rPr>
          <w:lang w:val="es-MX"/>
        </w:rPr>
        <w:t>las medidas necesarias</w:t>
      </w:r>
      <w:r w:rsidR="00516521">
        <w:rPr>
          <w:lang w:val="es-MX"/>
        </w:rPr>
        <w:t>,</w:t>
      </w:r>
      <w:r w:rsidR="00516521" w:rsidRPr="00516521">
        <w:rPr>
          <w:lang w:val="es-MX"/>
        </w:rPr>
        <w:t xml:space="preserve"> dentro del ámbito de sus atribuciones que, juzgadas razonablemente, podían esperarse para prevenir o evitar ese riesgo</w:t>
      </w:r>
      <w:r>
        <w:rPr>
          <w:lang w:val="es-ES_tradnl"/>
        </w:rPr>
        <w:t xml:space="preserve">, </w:t>
      </w:r>
      <w:r w:rsidR="00516521">
        <w:rPr>
          <w:lang w:val="es-ES_tradnl"/>
        </w:rPr>
        <w:t xml:space="preserve">la CIDH nota que, </w:t>
      </w:r>
      <w:r>
        <w:rPr>
          <w:lang w:val="es-ES_tradnl"/>
        </w:rPr>
        <w:t>a</w:t>
      </w:r>
      <w:r w:rsidR="00A31856" w:rsidRPr="00C213EE">
        <w:rPr>
          <w:lang w:val="es-ES_tradnl"/>
        </w:rPr>
        <w:t xml:space="preserve"> </w:t>
      </w:r>
      <w:r w:rsidR="00F722D9">
        <w:rPr>
          <w:lang w:val="es-MX"/>
        </w:rPr>
        <w:t>partir de</w:t>
      </w:r>
      <w:r>
        <w:rPr>
          <w:lang w:val="es-MX"/>
        </w:rPr>
        <w:t>l 27 de febrero de 2007</w:t>
      </w:r>
      <w:r w:rsidR="005C0CB2">
        <w:rPr>
          <w:lang w:val="es-MX"/>
        </w:rPr>
        <w:t>,</w:t>
      </w:r>
      <w:r w:rsidR="00F722D9">
        <w:rPr>
          <w:lang w:val="es-MX"/>
        </w:rPr>
        <w:t xml:space="preserve"> </w:t>
      </w:r>
      <w:r w:rsidR="00F722D9" w:rsidRPr="00F722D9">
        <w:rPr>
          <w:lang w:val="es-MX"/>
        </w:rPr>
        <w:t xml:space="preserve">se </w:t>
      </w:r>
      <w:r w:rsidR="00A31856">
        <w:rPr>
          <w:lang w:val="es-MX"/>
        </w:rPr>
        <w:t>activó para el Estado el</w:t>
      </w:r>
      <w:r w:rsidR="00F722D9" w:rsidRPr="00F722D9">
        <w:rPr>
          <w:lang w:val="es-MX"/>
        </w:rPr>
        <w:t xml:space="preserve"> deber de </w:t>
      </w:r>
      <w:r w:rsidR="005C0CB2">
        <w:rPr>
          <w:lang w:val="es-MX"/>
        </w:rPr>
        <w:t xml:space="preserve">adoptar medidas de </w:t>
      </w:r>
      <w:r w:rsidR="00F722D9" w:rsidRPr="00F722D9">
        <w:rPr>
          <w:lang w:val="es-MX"/>
        </w:rPr>
        <w:t>protección</w:t>
      </w:r>
      <w:r w:rsidR="006E7BF7">
        <w:rPr>
          <w:lang w:val="es-MX"/>
        </w:rPr>
        <w:t>,</w:t>
      </w:r>
      <w:r w:rsidR="00F722D9" w:rsidRPr="00F722D9">
        <w:rPr>
          <w:lang w:val="es-MX"/>
        </w:rPr>
        <w:t xml:space="preserve"> conforme a</w:t>
      </w:r>
      <w:r w:rsidR="006E7BF7">
        <w:rPr>
          <w:lang w:val="es-MX"/>
        </w:rPr>
        <w:t>l</w:t>
      </w:r>
      <w:r w:rsidR="00F722D9" w:rsidRPr="00F722D9">
        <w:rPr>
          <w:lang w:val="es-MX"/>
        </w:rPr>
        <w:t xml:space="preserve"> deber de garantía.</w:t>
      </w:r>
      <w:r w:rsidR="00F722D9">
        <w:rPr>
          <w:lang w:val="es-MX"/>
        </w:rPr>
        <w:t xml:space="preserve"> Sin embargo, no consta en el expediente que </w:t>
      </w:r>
      <w:r w:rsidR="00A31856">
        <w:rPr>
          <w:lang w:val="es-MX"/>
        </w:rPr>
        <w:t>Haití</w:t>
      </w:r>
      <w:r w:rsidR="00F722D9">
        <w:rPr>
          <w:lang w:val="es-MX"/>
        </w:rPr>
        <w:t xml:space="preserve"> haya dado respuesta alguna </w:t>
      </w:r>
      <w:r w:rsidR="00A31856">
        <w:rPr>
          <w:lang w:val="es-MX"/>
        </w:rPr>
        <w:t>al requerimiento del peticionario</w:t>
      </w:r>
      <w:r w:rsidR="00410A1A">
        <w:rPr>
          <w:lang w:val="es-MX"/>
        </w:rPr>
        <w:t xml:space="preserve"> o que haya impuesto las</w:t>
      </w:r>
      <w:r w:rsidR="00A31856">
        <w:rPr>
          <w:lang w:val="es-MX"/>
        </w:rPr>
        <w:t xml:space="preserve"> </w:t>
      </w:r>
      <w:r w:rsidR="00F722D9" w:rsidRPr="00F722D9">
        <w:rPr>
          <w:lang w:val="es-US"/>
        </w:rPr>
        <w:t xml:space="preserve">medidas de protección </w:t>
      </w:r>
      <w:r w:rsidR="00410A1A">
        <w:rPr>
          <w:lang w:val="es-US"/>
        </w:rPr>
        <w:t>que el riesgo ameritaba</w:t>
      </w:r>
      <w:r w:rsidR="00F722D9">
        <w:rPr>
          <w:lang w:val="es-US"/>
        </w:rPr>
        <w:t xml:space="preserve">. </w:t>
      </w:r>
      <w:r w:rsidR="00890CF7">
        <w:rPr>
          <w:lang w:val="es-US"/>
        </w:rPr>
        <w:t>Como se indicó anteriormente</w:t>
      </w:r>
      <w:r w:rsidR="00F7605E">
        <w:rPr>
          <w:lang w:val="es-US"/>
        </w:rPr>
        <w:t xml:space="preserve">, </w:t>
      </w:r>
      <w:r>
        <w:rPr>
          <w:lang w:val="es-US"/>
        </w:rPr>
        <w:t>tal situación de indefensión conlle</w:t>
      </w:r>
      <w:r w:rsidR="00516521">
        <w:rPr>
          <w:lang w:val="es-US"/>
        </w:rPr>
        <w:t>vó</w:t>
      </w:r>
      <w:r>
        <w:rPr>
          <w:lang w:val="es-US"/>
        </w:rPr>
        <w:t xml:space="preserve"> a la ocurrencia de nuevos eventos de riesgo</w:t>
      </w:r>
      <w:r>
        <w:rPr>
          <w:lang w:val="es-ES_tradnl"/>
        </w:rPr>
        <w:t>.</w:t>
      </w:r>
    </w:p>
    <w:p w14:paraId="1736B7BD" w14:textId="77777777" w:rsidR="009C09CA" w:rsidRPr="009C09CA" w:rsidRDefault="009C09CA" w:rsidP="009C09CA">
      <w:pPr>
        <w:pStyle w:val="ListParagraph"/>
        <w:numPr>
          <w:ilvl w:val="0"/>
          <w:numId w:val="0"/>
        </w:numPr>
        <w:rPr>
          <w:lang w:val="es-US"/>
        </w:rPr>
      </w:pPr>
    </w:p>
    <w:p w14:paraId="29339C69" w14:textId="77777777" w:rsidR="009C09CA" w:rsidRDefault="009C09CA" w:rsidP="009C09CA">
      <w:pPr>
        <w:pStyle w:val="ListParagraph"/>
        <w:rPr>
          <w:lang w:val="es-US"/>
        </w:rPr>
      </w:pPr>
      <w:r>
        <w:rPr>
          <w:lang w:val="es-US"/>
        </w:rPr>
        <w:t xml:space="preserve">Como resultado de lo expuesto, la Comisión </w:t>
      </w:r>
      <w:r w:rsidR="00890CF7">
        <w:rPr>
          <w:lang w:val="es-US"/>
        </w:rPr>
        <w:t>estima</w:t>
      </w:r>
      <w:r>
        <w:rPr>
          <w:lang w:val="es-US"/>
        </w:rPr>
        <w:t xml:space="preserve"> que el Estado no cumplió con su deber de proteger los derechos a la vida e integridad </w:t>
      </w:r>
      <w:r w:rsidR="006E7BF7" w:rsidRPr="009C09CA">
        <w:rPr>
          <w:lang w:val="es-MX"/>
        </w:rPr>
        <w:t>personal</w:t>
      </w:r>
      <w:r w:rsidR="00C213EE" w:rsidRPr="009C09CA">
        <w:rPr>
          <w:lang w:val="es-MX"/>
        </w:rPr>
        <w:t xml:space="preserve"> </w:t>
      </w:r>
      <w:r w:rsidR="006E7BF7" w:rsidRPr="009C09CA">
        <w:rPr>
          <w:lang w:val="es-MX"/>
        </w:rPr>
        <w:t>establecidos en los artículos 4.1</w:t>
      </w:r>
      <w:r w:rsidR="00C213EE" w:rsidRPr="009C09CA">
        <w:rPr>
          <w:lang w:val="es-MX"/>
        </w:rPr>
        <w:t xml:space="preserve"> y </w:t>
      </w:r>
      <w:r w:rsidR="006E7BF7" w:rsidRPr="009C09CA">
        <w:rPr>
          <w:lang w:val="es-MX"/>
        </w:rPr>
        <w:t>5.1</w:t>
      </w:r>
      <w:r w:rsidR="00C213EE" w:rsidRPr="009C09CA">
        <w:rPr>
          <w:lang w:val="es-MX"/>
        </w:rPr>
        <w:t xml:space="preserve"> </w:t>
      </w:r>
      <w:r w:rsidR="006E7BF7" w:rsidRPr="009C09CA">
        <w:rPr>
          <w:lang w:val="es-MX"/>
        </w:rPr>
        <w:t>de la Convención Americana, en relación con el deber de garantía en su componente de protección</w:t>
      </w:r>
      <w:r w:rsidR="00F7605E" w:rsidRPr="009C09CA">
        <w:rPr>
          <w:lang w:val="es-MX"/>
        </w:rPr>
        <w:t xml:space="preserve"> contenido en el artículo 1.1 del mismo instrumento</w:t>
      </w:r>
      <w:r w:rsidR="006E7BF7" w:rsidRPr="009C09CA">
        <w:rPr>
          <w:lang w:val="es-MX"/>
        </w:rPr>
        <w:t xml:space="preserve">, en perjuicio de </w:t>
      </w:r>
      <w:r w:rsidR="006E7BF7" w:rsidRPr="009C09CA">
        <w:rPr>
          <w:lang w:val="es-US"/>
        </w:rPr>
        <w:t>Baptiste Willer, su esposa Noëlzina Baptiste y sus tres hijos, Baptiste Costaguinov, Baptiste Wilderson y Baptiste Noë-Willo</w:t>
      </w:r>
      <w:r w:rsidR="006E7BF7" w:rsidRPr="009C09CA">
        <w:rPr>
          <w:lang w:val="es-MX"/>
        </w:rPr>
        <w:t xml:space="preserve">. </w:t>
      </w:r>
    </w:p>
    <w:p w14:paraId="3C043E50" w14:textId="77777777" w:rsidR="009C09CA" w:rsidRPr="009C09CA" w:rsidRDefault="009C09CA" w:rsidP="009C09CA">
      <w:pPr>
        <w:pStyle w:val="ListParagraph"/>
        <w:numPr>
          <w:ilvl w:val="0"/>
          <w:numId w:val="0"/>
        </w:numPr>
        <w:rPr>
          <w:lang w:val="es-US"/>
        </w:rPr>
      </w:pPr>
    </w:p>
    <w:p w14:paraId="09D7588F" w14:textId="77777777" w:rsidR="009C09CA" w:rsidRPr="009C09CA" w:rsidRDefault="009C09CA" w:rsidP="009C09CA">
      <w:pPr>
        <w:pStyle w:val="ListParagraph"/>
        <w:rPr>
          <w:lang w:val="es-US"/>
        </w:rPr>
      </w:pPr>
      <w:r w:rsidRPr="009C09CA">
        <w:rPr>
          <w:lang w:val="es-US"/>
        </w:rPr>
        <w:t>Adicionalmente, la Comisión no deja de notar que</w:t>
      </w:r>
      <w:r w:rsidR="00890CF7">
        <w:rPr>
          <w:lang w:val="es-US"/>
        </w:rPr>
        <w:t>,</w:t>
      </w:r>
      <w:r w:rsidRPr="009C09CA">
        <w:rPr>
          <w:lang w:val="es-US"/>
        </w:rPr>
        <w:t xml:space="preserve"> en vista de que los tres hijos del señor Baptiste eran menores de edad a la fecha de los hechos, existía un deber especial </w:t>
      </w:r>
      <w:r w:rsidR="00890CF7">
        <w:rPr>
          <w:lang w:val="es-US"/>
        </w:rPr>
        <w:t xml:space="preserve">para </w:t>
      </w:r>
      <w:r w:rsidRPr="009C09CA">
        <w:rPr>
          <w:lang w:val="es-US"/>
        </w:rPr>
        <w:t xml:space="preserve">el Estado de salvaguardar sus derechos teniendo en cuenta su interés superior. </w:t>
      </w:r>
      <w:r>
        <w:rPr>
          <w:lang w:val="es-US"/>
        </w:rPr>
        <w:t xml:space="preserve">En consecuencia, la Comisión también concluye que el Estado </w:t>
      </w:r>
      <w:r w:rsidR="00890CF7">
        <w:rPr>
          <w:lang w:val="es-US"/>
        </w:rPr>
        <w:t xml:space="preserve">también </w:t>
      </w:r>
      <w:r>
        <w:rPr>
          <w:lang w:val="es-US"/>
        </w:rPr>
        <w:t>violó el artículo 19 de la Convención</w:t>
      </w:r>
      <w:r w:rsidR="00890CF7">
        <w:rPr>
          <w:lang w:val="es-US"/>
        </w:rPr>
        <w:t>,</w:t>
      </w:r>
      <w:r>
        <w:rPr>
          <w:lang w:val="es-US"/>
        </w:rPr>
        <w:t xml:space="preserve"> en relación con el artículo 1.1 de</w:t>
      </w:r>
      <w:r w:rsidR="00890CF7">
        <w:rPr>
          <w:lang w:val="es-US"/>
        </w:rPr>
        <w:t>l mismo instrumento,</w:t>
      </w:r>
      <w:r>
        <w:rPr>
          <w:lang w:val="es-US"/>
        </w:rPr>
        <w:t xml:space="preserve"> en perjuicio de </w:t>
      </w:r>
      <w:r w:rsidRPr="009C09CA">
        <w:rPr>
          <w:lang w:val="es-US"/>
        </w:rPr>
        <w:t>Baptiste Costaguinov, Baptiste Wilderson y Baptiste Noë-Willo</w:t>
      </w:r>
      <w:r w:rsidRPr="009C09CA">
        <w:rPr>
          <w:lang w:val="es-MX"/>
        </w:rPr>
        <w:t xml:space="preserve">. </w:t>
      </w:r>
    </w:p>
    <w:p w14:paraId="256D2318" w14:textId="77777777" w:rsidR="009C09CA" w:rsidRPr="009C09CA" w:rsidRDefault="009C09CA" w:rsidP="00C55B05">
      <w:pPr>
        <w:pStyle w:val="ListParagraph"/>
        <w:numPr>
          <w:ilvl w:val="0"/>
          <w:numId w:val="0"/>
        </w:numPr>
        <w:rPr>
          <w:lang w:val="es-US"/>
        </w:rPr>
      </w:pPr>
    </w:p>
    <w:p w14:paraId="66E80B96" w14:textId="77777777" w:rsidR="00F7605E" w:rsidRDefault="008F2947" w:rsidP="00C55B05">
      <w:pPr>
        <w:pStyle w:val="Heading2"/>
        <w:rPr>
          <w:lang w:val="es-MX"/>
        </w:rPr>
      </w:pPr>
      <w:bookmarkStart w:id="15" w:name="_Toc22308276"/>
      <w:r>
        <w:rPr>
          <w:lang w:val="es-MX"/>
        </w:rPr>
        <w:t>Der</w:t>
      </w:r>
      <w:r w:rsidR="005709A4">
        <w:rPr>
          <w:lang w:val="es-MX"/>
        </w:rPr>
        <w:t xml:space="preserve">echos a </w:t>
      </w:r>
      <w:r w:rsidR="00F25B60">
        <w:rPr>
          <w:lang w:val="es-MX"/>
        </w:rPr>
        <w:t xml:space="preserve">la </w:t>
      </w:r>
      <w:r w:rsidR="000A3FA3" w:rsidRPr="000A3FA3">
        <w:rPr>
          <w:lang w:val="es-US"/>
        </w:rPr>
        <w:t>libertad de circulación y residencia</w:t>
      </w:r>
      <w:r w:rsidR="000A3FA3" w:rsidRPr="000A3FA3">
        <w:rPr>
          <w:vertAlign w:val="superscript"/>
        </w:rPr>
        <w:footnoteReference w:id="50"/>
      </w:r>
      <w:r>
        <w:rPr>
          <w:lang w:val="es-US"/>
        </w:rPr>
        <w:t xml:space="preserve"> y derechos del niño</w:t>
      </w:r>
      <w:r w:rsidRPr="008F2947">
        <w:rPr>
          <w:lang w:val="es-ES_tradnl"/>
        </w:rPr>
        <w:t xml:space="preserve">, </w:t>
      </w:r>
      <w:r w:rsidRPr="008F2947">
        <w:rPr>
          <w:lang w:val="es-VE"/>
        </w:rPr>
        <w:t>en relación con el artículo 1.1 de la Convención Americana</w:t>
      </w:r>
      <w:bookmarkEnd w:id="15"/>
      <w:r w:rsidR="00F7605E" w:rsidRPr="00C55B05" w:rsidDel="00F7605E">
        <w:rPr>
          <w:lang w:val="es-MX"/>
        </w:rPr>
        <w:t xml:space="preserve"> </w:t>
      </w:r>
    </w:p>
    <w:p w14:paraId="6F115859" w14:textId="77777777" w:rsidR="003D0953" w:rsidRDefault="003D0953" w:rsidP="00C55B05">
      <w:pPr>
        <w:pStyle w:val="ListParagraph"/>
        <w:numPr>
          <w:ilvl w:val="0"/>
          <w:numId w:val="0"/>
        </w:numPr>
        <w:rPr>
          <w:lang w:val="es-ES"/>
        </w:rPr>
      </w:pPr>
    </w:p>
    <w:p w14:paraId="07774CE4" w14:textId="77777777" w:rsidR="00AF2987" w:rsidRPr="00C55B05" w:rsidRDefault="00A341B4" w:rsidP="00C55B05">
      <w:pPr>
        <w:pStyle w:val="ListParagraph"/>
        <w:rPr>
          <w:lang w:val="es-ES"/>
        </w:rPr>
      </w:pPr>
      <w:r w:rsidRPr="00A341B4">
        <w:rPr>
          <w:lang w:val="es-ES"/>
        </w:rPr>
        <w:t>En cuanto al derecho de circulación y residencia reconocido en el artículo 22.1 de la Convención, la Corte ha indicado que es “una condición indispensable para el libre desarrollo de la persona”</w:t>
      </w:r>
      <w:r w:rsidRPr="00A341B4">
        <w:rPr>
          <w:vertAlign w:val="superscript"/>
          <w:lang w:val="es-ES"/>
        </w:rPr>
        <w:footnoteReference w:id="51"/>
      </w:r>
      <w:r w:rsidRPr="00A341B4">
        <w:rPr>
          <w:lang w:val="es-ES"/>
        </w:rPr>
        <w:t>, que incluye, entre otros “el derecho de quienes se encuentren legalmente dentro de un Estado a circular libremente en él y escoger su lugar de residencia”</w:t>
      </w:r>
      <w:r w:rsidRPr="00A341B4">
        <w:rPr>
          <w:vertAlign w:val="superscript"/>
          <w:lang w:val="es-ES"/>
        </w:rPr>
        <w:footnoteReference w:id="52"/>
      </w:r>
      <w:r w:rsidRPr="00A341B4">
        <w:rPr>
          <w:lang w:val="es-ES"/>
        </w:rPr>
        <w:t xml:space="preserve">. Tal derecho “puede ser vulnerado </w:t>
      </w:r>
      <w:r w:rsidRPr="00A341B4">
        <w:rPr>
          <w:lang w:val="es-US"/>
        </w:rPr>
        <w:t xml:space="preserve">por restricciones </w:t>
      </w:r>
      <w:r w:rsidRPr="00C55B05">
        <w:rPr>
          <w:i/>
          <w:lang w:val="es-US"/>
        </w:rPr>
        <w:t xml:space="preserve">de facto </w:t>
      </w:r>
      <w:r w:rsidRPr="00A341B4">
        <w:rPr>
          <w:lang w:val="es-US"/>
        </w:rPr>
        <w:t>si el Estado no ha establecido las condiciones ni provisto los medios que permiten ejercerlo”</w:t>
      </w:r>
      <w:r w:rsidRPr="00A341B4">
        <w:rPr>
          <w:vertAlign w:val="superscript"/>
          <w:lang w:val="es-US"/>
        </w:rPr>
        <w:footnoteReference w:id="53"/>
      </w:r>
      <w:r w:rsidRPr="00A341B4">
        <w:rPr>
          <w:lang w:val="es-US"/>
        </w:rPr>
        <w:t>, en particular “cuando una persona es víctima de amenazas u hostigamientos y el Estado no provee las garantías necesarias para que pueda transitar y residir libremente en el territorio de que se trate, incluso cuando las amenazas y hostigamientos provienen de actores no estatales”</w:t>
      </w:r>
      <w:r w:rsidRPr="00A341B4">
        <w:rPr>
          <w:vertAlign w:val="superscript"/>
          <w:lang w:val="es-US"/>
        </w:rPr>
        <w:footnoteReference w:id="54"/>
      </w:r>
      <w:r w:rsidRPr="00A341B4">
        <w:rPr>
          <w:lang w:val="es-US"/>
        </w:rPr>
        <w:t>.</w:t>
      </w:r>
      <w:r w:rsidR="00AF2987">
        <w:rPr>
          <w:lang w:val="es-US"/>
        </w:rPr>
        <w:t xml:space="preserve"> </w:t>
      </w:r>
    </w:p>
    <w:p w14:paraId="06CD725E" w14:textId="77777777" w:rsidR="00AF2987" w:rsidRDefault="00AF2987" w:rsidP="00C55B05">
      <w:pPr>
        <w:pStyle w:val="ListParagraph"/>
        <w:numPr>
          <w:ilvl w:val="0"/>
          <w:numId w:val="0"/>
        </w:numPr>
        <w:rPr>
          <w:lang w:val="es-ES"/>
        </w:rPr>
      </w:pPr>
    </w:p>
    <w:p w14:paraId="12A921B8" w14:textId="77777777" w:rsidR="00A341B4" w:rsidRPr="00C55B05" w:rsidRDefault="00C23E1E" w:rsidP="00C55B05">
      <w:pPr>
        <w:pStyle w:val="ListParagraph"/>
        <w:rPr>
          <w:lang w:val="es-ES"/>
        </w:rPr>
      </w:pPr>
      <w:r>
        <w:rPr>
          <w:lang w:val="es-US"/>
        </w:rPr>
        <w:t>L</w:t>
      </w:r>
      <w:r w:rsidR="00AF2987" w:rsidRPr="00B8752A">
        <w:rPr>
          <w:lang w:val="es-US"/>
        </w:rPr>
        <w:t xml:space="preserve">a obligación de garantía para el Estado de proteger los derechos de las personas desplazadas conlleva no sólo el deber de adoptar medidas de prevención sino también proveer las condiciones necesarias para facilitar </w:t>
      </w:r>
      <w:r w:rsidR="00AF2987" w:rsidRPr="00B8752A">
        <w:rPr>
          <w:lang w:val="es-US"/>
        </w:rPr>
        <w:lastRenderedPageBreak/>
        <w:t xml:space="preserve">un retorno voluntario, digno y </w:t>
      </w:r>
      <w:r w:rsidR="00AF2987" w:rsidRPr="00DA64F6">
        <w:rPr>
          <w:lang w:val="es-US"/>
        </w:rPr>
        <w:t>seguro a su lugar de residencia habitual o a su reasentamiento voluntario en otra parte del</w:t>
      </w:r>
      <w:r w:rsidR="00AF2987">
        <w:rPr>
          <w:lang w:val="es-US"/>
        </w:rPr>
        <w:t xml:space="preserve"> </w:t>
      </w:r>
      <w:r w:rsidR="00AF2987" w:rsidRPr="00B8752A">
        <w:rPr>
          <w:lang w:val="es-US"/>
        </w:rPr>
        <w:t>país</w:t>
      </w:r>
      <w:r w:rsidR="00AF2987">
        <w:rPr>
          <w:lang w:val="es-US"/>
        </w:rPr>
        <w:t>, garantizando su participación plena en la planificación y gestión de su regreso o reintegración</w:t>
      </w:r>
      <w:r w:rsidR="00AF2987">
        <w:rPr>
          <w:rStyle w:val="FootnoteReference"/>
          <w:lang w:val="es-US"/>
        </w:rPr>
        <w:footnoteReference w:id="55"/>
      </w:r>
      <w:r w:rsidR="00AF2987" w:rsidRPr="00B8752A">
        <w:rPr>
          <w:lang w:val="es-US"/>
        </w:rPr>
        <w:t>.</w:t>
      </w:r>
    </w:p>
    <w:p w14:paraId="7D7F51B4" w14:textId="77777777" w:rsidR="0000378F" w:rsidRPr="00C55B05" w:rsidRDefault="0000378F" w:rsidP="00C55B05">
      <w:pPr>
        <w:pStyle w:val="ListParagraph"/>
        <w:numPr>
          <w:ilvl w:val="0"/>
          <w:numId w:val="0"/>
        </w:numPr>
        <w:rPr>
          <w:lang w:val="es-ES"/>
        </w:rPr>
      </w:pPr>
    </w:p>
    <w:p w14:paraId="186E59A2" w14:textId="77777777" w:rsidR="0000378F" w:rsidRPr="00B8752A" w:rsidRDefault="0000378F" w:rsidP="00C55B05">
      <w:pPr>
        <w:pStyle w:val="ListParagraph"/>
        <w:rPr>
          <w:szCs w:val="20"/>
          <w:lang w:val="es-ES"/>
        </w:rPr>
      </w:pPr>
      <w:r>
        <w:rPr>
          <w:lang w:val="es-US"/>
        </w:rPr>
        <w:t>Además</w:t>
      </w:r>
      <w:r w:rsidR="00C55B05">
        <w:rPr>
          <w:lang w:val="es-US"/>
        </w:rPr>
        <w:t>,</w:t>
      </w:r>
      <w:r>
        <w:rPr>
          <w:lang w:val="es-US"/>
        </w:rPr>
        <w:t xml:space="preserve"> cuando entre las víctimas de desplazamiento forzado se </w:t>
      </w:r>
      <w:r w:rsidRPr="00B8752A">
        <w:rPr>
          <w:szCs w:val="20"/>
          <w:lang w:val="es-US"/>
        </w:rPr>
        <w:t>encuentran niños, las violaciones a su respecto ocurren también en relación con el artículo 19 de la Convención</w:t>
      </w:r>
      <w:r w:rsidRPr="00B8752A">
        <w:rPr>
          <w:rStyle w:val="FootnoteReference"/>
          <w:szCs w:val="20"/>
          <w:lang w:val="es-US"/>
        </w:rPr>
        <w:footnoteReference w:id="56"/>
      </w:r>
      <w:r w:rsidRPr="00B8752A">
        <w:rPr>
          <w:szCs w:val="20"/>
          <w:lang w:val="es-US"/>
        </w:rPr>
        <w:t>.</w:t>
      </w:r>
    </w:p>
    <w:p w14:paraId="5C715D6A" w14:textId="77777777" w:rsidR="003D0953" w:rsidRPr="00C55B05" w:rsidRDefault="003D0953" w:rsidP="00A341B4">
      <w:pPr>
        <w:rPr>
          <w:rFonts w:ascii="Cambria" w:hAnsi="Cambria"/>
          <w:sz w:val="20"/>
          <w:szCs w:val="20"/>
          <w:lang w:val="es-ES_tradnl"/>
        </w:rPr>
      </w:pPr>
    </w:p>
    <w:p w14:paraId="041982E1" w14:textId="77777777" w:rsidR="001D3061" w:rsidRPr="00C55B05" w:rsidRDefault="001D3061" w:rsidP="002133A8">
      <w:pPr>
        <w:pStyle w:val="Heading3"/>
        <w:numPr>
          <w:ilvl w:val="0"/>
          <w:numId w:val="0"/>
        </w:numPr>
        <w:ind w:left="720"/>
        <w:rPr>
          <w:lang w:val="es-ES"/>
        </w:rPr>
      </w:pPr>
      <w:bookmarkStart w:id="16" w:name="_Toc22308277"/>
      <w:r w:rsidRPr="00C55B05">
        <w:rPr>
          <w:lang w:val="es-ES"/>
        </w:rPr>
        <w:t>Análisis en el presente caso</w:t>
      </w:r>
      <w:bookmarkEnd w:id="16"/>
    </w:p>
    <w:p w14:paraId="61BE9D45" w14:textId="77777777" w:rsidR="001D3061" w:rsidRPr="00C55B05" w:rsidRDefault="001D3061" w:rsidP="00A341B4">
      <w:pPr>
        <w:rPr>
          <w:rFonts w:ascii="Cambria" w:hAnsi="Cambria"/>
          <w:sz w:val="20"/>
          <w:szCs w:val="20"/>
          <w:lang w:val="es-ES_tradnl"/>
        </w:rPr>
      </w:pPr>
    </w:p>
    <w:p w14:paraId="68A44E5C" w14:textId="77777777" w:rsidR="00EE0A0D" w:rsidRPr="00135333" w:rsidRDefault="00EE0A0D" w:rsidP="00135333">
      <w:pPr>
        <w:pStyle w:val="ListParagraph"/>
        <w:rPr>
          <w:lang w:val="es-ES_tradnl"/>
        </w:rPr>
      </w:pPr>
      <w:r w:rsidRPr="00B8752A">
        <w:rPr>
          <w:szCs w:val="20"/>
          <w:lang w:val="es-ES_tradnl"/>
        </w:rPr>
        <w:t>Como se detalla en los hechos probados, luego de haber informado a las autoridades de lo ocurrido, y sin recibir ningún tipo de protección</w:t>
      </w:r>
      <w:r w:rsidR="00E50911">
        <w:rPr>
          <w:szCs w:val="20"/>
          <w:lang w:val="es-ES_tradnl"/>
        </w:rPr>
        <w:t>,</w:t>
      </w:r>
      <w:r w:rsidRPr="00B8752A">
        <w:rPr>
          <w:szCs w:val="20"/>
          <w:lang w:val="es-ES_tradnl"/>
        </w:rPr>
        <w:t xml:space="preserve"> asistencia </w:t>
      </w:r>
      <w:r w:rsidR="00E50911">
        <w:rPr>
          <w:szCs w:val="20"/>
          <w:lang w:val="es-ES_tradnl"/>
        </w:rPr>
        <w:t xml:space="preserve">o respuesta </w:t>
      </w:r>
      <w:r w:rsidRPr="00B8752A">
        <w:rPr>
          <w:szCs w:val="20"/>
          <w:lang w:val="es-ES_tradnl"/>
        </w:rPr>
        <w:t xml:space="preserve">por parte del Estado, Baptiste Willer, su esposa y sus hijos </w:t>
      </w:r>
      <w:r w:rsidR="008F5A71" w:rsidRPr="00B8752A">
        <w:rPr>
          <w:szCs w:val="20"/>
          <w:lang w:val="es-ES_tradnl"/>
        </w:rPr>
        <w:t xml:space="preserve">menores de edad, </w:t>
      </w:r>
      <w:r w:rsidRPr="00B8752A">
        <w:rPr>
          <w:szCs w:val="20"/>
          <w:lang w:val="es-ES_tradnl"/>
        </w:rPr>
        <w:t>continuaron experimentando una perm</w:t>
      </w:r>
      <w:r w:rsidR="008F5A71" w:rsidRPr="00B8752A">
        <w:rPr>
          <w:szCs w:val="20"/>
          <w:lang w:val="es-ES_tradnl"/>
        </w:rPr>
        <w:t>anente sensación de inseguridad y</w:t>
      </w:r>
      <w:r w:rsidRPr="00B8752A">
        <w:rPr>
          <w:szCs w:val="20"/>
          <w:lang w:val="es-ES_tradnl"/>
        </w:rPr>
        <w:t xml:space="preserve"> fueron víctimas de continuas amenazas telefónicas y en persona</w:t>
      </w:r>
      <w:r w:rsidR="002133A8">
        <w:rPr>
          <w:szCs w:val="20"/>
          <w:lang w:val="es-ES_tradnl"/>
        </w:rPr>
        <w:t>,</w:t>
      </w:r>
      <w:r w:rsidRPr="00B8752A">
        <w:rPr>
          <w:szCs w:val="20"/>
          <w:lang w:val="es-ES_tradnl"/>
        </w:rPr>
        <w:t xml:space="preserve"> </w:t>
      </w:r>
      <w:r w:rsidR="00C23E1E">
        <w:rPr>
          <w:szCs w:val="20"/>
          <w:lang w:val="es-ES_tradnl"/>
        </w:rPr>
        <w:t>así como</w:t>
      </w:r>
      <w:r w:rsidRPr="00B8752A">
        <w:rPr>
          <w:szCs w:val="20"/>
          <w:lang w:val="es-ES_tradnl"/>
        </w:rPr>
        <w:t xml:space="preserve"> </w:t>
      </w:r>
      <w:r w:rsidR="002133A8">
        <w:rPr>
          <w:szCs w:val="20"/>
          <w:lang w:val="es-ES_tradnl"/>
        </w:rPr>
        <w:t xml:space="preserve">de </w:t>
      </w:r>
      <w:r w:rsidRPr="00B8752A">
        <w:rPr>
          <w:szCs w:val="20"/>
          <w:lang w:val="es-ES_tradnl"/>
        </w:rPr>
        <w:t xml:space="preserve">atentados. </w:t>
      </w:r>
      <w:r w:rsidR="00C55B05">
        <w:rPr>
          <w:rFonts w:asciiTheme="majorHAnsi" w:hAnsiTheme="majorHAnsi"/>
          <w:szCs w:val="20"/>
          <w:lang w:val="es-US"/>
        </w:rPr>
        <w:t xml:space="preserve">En estas circunstancias, </w:t>
      </w:r>
      <w:r w:rsidR="00C55B05" w:rsidRPr="00B8752A">
        <w:rPr>
          <w:rFonts w:asciiTheme="majorHAnsi" w:hAnsiTheme="majorHAnsi"/>
          <w:szCs w:val="20"/>
          <w:lang w:val="es-ES_tradnl"/>
        </w:rPr>
        <w:t>se vieron forzados a abandonar su hogar y su negocio y a vivir en permanente fuga.</w:t>
      </w:r>
      <w:r w:rsidR="00135333">
        <w:rPr>
          <w:rFonts w:eastAsia="PMingLiU" w:hint="eastAsia"/>
          <w:lang w:val="es-ES_tradnl" w:eastAsia="zh-TW"/>
        </w:rPr>
        <w:t xml:space="preserve"> Asimismo, </w:t>
      </w:r>
      <w:r w:rsidR="00135333">
        <w:rPr>
          <w:rFonts w:asciiTheme="majorHAnsi" w:eastAsia="PMingLiU" w:hAnsiTheme="majorHAnsi" w:hint="eastAsia"/>
          <w:szCs w:val="20"/>
          <w:lang w:val="es-ES_tradnl" w:eastAsia="zh-TW"/>
        </w:rPr>
        <w:t>n</w:t>
      </w:r>
      <w:r w:rsidRPr="00135333">
        <w:rPr>
          <w:rFonts w:asciiTheme="majorHAnsi" w:hAnsiTheme="majorHAnsi"/>
          <w:szCs w:val="20"/>
          <w:lang w:val="es-ES_tradnl"/>
        </w:rPr>
        <w:t>o existe constancia</w:t>
      </w:r>
      <w:r w:rsidR="00C34D2D" w:rsidRPr="00135333">
        <w:rPr>
          <w:rFonts w:asciiTheme="majorHAnsi" w:hAnsiTheme="majorHAnsi"/>
          <w:szCs w:val="20"/>
          <w:lang w:val="es-ES_tradnl"/>
        </w:rPr>
        <w:t xml:space="preserve"> alguna de que Haití haya </w:t>
      </w:r>
      <w:r w:rsidR="00C34D2D" w:rsidRPr="00135333">
        <w:rPr>
          <w:rFonts w:asciiTheme="majorHAnsi" w:hAnsiTheme="majorHAnsi"/>
          <w:szCs w:val="20"/>
          <w:lang w:val="es-US"/>
        </w:rPr>
        <w:t xml:space="preserve">adoptado </w:t>
      </w:r>
      <w:r w:rsidR="00135333">
        <w:rPr>
          <w:rFonts w:asciiTheme="majorHAnsi" w:hAnsiTheme="majorHAnsi"/>
          <w:szCs w:val="20"/>
          <w:lang w:val="es-US"/>
        </w:rPr>
        <w:t>medida</w:t>
      </w:r>
      <w:r w:rsidR="00135333">
        <w:rPr>
          <w:rFonts w:asciiTheme="majorHAnsi" w:eastAsia="PMingLiU" w:hAnsiTheme="majorHAnsi" w:hint="eastAsia"/>
          <w:szCs w:val="20"/>
          <w:lang w:val="es-US" w:eastAsia="zh-TW"/>
        </w:rPr>
        <w:t xml:space="preserve"> alguna </w:t>
      </w:r>
      <w:r w:rsidR="00C34D2D" w:rsidRPr="00135333">
        <w:rPr>
          <w:rFonts w:asciiTheme="majorHAnsi" w:hAnsiTheme="majorHAnsi"/>
          <w:szCs w:val="20"/>
          <w:lang w:val="es-US"/>
        </w:rPr>
        <w:t xml:space="preserve">para facilitar </w:t>
      </w:r>
      <w:r w:rsidR="00135333">
        <w:rPr>
          <w:rFonts w:asciiTheme="majorHAnsi" w:eastAsia="PMingLiU" w:hAnsiTheme="majorHAnsi" w:hint="eastAsia"/>
          <w:szCs w:val="20"/>
          <w:lang w:val="es-US" w:eastAsia="zh-TW"/>
        </w:rPr>
        <w:t xml:space="preserve">el </w:t>
      </w:r>
      <w:r w:rsidR="00C34D2D" w:rsidRPr="00135333">
        <w:rPr>
          <w:rFonts w:asciiTheme="majorHAnsi" w:hAnsiTheme="majorHAnsi"/>
          <w:szCs w:val="20"/>
          <w:lang w:val="es-US"/>
        </w:rPr>
        <w:t>retorno voluntario, digno y seguro de</w:t>
      </w:r>
      <w:r w:rsidR="00C34D2D" w:rsidRPr="00135333">
        <w:rPr>
          <w:rFonts w:asciiTheme="majorHAnsi" w:eastAsia="Times New Roman" w:hAnsiTheme="majorHAnsi" w:cs="Times New Roman"/>
          <w:color w:val="auto"/>
          <w:sz w:val="24"/>
          <w:szCs w:val="20"/>
          <w:bdr w:val="none" w:sz="0" w:space="0" w:color="auto"/>
          <w:lang w:val="es-US" w:eastAsia="en-US"/>
        </w:rPr>
        <w:t xml:space="preserve"> </w:t>
      </w:r>
      <w:r w:rsidR="00C34D2D" w:rsidRPr="00135333">
        <w:rPr>
          <w:rFonts w:asciiTheme="majorHAnsi" w:hAnsiTheme="majorHAnsi"/>
          <w:szCs w:val="20"/>
          <w:lang w:val="es-US"/>
        </w:rPr>
        <w:t>Baptiste Willer, su esposa y sus hijos</w:t>
      </w:r>
      <w:r w:rsidR="008F5A71" w:rsidRPr="00135333">
        <w:rPr>
          <w:rFonts w:asciiTheme="majorHAnsi" w:hAnsiTheme="majorHAnsi"/>
          <w:szCs w:val="20"/>
          <w:lang w:val="es-US"/>
        </w:rPr>
        <w:t>,</w:t>
      </w:r>
      <w:r w:rsidR="00C34D2D" w:rsidRPr="00135333">
        <w:rPr>
          <w:rFonts w:asciiTheme="majorHAnsi" w:hAnsiTheme="majorHAnsi"/>
          <w:szCs w:val="20"/>
          <w:lang w:val="es-US"/>
        </w:rPr>
        <w:t xml:space="preserve"> a su lugar de residencia habitual o su reasentamiento voluntario en otra parte del país, asegurando su participación plena en dicho proceso.</w:t>
      </w:r>
    </w:p>
    <w:p w14:paraId="025F07A7" w14:textId="77777777" w:rsidR="00C34D2D" w:rsidRPr="00C55B05" w:rsidRDefault="00C34D2D" w:rsidP="00C55B05">
      <w:pPr>
        <w:pStyle w:val="ListParagraph"/>
        <w:numPr>
          <w:ilvl w:val="0"/>
          <w:numId w:val="0"/>
        </w:numPr>
        <w:rPr>
          <w:lang w:val="es-ES_tradnl"/>
        </w:rPr>
      </w:pPr>
    </w:p>
    <w:p w14:paraId="12B5382F" w14:textId="77777777" w:rsidR="00135333" w:rsidRPr="00135333" w:rsidRDefault="00135333" w:rsidP="00135333">
      <w:pPr>
        <w:pStyle w:val="ListParagraph"/>
        <w:rPr>
          <w:rFonts w:eastAsia="PMingLiU"/>
          <w:lang w:val="es-MX" w:eastAsia="zh-TW"/>
        </w:rPr>
      </w:pPr>
      <w:r>
        <w:rPr>
          <w:rFonts w:eastAsia="PMingLiU" w:hint="eastAsia"/>
          <w:lang w:val="es-ES_tradnl" w:eastAsia="zh-TW"/>
        </w:rPr>
        <w:t>La Comisi</w:t>
      </w:r>
      <w:r>
        <w:rPr>
          <w:rFonts w:eastAsia="PMingLiU"/>
          <w:lang w:val="es-MX" w:eastAsia="zh-TW"/>
        </w:rPr>
        <w:t xml:space="preserve">ón considera que la </w:t>
      </w:r>
      <w:r w:rsidRPr="00B8752A">
        <w:rPr>
          <w:lang w:val="es-ES_tradnl"/>
        </w:rPr>
        <w:t xml:space="preserve">restricción </w:t>
      </w:r>
      <w:r w:rsidRPr="001F1ED5">
        <w:rPr>
          <w:i/>
          <w:lang w:val="es-ES_tradnl"/>
        </w:rPr>
        <w:t>de facto</w:t>
      </w:r>
      <w:r w:rsidRPr="00B8752A">
        <w:rPr>
          <w:lang w:val="es-ES_tradnl"/>
        </w:rPr>
        <w:t xml:space="preserve"> al derecho de éstos a la </w:t>
      </w:r>
      <w:r>
        <w:rPr>
          <w:lang w:val="es-ES_tradnl"/>
        </w:rPr>
        <w:t>libre circulación y residencia, que produjo el desplazamiento forzado resulta atribuible al Estado</w:t>
      </w:r>
      <w:r w:rsidR="00EC3B47">
        <w:rPr>
          <w:lang w:val="es-ES_tradnl"/>
        </w:rPr>
        <w:t>,</w:t>
      </w:r>
      <w:r>
        <w:rPr>
          <w:lang w:val="es-ES_tradnl"/>
        </w:rPr>
        <w:t xml:space="preserve"> precisamente en vista de la falta de medidas de protección</w:t>
      </w:r>
      <w:r w:rsidR="002133A8">
        <w:rPr>
          <w:lang w:val="es-ES_tradnl"/>
        </w:rPr>
        <w:t>,</w:t>
      </w:r>
      <w:r>
        <w:rPr>
          <w:lang w:val="es-ES_tradnl"/>
        </w:rPr>
        <w:t xml:space="preserve"> según se ha expuesto en la sección anterior. Además de ello, y no obstante tener conocimiento de </w:t>
      </w:r>
      <w:r w:rsidR="002133A8">
        <w:rPr>
          <w:lang w:val="es-ES_tradnl"/>
        </w:rPr>
        <w:t>que se habían visto forzados a abandonar su hogar y su negocio</w:t>
      </w:r>
      <w:r>
        <w:rPr>
          <w:lang w:val="es-ES_tradnl"/>
        </w:rPr>
        <w:t xml:space="preserve">, </w:t>
      </w:r>
      <w:r w:rsidRPr="00135333">
        <w:rPr>
          <w:lang w:val="es-MX"/>
        </w:rPr>
        <w:t xml:space="preserve">el Estado no proporcionó medidas adecuadas para </w:t>
      </w:r>
      <w:r w:rsidR="002133A8">
        <w:rPr>
          <w:lang w:val="es-MX"/>
        </w:rPr>
        <w:t xml:space="preserve">facilitar el retorno o </w:t>
      </w:r>
      <w:r>
        <w:rPr>
          <w:lang w:val="es-MX"/>
        </w:rPr>
        <w:t>reasentamiento voluntario del señor Baptiste Willer y su familia. Lo anterior en violación del artículo 22.1 de la Convención Americana.</w:t>
      </w:r>
      <w:r>
        <w:rPr>
          <w:rFonts w:eastAsia="PMingLiU"/>
          <w:lang w:val="es-MX" w:eastAsia="zh-TW"/>
        </w:rPr>
        <w:t xml:space="preserve"> </w:t>
      </w:r>
    </w:p>
    <w:p w14:paraId="4D39247D" w14:textId="77777777" w:rsidR="00135333" w:rsidRPr="00135333" w:rsidRDefault="00135333" w:rsidP="00135333">
      <w:pPr>
        <w:pStyle w:val="ListParagraph"/>
        <w:numPr>
          <w:ilvl w:val="0"/>
          <w:numId w:val="0"/>
        </w:numPr>
        <w:rPr>
          <w:rFonts w:eastAsia="PMingLiU"/>
          <w:lang w:val="es-MX" w:eastAsia="zh-TW"/>
        </w:rPr>
      </w:pPr>
    </w:p>
    <w:p w14:paraId="2439AFD8" w14:textId="77777777" w:rsidR="00C34D2D" w:rsidRPr="00135333" w:rsidRDefault="00C34D2D" w:rsidP="00135333">
      <w:pPr>
        <w:pStyle w:val="ListParagraph"/>
        <w:rPr>
          <w:rFonts w:eastAsia="PMingLiU"/>
          <w:lang w:val="es-MX" w:eastAsia="zh-TW"/>
        </w:rPr>
      </w:pPr>
      <w:r w:rsidRPr="00135333">
        <w:rPr>
          <w:rFonts w:asciiTheme="majorHAnsi" w:hAnsiTheme="majorHAnsi"/>
          <w:szCs w:val="20"/>
          <w:lang w:val="es-US"/>
        </w:rPr>
        <w:t xml:space="preserve">Además, dado que las víctimas de las violaciones antes </w:t>
      </w:r>
      <w:r w:rsidR="00F44355" w:rsidRPr="00135333">
        <w:rPr>
          <w:rFonts w:asciiTheme="majorHAnsi" w:hAnsiTheme="majorHAnsi"/>
          <w:szCs w:val="20"/>
          <w:lang w:val="es-US"/>
        </w:rPr>
        <w:t>referidas</w:t>
      </w:r>
      <w:r w:rsidRPr="00135333">
        <w:rPr>
          <w:rFonts w:asciiTheme="majorHAnsi" w:hAnsiTheme="majorHAnsi"/>
          <w:szCs w:val="20"/>
          <w:lang w:val="es-US"/>
        </w:rPr>
        <w:t xml:space="preserve"> </w:t>
      </w:r>
      <w:r w:rsidR="00782F35" w:rsidRPr="00135333">
        <w:rPr>
          <w:rFonts w:asciiTheme="majorHAnsi" w:hAnsiTheme="majorHAnsi"/>
          <w:szCs w:val="20"/>
          <w:lang w:val="es-US"/>
        </w:rPr>
        <w:t xml:space="preserve">incluían a los tres </w:t>
      </w:r>
      <w:r w:rsidR="00F06A7C" w:rsidRPr="00135333">
        <w:rPr>
          <w:rFonts w:asciiTheme="majorHAnsi" w:hAnsiTheme="majorHAnsi"/>
          <w:szCs w:val="20"/>
          <w:lang w:val="es-US"/>
        </w:rPr>
        <w:t>niños</w:t>
      </w:r>
      <w:r w:rsidRPr="00135333">
        <w:rPr>
          <w:rFonts w:asciiTheme="majorHAnsi" w:hAnsiTheme="majorHAnsi"/>
          <w:szCs w:val="20"/>
          <w:lang w:val="es-US"/>
        </w:rPr>
        <w:t xml:space="preserve">, </w:t>
      </w:r>
      <w:r w:rsidR="00782F35" w:rsidRPr="00135333">
        <w:rPr>
          <w:rFonts w:asciiTheme="majorHAnsi" w:hAnsiTheme="majorHAnsi"/>
          <w:szCs w:val="20"/>
          <w:lang w:val="es-US"/>
        </w:rPr>
        <w:t xml:space="preserve">y </w:t>
      </w:r>
      <w:r w:rsidR="00E50911" w:rsidRPr="00135333">
        <w:rPr>
          <w:rFonts w:asciiTheme="majorHAnsi" w:hAnsiTheme="majorHAnsi"/>
          <w:szCs w:val="20"/>
          <w:lang w:val="es-US"/>
        </w:rPr>
        <w:t xml:space="preserve">no </w:t>
      </w:r>
      <w:r w:rsidR="00F44355" w:rsidRPr="00135333">
        <w:rPr>
          <w:rFonts w:asciiTheme="majorHAnsi" w:hAnsiTheme="majorHAnsi"/>
          <w:szCs w:val="20"/>
          <w:lang w:val="es-US"/>
        </w:rPr>
        <w:t xml:space="preserve">consta que el Estado haitiano haya tomado las </w:t>
      </w:r>
      <w:r w:rsidR="00782F35" w:rsidRPr="00135333">
        <w:rPr>
          <w:rFonts w:asciiTheme="majorHAnsi" w:hAnsiTheme="majorHAnsi"/>
          <w:szCs w:val="20"/>
          <w:lang w:val="es-US"/>
        </w:rPr>
        <w:t xml:space="preserve">medidas especiales de protección </w:t>
      </w:r>
      <w:r w:rsidR="00F44355" w:rsidRPr="00135333">
        <w:rPr>
          <w:rFonts w:asciiTheme="majorHAnsi" w:hAnsiTheme="majorHAnsi"/>
          <w:szCs w:val="20"/>
          <w:lang w:val="es-US"/>
        </w:rPr>
        <w:t xml:space="preserve">requeridas </w:t>
      </w:r>
      <w:r w:rsidR="00782F35" w:rsidRPr="00135333">
        <w:rPr>
          <w:rFonts w:asciiTheme="majorHAnsi" w:hAnsiTheme="majorHAnsi"/>
          <w:szCs w:val="20"/>
          <w:lang w:val="es-US"/>
        </w:rPr>
        <w:t xml:space="preserve">en atención a su especial </w:t>
      </w:r>
      <w:r w:rsidR="00EC3B47">
        <w:rPr>
          <w:rFonts w:asciiTheme="majorHAnsi" w:hAnsiTheme="majorHAnsi"/>
          <w:szCs w:val="20"/>
          <w:lang w:val="es-US"/>
        </w:rPr>
        <w:t xml:space="preserve">situación de </w:t>
      </w:r>
      <w:r w:rsidR="00782F35" w:rsidRPr="00135333">
        <w:rPr>
          <w:rFonts w:asciiTheme="majorHAnsi" w:hAnsiTheme="majorHAnsi"/>
          <w:szCs w:val="20"/>
          <w:lang w:val="es-US"/>
        </w:rPr>
        <w:t>vulnerabilidad</w:t>
      </w:r>
      <w:r w:rsidR="00135333">
        <w:rPr>
          <w:rFonts w:asciiTheme="majorHAnsi" w:hAnsiTheme="majorHAnsi"/>
          <w:szCs w:val="20"/>
          <w:lang w:val="es-US"/>
        </w:rPr>
        <w:t xml:space="preserve">, </w:t>
      </w:r>
      <w:r w:rsidR="00782F35" w:rsidRPr="00135333">
        <w:rPr>
          <w:rFonts w:asciiTheme="majorHAnsi" w:hAnsiTheme="majorHAnsi"/>
          <w:szCs w:val="20"/>
          <w:lang w:val="es-US"/>
        </w:rPr>
        <w:t xml:space="preserve">basadas en el principio de interés superior del niño, </w:t>
      </w:r>
      <w:r w:rsidRPr="00135333">
        <w:rPr>
          <w:rFonts w:asciiTheme="majorHAnsi" w:hAnsiTheme="majorHAnsi"/>
          <w:szCs w:val="20"/>
          <w:lang w:val="es-US"/>
        </w:rPr>
        <w:t xml:space="preserve">la Comisión considera </w:t>
      </w:r>
      <w:r w:rsidR="00F44355" w:rsidRPr="00135333">
        <w:rPr>
          <w:rFonts w:asciiTheme="majorHAnsi" w:hAnsiTheme="majorHAnsi"/>
          <w:szCs w:val="20"/>
          <w:lang w:val="es-US"/>
        </w:rPr>
        <w:t xml:space="preserve">también </w:t>
      </w:r>
      <w:r w:rsidRPr="00135333">
        <w:rPr>
          <w:rFonts w:asciiTheme="majorHAnsi" w:hAnsiTheme="majorHAnsi"/>
          <w:szCs w:val="20"/>
          <w:lang w:val="es-US"/>
        </w:rPr>
        <w:t>violados sus derechos conforme al artículo 19 de la Convención.</w:t>
      </w:r>
    </w:p>
    <w:p w14:paraId="541BC28A" w14:textId="77777777" w:rsidR="00C213EE" w:rsidRDefault="00C213EE" w:rsidP="00C213EE">
      <w:pPr>
        <w:pStyle w:val="ListParagraph"/>
        <w:numPr>
          <w:ilvl w:val="0"/>
          <w:numId w:val="0"/>
        </w:numPr>
        <w:tabs>
          <w:tab w:val="left" w:pos="641"/>
        </w:tabs>
        <w:rPr>
          <w:rFonts w:asciiTheme="majorHAnsi" w:hAnsiTheme="majorHAnsi"/>
          <w:szCs w:val="20"/>
          <w:lang w:val="es-ES_tradnl"/>
        </w:rPr>
      </w:pPr>
    </w:p>
    <w:p w14:paraId="48031681" w14:textId="77777777" w:rsidR="008F5A71" w:rsidRPr="008F5A71" w:rsidRDefault="008F5A71" w:rsidP="00C55B05">
      <w:pPr>
        <w:pStyle w:val="ListParagraph"/>
        <w:rPr>
          <w:lang w:val="es-MX"/>
        </w:rPr>
      </w:pPr>
      <w:r w:rsidRPr="008F5A71">
        <w:rPr>
          <w:lang w:val="es-MX"/>
        </w:rPr>
        <w:t xml:space="preserve">En virtud de las anteriores consideraciones, la Comisión concluye que el Estado haitiano es responsable por la violación de los derechos </w:t>
      </w:r>
      <w:r>
        <w:rPr>
          <w:lang w:val="es-MX"/>
        </w:rPr>
        <w:t>a la libre circulación y residencia,</w:t>
      </w:r>
      <w:r w:rsidR="00135333">
        <w:rPr>
          <w:lang w:val="es-MX"/>
        </w:rPr>
        <w:t xml:space="preserve"> establecido</w:t>
      </w:r>
      <w:r w:rsidR="00027656">
        <w:rPr>
          <w:lang w:val="es-MX"/>
        </w:rPr>
        <w:t xml:space="preserve"> en </w:t>
      </w:r>
      <w:r w:rsidR="00135333">
        <w:rPr>
          <w:lang w:val="es-MX"/>
        </w:rPr>
        <w:t>el artículo</w:t>
      </w:r>
      <w:r w:rsidR="00027656">
        <w:rPr>
          <w:lang w:val="es-MX"/>
        </w:rPr>
        <w:t xml:space="preserve"> </w:t>
      </w:r>
      <w:r>
        <w:rPr>
          <w:lang w:val="es-MX"/>
        </w:rPr>
        <w:t>22.1</w:t>
      </w:r>
      <w:r w:rsidRPr="008F5A71">
        <w:rPr>
          <w:lang w:val="es-MX"/>
        </w:rPr>
        <w:t xml:space="preserve"> de la Convención Americana, </w:t>
      </w:r>
      <w:r w:rsidR="00B8752A">
        <w:rPr>
          <w:lang w:val="es-MX"/>
        </w:rPr>
        <w:t>relación con el artículo 1.1 del mismo instrumento</w:t>
      </w:r>
      <w:r w:rsidR="00F44355">
        <w:rPr>
          <w:lang w:val="es-MX"/>
        </w:rPr>
        <w:t>,</w:t>
      </w:r>
      <w:r w:rsidR="00B8752A">
        <w:rPr>
          <w:lang w:val="es-MX"/>
        </w:rPr>
        <w:t xml:space="preserve"> </w:t>
      </w:r>
      <w:r w:rsidRPr="008F5A71">
        <w:rPr>
          <w:lang w:val="es-MX"/>
        </w:rPr>
        <w:t xml:space="preserve">en perjuicio de </w:t>
      </w:r>
      <w:r w:rsidRPr="008F5A71">
        <w:rPr>
          <w:lang w:val="es-US"/>
        </w:rPr>
        <w:t>Baptiste Willer, su esposa Noëlzina Baptiste</w:t>
      </w:r>
      <w:r w:rsidR="00B8752A">
        <w:rPr>
          <w:lang w:val="es-US"/>
        </w:rPr>
        <w:t xml:space="preserve"> </w:t>
      </w:r>
      <w:r w:rsidR="00B8752A" w:rsidRPr="00B8752A">
        <w:rPr>
          <w:lang w:val="es-US"/>
        </w:rPr>
        <w:t>y sus tres hijos</w:t>
      </w:r>
      <w:r w:rsidR="00B8752A">
        <w:rPr>
          <w:lang w:val="es-US"/>
        </w:rPr>
        <w:t>,</w:t>
      </w:r>
      <w:r w:rsidR="00B8752A" w:rsidRPr="00B8752A">
        <w:rPr>
          <w:lang w:val="es-US"/>
        </w:rPr>
        <w:t xml:space="preserve"> </w:t>
      </w:r>
      <w:r w:rsidR="00B8752A" w:rsidRPr="008F5A71">
        <w:rPr>
          <w:lang w:val="es-US"/>
        </w:rPr>
        <w:t>Baptiste Costaguinov, Baptiste Wilderson y Baptiste Noë-Willo</w:t>
      </w:r>
      <w:r w:rsidR="00B8752A">
        <w:rPr>
          <w:lang w:val="es-US"/>
        </w:rPr>
        <w:t xml:space="preserve">. Además, considerando que </w:t>
      </w:r>
      <w:r w:rsidR="00EC3B47">
        <w:rPr>
          <w:lang w:val="es-US"/>
        </w:rPr>
        <w:t>los tres últimos</w:t>
      </w:r>
      <w:r w:rsidR="00B8752A">
        <w:rPr>
          <w:lang w:val="es-US"/>
        </w:rPr>
        <w:t>, eran</w:t>
      </w:r>
      <w:r w:rsidR="00DA64F6">
        <w:rPr>
          <w:lang w:val="es-US"/>
        </w:rPr>
        <w:t xml:space="preserve"> todos</w:t>
      </w:r>
      <w:r w:rsidR="00B8752A">
        <w:rPr>
          <w:lang w:val="es-US"/>
        </w:rPr>
        <w:t xml:space="preserve"> menores de edad</w:t>
      </w:r>
      <w:r w:rsidR="00EC3B47">
        <w:rPr>
          <w:lang w:val="es-US"/>
        </w:rPr>
        <w:t xml:space="preserve"> a la fecha de los hechos</w:t>
      </w:r>
      <w:r w:rsidR="00B8752A">
        <w:rPr>
          <w:lang w:val="es-US"/>
        </w:rPr>
        <w:t>,</w:t>
      </w:r>
      <w:r w:rsidR="00B8752A" w:rsidRPr="00B8752A">
        <w:rPr>
          <w:rFonts w:ascii="Times New Roman" w:eastAsia="Times New Roman" w:hAnsi="Times New Roman" w:cs="Times New Roman"/>
          <w:color w:val="auto"/>
          <w:sz w:val="24"/>
          <w:bdr w:val="none" w:sz="0" w:space="0" w:color="auto"/>
          <w:lang w:val="es-MX" w:eastAsia="en-US"/>
        </w:rPr>
        <w:t xml:space="preserve"> </w:t>
      </w:r>
      <w:r w:rsidR="00B8752A" w:rsidRPr="00B8752A">
        <w:rPr>
          <w:lang w:val="es-MX"/>
        </w:rPr>
        <w:t xml:space="preserve">el Estado es </w:t>
      </w:r>
      <w:r w:rsidR="00B8752A">
        <w:rPr>
          <w:lang w:val="es-MX"/>
        </w:rPr>
        <w:t xml:space="preserve">también </w:t>
      </w:r>
      <w:r w:rsidR="00B8752A" w:rsidRPr="00B8752A">
        <w:rPr>
          <w:lang w:val="es-MX"/>
        </w:rPr>
        <w:t xml:space="preserve">responsable por la violación de los </w:t>
      </w:r>
      <w:r w:rsidR="00B8752A">
        <w:rPr>
          <w:lang w:val="es-MX"/>
        </w:rPr>
        <w:t>derechos del niño</w:t>
      </w:r>
      <w:r w:rsidR="00B8752A" w:rsidRPr="00B8752A">
        <w:rPr>
          <w:lang w:val="es-MX"/>
        </w:rPr>
        <w:t>,</w:t>
      </w:r>
      <w:r w:rsidR="00B8752A">
        <w:rPr>
          <w:lang w:val="es-MX"/>
        </w:rPr>
        <w:t xml:space="preserve"> establecido</w:t>
      </w:r>
      <w:r w:rsidR="00B8752A" w:rsidRPr="00B8752A">
        <w:rPr>
          <w:lang w:val="es-MX"/>
        </w:rPr>
        <w:t xml:space="preserve"> en </w:t>
      </w:r>
      <w:r w:rsidR="00B8752A">
        <w:rPr>
          <w:lang w:val="es-MX"/>
        </w:rPr>
        <w:t>e</w:t>
      </w:r>
      <w:r w:rsidR="00B8752A" w:rsidRPr="00B8752A">
        <w:rPr>
          <w:lang w:val="es-MX"/>
        </w:rPr>
        <w:t>l</w:t>
      </w:r>
      <w:r w:rsidR="00B8752A">
        <w:rPr>
          <w:lang w:val="es-MX"/>
        </w:rPr>
        <w:t xml:space="preserve"> </w:t>
      </w:r>
      <w:r w:rsidR="00B8752A" w:rsidRPr="00B8752A">
        <w:rPr>
          <w:lang w:val="es-MX"/>
        </w:rPr>
        <w:t>artículo</w:t>
      </w:r>
      <w:r w:rsidR="00B8752A">
        <w:rPr>
          <w:lang w:val="es-MX"/>
        </w:rPr>
        <w:t xml:space="preserve"> 19 </w:t>
      </w:r>
      <w:r w:rsidR="00B8752A" w:rsidRPr="00B8752A">
        <w:rPr>
          <w:lang w:val="es-MX"/>
        </w:rPr>
        <w:t>de la Convención</w:t>
      </w:r>
      <w:r w:rsidR="00994F8D">
        <w:rPr>
          <w:lang w:val="es-MX"/>
        </w:rPr>
        <w:t>, respecto de ellos</w:t>
      </w:r>
      <w:r w:rsidR="00B8752A">
        <w:rPr>
          <w:lang w:val="es-MX"/>
        </w:rPr>
        <w:t>.</w:t>
      </w:r>
      <w:r w:rsidRPr="008F5A71">
        <w:rPr>
          <w:lang w:val="es-MX"/>
        </w:rPr>
        <w:t xml:space="preserve"> </w:t>
      </w:r>
    </w:p>
    <w:p w14:paraId="39831BB2" w14:textId="77777777" w:rsidR="00F06A7C" w:rsidRPr="00C55B05" w:rsidRDefault="00F06A7C" w:rsidP="00C55B05">
      <w:pPr>
        <w:rPr>
          <w:lang w:val="es-MX"/>
        </w:rPr>
      </w:pPr>
    </w:p>
    <w:p w14:paraId="75CA446B" w14:textId="77777777" w:rsidR="00994F8D" w:rsidRDefault="00994F8D" w:rsidP="00994F8D">
      <w:pPr>
        <w:pStyle w:val="Heading2"/>
        <w:numPr>
          <w:ilvl w:val="0"/>
          <w:numId w:val="0"/>
        </w:numPr>
        <w:ind w:left="927"/>
        <w:jc w:val="both"/>
        <w:rPr>
          <w:rFonts w:asciiTheme="majorHAnsi" w:hAnsiTheme="majorHAnsi"/>
          <w:szCs w:val="20"/>
          <w:lang w:val="es-ES_tradnl"/>
        </w:rPr>
      </w:pPr>
      <w:bookmarkStart w:id="17" w:name="_Toc22123385"/>
      <w:bookmarkEnd w:id="17"/>
    </w:p>
    <w:p w14:paraId="6BAFA505" w14:textId="77777777" w:rsidR="00994F8D" w:rsidRPr="00994F8D" w:rsidRDefault="00994F8D" w:rsidP="00994F8D">
      <w:pPr>
        <w:rPr>
          <w:lang w:val="es-ES_tradnl"/>
        </w:rPr>
      </w:pPr>
    </w:p>
    <w:p w14:paraId="4C5A9D3D" w14:textId="77777777" w:rsidR="00460064" w:rsidRPr="007133C6" w:rsidRDefault="00B9607E">
      <w:pPr>
        <w:pStyle w:val="Heading2"/>
        <w:numPr>
          <w:ilvl w:val="0"/>
          <w:numId w:val="59"/>
        </w:numPr>
        <w:jc w:val="both"/>
        <w:rPr>
          <w:rFonts w:asciiTheme="majorHAnsi" w:hAnsiTheme="majorHAnsi"/>
          <w:szCs w:val="20"/>
          <w:lang w:val="es-ES_tradnl"/>
        </w:rPr>
      </w:pPr>
      <w:bookmarkStart w:id="18" w:name="_Toc22308278"/>
      <w:r w:rsidRPr="007133C6">
        <w:rPr>
          <w:lang w:val="es-ES_tradnl"/>
        </w:rPr>
        <w:t>D</w:t>
      </w:r>
      <w:r w:rsidR="0008107E" w:rsidRPr="007133C6">
        <w:rPr>
          <w:lang w:val="es-ES"/>
        </w:rPr>
        <w:t>erechos</w:t>
      </w:r>
      <w:r w:rsidR="00460064" w:rsidRPr="007133C6">
        <w:rPr>
          <w:lang w:val="es-ES"/>
        </w:rPr>
        <w:t xml:space="preserve"> a </w:t>
      </w:r>
      <w:r w:rsidR="00460064" w:rsidRPr="007133C6">
        <w:rPr>
          <w:lang w:val="es-VE"/>
        </w:rPr>
        <w:t>la</w:t>
      </w:r>
      <w:r w:rsidR="001C1F09" w:rsidRPr="007133C6">
        <w:rPr>
          <w:lang w:val="es-VE"/>
        </w:rPr>
        <w:t>s</w:t>
      </w:r>
      <w:r w:rsidR="00460064" w:rsidRPr="007133C6">
        <w:rPr>
          <w:lang w:val="es-VE"/>
        </w:rPr>
        <w:t xml:space="preserve"> </w:t>
      </w:r>
      <w:r w:rsidR="00325178" w:rsidRPr="007133C6">
        <w:rPr>
          <w:lang w:val="es-ES_tradnl"/>
        </w:rPr>
        <w:t>garantías judiciales</w:t>
      </w:r>
      <w:r w:rsidR="00325178" w:rsidRPr="00325178">
        <w:rPr>
          <w:vertAlign w:val="superscript"/>
          <w:lang w:val="es-ES_tradnl"/>
        </w:rPr>
        <w:footnoteReference w:id="57"/>
      </w:r>
      <w:r w:rsidR="00325178" w:rsidRPr="007133C6">
        <w:rPr>
          <w:lang w:val="es-ES_tradnl"/>
        </w:rPr>
        <w:t xml:space="preserve"> y protección judicial</w:t>
      </w:r>
      <w:r w:rsidR="00325178" w:rsidRPr="00325178">
        <w:rPr>
          <w:vertAlign w:val="superscript"/>
          <w:lang w:val="es-ES_tradnl"/>
        </w:rPr>
        <w:footnoteReference w:id="58"/>
      </w:r>
      <w:r w:rsidR="007133C6" w:rsidRPr="007133C6">
        <w:rPr>
          <w:rFonts w:asciiTheme="majorHAnsi" w:hAnsiTheme="majorHAnsi"/>
          <w:szCs w:val="20"/>
          <w:lang w:val="es-ES_tradnl"/>
        </w:rPr>
        <w:t xml:space="preserve"> y d</w:t>
      </w:r>
      <w:bookmarkStart w:id="19" w:name="_Toc7189833"/>
      <w:bookmarkStart w:id="20" w:name="_Toc535172806"/>
      <w:bookmarkStart w:id="21" w:name="_Toc5788722"/>
      <w:r w:rsidR="007133C6" w:rsidRPr="007133C6">
        <w:rPr>
          <w:rFonts w:asciiTheme="majorHAnsi" w:hAnsiTheme="majorHAnsi"/>
          <w:szCs w:val="20"/>
          <w:lang w:val="es-ES"/>
        </w:rPr>
        <w:t>erecho a la integridad personal en cuanto a los familiares</w:t>
      </w:r>
      <w:bookmarkEnd w:id="19"/>
      <w:r w:rsidR="007133C6" w:rsidRPr="007133C6">
        <w:rPr>
          <w:rFonts w:asciiTheme="majorHAnsi" w:hAnsiTheme="majorHAnsi"/>
          <w:szCs w:val="20"/>
          <w:lang w:val="es-ES"/>
        </w:rPr>
        <w:t xml:space="preserve">, </w:t>
      </w:r>
      <w:bookmarkEnd w:id="20"/>
      <w:bookmarkEnd w:id="21"/>
      <w:r w:rsidRPr="007133C6">
        <w:rPr>
          <w:lang w:val="es-VE"/>
        </w:rPr>
        <w:t>en relación con el artículo 1.1 de la Convención Americana</w:t>
      </w:r>
      <w:bookmarkEnd w:id="18"/>
    </w:p>
    <w:p w14:paraId="4B4F00B4" w14:textId="77777777" w:rsidR="00414B3C" w:rsidRPr="00C55B05" w:rsidRDefault="00414B3C" w:rsidP="00C55B05">
      <w:pPr>
        <w:pStyle w:val="ListParagraph"/>
        <w:numPr>
          <w:ilvl w:val="0"/>
          <w:numId w:val="0"/>
        </w:numPr>
        <w:rPr>
          <w:lang w:val="es-CO"/>
        </w:rPr>
      </w:pPr>
    </w:p>
    <w:p w14:paraId="30DAE789" w14:textId="77777777" w:rsidR="00366EE7" w:rsidRPr="00366EE7" w:rsidRDefault="00A04245" w:rsidP="00366EE7">
      <w:pPr>
        <w:pStyle w:val="ListParagraph"/>
        <w:rPr>
          <w:lang w:val="es-CO"/>
        </w:rPr>
      </w:pPr>
      <w:r w:rsidRPr="00366EE7">
        <w:rPr>
          <w:lang w:val="es-US"/>
        </w:rPr>
        <w:lastRenderedPageBreak/>
        <w:t>La Corte ha indicado que los Estados están obligados a proveer recursos judiciales efectivos a las víctimas de violaciones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135F4A">
        <w:rPr>
          <w:sz w:val="16"/>
          <w:szCs w:val="16"/>
          <w:vertAlign w:val="superscript"/>
        </w:rPr>
        <w:footnoteReference w:id="59"/>
      </w:r>
      <w:r w:rsidRPr="00366EE7">
        <w:rPr>
          <w:lang w:val="es-US"/>
        </w:rPr>
        <w:t>.</w:t>
      </w:r>
      <w:r w:rsidR="001C1F09" w:rsidRPr="00366EE7">
        <w:rPr>
          <w:lang w:val="es-US"/>
        </w:rPr>
        <w:t xml:space="preserve"> </w:t>
      </w:r>
    </w:p>
    <w:p w14:paraId="58F14D0F" w14:textId="77777777" w:rsidR="00366EE7" w:rsidRDefault="00366EE7" w:rsidP="00366EE7">
      <w:pPr>
        <w:pStyle w:val="ListParagraph"/>
        <w:numPr>
          <w:ilvl w:val="0"/>
          <w:numId w:val="0"/>
        </w:numPr>
        <w:rPr>
          <w:lang w:val="es-CO"/>
        </w:rPr>
      </w:pPr>
    </w:p>
    <w:p w14:paraId="3C260D91" w14:textId="77777777" w:rsidR="00A04245" w:rsidRPr="00A578D1" w:rsidRDefault="001C1F09" w:rsidP="00366EE7">
      <w:pPr>
        <w:pStyle w:val="ListParagraph"/>
        <w:rPr>
          <w:lang w:val="es-CO"/>
        </w:rPr>
      </w:pPr>
      <w:r>
        <w:rPr>
          <w:lang w:val="es-US"/>
        </w:rPr>
        <w:t>L</w:t>
      </w:r>
      <w:r w:rsidR="00A04245" w:rsidRPr="00436656">
        <w:rPr>
          <w:lang w:val="es-US"/>
        </w:rPr>
        <w:t>a jurisprudencia ha sido clara en destacar que, a la luz del deber de investigar</w:t>
      </w:r>
      <w:r w:rsidR="00EA7418">
        <w:rPr>
          <w:lang w:val="es-US"/>
        </w:rPr>
        <w:t xml:space="preserve"> con debida diligencia</w:t>
      </w:r>
      <w:r w:rsidR="00A04245" w:rsidRPr="00436656">
        <w:rPr>
          <w:lang w:val="es-US"/>
        </w:rPr>
        <w:t xml:space="preserve"> “una vez que las autoridades estatales tengan conocimiento del hecho, deben iniciar </w:t>
      </w:r>
      <w:r w:rsidR="00A04245" w:rsidRPr="00436656">
        <w:rPr>
          <w:i/>
          <w:lang w:val="es-US"/>
        </w:rPr>
        <w:t xml:space="preserve">ex officio </w:t>
      </w:r>
      <w:r w:rsidR="00A04245" w:rsidRPr="00436656">
        <w:rPr>
          <w:lang w:val="es-US"/>
        </w:rPr>
        <w:t>y sin dilación, una investigación seria, imparcial y efectiva […] por todos los medios legales disponibles y orientada a la determinación de la verdad”</w:t>
      </w:r>
      <w:r w:rsidR="00A04245" w:rsidRPr="00135F4A">
        <w:rPr>
          <w:sz w:val="16"/>
          <w:szCs w:val="16"/>
          <w:vertAlign w:val="superscript"/>
        </w:rPr>
        <w:footnoteReference w:id="60"/>
      </w:r>
      <w:r w:rsidR="00A04245" w:rsidRPr="00436656">
        <w:rPr>
          <w:lang w:val="es-US"/>
        </w:rPr>
        <w:t xml:space="preserve">. </w:t>
      </w:r>
      <w:r w:rsidR="00366EE7" w:rsidRPr="00366EE7">
        <w:rPr>
          <w:lang w:val="es-US"/>
        </w:rPr>
        <w:t xml:space="preserve">Además, </w:t>
      </w:r>
      <w:r w:rsidR="00F1453D">
        <w:rPr>
          <w:lang w:val="es-US"/>
        </w:rPr>
        <w:t xml:space="preserve">ya que </w:t>
      </w:r>
      <w:r w:rsidR="00366EE7" w:rsidRPr="00366EE7">
        <w:rPr>
          <w:lang w:val="es-US"/>
        </w:rPr>
        <w:t>reviste</w:t>
      </w:r>
      <w:r w:rsidR="00366EE7">
        <w:rPr>
          <w:lang w:val="es-US"/>
        </w:rPr>
        <w:t>n</w:t>
      </w:r>
      <w:r w:rsidR="00366EE7" w:rsidRPr="00366EE7">
        <w:rPr>
          <w:lang w:val="es-US"/>
        </w:rPr>
        <w:t xml:space="preserve"> especial gravedad los casos en los cuales las víctimas de violaciones a los derechos humanos son niños</w:t>
      </w:r>
      <w:r w:rsidR="00366EE7" w:rsidRPr="00135F4A">
        <w:rPr>
          <w:rStyle w:val="FootnoteReference"/>
          <w:sz w:val="16"/>
          <w:szCs w:val="16"/>
          <w:lang w:val="es-US"/>
        </w:rPr>
        <w:footnoteReference w:id="61"/>
      </w:r>
      <w:r w:rsidR="009E05A6">
        <w:rPr>
          <w:lang w:val="es-US"/>
        </w:rPr>
        <w:t xml:space="preserve">, </w:t>
      </w:r>
      <w:r w:rsidR="00AA139B">
        <w:rPr>
          <w:lang w:val="es-US"/>
        </w:rPr>
        <w:t>l</w:t>
      </w:r>
      <w:r w:rsidR="000E5A4E">
        <w:rPr>
          <w:lang w:val="es-US"/>
        </w:rPr>
        <w:t xml:space="preserve">a Comisión estima que en estos casos </w:t>
      </w:r>
      <w:r w:rsidR="009E05A6">
        <w:rPr>
          <w:lang w:val="es-US"/>
        </w:rPr>
        <w:t>la obligación de investigar</w:t>
      </w:r>
      <w:r w:rsidR="00EA7418">
        <w:rPr>
          <w:lang w:val="es-US"/>
        </w:rPr>
        <w:t xml:space="preserve"> con debida diligencia</w:t>
      </w:r>
      <w:r w:rsidR="009E05A6">
        <w:rPr>
          <w:lang w:val="es-US"/>
        </w:rPr>
        <w:t xml:space="preserve"> las violaciones que los afectan se encuentra especialmente acentuada. </w:t>
      </w:r>
      <w:r w:rsidR="00366EE7">
        <w:rPr>
          <w:szCs w:val="20"/>
          <w:lang w:val="es-US"/>
        </w:rPr>
        <w:t>Asimismo</w:t>
      </w:r>
      <w:r w:rsidR="00A04245" w:rsidRPr="00A578D1">
        <w:rPr>
          <w:szCs w:val="20"/>
          <w:lang w:val="es-US"/>
        </w:rPr>
        <w:t>,</w:t>
      </w:r>
      <w:r w:rsidR="009E05A6">
        <w:rPr>
          <w:szCs w:val="20"/>
          <w:lang w:val="es-US"/>
        </w:rPr>
        <w:t xml:space="preserve"> es necesario tener presente que</w:t>
      </w:r>
      <w:r w:rsidR="00A04245" w:rsidRPr="00A578D1">
        <w:rPr>
          <w:szCs w:val="20"/>
          <w:lang w:val="es-US"/>
        </w:rPr>
        <w:t xml:space="preserve"> e</w:t>
      </w:r>
      <w:r w:rsidR="00A04245" w:rsidRPr="00A578D1">
        <w:rPr>
          <w:lang w:val="es-US"/>
        </w:rPr>
        <w:t>l deber de investigar se mantiene</w:t>
      </w:r>
      <w:r w:rsidR="0047291C">
        <w:rPr>
          <w:lang w:val="es-US"/>
        </w:rPr>
        <w:t xml:space="preserve"> “</w:t>
      </w:r>
      <w:r w:rsidR="00A04245" w:rsidRPr="00A578D1">
        <w:rPr>
          <w:lang w:val="es-US"/>
        </w:rPr>
        <w:t>cualquiera sea el agente al cual pueda eventualmente atribuirse la violación, aun los particulares, pues, si sus hechos no son investigados con seriedad, resultarían, en cierto modo, auxiliados por el poder público, lo que comprometería la responsabilidad internacional del Estado”</w:t>
      </w:r>
      <w:r w:rsidR="00A04245" w:rsidRPr="00864536">
        <w:rPr>
          <w:sz w:val="16"/>
          <w:vertAlign w:val="superscript"/>
        </w:rPr>
        <w:footnoteReference w:id="62"/>
      </w:r>
      <w:r w:rsidR="00A04245" w:rsidRPr="00A578D1">
        <w:rPr>
          <w:lang w:val="es-US"/>
        </w:rPr>
        <w:t xml:space="preserve">. </w:t>
      </w:r>
    </w:p>
    <w:p w14:paraId="1AE35AB4" w14:textId="77777777" w:rsidR="00A04245" w:rsidRDefault="00A04245" w:rsidP="00A04245">
      <w:pPr>
        <w:pStyle w:val="ListParagraph"/>
        <w:numPr>
          <w:ilvl w:val="0"/>
          <w:numId w:val="0"/>
        </w:numPr>
        <w:rPr>
          <w:lang w:val="es-US"/>
        </w:rPr>
      </w:pPr>
    </w:p>
    <w:p w14:paraId="1F1B7BDE" w14:textId="77777777" w:rsidR="00F1453D" w:rsidRPr="00B565F8" w:rsidRDefault="00F1453D" w:rsidP="00F1453D">
      <w:pPr>
        <w:pStyle w:val="ListParagraph"/>
        <w:rPr>
          <w:lang w:val="es-ES"/>
        </w:rPr>
      </w:pPr>
      <w:r>
        <w:rPr>
          <w:lang w:val="es-ES"/>
        </w:rPr>
        <w:t>En particular</w:t>
      </w:r>
      <w:r w:rsidRPr="00B565F8">
        <w:rPr>
          <w:lang w:val="es-ES"/>
        </w:rPr>
        <w:t>, con la finalidad de garantizar la debida diligencia en la realización de una investigación exhaustiva</w:t>
      </w:r>
      <w:r w:rsidR="00063572">
        <w:rPr>
          <w:lang w:val="es-ES"/>
        </w:rPr>
        <w:t>, seria</w:t>
      </w:r>
      <w:r>
        <w:rPr>
          <w:lang w:val="es-ES"/>
        </w:rPr>
        <w:t>,</w:t>
      </w:r>
      <w:r w:rsidRPr="00B565F8">
        <w:rPr>
          <w:lang w:val="es-ES"/>
        </w:rPr>
        <w:t xml:space="preserve"> imparcial </w:t>
      </w:r>
      <w:r>
        <w:rPr>
          <w:lang w:val="es-ES"/>
        </w:rPr>
        <w:t xml:space="preserve">y efectiva respecto </w:t>
      </w:r>
      <w:r w:rsidRPr="00B565F8">
        <w:rPr>
          <w:lang w:val="es-ES"/>
        </w:rPr>
        <w:t xml:space="preserve">de una muerte </w:t>
      </w:r>
      <w:r>
        <w:rPr>
          <w:lang w:val="es-ES"/>
        </w:rPr>
        <w:t>potencialmente ilícita</w:t>
      </w:r>
      <w:r w:rsidRPr="00B565F8">
        <w:rPr>
          <w:lang w:val="es-ES"/>
        </w:rPr>
        <w:t xml:space="preserve">, la Comisión destaca </w:t>
      </w:r>
      <w:r w:rsidR="00063572">
        <w:rPr>
          <w:lang w:val="es-ES"/>
        </w:rPr>
        <w:t>los</w:t>
      </w:r>
      <w:r w:rsidRPr="00B565F8">
        <w:rPr>
          <w:lang w:val="es-ES"/>
        </w:rPr>
        <w:t xml:space="preserve"> estándares del Protocolo de Minnesota</w:t>
      </w:r>
      <w:r w:rsidRPr="003A13AE">
        <w:rPr>
          <w:rStyle w:val="FootnoteReference"/>
          <w:rFonts w:cs="Verdana"/>
          <w:sz w:val="16"/>
          <w:szCs w:val="16"/>
          <w:lang w:val="es-ES"/>
        </w:rPr>
        <w:footnoteReference w:id="63"/>
      </w:r>
      <w:r w:rsidR="00C777DD">
        <w:rPr>
          <w:lang w:val="es-ES"/>
        </w:rPr>
        <w:t xml:space="preserve">, </w:t>
      </w:r>
      <w:r w:rsidR="00C777DD" w:rsidRPr="00C777DD">
        <w:rPr>
          <w:lang w:val="es-US"/>
        </w:rPr>
        <w:t>aplicable en toda investigación de muertes violentas, súb</w:t>
      </w:r>
      <w:r w:rsidR="00C777DD">
        <w:rPr>
          <w:lang w:val="es-US"/>
        </w:rPr>
        <w:t>itas, inesperadas y sospechosas</w:t>
      </w:r>
      <w:r w:rsidR="00C777DD" w:rsidRPr="00C777DD">
        <w:rPr>
          <w:rStyle w:val="FootnoteReference"/>
          <w:sz w:val="16"/>
          <w:szCs w:val="16"/>
          <w:lang w:val="es-US"/>
        </w:rPr>
        <w:footnoteReference w:id="64"/>
      </w:r>
      <w:r w:rsidR="00C777DD" w:rsidRPr="00C777DD">
        <w:rPr>
          <w:sz w:val="16"/>
          <w:szCs w:val="16"/>
          <w:lang w:val="es-US"/>
        </w:rPr>
        <w:t>.</w:t>
      </w:r>
      <w:r w:rsidR="00C777DD">
        <w:rPr>
          <w:lang w:val="es-US"/>
        </w:rPr>
        <w:t xml:space="preserve"> </w:t>
      </w:r>
      <w:r>
        <w:rPr>
          <w:lang w:val="es-ES"/>
        </w:rPr>
        <w:t>Dicho</w:t>
      </w:r>
      <w:r w:rsidRPr="00B565F8">
        <w:rPr>
          <w:lang w:val="es-ES"/>
        </w:rPr>
        <w:t xml:space="preserve"> </w:t>
      </w:r>
      <w:r w:rsidRPr="00B565F8">
        <w:rPr>
          <w:rFonts w:cs="Tahoma"/>
          <w:lang w:val="es-MX"/>
        </w:rPr>
        <w:t xml:space="preserve">instrumento </w:t>
      </w:r>
      <w:r>
        <w:rPr>
          <w:rFonts w:cs="Tahoma"/>
          <w:lang w:val="es-MX"/>
        </w:rPr>
        <w:t>establece</w:t>
      </w:r>
      <w:r w:rsidRPr="00B565F8">
        <w:rPr>
          <w:rFonts w:cs="Tahoma"/>
          <w:lang w:val="es-MX"/>
        </w:rPr>
        <w:t xml:space="preserve"> algunas diligencias mínimas </w:t>
      </w:r>
      <w:r>
        <w:rPr>
          <w:rFonts w:cs="Tahoma"/>
          <w:lang w:val="es-MX"/>
        </w:rPr>
        <w:t>a desarrollar</w:t>
      </w:r>
      <w:r w:rsidR="00063572">
        <w:rPr>
          <w:rFonts w:cs="Tahoma"/>
          <w:lang w:val="es-MX"/>
        </w:rPr>
        <w:t xml:space="preserve"> por el Estado en cumplimiento de su obligación de investigar</w:t>
      </w:r>
      <w:r>
        <w:rPr>
          <w:rFonts w:cs="Tahoma"/>
          <w:lang w:val="es-MX"/>
        </w:rPr>
        <w:t>, incluyendo</w:t>
      </w:r>
      <w:r w:rsidRPr="00B565F8">
        <w:rPr>
          <w:rFonts w:cs="Tahoma"/>
          <w:lang w:val="es-MX"/>
        </w:rPr>
        <w:t>: la identificación de la víctima</w:t>
      </w:r>
      <w:r>
        <w:rPr>
          <w:rFonts w:cs="Tahoma"/>
          <w:lang w:val="es-MX"/>
        </w:rPr>
        <w:t>;</w:t>
      </w:r>
      <w:r w:rsidRPr="00B565F8">
        <w:rPr>
          <w:rFonts w:cs="Tahoma"/>
          <w:lang w:val="es-MX"/>
        </w:rPr>
        <w:t xml:space="preserve"> la recolección y preservación de pruebas relacionadas con la muerte</w:t>
      </w:r>
      <w:r>
        <w:rPr>
          <w:rFonts w:cs="Tahoma"/>
          <w:lang w:val="es-MX"/>
        </w:rPr>
        <w:t>,</w:t>
      </w:r>
      <w:r w:rsidRPr="00B565F8">
        <w:rPr>
          <w:rFonts w:cs="Tahoma"/>
          <w:lang w:val="es-MX"/>
        </w:rPr>
        <w:t xml:space="preserve"> con el fin de ayudar en el potencial procesamiento de los responsables</w:t>
      </w:r>
      <w:r>
        <w:rPr>
          <w:rFonts w:cs="Tahoma"/>
          <w:lang w:val="es-MX"/>
        </w:rPr>
        <w:t>;</w:t>
      </w:r>
      <w:r w:rsidRPr="00B565F8">
        <w:rPr>
          <w:rFonts w:cs="Tahoma"/>
          <w:lang w:val="es-MX"/>
        </w:rPr>
        <w:t xml:space="preserve"> la identificación de posibles testigos y la obtención de sus declarac</w:t>
      </w:r>
      <w:r>
        <w:rPr>
          <w:rFonts w:cs="Tahoma"/>
          <w:lang w:val="es-MX"/>
        </w:rPr>
        <w:t>iones en relación con la muerte;</w:t>
      </w:r>
      <w:r w:rsidRPr="00B565F8">
        <w:rPr>
          <w:rFonts w:cs="Tahoma"/>
          <w:lang w:val="es-MX"/>
        </w:rPr>
        <w:t xml:space="preserve"> la determinación de la causa, manera, lugar y tiempo de la muerte, así como cualquier patrón o práctica que </w:t>
      </w:r>
      <w:r>
        <w:rPr>
          <w:rFonts w:cs="Tahoma"/>
          <w:lang w:val="es-MX"/>
        </w:rPr>
        <w:t>pueda haber provocado la muerte;</w:t>
      </w:r>
      <w:r w:rsidRPr="00B565F8">
        <w:rPr>
          <w:rFonts w:cs="Tahoma"/>
          <w:lang w:val="es-MX"/>
        </w:rPr>
        <w:t xml:space="preserve"> la distinción entre muerte natural, suicidio y homicidio</w:t>
      </w:r>
      <w:r>
        <w:rPr>
          <w:rFonts w:cs="Tahoma"/>
          <w:lang w:val="es-MX"/>
        </w:rPr>
        <w:t>;</w:t>
      </w:r>
      <w:r w:rsidRPr="00B565F8">
        <w:rPr>
          <w:rFonts w:cs="Tahoma"/>
          <w:lang w:val="es-MX"/>
        </w:rPr>
        <w:t xml:space="preserve"> la identificación y aprehensión de la o las personas involucradas en la muerte</w:t>
      </w:r>
      <w:r>
        <w:rPr>
          <w:rFonts w:cs="Tahoma"/>
          <w:lang w:val="es-MX"/>
        </w:rPr>
        <w:t>;</w:t>
      </w:r>
      <w:r w:rsidRPr="00B565F8">
        <w:rPr>
          <w:rFonts w:cs="Tahoma"/>
          <w:lang w:val="es-MX"/>
        </w:rPr>
        <w:t xml:space="preserve"> y la presentación de los presuntos perpetradores ante un tribunal competente establecido por ley</w:t>
      </w:r>
      <w:r w:rsidRPr="00B565F8">
        <w:rPr>
          <w:lang w:val="es-ES"/>
        </w:rPr>
        <w:t xml:space="preserve">. </w:t>
      </w:r>
    </w:p>
    <w:p w14:paraId="7C6BAA45" w14:textId="77777777" w:rsidR="00F1453D" w:rsidRPr="00C55B05" w:rsidRDefault="00F1453D" w:rsidP="00C55B05">
      <w:pPr>
        <w:pStyle w:val="ListParagraph"/>
        <w:numPr>
          <w:ilvl w:val="0"/>
          <w:numId w:val="0"/>
        </w:numPr>
        <w:rPr>
          <w:lang w:val="es-US"/>
        </w:rPr>
      </w:pPr>
    </w:p>
    <w:p w14:paraId="497002DD" w14:textId="77777777" w:rsidR="00660D33" w:rsidRPr="00C55B05" w:rsidRDefault="008E3BC2" w:rsidP="00831E8F">
      <w:pPr>
        <w:pStyle w:val="ListParagraph"/>
        <w:rPr>
          <w:lang w:val="es-US"/>
        </w:rPr>
      </w:pPr>
      <w:r w:rsidRPr="008E3BC2">
        <w:rPr>
          <w:lang w:val="es-ES"/>
        </w:rPr>
        <w:t xml:space="preserve">Asimismo, de acuerdo con los estándares del mencionado Protocolo, se establece como principio general </w:t>
      </w:r>
      <w:r w:rsidR="00660D33" w:rsidRPr="008E3BC2">
        <w:rPr>
          <w:lang w:val="es-ES"/>
        </w:rPr>
        <w:t>en casos de muertes sospech</w:t>
      </w:r>
      <w:r w:rsidR="00660D33">
        <w:rPr>
          <w:lang w:val="es-ES"/>
        </w:rPr>
        <w:t>os</w:t>
      </w:r>
      <w:r w:rsidR="00660D33" w:rsidRPr="008E3BC2">
        <w:rPr>
          <w:lang w:val="es-ES"/>
        </w:rPr>
        <w:t>as</w:t>
      </w:r>
      <w:r w:rsidR="00660D33">
        <w:rPr>
          <w:lang w:val="es-ES"/>
        </w:rPr>
        <w:t xml:space="preserve"> la realización de autopsias, la</w:t>
      </w:r>
      <w:r w:rsidR="004453D2">
        <w:rPr>
          <w:lang w:val="es-ES"/>
        </w:rPr>
        <w:t>s</w:t>
      </w:r>
      <w:r w:rsidR="00660D33">
        <w:rPr>
          <w:lang w:val="es-ES"/>
        </w:rPr>
        <w:t xml:space="preserve"> que contribuirá</w:t>
      </w:r>
      <w:r w:rsidR="004453D2">
        <w:rPr>
          <w:lang w:val="es-ES"/>
        </w:rPr>
        <w:t>n</w:t>
      </w:r>
      <w:r w:rsidR="00660D33">
        <w:rPr>
          <w:lang w:val="es-ES"/>
        </w:rPr>
        <w:t xml:space="preserve"> significativamente a </w:t>
      </w:r>
      <w:r w:rsidR="00660D33" w:rsidRPr="008E3BC2">
        <w:rPr>
          <w:lang w:val="es-ES"/>
        </w:rPr>
        <w:t xml:space="preserve">asegurar que las causas y circunstancias de la muerte sean reveladas de modo tal que se cumpla con presentar conclusiones sobre la causa de muerte y las circunstancias que contribuyeron a ella. </w:t>
      </w:r>
      <w:r w:rsidR="00660D33">
        <w:rPr>
          <w:lang w:val="es-ES"/>
        </w:rPr>
        <w:t>Por ello, la decisión de no realizar autopsias en casos de muertes potencialmente ilícitas, deberá justificarse por escrito y someterse a revisión judicial</w:t>
      </w:r>
      <w:r w:rsidR="00660D33">
        <w:rPr>
          <w:rStyle w:val="FootnoteReference"/>
          <w:lang w:val="es-ES"/>
        </w:rPr>
        <w:footnoteReference w:id="65"/>
      </w:r>
      <w:r w:rsidR="00660D33">
        <w:rPr>
          <w:lang w:val="es-ES"/>
        </w:rPr>
        <w:t>.</w:t>
      </w:r>
    </w:p>
    <w:p w14:paraId="692AC468" w14:textId="77777777" w:rsidR="008E3BC2" w:rsidRPr="00C55B05" w:rsidRDefault="008E3BC2" w:rsidP="00C55B05">
      <w:pPr>
        <w:pStyle w:val="ListParagraph"/>
        <w:numPr>
          <w:ilvl w:val="0"/>
          <w:numId w:val="0"/>
        </w:numPr>
        <w:rPr>
          <w:lang w:val="es-US"/>
        </w:rPr>
      </w:pPr>
    </w:p>
    <w:p w14:paraId="28BDA7BE" w14:textId="77777777" w:rsidR="001C1F09" w:rsidRPr="00C55B05" w:rsidRDefault="00F1453D" w:rsidP="00C55B05">
      <w:pPr>
        <w:pStyle w:val="ListParagraph"/>
        <w:rPr>
          <w:lang w:val="es-US"/>
        </w:rPr>
      </w:pPr>
      <w:r w:rsidRPr="00C55B05">
        <w:rPr>
          <w:lang w:val="es-MX"/>
        </w:rPr>
        <w:t xml:space="preserve">Por otra parte, en </w:t>
      </w:r>
      <w:r w:rsidR="001C1F09" w:rsidRPr="00C55B05">
        <w:rPr>
          <w:lang w:val="es-MX"/>
        </w:rPr>
        <w:t xml:space="preserve">relación a la investigación de casos de amenazas, la Comisión ha señalado que el deber de prevención no se limita a proporcionar medidas materiales de protección, sino que conlleva la obligación de actuar sobre las causas estructurales que afectan la seguridad de las personas amenazadas. Para cumplir </w:t>
      </w:r>
      <w:r w:rsidR="00A578D1" w:rsidRPr="00C55B05">
        <w:rPr>
          <w:lang w:val="es-MX"/>
        </w:rPr>
        <w:t xml:space="preserve">con esta obligación, el Estado </w:t>
      </w:r>
      <w:r w:rsidR="001C1F09" w:rsidRPr="00C55B05">
        <w:rPr>
          <w:lang w:val="es-MX"/>
        </w:rPr>
        <w:t xml:space="preserve">debe investigar y </w:t>
      </w:r>
      <w:r w:rsidR="00A578D1" w:rsidRPr="00C55B05">
        <w:rPr>
          <w:lang w:val="es-MX"/>
        </w:rPr>
        <w:t xml:space="preserve">sancionar a los responsables, </w:t>
      </w:r>
      <w:r w:rsidR="00366EE7" w:rsidRPr="00C55B05">
        <w:rPr>
          <w:lang w:val="es-MX"/>
        </w:rPr>
        <w:t xml:space="preserve">y la </w:t>
      </w:r>
      <w:r w:rsidR="001C1F09" w:rsidRPr="00C55B05">
        <w:rPr>
          <w:lang w:val="es-MX"/>
        </w:rPr>
        <w:t xml:space="preserve">investigación “debe realizarse de </w:t>
      </w:r>
      <w:r w:rsidR="001C1F09" w:rsidRPr="00C55B05">
        <w:rPr>
          <w:lang w:val="es-MX"/>
        </w:rPr>
        <w:lastRenderedPageBreak/>
        <w:t>manera inmediata, exhaustiva, seria e imparcial para identificar de dónde provienen las amenazas</w:t>
      </w:r>
      <w:r w:rsidR="00366EE7" w:rsidRPr="00C55B05">
        <w:rPr>
          <w:lang w:val="es-MX"/>
        </w:rPr>
        <w:t>,</w:t>
      </w:r>
      <w:r w:rsidR="001C1F09" w:rsidRPr="00C55B05">
        <w:rPr>
          <w:lang w:val="es-MX"/>
        </w:rPr>
        <w:t xml:space="preserve"> y sancionar a los responsables, con el objeto de </w:t>
      </w:r>
      <w:r w:rsidR="00366EE7" w:rsidRPr="00C55B05">
        <w:rPr>
          <w:lang w:val="es-MX"/>
        </w:rPr>
        <w:t xml:space="preserve">tratar de </w:t>
      </w:r>
      <w:r w:rsidR="001C1F09" w:rsidRPr="00C55B05">
        <w:rPr>
          <w:lang w:val="es-MX"/>
        </w:rPr>
        <w:t>impedir que las amenazas se cumplan”</w:t>
      </w:r>
      <w:r w:rsidR="001C1F09" w:rsidRPr="001C1F09">
        <w:rPr>
          <w:vertAlign w:val="superscript"/>
          <w:lang w:val="es-MX"/>
        </w:rPr>
        <w:footnoteReference w:id="66"/>
      </w:r>
      <w:r w:rsidR="001C1F09" w:rsidRPr="00C55B05">
        <w:rPr>
          <w:lang w:val="es-MX"/>
        </w:rPr>
        <w:t xml:space="preserve">. </w:t>
      </w:r>
    </w:p>
    <w:p w14:paraId="0ED8F553" w14:textId="77777777" w:rsidR="0050521B" w:rsidRDefault="0050521B" w:rsidP="00C55B05">
      <w:pPr>
        <w:pStyle w:val="ListParagraph"/>
        <w:numPr>
          <w:ilvl w:val="0"/>
          <w:numId w:val="0"/>
        </w:numPr>
        <w:rPr>
          <w:szCs w:val="20"/>
          <w:lang w:val="es-US"/>
        </w:rPr>
      </w:pPr>
    </w:p>
    <w:p w14:paraId="344827B4" w14:textId="77777777" w:rsidR="0050521B" w:rsidRPr="00E5046F" w:rsidRDefault="0050521B" w:rsidP="00C55B05">
      <w:pPr>
        <w:pStyle w:val="ListParagraph"/>
        <w:rPr>
          <w:lang w:val="es-US"/>
        </w:rPr>
      </w:pPr>
      <w:r w:rsidRPr="00E5046F">
        <w:rPr>
          <w:lang w:val="es-US"/>
        </w:rPr>
        <w:t xml:space="preserve">En cuanto al plazo razonable, el artículo 8.1 de la Convención Americana establece como uno de los elementos del debido proceso que los tribunales decidan los casos sometidos a su conocimiento en un plazo razonable. En este sentido, una demora prolongada puede llegar a constituir </w:t>
      </w:r>
      <w:r w:rsidRPr="00E5046F">
        <w:rPr>
          <w:i/>
          <w:lang w:val="es-US"/>
        </w:rPr>
        <w:t>per se</w:t>
      </w:r>
      <w:r w:rsidRPr="00E5046F">
        <w:rPr>
          <w:lang w:val="es-US"/>
        </w:rPr>
        <w:t xml:space="preserve"> una violación de las garantías judiciales</w:t>
      </w:r>
      <w:r w:rsidRPr="00E5046F">
        <w:rPr>
          <w:rStyle w:val="FootnoteReference"/>
          <w:szCs w:val="20"/>
          <w:lang w:val="es-ES_tradnl"/>
        </w:rPr>
        <w:footnoteReference w:id="67"/>
      </w:r>
      <w:r w:rsidRPr="00E5046F">
        <w:rPr>
          <w:lang w:val="es-US"/>
        </w:rPr>
        <w:t>, por lo que corresponde al Estado exponer y probar la razón por la cual se ha requerido más tiempo del razonable para dictar sentencia definitiva en un caso particular</w:t>
      </w:r>
      <w:r w:rsidRPr="00E5046F">
        <w:rPr>
          <w:rStyle w:val="FootnoteReference"/>
          <w:szCs w:val="20"/>
          <w:lang w:val="es-ES_tradnl"/>
        </w:rPr>
        <w:footnoteReference w:id="68"/>
      </w:r>
      <w:r w:rsidRPr="00E5046F">
        <w:rPr>
          <w:lang w:val="es-US"/>
        </w:rPr>
        <w:t xml:space="preserve">. </w:t>
      </w:r>
    </w:p>
    <w:p w14:paraId="4F27E0DB" w14:textId="77777777" w:rsidR="0050521B" w:rsidRPr="00E5046F" w:rsidRDefault="0050521B" w:rsidP="0050521B">
      <w:pPr>
        <w:ind w:left="629"/>
        <w:jc w:val="both"/>
        <w:rPr>
          <w:rFonts w:ascii="Cambria" w:hAnsi="Cambria"/>
          <w:sz w:val="20"/>
          <w:szCs w:val="20"/>
          <w:lang w:val="es-ES"/>
        </w:rPr>
      </w:pPr>
    </w:p>
    <w:p w14:paraId="47EA21CD" w14:textId="77777777" w:rsidR="0050521B" w:rsidRDefault="0050521B" w:rsidP="00C55B05">
      <w:pPr>
        <w:pStyle w:val="ListParagraph"/>
        <w:rPr>
          <w:lang w:val="es-ES"/>
        </w:rPr>
      </w:pPr>
      <w:r w:rsidRPr="00E5046F">
        <w:rPr>
          <w:lang w:val="es-ES"/>
        </w:rPr>
        <w:t>En ese sentido, la razonabilidad del plazo se debe apreciar en relación con la duración total del procedimiento penal</w:t>
      </w:r>
      <w:r w:rsidRPr="00E5046F">
        <w:rPr>
          <w:rStyle w:val="FootnoteReference"/>
          <w:szCs w:val="20"/>
          <w:lang w:val="es-ES_tradnl"/>
        </w:rPr>
        <w:footnoteReference w:id="69"/>
      </w:r>
      <w:r w:rsidRPr="00E5046F">
        <w:rPr>
          <w:lang w:val="es-ES"/>
        </w:rPr>
        <w:t xml:space="preserve">. </w:t>
      </w:r>
      <w:r w:rsidRPr="00E5046F">
        <w:rPr>
          <w:lang w:val="es-US"/>
        </w:rPr>
        <w:t>Según los términos del artículo 8.1 de la Convención Americana, la Comisión tomará en consideración, a la luz de las circunstancias concretas del caso, los siguientes cuatro elementos</w:t>
      </w:r>
      <w:r w:rsidRPr="00E5046F">
        <w:rPr>
          <w:lang w:val="es-ES"/>
        </w:rPr>
        <w:t>: i) la complejidad del asunto; ii) la actividad procesal del interesado; iii) la conducta de las autoridades judiciales;</w:t>
      </w:r>
      <w:r w:rsidRPr="00E5046F">
        <w:rPr>
          <w:lang w:val="es-US"/>
        </w:rPr>
        <w:t xml:space="preserve"> y iv) la afectación generada en la situación jurídica de la persona involucrada en el proceso</w:t>
      </w:r>
      <w:r w:rsidRPr="00CD0A38">
        <w:rPr>
          <w:rStyle w:val="FootnoteReference"/>
          <w:sz w:val="16"/>
          <w:szCs w:val="16"/>
          <w:lang w:val="es-ES_tradnl"/>
        </w:rPr>
        <w:footnoteReference w:id="70"/>
      </w:r>
      <w:r w:rsidRPr="00E5046F">
        <w:rPr>
          <w:lang w:val="es-ES"/>
        </w:rPr>
        <w:t>.</w:t>
      </w:r>
    </w:p>
    <w:p w14:paraId="7C1F930E" w14:textId="77777777" w:rsidR="00063572" w:rsidRPr="00CD0A38" w:rsidRDefault="00063572" w:rsidP="00C55B05">
      <w:pPr>
        <w:pStyle w:val="ListParagraph"/>
        <w:numPr>
          <w:ilvl w:val="0"/>
          <w:numId w:val="0"/>
        </w:numPr>
        <w:rPr>
          <w:lang w:val="es-ES"/>
        </w:rPr>
      </w:pPr>
    </w:p>
    <w:p w14:paraId="62597B44" w14:textId="77777777" w:rsidR="00063572" w:rsidRDefault="00AA211C" w:rsidP="00063572">
      <w:pPr>
        <w:pStyle w:val="ListParagraph"/>
        <w:rPr>
          <w:lang w:val="es-US"/>
        </w:rPr>
      </w:pPr>
      <w:r>
        <w:rPr>
          <w:lang w:val="es-US"/>
        </w:rPr>
        <w:t>Por último</w:t>
      </w:r>
      <w:r w:rsidR="00063572" w:rsidRPr="00E5046F">
        <w:rPr>
          <w:lang w:val="es-US"/>
        </w:rPr>
        <w:t xml:space="preserve">, </w:t>
      </w:r>
      <w:r>
        <w:rPr>
          <w:lang w:val="es-US"/>
        </w:rPr>
        <w:t xml:space="preserve">es necesario destacar que </w:t>
      </w:r>
      <w:r w:rsidR="00063572" w:rsidRPr="00E5046F">
        <w:rPr>
          <w:lang w:val="es-US"/>
        </w:rPr>
        <w:t>la Corte ha determinado en múltiples oportunidades que se debe considerar “violado el derecho a la integridad psíquica y moral de los familiares de las víctimas con motivo del sufrimiento y angustia adicionales que éstos han padecido a causa de las actuaciones u omisiones posteriores de las autoridades estatales con respecto a esos hechos y debido a la ausencia de recursos efectivos”</w:t>
      </w:r>
      <w:r w:rsidR="00063572" w:rsidRPr="00CD0A38">
        <w:rPr>
          <w:rStyle w:val="FootnoteReference"/>
          <w:sz w:val="16"/>
          <w:szCs w:val="16"/>
          <w:lang w:val="es-ES"/>
        </w:rPr>
        <w:footnoteReference w:id="71"/>
      </w:r>
      <w:r w:rsidR="00063572" w:rsidRPr="00E5046F">
        <w:rPr>
          <w:lang w:val="es-US"/>
        </w:rPr>
        <w:t>. En efecto,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w:t>
      </w:r>
      <w:r w:rsidR="00063572" w:rsidRPr="00F82669">
        <w:rPr>
          <w:rStyle w:val="FootnoteReference"/>
          <w:sz w:val="16"/>
          <w:szCs w:val="16"/>
        </w:rPr>
        <w:footnoteReference w:id="72"/>
      </w:r>
      <w:r w:rsidR="00063572" w:rsidRPr="00E5046F">
        <w:rPr>
          <w:lang w:val="es-US"/>
        </w:rPr>
        <w:t xml:space="preserve">. </w:t>
      </w:r>
    </w:p>
    <w:p w14:paraId="1DDAD139" w14:textId="77777777" w:rsidR="00027656" w:rsidRPr="00C55B05" w:rsidRDefault="00027656" w:rsidP="0076136B">
      <w:pPr>
        <w:pStyle w:val="Heading3"/>
        <w:numPr>
          <w:ilvl w:val="0"/>
          <w:numId w:val="0"/>
        </w:numPr>
        <w:rPr>
          <w:lang w:val="es-US"/>
        </w:rPr>
      </w:pPr>
    </w:p>
    <w:p w14:paraId="6E99324C" w14:textId="77777777" w:rsidR="00124CB9" w:rsidRPr="001C1F09" w:rsidRDefault="00124CB9" w:rsidP="001054BA">
      <w:pPr>
        <w:pStyle w:val="Heading3"/>
        <w:numPr>
          <w:ilvl w:val="0"/>
          <w:numId w:val="0"/>
        </w:numPr>
        <w:ind w:left="720"/>
        <w:rPr>
          <w:lang w:val="es-US"/>
        </w:rPr>
      </w:pPr>
      <w:bookmarkStart w:id="22" w:name="_Toc22308279"/>
      <w:r>
        <w:rPr>
          <w:lang w:val="es-MX"/>
        </w:rPr>
        <w:t>Análisis en el presente caso</w:t>
      </w:r>
      <w:bookmarkEnd w:id="22"/>
      <w:r>
        <w:rPr>
          <w:lang w:val="es-MX"/>
        </w:rPr>
        <w:t xml:space="preserve"> </w:t>
      </w:r>
    </w:p>
    <w:p w14:paraId="062B8F77" w14:textId="77777777" w:rsidR="001C1F09" w:rsidRPr="001C1F09" w:rsidRDefault="001C1F09" w:rsidP="00A578D1">
      <w:pPr>
        <w:pStyle w:val="ListParagraph"/>
        <w:numPr>
          <w:ilvl w:val="0"/>
          <w:numId w:val="0"/>
        </w:numPr>
        <w:rPr>
          <w:lang w:val="es-US"/>
        </w:rPr>
      </w:pPr>
    </w:p>
    <w:p w14:paraId="502B7377" w14:textId="77777777" w:rsidR="0076136B" w:rsidRDefault="0076136B" w:rsidP="004B2E49">
      <w:pPr>
        <w:pStyle w:val="ListParagraph"/>
        <w:rPr>
          <w:lang w:val="es-VE"/>
        </w:rPr>
      </w:pPr>
      <w:r>
        <w:rPr>
          <w:lang w:val="es-VE"/>
        </w:rPr>
        <w:t xml:space="preserve">La Comisión observa que el Estado </w:t>
      </w:r>
      <w:r w:rsidR="00CD0A38">
        <w:rPr>
          <w:lang w:val="es-VE"/>
        </w:rPr>
        <w:t xml:space="preserve">tenía el deber </w:t>
      </w:r>
      <w:r>
        <w:rPr>
          <w:lang w:val="es-VE"/>
        </w:rPr>
        <w:t xml:space="preserve">de investigar de manera diligente y en un plazo razonable tanto el asesinato del cual fue víctima </w:t>
      </w:r>
      <w:r w:rsidR="00982431">
        <w:rPr>
          <w:lang w:val="es-VE"/>
        </w:rPr>
        <w:t>Frédo Guirant (o Guirand)</w:t>
      </w:r>
      <w:r>
        <w:rPr>
          <w:lang w:val="es-VE"/>
        </w:rPr>
        <w:t xml:space="preserve">, como el atentado sufrido por Baptiste Willer, y las amenazas y hostigamientos que sufrieron éste último y su núcleo familiar. </w:t>
      </w:r>
    </w:p>
    <w:p w14:paraId="2DF96EA7" w14:textId="77777777" w:rsidR="0076136B" w:rsidRDefault="0076136B" w:rsidP="0076136B">
      <w:pPr>
        <w:pStyle w:val="ListParagraph"/>
        <w:numPr>
          <w:ilvl w:val="0"/>
          <w:numId w:val="0"/>
        </w:numPr>
        <w:rPr>
          <w:lang w:val="es-VE"/>
        </w:rPr>
      </w:pPr>
    </w:p>
    <w:p w14:paraId="5516CF03" w14:textId="77777777" w:rsidR="00C55B96" w:rsidRDefault="0076136B" w:rsidP="0076136B">
      <w:pPr>
        <w:pStyle w:val="ListParagraph"/>
        <w:rPr>
          <w:lang w:val="es-VE"/>
        </w:rPr>
      </w:pPr>
      <w:r>
        <w:rPr>
          <w:lang w:val="es-VE"/>
        </w:rPr>
        <w:t>Respecto de la muerte violenta</w:t>
      </w:r>
      <w:r w:rsidR="00982431">
        <w:rPr>
          <w:lang w:val="es-VE"/>
        </w:rPr>
        <w:t xml:space="preserve"> de Frédo Guirant (o Guiran</w:t>
      </w:r>
      <w:r>
        <w:rPr>
          <w:lang w:val="es-VE"/>
        </w:rPr>
        <w:t>d</w:t>
      </w:r>
      <w:r w:rsidR="00982431">
        <w:rPr>
          <w:lang w:val="es-VE"/>
        </w:rPr>
        <w:t>)</w:t>
      </w:r>
      <w:r>
        <w:rPr>
          <w:lang w:val="es-VE"/>
        </w:rPr>
        <w:t xml:space="preserve">, la Comisión nota </w:t>
      </w:r>
      <w:r w:rsidR="00C55B96">
        <w:rPr>
          <w:lang w:val="es-VE"/>
        </w:rPr>
        <w:t>que</w:t>
      </w:r>
      <w:r w:rsidR="00982431">
        <w:rPr>
          <w:lang w:val="es-VE"/>
        </w:rPr>
        <w:t>,</w:t>
      </w:r>
      <w:r w:rsidR="00C55B96">
        <w:rPr>
          <w:lang w:val="es-VE"/>
        </w:rPr>
        <w:t xml:space="preserve"> mediante </w:t>
      </w:r>
      <w:r w:rsidR="00C55B96" w:rsidRPr="00C55B96">
        <w:rPr>
          <w:lang w:val="es-VE"/>
        </w:rPr>
        <w:t>comunicación a la CIDH en agosto del 2007, el Estado haitiano reconoció estar en conocimiento de la denuncia e indicó que la policía estaba buscando activamente al menos a uno de los presuntos responsables. Si bien esta información resulta indicativa de que el Estado parece haber iniciado una investigación, l</w:t>
      </w:r>
      <w:r w:rsidR="00C55B96" w:rsidRPr="00C55B96">
        <w:rPr>
          <w:lang w:val="es-MX"/>
        </w:rPr>
        <w:t>a CIDH no cuenta con información sobre el resultado de estas diligencias ni su seguimiento</w:t>
      </w:r>
      <w:r w:rsidR="0035435A">
        <w:rPr>
          <w:lang w:val="es-MX"/>
        </w:rPr>
        <w:t>,</w:t>
      </w:r>
      <w:r w:rsidR="00C55B96" w:rsidRPr="00C55B96">
        <w:rPr>
          <w:lang w:val="es-MX"/>
        </w:rPr>
        <w:t xml:space="preserve"> ya que el Estado</w:t>
      </w:r>
      <w:r w:rsidR="00C55B96" w:rsidRPr="00C55B96">
        <w:rPr>
          <w:lang w:val="es-VE"/>
        </w:rPr>
        <w:t xml:space="preserve"> no acompañó información alguna que demostrara que estaba dando cumplimiento a su deber de investigar.</w:t>
      </w:r>
    </w:p>
    <w:p w14:paraId="671097D4" w14:textId="77777777" w:rsidR="00C55B96" w:rsidRDefault="00C55B96" w:rsidP="00C55B96">
      <w:pPr>
        <w:pStyle w:val="ListParagraph"/>
        <w:numPr>
          <w:ilvl w:val="0"/>
          <w:numId w:val="0"/>
        </w:numPr>
        <w:rPr>
          <w:lang w:val="es-VE"/>
        </w:rPr>
      </w:pPr>
    </w:p>
    <w:p w14:paraId="029D95E2" w14:textId="77777777" w:rsidR="0076136B" w:rsidRDefault="00C55B96" w:rsidP="0076136B">
      <w:pPr>
        <w:pStyle w:val="ListParagraph"/>
        <w:rPr>
          <w:lang w:val="es-VE"/>
        </w:rPr>
      </w:pPr>
      <w:r>
        <w:rPr>
          <w:lang w:val="es-VE"/>
        </w:rPr>
        <w:t>La CIDH observa</w:t>
      </w:r>
      <w:r w:rsidR="0035435A">
        <w:rPr>
          <w:lang w:val="es-VE"/>
        </w:rPr>
        <w:t>,</w:t>
      </w:r>
      <w:r>
        <w:rPr>
          <w:lang w:val="es-VE"/>
        </w:rPr>
        <w:t xml:space="preserve"> en consecuencia</w:t>
      </w:r>
      <w:r w:rsidR="0035435A">
        <w:rPr>
          <w:lang w:val="es-VE"/>
        </w:rPr>
        <w:t>,</w:t>
      </w:r>
      <w:r>
        <w:rPr>
          <w:lang w:val="es-VE"/>
        </w:rPr>
        <w:t xml:space="preserve"> </w:t>
      </w:r>
      <w:r w:rsidR="0076136B">
        <w:rPr>
          <w:lang w:val="es-VE"/>
        </w:rPr>
        <w:t xml:space="preserve">que </w:t>
      </w:r>
      <w:r w:rsidR="0076136B" w:rsidRPr="0076136B">
        <w:rPr>
          <w:lang w:val="es-VE"/>
        </w:rPr>
        <w:t xml:space="preserve">el Estado </w:t>
      </w:r>
      <w:r>
        <w:rPr>
          <w:lang w:val="es-VE"/>
        </w:rPr>
        <w:t xml:space="preserve">no ha demostrado haber </w:t>
      </w:r>
      <w:r w:rsidR="0076136B" w:rsidRPr="0076136B">
        <w:rPr>
          <w:lang w:val="es-VE"/>
        </w:rPr>
        <w:t xml:space="preserve">investigado </w:t>
      </w:r>
      <w:r>
        <w:rPr>
          <w:lang w:val="es-VE"/>
        </w:rPr>
        <w:t xml:space="preserve">tal muerte </w:t>
      </w:r>
      <w:r w:rsidR="0076136B" w:rsidRPr="0076136B">
        <w:rPr>
          <w:lang w:val="es-VE"/>
        </w:rPr>
        <w:t xml:space="preserve">con </w:t>
      </w:r>
      <w:r>
        <w:rPr>
          <w:lang w:val="es-VE"/>
        </w:rPr>
        <w:t xml:space="preserve">la </w:t>
      </w:r>
      <w:r w:rsidR="0076136B" w:rsidRPr="0076136B">
        <w:rPr>
          <w:lang w:val="es-VE"/>
        </w:rPr>
        <w:t xml:space="preserve">debida diligencia que requería la condición de niño de la víctima, ni </w:t>
      </w:r>
      <w:r>
        <w:rPr>
          <w:lang w:val="es-VE"/>
        </w:rPr>
        <w:t xml:space="preserve">cumplido </w:t>
      </w:r>
      <w:r w:rsidR="0076136B" w:rsidRPr="0076136B">
        <w:rPr>
          <w:lang w:val="es-VE"/>
        </w:rPr>
        <w:t xml:space="preserve">con las diligencias mínimas referidas en el Protocolo de Minnesota la para la investigación de una muerte potencialmente ilícita. Lo anterior resulta de particular relevancia teniendo en cuenta que, como se describe en los hechos probados, el Estado estaba en conocimiento de que la muerte de </w:t>
      </w:r>
      <w:r w:rsidR="00982431">
        <w:rPr>
          <w:lang w:val="es-VE"/>
        </w:rPr>
        <w:t>Frédo Guirant (o Guirand)</w:t>
      </w:r>
      <w:r w:rsidR="0076136B" w:rsidRPr="0076136B">
        <w:rPr>
          <w:lang w:val="es-VE"/>
        </w:rPr>
        <w:t xml:space="preserve"> se produjo por bala y que éste era un menor de edad, lo que queda en evidencia no solo por la comunicación enviada por Baptiste Willer a las autoridades, sino que consta también del Certificado de Defunción otorgado por la autoridad respectiva. </w:t>
      </w:r>
      <w:r w:rsidR="0076136B" w:rsidRPr="0076136B">
        <w:rPr>
          <w:lang w:val="es-VE"/>
        </w:rPr>
        <w:lastRenderedPageBreak/>
        <w:t>Además, consta que el Juez de Paz autorizó la entrega del cuerpo sin autopsia, pero no existe constancia de las razones y justificaciones para la no realización de tan importante diligencia de investigación.</w:t>
      </w:r>
    </w:p>
    <w:p w14:paraId="728BA7DC" w14:textId="77777777" w:rsidR="00C55B96" w:rsidRPr="00C55B96" w:rsidRDefault="00C55B96" w:rsidP="00C55B96">
      <w:pPr>
        <w:pStyle w:val="ListParagraph"/>
        <w:numPr>
          <w:ilvl w:val="0"/>
          <w:numId w:val="0"/>
        </w:numPr>
        <w:rPr>
          <w:lang w:val="es-VE"/>
        </w:rPr>
      </w:pPr>
    </w:p>
    <w:p w14:paraId="72B39BEE" w14:textId="77777777" w:rsidR="00CE3A34" w:rsidRPr="00CE3A34" w:rsidRDefault="00C55B96" w:rsidP="00C55B96">
      <w:pPr>
        <w:pStyle w:val="ListParagraph"/>
        <w:rPr>
          <w:lang w:val="es-VE"/>
        </w:rPr>
      </w:pPr>
      <w:r>
        <w:rPr>
          <w:lang w:val="es-VE"/>
        </w:rPr>
        <w:t xml:space="preserve">Por otra parte, </w:t>
      </w:r>
      <w:r w:rsidRPr="00C55B96">
        <w:rPr>
          <w:lang w:val="es-VE"/>
        </w:rPr>
        <w:t xml:space="preserve">no existe constancia </w:t>
      </w:r>
      <w:r w:rsidR="002C2C34">
        <w:rPr>
          <w:lang w:val="es-VE"/>
        </w:rPr>
        <w:t>en el expediente</w:t>
      </w:r>
      <w:r w:rsidRPr="00C55B96">
        <w:rPr>
          <w:lang w:val="es-VE"/>
        </w:rPr>
        <w:t xml:space="preserve"> que el Estado haya </w:t>
      </w:r>
      <w:r w:rsidR="002C2C34">
        <w:rPr>
          <w:lang w:val="es-VE"/>
        </w:rPr>
        <w:t xml:space="preserve">tomado </w:t>
      </w:r>
      <w:r w:rsidRPr="00C55B96">
        <w:rPr>
          <w:lang w:val="es-VE"/>
        </w:rPr>
        <w:t xml:space="preserve">acciones </w:t>
      </w:r>
      <w:r>
        <w:rPr>
          <w:lang w:val="es-VE"/>
        </w:rPr>
        <w:t xml:space="preserve">para </w:t>
      </w:r>
      <w:r w:rsidR="00CE3A34">
        <w:rPr>
          <w:lang w:val="es-VE"/>
        </w:rPr>
        <w:t xml:space="preserve">emprender líneas lógicas de investigación en relación con la posible relación de causalidad entre el asesinato de </w:t>
      </w:r>
      <w:r w:rsidR="00982431">
        <w:rPr>
          <w:lang w:val="es-VE"/>
        </w:rPr>
        <w:t>Frédo Guirant (o Guirand)</w:t>
      </w:r>
      <w:r w:rsidR="00CE3A34">
        <w:rPr>
          <w:lang w:val="es-VE"/>
        </w:rPr>
        <w:t xml:space="preserve"> y l</w:t>
      </w:r>
      <w:r w:rsidR="00DC205B">
        <w:rPr>
          <w:lang w:val="es-VE"/>
        </w:rPr>
        <w:t>os atentados y amenazas sufridos por</w:t>
      </w:r>
      <w:r w:rsidR="00CE3A34">
        <w:rPr>
          <w:lang w:val="es-VE"/>
        </w:rPr>
        <w:t xml:space="preserve"> Baptiste Willer, teniendo en cuenta que según </w:t>
      </w:r>
      <w:r w:rsidR="00DC205B">
        <w:rPr>
          <w:lang w:val="es-VE"/>
        </w:rPr>
        <w:t>lo informado</w:t>
      </w:r>
      <w:r w:rsidR="0079687A">
        <w:rPr>
          <w:lang w:val="es-VE"/>
        </w:rPr>
        <w:t xml:space="preserve"> a las autoridades los eventos de riesgo estaban asociadas a su negativa a participar con un grupo delictuoso que operaba en la zona. De hecho, pese a que el señor Baptiste Willler identificó a los integrantes de tal grupo, no se tiene conocimiento de que se hayan </w:t>
      </w:r>
      <w:r w:rsidR="00DC205B">
        <w:rPr>
          <w:lang w:val="es-VE"/>
        </w:rPr>
        <w:t>iniciados investigaciones en su contra</w:t>
      </w:r>
      <w:r w:rsidR="0079687A">
        <w:rPr>
          <w:lang w:val="es-VE"/>
        </w:rPr>
        <w:t>.</w:t>
      </w:r>
    </w:p>
    <w:p w14:paraId="6F71F7B6" w14:textId="77777777" w:rsidR="00CE3A34" w:rsidRPr="0079687A" w:rsidRDefault="00CE3A34" w:rsidP="00646F40">
      <w:pPr>
        <w:pStyle w:val="ListParagraph"/>
        <w:numPr>
          <w:ilvl w:val="0"/>
          <w:numId w:val="0"/>
        </w:numPr>
        <w:rPr>
          <w:lang w:val="es-VE"/>
        </w:rPr>
      </w:pPr>
    </w:p>
    <w:p w14:paraId="023903DF" w14:textId="77777777" w:rsidR="002802D4" w:rsidRDefault="0079687A" w:rsidP="0079687A">
      <w:pPr>
        <w:pStyle w:val="ListParagraph"/>
        <w:rPr>
          <w:lang w:val="es-VE"/>
        </w:rPr>
      </w:pPr>
      <w:r>
        <w:rPr>
          <w:lang w:val="es-VE"/>
        </w:rPr>
        <w:t xml:space="preserve">Por otra parte, en lo que se refiere al atentado al señor Baptiste Willer, y las agresiones y hostigamientos en contra de éste y su familia, consta que </w:t>
      </w:r>
      <w:r w:rsidRPr="0079687A">
        <w:rPr>
          <w:lang w:val="es-VE"/>
        </w:rPr>
        <w:t xml:space="preserve">el 27 de febrero de 2007, Baptiste Willer </w:t>
      </w:r>
      <w:r>
        <w:rPr>
          <w:lang w:val="es-VE"/>
        </w:rPr>
        <w:t xml:space="preserve">denunció la muerte de su hermano así como las agresiones y amenazas que enfrentó, solicitando </w:t>
      </w:r>
      <w:r w:rsidRPr="0079687A">
        <w:rPr>
          <w:lang w:val="es-VE"/>
        </w:rPr>
        <w:t>ayuda judicial</w:t>
      </w:r>
      <w:r>
        <w:rPr>
          <w:lang w:val="es-VE"/>
        </w:rPr>
        <w:t xml:space="preserve"> y protección</w:t>
      </w:r>
      <w:r w:rsidRPr="0079687A">
        <w:rPr>
          <w:lang w:val="es-VE"/>
        </w:rPr>
        <w:t xml:space="preserve">. </w:t>
      </w:r>
      <w:r>
        <w:rPr>
          <w:lang w:val="es-VE"/>
        </w:rPr>
        <w:t xml:space="preserve">A pesar de la gravedad de los hechos, no consta que el Estado haya emprendido </w:t>
      </w:r>
      <w:r w:rsidRPr="0079687A">
        <w:rPr>
          <w:i/>
          <w:lang w:val="es-VE"/>
        </w:rPr>
        <w:t>ex officio</w:t>
      </w:r>
      <w:r w:rsidRPr="0079687A">
        <w:rPr>
          <w:lang w:val="es-VE"/>
        </w:rPr>
        <w:t xml:space="preserve"> y sin dilación </w:t>
      </w:r>
      <w:r>
        <w:rPr>
          <w:lang w:val="es-VE"/>
        </w:rPr>
        <w:t>una investigación por estos hechos. Asimismo, tampoco se cuenta con información que indique que se haya profundizado sobre las amenazas sufridas, no obstante</w:t>
      </w:r>
      <w:r w:rsidR="00DC205B">
        <w:rPr>
          <w:lang w:val="es-VE"/>
        </w:rPr>
        <w:t xml:space="preserve"> que</w:t>
      </w:r>
      <w:r>
        <w:rPr>
          <w:lang w:val="es-VE"/>
        </w:rPr>
        <w:t xml:space="preserve"> la información sugiere que provendrían de la misma fuente relacionada con el asesinato de </w:t>
      </w:r>
      <w:r w:rsidR="00982431">
        <w:rPr>
          <w:lang w:val="es-VE"/>
        </w:rPr>
        <w:t>Frédo Guirant (o Guirand)</w:t>
      </w:r>
      <w:r>
        <w:rPr>
          <w:lang w:val="es-VE"/>
        </w:rPr>
        <w:t>. Además de ello, la Comisión obse</w:t>
      </w:r>
      <w:r w:rsidR="00DC205B">
        <w:rPr>
          <w:lang w:val="es-VE"/>
        </w:rPr>
        <w:t>rva que no se investigaron las c</w:t>
      </w:r>
      <w:r>
        <w:rPr>
          <w:lang w:val="es-VE"/>
        </w:rPr>
        <w:t xml:space="preserve">ausas </w:t>
      </w:r>
      <w:r w:rsidR="00C55B96" w:rsidRPr="0079687A">
        <w:rPr>
          <w:lang w:val="es-MX"/>
        </w:rPr>
        <w:t xml:space="preserve">estructurales que afectaban la seguridad de Baptiste Willer, </w:t>
      </w:r>
      <w:r w:rsidR="00982431">
        <w:rPr>
          <w:lang w:val="es-VE"/>
        </w:rPr>
        <w:t>Frédo Guirant (o Guirand)</w:t>
      </w:r>
      <w:r w:rsidR="00A24040" w:rsidRPr="00A24040">
        <w:rPr>
          <w:lang w:val="es-MX"/>
        </w:rPr>
        <w:t xml:space="preserve"> </w:t>
      </w:r>
      <w:r w:rsidR="00C55B96" w:rsidRPr="0079687A">
        <w:rPr>
          <w:lang w:val="es-MX"/>
        </w:rPr>
        <w:t xml:space="preserve">y su familia, </w:t>
      </w:r>
      <w:r w:rsidR="002802D4">
        <w:rPr>
          <w:lang w:val="es-MX"/>
        </w:rPr>
        <w:t xml:space="preserve">y ante la falta de una </w:t>
      </w:r>
      <w:r w:rsidR="002802D4">
        <w:rPr>
          <w:lang w:val="es-VE"/>
        </w:rPr>
        <w:t xml:space="preserve">investigación y sanción a los responsables se </w:t>
      </w:r>
      <w:r w:rsidR="00DC205B">
        <w:rPr>
          <w:lang w:val="es-VE"/>
        </w:rPr>
        <w:t>produjeron nuevos eventos de riesgo,</w:t>
      </w:r>
      <w:r w:rsidR="002802D4">
        <w:rPr>
          <w:lang w:val="es-VE"/>
        </w:rPr>
        <w:t xml:space="preserve"> que han sido conocidos por el Estado de Haití en el presente proceso</w:t>
      </w:r>
      <w:r w:rsidR="00DC205B">
        <w:rPr>
          <w:lang w:val="es-VE"/>
        </w:rPr>
        <w:t>,</w:t>
      </w:r>
      <w:r w:rsidR="002802D4">
        <w:rPr>
          <w:lang w:val="es-VE"/>
        </w:rPr>
        <w:t xml:space="preserve"> sin que </w:t>
      </w:r>
      <w:r w:rsidR="00DC205B">
        <w:rPr>
          <w:lang w:val="es-VE"/>
        </w:rPr>
        <w:t>exista</w:t>
      </w:r>
      <w:r w:rsidR="002802D4">
        <w:rPr>
          <w:lang w:val="es-VE"/>
        </w:rPr>
        <w:t xml:space="preserve"> igualmente información que indique que han sido investigados.</w:t>
      </w:r>
    </w:p>
    <w:p w14:paraId="60563423" w14:textId="77777777" w:rsidR="00F41F56" w:rsidRPr="00C55B05" w:rsidRDefault="00F41F56" w:rsidP="00C55B05">
      <w:pPr>
        <w:pStyle w:val="ListParagraph"/>
        <w:numPr>
          <w:ilvl w:val="0"/>
          <w:numId w:val="0"/>
        </w:numPr>
        <w:rPr>
          <w:lang w:val="es-VE"/>
        </w:rPr>
      </w:pPr>
    </w:p>
    <w:p w14:paraId="661B1069" w14:textId="77777777" w:rsidR="006C7E76" w:rsidRPr="00C55B05" w:rsidRDefault="002802D4" w:rsidP="00C55B05">
      <w:pPr>
        <w:pStyle w:val="ListParagraph"/>
        <w:rPr>
          <w:lang w:val="es-ES"/>
        </w:rPr>
      </w:pPr>
      <w:r>
        <w:rPr>
          <w:lang w:val="es-MX"/>
        </w:rPr>
        <w:t xml:space="preserve">En cuando a la razonabilidad del plazo </w:t>
      </w:r>
      <w:r w:rsidR="00DC205B">
        <w:rPr>
          <w:lang w:val="es-MX"/>
        </w:rPr>
        <w:t xml:space="preserve">en </w:t>
      </w:r>
      <w:r>
        <w:rPr>
          <w:lang w:val="es-MX"/>
        </w:rPr>
        <w:t xml:space="preserve">que se han extendido tales investigaciones, la Comisión </w:t>
      </w:r>
      <w:r w:rsidR="00F41F56">
        <w:rPr>
          <w:lang w:val="es-MX"/>
        </w:rPr>
        <w:t xml:space="preserve">destaca que la falta de información sobre </w:t>
      </w:r>
      <w:r w:rsidR="00B1671F">
        <w:rPr>
          <w:lang w:val="es-MX"/>
        </w:rPr>
        <w:t>el cumplimiento del deber del E</w:t>
      </w:r>
      <w:r w:rsidR="00F41F56">
        <w:rPr>
          <w:lang w:val="es-MX"/>
        </w:rPr>
        <w:t xml:space="preserve">stado de investigar, enjuiciar y sancionar los hechos persiste a la fecha, pese a que ya han transcurrido más de 12 años de los </w:t>
      </w:r>
      <w:r w:rsidR="00DC205B">
        <w:rPr>
          <w:lang w:val="es-MX"/>
        </w:rPr>
        <w:t>actos</w:t>
      </w:r>
      <w:r w:rsidR="00F41F56">
        <w:rPr>
          <w:lang w:val="es-MX"/>
        </w:rPr>
        <w:t xml:space="preserve"> denunciados</w:t>
      </w:r>
      <w:r w:rsidR="00702A36">
        <w:rPr>
          <w:lang w:val="es-MX"/>
        </w:rPr>
        <w:t xml:space="preserve">. </w:t>
      </w:r>
      <w:r>
        <w:rPr>
          <w:lang w:val="es-MX"/>
        </w:rPr>
        <w:t xml:space="preserve">El Estado no ha demostrado que tal demora se encuentre </w:t>
      </w:r>
      <w:r w:rsidR="00702A36">
        <w:rPr>
          <w:lang w:val="es-MX"/>
        </w:rPr>
        <w:t xml:space="preserve">relacionada con la complejidad del asunto </w:t>
      </w:r>
      <w:r>
        <w:rPr>
          <w:lang w:val="es-MX"/>
        </w:rPr>
        <w:t xml:space="preserve">o bien </w:t>
      </w:r>
      <w:r w:rsidR="00702A36">
        <w:rPr>
          <w:lang w:val="es-MX"/>
        </w:rPr>
        <w:t xml:space="preserve">la actividad procesal del interesado, ya que como </w:t>
      </w:r>
      <w:r w:rsidR="00702A36">
        <w:rPr>
          <w:lang w:val="es-VE"/>
        </w:rPr>
        <w:t>consta en los hechos probados, en su denuncia a las autoridades Baptiste Willer</w:t>
      </w:r>
      <w:r w:rsidR="00702A36" w:rsidRPr="00CD3F78">
        <w:rPr>
          <w:lang w:val="es-VE"/>
        </w:rPr>
        <w:t xml:space="preserve"> aportó información específica sobre </w:t>
      </w:r>
      <w:r w:rsidR="00702A36">
        <w:rPr>
          <w:lang w:val="es-VE"/>
        </w:rPr>
        <w:t xml:space="preserve">los hechos, </w:t>
      </w:r>
      <w:r w:rsidR="00702A36" w:rsidRPr="00CD3F78">
        <w:rPr>
          <w:lang w:val="es-VE"/>
        </w:rPr>
        <w:t>la identidad de los presuntos autores</w:t>
      </w:r>
      <w:r w:rsidR="00702A36">
        <w:rPr>
          <w:lang w:val="es-VE"/>
        </w:rPr>
        <w:t xml:space="preserve">, </w:t>
      </w:r>
      <w:r w:rsidR="00702A36" w:rsidRPr="00CD3F78">
        <w:rPr>
          <w:lang w:val="es-VE"/>
        </w:rPr>
        <w:t xml:space="preserve">el </w:t>
      </w:r>
      <w:r w:rsidR="00702A36" w:rsidRPr="00CD3F78">
        <w:rPr>
          <w:i/>
          <w:lang w:val="es-VE"/>
        </w:rPr>
        <w:t>modus operandi</w:t>
      </w:r>
      <w:r w:rsidR="00702A36" w:rsidRPr="00CD3F78">
        <w:rPr>
          <w:lang w:val="es-VE"/>
        </w:rPr>
        <w:t xml:space="preserve"> con el que desarrollaban su actividad delictiva y ofreció aportar fotografías y mayor información</w:t>
      </w:r>
      <w:r>
        <w:rPr>
          <w:lang w:val="es-VE"/>
        </w:rPr>
        <w:t xml:space="preserve">. Por el contrario, la información disponible sugiere que tal demora resulta atribuible </w:t>
      </w:r>
      <w:r w:rsidR="00702A36">
        <w:rPr>
          <w:lang w:val="es-VE"/>
        </w:rPr>
        <w:t xml:space="preserve">exclusivamente a la conducta de las autoridades que </w:t>
      </w:r>
      <w:r>
        <w:rPr>
          <w:lang w:val="es-VE"/>
        </w:rPr>
        <w:t>no habrían</w:t>
      </w:r>
      <w:r w:rsidR="00702A36">
        <w:rPr>
          <w:lang w:val="es-VE"/>
        </w:rPr>
        <w:t xml:space="preserve"> realizado actividad investigativa o persecutoria alguna. </w:t>
      </w:r>
      <w:r w:rsidR="00702A36">
        <w:rPr>
          <w:lang w:val="es-MX"/>
        </w:rPr>
        <w:t>Lo anterior da cuenta del incumplimiento del deber del Estado de decidir los asuntos sometidos a su conocimien</w:t>
      </w:r>
      <w:r w:rsidR="006C7E76">
        <w:rPr>
          <w:lang w:val="es-MX"/>
        </w:rPr>
        <w:t>to dentro de un plazo razonable.</w:t>
      </w:r>
      <w:r>
        <w:rPr>
          <w:lang w:val="es-MX"/>
        </w:rPr>
        <w:t xml:space="preserve"> La Comisión resalta el impacto que tiene la impunidad en el presente caso en la recurrencia de los eventos de riesgo, así como en la situación de desplazamie</w:t>
      </w:r>
      <w:r w:rsidR="00DC205B">
        <w:rPr>
          <w:lang w:val="es-MX"/>
        </w:rPr>
        <w:t>nto forzado del señor Baptiste W</w:t>
      </w:r>
      <w:r>
        <w:rPr>
          <w:lang w:val="es-MX"/>
        </w:rPr>
        <w:t>iller y su familia.</w:t>
      </w:r>
    </w:p>
    <w:p w14:paraId="375179FE" w14:textId="77777777" w:rsidR="006C7E76" w:rsidRPr="00C55B05" w:rsidRDefault="006C7E76" w:rsidP="00C55B05">
      <w:pPr>
        <w:pStyle w:val="ListParagraph"/>
        <w:numPr>
          <w:ilvl w:val="0"/>
          <w:numId w:val="0"/>
        </w:numPr>
        <w:rPr>
          <w:lang w:val="es-ES"/>
        </w:rPr>
      </w:pPr>
    </w:p>
    <w:p w14:paraId="4BC1C3B0" w14:textId="77777777" w:rsidR="006C7E76" w:rsidRPr="00C55B05" w:rsidRDefault="006C7E76" w:rsidP="00C55B05">
      <w:pPr>
        <w:pStyle w:val="ListParagraph"/>
        <w:rPr>
          <w:lang w:val="es-ES"/>
        </w:rPr>
      </w:pPr>
      <w:r>
        <w:rPr>
          <w:lang w:val="es-US"/>
        </w:rPr>
        <w:t xml:space="preserve">Con base a lo antes expuesto, la Comisión concluye que el Estado incumplió su deber de </w:t>
      </w:r>
      <w:r w:rsidRPr="006C7E76">
        <w:rPr>
          <w:lang w:val="es-VE"/>
        </w:rPr>
        <w:t xml:space="preserve">investigar </w:t>
      </w:r>
      <w:r w:rsidRPr="006C7E76">
        <w:rPr>
          <w:i/>
          <w:lang w:val="es-VE"/>
        </w:rPr>
        <w:t>ex officio</w:t>
      </w:r>
      <w:r>
        <w:rPr>
          <w:lang w:val="es-VE"/>
        </w:rPr>
        <w:t xml:space="preserve">, </w:t>
      </w:r>
      <w:r w:rsidRPr="006C7E76">
        <w:rPr>
          <w:lang w:val="es-VE"/>
        </w:rPr>
        <w:t>sin dilación</w:t>
      </w:r>
      <w:r>
        <w:rPr>
          <w:lang w:val="es-VE"/>
        </w:rPr>
        <w:t>, con debida diligencia y dentro de un plazo razonable</w:t>
      </w:r>
      <w:r w:rsidRPr="006C7E76">
        <w:rPr>
          <w:lang w:val="es-VE"/>
        </w:rPr>
        <w:t xml:space="preserve"> el asesinato d</w:t>
      </w:r>
      <w:r w:rsidR="00B1671F">
        <w:rPr>
          <w:lang w:val="es-VE"/>
        </w:rPr>
        <w:t xml:space="preserve">el menor de edad </w:t>
      </w:r>
      <w:r w:rsidR="00982431">
        <w:rPr>
          <w:lang w:val="es-VE"/>
        </w:rPr>
        <w:t>Frédo Guirant (o Guirand)</w:t>
      </w:r>
      <w:r w:rsidR="006E6C2D" w:rsidRPr="006E6C2D">
        <w:rPr>
          <w:lang w:val="es-VE"/>
        </w:rPr>
        <w:t xml:space="preserve"> </w:t>
      </w:r>
      <w:r w:rsidR="00B1671F">
        <w:rPr>
          <w:lang w:val="es-VE"/>
        </w:rPr>
        <w:t>y</w:t>
      </w:r>
      <w:r w:rsidRPr="006C7E76">
        <w:rPr>
          <w:lang w:val="es-VE"/>
        </w:rPr>
        <w:t xml:space="preserve"> el atentado y amenazas sufridas por Baptiste Willer</w:t>
      </w:r>
      <w:r w:rsidR="002802D4">
        <w:rPr>
          <w:lang w:val="es-VE"/>
        </w:rPr>
        <w:t xml:space="preserve"> y su familia</w:t>
      </w:r>
      <w:r>
        <w:rPr>
          <w:lang w:val="es-VE"/>
        </w:rPr>
        <w:t>.</w:t>
      </w:r>
      <w:r>
        <w:rPr>
          <w:lang w:val="es-MX"/>
        </w:rPr>
        <w:t xml:space="preserve"> </w:t>
      </w:r>
    </w:p>
    <w:p w14:paraId="637D1C8A" w14:textId="77777777" w:rsidR="006C7E76" w:rsidRPr="00C55B05" w:rsidRDefault="006C7E76" w:rsidP="00C55B05">
      <w:pPr>
        <w:pStyle w:val="ListParagraph"/>
        <w:numPr>
          <w:ilvl w:val="0"/>
          <w:numId w:val="0"/>
        </w:numPr>
        <w:rPr>
          <w:lang w:val="es-ES"/>
        </w:rPr>
      </w:pPr>
    </w:p>
    <w:p w14:paraId="51BCBFA9" w14:textId="77777777" w:rsidR="004657EC" w:rsidRPr="004657EC" w:rsidRDefault="006C7E76" w:rsidP="004657EC">
      <w:pPr>
        <w:pStyle w:val="ListParagraph"/>
        <w:rPr>
          <w:lang w:val="es-US"/>
        </w:rPr>
      </w:pPr>
      <w:r>
        <w:rPr>
          <w:lang w:val="es-US"/>
        </w:rPr>
        <w:t>Lo anterior</w:t>
      </w:r>
      <w:r w:rsidRPr="006C7E76">
        <w:rPr>
          <w:lang w:val="es-US"/>
        </w:rPr>
        <w:t xml:space="preserve"> constituye </w:t>
      </w:r>
      <w:r>
        <w:rPr>
          <w:lang w:val="es-US"/>
        </w:rPr>
        <w:t xml:space="preserve">también </w:t>
      </w:r>
      <w:r w:rsidRPr="006C7E76">
        <w:rPr>
          <w:lang w:val="es-US"/>
        </w:rPr>
        <w:t>una denegación de justicia</w:t>
      </w:r>
      <w:r>
        <w:rPr>
          <w:lang w:val="es-US"/>
        </w:rPr>
        <w:t xml:space="preserve"> para las víctimas y sus familiares</w:t>
      </w:r>
      <w:r w:rsidR="004657EC">
        <w:rPr>
          <w:lang w:val="es-US"/>
        </w:rPr>
        <w:t xml:space="preserve"> lo que les </w:t>
      </w:r>
      <w:r w:rsidR="004657EC" w:rsidRPr="004657EC">
        <w:rPr>
          <w:lang w:val="es-ES"/>
        </w:rPr>
        <w:t>genera profundo</w:t>
      </w:r>
      <w:r w:rsidR="004657EC">
        <w:rPr>
          <w:lang w:val="es-ES"/>
        </w:rPr>
        <w:t>s</w:t>
      </w:r>
      <w:r w:rsidR="004657EC" w:rsidRPr="004657EC">
        <w:rPr>
          <w:lang w:val="es-ES"/>
        </w:rPr>
        <w:t xml:space="preserve"> sentimiento</w:t>
      </w:r>
      <w:r w:rsidR="004657EC">
        <w:rPr>
          <w:lang w:val="es-ES"/>
        </w:rPr>
        <w:t>s</w:t>
      </w:r>
      <w:r w:rsidR="004657EC" w:rsidRPr="004657EC">
        <w:rPr>
          <w:lang w:val="es-ES"/>
        </w:rPr>
        <w:t xml:space="preserve"> de dolor, angustia e incertidumbre, profundiza</w:t>
      </w:r>
      <w:r w:rsidR="004657EC">
        <w:rPr>
          <w:lang w:val="es-ES"/>
        </w:rPr>
        <w:t xml:space="preserve">da </w:t>
      </w:r>
      <w:r w:rsidR="004657EC" w:rsidRPr="004657EC">
        <w:rPr>
          <w:lang w:val="es-ES"/>
        </w:rPr>
        <w:t>por la falta de una investigación efectiva y diligente</w:t>
      </w:r>
      <w:r w:rsidR="004657EC">
        <w:rPr>
          <w:lang w:val="es-ES"/>
        </w:rPr>
        <w:t xml:space="preserve">, lo que, </w:t>
      </w:r>
      <w:r w:rsidR="004657EC" w:rsidRPr="004657EC">
        <w:rPr>
          <w:lang w:val="es-US"/>
        </w:rPr>
        <w:t xml:space="preserve">a su vez, </w:t>
      </w:r>
      <w:r w:rsidR="004657EC">
        <w:rPr>
          <w:lang w:val="es-US"/>
        </w:rPr>
        <w:t xml:space="preserve">constituye una </w:t>
      </w:r>
      <w:r w:rsidR="004657EC" w:rsidRPr="004657EC">
        <w:rPr>
          <w:lang w:val="es-US"/>
        </w:rPr>
        <w:t xml:space="preserve">violación a su derecho a la integridad personal. </w:t>
      </w:r>
    </w:p>
    <w:p w14:paraId="511194F4" w14:textId="77777777" w:rsidR="00F41F56" w:rsidRPr="00C55B05" w:rsidRDefault="00F41F56" w:rsidP="00C55B05">
      <w:pPr>
        <w:pStyle w:val="ListParagraph"/>
        <w:numPr>
          <w:ilvl w:val="0"/>
          <w:numId w:val="0"/>
        </w:numPr>
        <w:rPr>
          <w:lang w:val="es-ES"/>
        </w:rPr>
      </w:pPr>
    </w:p>
    <w:p w14:paraId="2A8C3753" w14:textId="77777777" w:rsidR="00A14323" w:rsidRPr="00831E8F" w:rsidRDefault="00BA6C57" w:rsidP="004B2E49">
      <w:pPr>
        <w:pStyle w:val="ListParagraph"/>
        <w:rPr>
          <w:lang w:val="es-VE"/>
        </w:rPr>
      </w:pPr>
      <w:r>
        <w:rPr>
          <w:lang w:val="es-VE"/>
        </w:rPr>
        <w:t xml:space="preserve">En virtud de lo anterior, la Comisión </w:t>
      </w:r>
      <w:r w:rsidR="002802D4">
        <w:rPr>
          <w:lang w:val="es-VE"/>
        </w:rPr>
        <w:t xml:space="preserve">concluye </w:t>
      </w:r>
      <w:r>
        <w:rPr>
          <w:lang w:val="es-VE"/>
        </w:rPr>
        <w:t xml:space="preserve">que </w:t>
      </w:r>
      <w:r w:rsidR="004B2E49" w:rsidRPr="004B2E49">
        <w:rPr>
          <w:lang w:val="es-VE"/>
        </w:rPr>
        <w:t>el Estado violó los derechos a las garantías judiciales</w:t>
      </w:r>
      <w:r w:rsidR="004657EC">
        <w:rPr>
          <w:lang w:val="es-VE"/>
        </w:rPr>
        <w:t>,</w:t>
      </w:r>
      <w:r w:rsidR="004B2E49" w:rsidRPr="004B2E49">
        <w:rPr>
          <w:lang w:val="es-VE"/>
        </w:rPr>
        <w:t xml:space="preserve"> protección judicial</w:t>
      </w:r>
      <w:r w:rsidR="004657EC">
        <w:rPr>
          <w:lang w:val="es-VE"/>
        </w:rPr>
        <w:t xml:space="preserve"> e integridad personal</w:t>
      </w:r>
      <w:r w:rsidR="004B2E49" w:rsidRPr="004B2E49">
        <w:rPr>
          <w:lang w:val="es-VE"/>
        </w:rPr>
        <w:t xml:space="preserve">, garantizados en los artículos </w:t>
      </w:r>
      <w:r w:rsidR="004657EC">
        <w:rPr>
          <w:lang w:val="es-VE"/>
        </w:rPr>
        <w:t xml:space="preserve">5.1, </w:t>
      </w:r>
      <w:r w:rsidR="004B2E49" w:rsidRPr="004B2E49">
        <w:rPr>
          <w:lang w:val="es-VE"/>
        </w:rPr>
        <w:t xml:space="preserve">8.1 y 25.1 de la Convención Americana, en relación con el deber de respeto establecido en el artículo 1.1 del mismo instrumento, en </w:t>
      </w:r>
      <w:r w:rsidR="002B1C1E">
        <w:rPr>
          <w:lang w:val="es-VE"/>
        </w:rPr>
        <w:t xml:space="preserve">perjuicio </w:t>
      </w:r>
      <w:r w:rsidR="004B2E49" w:rsidRPr="004B2E49">
        <w:rPr>
          <w:lang w:val="es-VE"/>
        </w:rPr>
        <w:t xml:space="preserve">de </w:t>
      </w:r>
      <w:r>
        <w:rPr>
          <w:lang w:val="es-VE"/>
        </w:rPr>
        <w:t xml:space="preserve">Heléne Charlné y Baptiste Willer, familiares directos del menor de edad asesinado </w:t>
      </w:r>
      <w:r w:rsidR="00982431">
        <w:rPr>
          <w:lang w:val="es-VE"/>
        </w:rPr>
        <w:t>Frédo Guirant (o Guirand)</w:t>
      </w:r>
      <w:r>
        <w:rPr>
          <w:lang w:val="es-VE"/>
        </w:rPr>
        <w:t>, por la falta de investigación</w:t>
      </w:r>
      <w:r w:rsidR="004657EC">
        <w:rPr>
          <w:lang w:val="es-VE"/>
        </w:rPr>
        <w:t>, enjuiciamiento y sanción</w:t>
      </w:r>
      <w:r>
        <w:rPr>
          <w:lang w:val="es-VE"/>
        </w:rPr>
        <w:t xml:space="preserve"> </w:t>
      </w:r>
      <w:r w:rsidR="002B1C1E">
        <w:rPr>
          <w:lang w:val="es-VE"/>
        </w:rPr>
        <w:t xml:space="preserve">respecto </w:t>
      </w:r>
      <w:r>
        <w:rPr>
          <w:lang w:val="es-VE"/>
        </w:rPr>
        <w:t>de su asesinato</w:t>
      </w:r>
      <w:r w:rsidR="00BE386F">
        <w:rPr>
          <w:lang w:val="es-VE"/>
        </w:rPr>
        <w:t>;</w:t>
      </w:r>
      <w:r>
        <w:rPr>
          <w:lang w:val="es-VE"/>
        </w:rPr>
        <w:t xml:space="preserve"> y</w:t>
      </w:r>
      <w:r w:rsidR="00BE386F">
        <w:rPr>
          <w:lang w:val="es-VE"/>
        </w:rPr>
        <w:t>,</w:t>
      </w:r>
      <w:r>
        <w:rPr>
          <w:lang w:val="es-VE"/>
        </w:rPr>
        <w:t xml:space="preserve"> en </w:t>
      </w:r>
      <w:r w:rsidR="002B1C1E">
        <w:rPr>
          <w:lang w:val="es-VE"/>
        </w:rPr>
        <w:t>perjuicio</w:t>
      </w:r>
      <w:r>
        <w:rPr>
          <w:lang w:val="es-VE"/>
        </w:rPr>
        <w:t xml:space="preserve"> de Baptiste Willer, </w:t>
      </w:r>
      <w:r w:rsidR="004657EC" w:rsidRPr="004657EC">
        <w:rPr>
          <w:lang w:val="es-US"/>
        </w:rPr>
        <w:t>su esposa Noëlzina Baptiste y sus tres hijos, Baptiste Costaguinov, Baptiste Wilderson y Baptiste Noë-Willo</w:t>
      </w:r>
      <w:r w:rsidR="004657EC">
        <w:rPr>
          <w:lang w:val="es-US"/>
        </w:rPr>
        <w:t xml:space="preserve">, </w:t>
      </w:r>
      <w:r>
        <w:rPr>
          <w:lang w:val="es-VE"/>
        </w:rPr>
        <w:t>por la falta de investigación</w:t>
      </w:r>
      <w:r w:rsidR="004657EC">
        <w:rPr>
          <w:lang w:val="es-VE"/>
        </w:rPr>
        <w:t>, enjuiciamiento y sanción</w:t>
      </w:r>
      <w:r>
        <w:rPr>
          <w:lang w:val="es-VE"/>
        </w:rPr>
        <w:t xml:space="preserve"> respecto de las amenazas y atentado</w:t>
      </w:r>
      <w:r w:rsidR="004657EC">
        <w:rPr>
          <w:lang w:val="es-VE"/>
        </w:rPr>
        <w:t>s</w:t>
      </w:r>
      <w:r>
        <w:rPr>
          <w:lang w:val="es-VE"/>
        </w:rPr>
        <w:t xml:space="preserve"> que </w:t>
      </w:r>
      <w:r w:rsidR="004657EC">
        <w:rPr>
          <w:lang w:val="es-VE"/>
        </w:rPr>
        <w:t>e</w:t>
      </w:r>
      <w:r>
        <w:rPr>
          <w:lang w:val="es-VE"/>
        </w:rPr>
        <w:t>st</w:t>
      </w:r>
      <w:r w:rsidR="004657EC">
        <w:rPr>
          <w:lang w:val="es-VE"/>
        </w:rPr>
        <w:t>os</w:t>
      </w:r>
      <w:r w:rsidR="002802D4">
        <w:rPr>
          <w:lang w:val="es-VE"/>
        </w:rPr>
        <w:t xml:space="preserve"> sufrieron</w:t>
      </w:r>
      <w:r w:rsidR="004B2E49" w:rsidRPr="004B2E49">
        <w:rPr>
          <w:lang w:val="es-VE"/>
        </w:rPr>
        <w:t>.</w:t>
      </w:r>
    </w:p>
    <w:p w14:paraId="60332718" w14:textId="77777777" w:rsidR="004B2E49" w:rsidRPr="00BA6C57" w:rsidRDefault="004B2E49" w:rsidP="004B2E49">
      <w:pPr>
        <w:pStyle w:val="Heading1"/>
        <w:numPr>
          <w:ilvl w:val="0"/>
          <w:numId w:val="0"/>
        </w:numPr>
        <w:rPr>
          <w:color w:val="auto"/>
          <w:lang w:val="es-VE"/>
        </w:rPr>
      </w:pPr>
    </w:p>
    <w:p w14:paraId="256FA98C" w14:textId="77777777" w:rsidR="00D12193" w:rsidRPr="00824696" w:rsidRDefault="00D12193" w:rsidP="0011380E">
      <w:pPr>
        <w:pStyle w:val="Heading1"/>
        <w:ind w:left="0" w:firstLine="0"/>
        <w:rPr>
          <w:color w:val="auto"/>
        </w:rPr>
      </w:pPr>
      <w:bookmarkStart w:id="23" w:name="_Toc22308280"/>
      <w:r w:rsidRPr="00824696">
        <w:rPr>
          <w:color w:val="auto"/>
        </w:rPr>
        <w:t>CONCLUSIONES Y RECOMENDACIONES</w:t>
      </w:r>
      <w:bookmarkEnd w:id="23"/>
      <w:r w:rsidRPr="00824696">
        <w:rPr>
          <w:color w:val="auto"/>
        </w:rPr>
        <w:t xml:space="preserve"> </w:t>
      </w:r>
    </w:p>
    <w:p w14:paraId="47C833EE" w14:textId="77777777" w:rsidR="00D12193" w:rsidRPr="00824696" w:rsidRDefault="00D12193" w:rsidP="0011380E">
      <w:pPr>
        <w:suppressAutoHyphens/>
        <w:rPr>
          <w:rFonts w:asciiTheme="majorHAnsi" w:hAnsiTheme="majorHAnsi"/>
          <w:b/>
          <w:sz w:val="20"/>
          <w:szCs w:val="20"/>
          <w:lang w:val="es-ES_tradnl"/>
        </w:rPr>
      </w:pPr>
    </w:p>
    <w:p w14:paraId="667D03A8" w14:textId="77777777" w:rsidR="00D7393F" w:rsidRPr="00824696" w:rsidRDefault="00D7393F" w:rsidP="0032793C">
      <w:pPr>
        <w:pStyle w:val="ListParagraph"/>
        <w:rPr>
          <w:lang w:val="es-ES_tradnl"/>
        </w:rPr>
      </w:pPr>
      <w:r w:rsidRPr="00824696">
        <w:rPr>
          <w:lang w:val="es-ES_tradnl"/>
        </w:rPr>
        <w:lastRenderedPageBreak/>
        <w:t xml:space="preserve">De conformidad con las consideraciones de hecho y de derecho </w:t>
      </w:r>
      <w:r w:rsidR="005B7C8F" w:rsidRPr="00824696">
        <w:rPr>
          <w:lang w:val="es-ES_tradnl"/>
        </w:rPr>
        <w:t>vertidas</w:t>
      </w:r>
      <w:r w:rsidRPr="00824696">
        <w:rPr>
          <w:lang w:val="es-ES_tradnl"/>
        </w:rPr>
        <w:t xml:space="preserve"> en el presente informe de fondo, la Comisión concluye que el Estado </w:t>
      </w:r>
      <w:r w:rsidR="008F1670">
        <w:rPr>
          <w:lang w:val="es-ES_tradnl"/>
        </w:rPr>
        <w:t xml:space="preserve">haitiano </w:t>
      </w:r>
      <w:r w:rsidRPr="00824696">
        <w:rPr>
          <w:lang w:val="es-ES_tradnl"/>
        </w:rPr>
        <w:t xml:space="preserve">es responsable por la violación de los derechos a la </w:t>
      </w:r>
      <w:r w:rsidR="008F1670">
        <w:rPr>
          <w:lang w:val="es-ES_tradnl"/>
        </w:rPr>
        <w:t>vida</w:t>
      </w:r>
      <w:r w:rsidRPr="00824696">
        <w:rPr>
          <w:lang w:val="es-ES_tradnl"/>
        </w:rPr>
        <w:t xml:space="preserve">, integridad personal, </w:t>
      </w:r>
      <w:r w:rsidR="00027656">
        <w:rPr>
          <w:lang w:val="es-ES_tradnl"/>
        </w:rPr>
        <w:t xml:space="preserve">del niño, </w:t>
      </w:r>
      <w:r w:rsidR="002B1C1E" w:rsidRPr="002B1C1E">
        <w:rPr>
          <w:lang w:val="es-MX"/>
        </w:rPr>
        <w:t>libertad de circulación y residencia</w:t>
      </w:r>
      <w:r w:rsidR="008F1670">
        <w:rPr>
          <w:lang w:val="es-ES_tradnl"/>
        </w:rPr>
        <w:t xml:space="preserve">, </w:t>
      </w:r>
      <w:r w:rsidRPr="00824696">
        <w:rPr>
          <w:lang w:val="es-ES_tradnl"/>
        </w:rPr>
        <w:t xml:space="preserve">garantías judiciales y protección judicial, establecidos en los artículos </w:t>
      </w:r>
      <w:r w:rsidR="008F1670">
        <w:rPr>
          <w:lang w:val="es-ES_tradnl"/>
        </w:rPr>
        <w:t>4</w:t>
      </w:r>
      <w:r w:rsidR="002B1C1E">
        <w:rPr>
          <w:lang w:val="es-ES_tradnl"/>
        </w:rPr>
        <w:t>.1</w:t>
      </w:r>
      <w:r w:rsidR="008F1670">
        <w:rPr>
          <w:lang w:val="es-ES_tradnl"/>
        </w:rPr>
        <w:t xml:space="preserve">, </w:t>
      </w:r>
      <w:r w:rsidRPr="00824696">
        <w:rPr>
          <w:lang w:val="es-ES_tradnl"/>
        </w:rPr>
        <w:t>5</w:t>
      </w:r>
      <w:r w:rsidR="002B1C1E">
        <w:rPr>
          <w:lang w:val="es-ES_tradnl"/>
        </w:rPr>
        <w:t>.1</w:t>
      </w:r>
      <w:r w:rsidRPr="00824696">
        <w:rPr>
          <w:lang w:val="es-ES_tradnl"/>
        </w:rPr>
        <w:t xml:space="preserve">, </w:t>
      </w:r>
      <w:r w:rsidR="00B1671F">
        <w:rPr>
          <w:lang w:val="es-ES_tradnl"/>
        </w:rPr>
        <w:t xml:space="preserve">19, </w:t>
      </w:r>
      <w:r w:rsidR="002B1C1E">
        <w:rPr>
          <w:lang w:val="es-ES_tradnl"/>
        </w:rPr>
        <w:t>22.1</w:t>
      </w:r>
      <w:r w:rsidR="008F1670">
        <w:rPr>
          <w:lang w:val="es-ES_tradnl"/>
        </w:rPr>
        <w:t xml:space="preserve">, </w:t>
      </w:r>
      <w:r w:rsidRPr="00824696">
        <w:rPr>
          <w:lang w:val="es-ES_tradnl"/>
        </w:rPr>
        <w:t>8</w:t>
      </w:r>
      <w:r w:rsidR="002B1C1E">
        <w:rPr>
          <w:lang w:val="es-ES_tradnl"/>
        </w:rPr>
        <w:t>.1</w:t>
      </w:r>
      <w:r w:rsidRPr="00824696">
        <w:rPr>
          <w:lang w:val="es-ES_tradnl"/>
        </w:rPr>
        <w:t>, y 25</w:t>
      </w:r>
      <w:r w:rsidR="002B1C1E">
        <w:rPr>
          <w:lang w:val="es-ES_tradnl"/>
        </w:rPr>
        <w:t>.1</w:t>
      </w:r>
      <w:r w:rsidRPr="00824696">
        <w:rPr>
          <w:lang w:val="es-ES_tradnl"/>
        </w:rPr>
        <w:t xml:space="preserve"> de la Convención Americana en relación con las obligaciones establecidas en el artículo 1.1 del mismo instrumento</w:t>
      </w:r>
      <w:r w:rsidR="008F1670">
        <w:rPr>
          <w:lang w:val="es-ES_tradnl"/>
        </w:rPr>
        <w:t xml:space="preserve">, </w:t>
      </w:r>
      <w:r w:rsidRPr="00824696">
        <w:rPr>
          <w:lang w:val="es-ES_tradnl"/>
        </w:rPr>
        <w:t>en perjuicio de las víctimas identificadas en el presente informe.</w:t>
      </w:r>
    </w:p>
    <w:p w14:paraId="650227D5" w14:textId="77777777" w:rsidR="00D7393F" w:rsidRPr="00824696" w:rsidRDefault="00D7393F" w:rsidP="0011380E">
      <w:pPr>
        <w:pStyle w:val="ListParagraph"/>
        <w:numPr>
          <w:ilvl w:val="0"/>
          <w:numId w:val="0"/>
        </w:numPr>
        <w:rPr>
          <w:rFonts w:asciiTheme="majorHAnsi" w:hAnsiTheme="majorHAnsi"/>
          <w:color w:val="auto"/>
          <w:szCs w:val="20"/>
          <w:lang w:val="es-ES_tradnl"/>
        </w:rPr>
      </w:pPr>
    </w:p>
    <w:p w14:paraId="1EBF147C" w14:textId="77777777" w:rsidR="00D7393F" w:rsidRPr="00824696" w:rsidRDefault="00D7393F" w:rsidP="0011380E">
      <w:pPr>
        <w:pStyle w:val="ListParagraph"/>
        <w:rPr>
          <w:rFonts w:asciiTheme="majorHAnsi" w:hAnsiTheme="majorHAnsi"/>
          <w:color w:val="auto"/>
          <w:szCs w:val="20"/>
          <w:lang w:val="es-ES_tradnl"/>
        </w:rPr>
      </w:pPr>
      <w:r w:rsidRPr="00824696">
        <w:rPr>
          <w:rFonts w:asciiTheme="majorHAnsi" w:hAnsiTheme="majorHAnsi"/>
          <w:color w:val="auto"/>
          <w:szCs w:val="20"/>
          <w:lang w:val="es-ES_tradnl"/>
        </w:rPr>
        <w:t xml:space="preserve">En virtud de lo anterior,  </w:t>
      </w:r>
    </w:p>
    <w:p w14:paraId="2381A76D" w14:textId="77777777" w:rsidR="0032793C" w:rsidRPr="00824696" w:rsidRDefault="0032793C" w:rsidP="0031160D">
      <w:pPr>
        <w:jc w:val="both"/>
        <w:rPr>
          <w:rFonts w:asciiTheme="majorHAnsi" w:hAnsiTheme="majorHAnsi"/>
          <w:b/>
          <w:sz w:val="20"/>
          <w:szCs w:val="20"/>
          <w:lang w:val="es-ES_tradnl"/>
        </w:rPr>
      </w:pPr>
    </w:p>
    <w:p w14:paraId="4000B3ED" w14:textId="77777777" w:rsidR="00006896" w:rsidRPr="00824696" w:rsidRDefault="00006896" w:rsidP="0031160D">
      <w:pPr>
        <w:jc w:val="both"/>
        <w:rPr>
          <w:rFonts w:asciiTheme="majorHAnsi" w:hAnsiTheme="majorHAnsi"/>
          <w:b/>
          <w:sz w:val="20"/>
          <w:szCs w:val="20"/>
          <w:lang w:val="es-ES_tradnl"/>
        </w:rPr>
      </w:pPr>
      <w:r w:rsidRPr="00824696">
        <w:rPr>
          <w:rFonts w:asciiTheme="majorHAnsi" w:hAnsiTheme="majorHAnsi"/>
          <w:b/>
          <w:sz w:val="20"/>
          <w:szCs w:val="20"/>
          <w:lang w:val="es-ES_tradnl"/>
        </w:rPr>
        <w:t xml:space="preserve">LA COMISIÓN INTERAMERICANA DE DERECHOS HUMANOS, RECOMIENDA AL ESTADO DE </w:t>
      </w:r>
      <w:r w:rsidR="002B1C1E">
        <w:rPr>
          <w:rFonts w:asciiTheme="majorHAnsi" w:hAnsiTheme="majorHAnsi"/>
          <w:b/>
          <w:sz w:val="20"/>
          <w:szCs w:val="20"/>
          <w:lang w:val="es-ES_tradnl"/>
        </w:rPr>
        <w:t>HAITI</w:t>
      </w:r>
      <w:r w:rsidRPr="00824696">
        <w:rPr>
          <w:rFonts w:asciiTheme="majorHAnsi" w:hAnsiTheme="majorHAnsi"/>
          <w:b/>
          <w:sz w:val="20"/>
          <w:szCs w:val="20"/>
          <w:lang w:val="es-ES_tradnl"/>
        </w:rPr>
        <w:t>,</w:t>
      </w:r>
    </w:p>
    <w:p w14:paraId="76034ED4" w14:textId="77777777" w:rsidR="00006896" w:rsidRPr="00824696" w:rsidRDefault="00006896" w:rsidP="00006896">
      <w:pPr>
        <w:jc w:val="both"/>
        <w:rPr>
          <w:rFonts w:asciiTheme="majorHAnsi" w:hAnsiTheme="majorHAnsi"/>
          <w:sz w:val="20"/>
          <w:szCs w:val="20"/>
          <w:lang w:val="es-ES_tradnl"/>
        </w:rPr>
      </w:pPr>
      <w:r w:rsidRPr="00824696">
        <w:rPr>
          <w:rFonts w:asciiTheme="majorHAnsi" w:hAnsiTheme="majorHAnsi"/>
          <w:sz w:val="20"/>
          <w:szCs w:val="20"/>
          <w:lang w:val="es-ES_tradnl"/>
        </w:rPr>
        <w:t> </w:t>
      </w:r>
    </w:p>
    <w:p w14:paraId="77F42302" w14:textId="77777777" w:rsidR="005F309E" w:rsidRPr="005E3BA2" w:rsidRDefault="005F309E" w:rsidP="00C95A8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s="Tahoma"/>
          <w:color w:val="auto"/>
          <w:szCs w:val="20"/>
          <w:bdr w:val="none" w:sz="0" w:space="0" w:color="auto"/>
          <w:lang w:val="es-ES_tradnl"/>
        </w:rPr>
      </w:pPr>
      <w:r w:rsidRPr="005E3BA2">
        <w:rPr>
          <w:rFonts w:asciiTheme="majorHAnsi" w:eastAsia="Times New Roman" w:hAnsiTheme="majorHAnsi" w:cs="Tahoma"/>
          <w:color w:val="auto"/>
          <w:szCs w:val="20"/>
          <w:bdr w:val="none" w:sz="0" w:space="0" w:color="auto"/>
          <w:lang w:val="es-ES_tradnl"/>
        </w:rPr>
        <w:t>Reparar integralmente</w:t>
      </w:r>
      <w:r w:rsidR="006E5307" w:rsidRPr="005E3BA2">
        <w:rPr>
          <w:rFonts w:asciiTheme="majorHAnsi" w:eastAsia="Times New Roman" w:hAnsiTheme="majorHAnsi" w:cs="Tahoma"/>
          <w:color w:val="auto"/>
          <w:szCs w:val="20"/>
          <w:bdr w:val="none" w:sz="0" w:space="0" w:color="auto"/>
          <w:lang w:val="es-ES_tradnl"/>
        </w:rPr>
        <w:t xml:space="preserve"> y </w:t>
      </w:r>
      <w:r w:rsidR="00090343" w:rsidRPr="005E3BA2">
        <w:rPr>
          <w:rFonts w:asciiTheme="majorHAnsi" w:eastAsia="Times New Roman" w:hAnsiTheme="majorHAnsi" w:cs="Tahoma"/>
          <w:color w:val="auto"/>
          <w:szCs w:val="20"/>
          <w:bdr w:val="none" w:sz="0" w:space="0" w:color="auto"/>
          <w:lang w:val="es-ES_tradnl"/>
        </w:rPr>
        <w:t>de</w:t>
      </w:r>
      <w:r w:rsidR="006E5307" w:rsidRPr="005E3BA2">
        <w:rPr>
          <w:rFonts w:asciiTheme="majorHAnsi" w:eastAsia="Times New Roman" w:hAnsiTheme="majorHAnsi" w:cs="Tahoma"/>
          <w:color w:val="auto"/>
          <w:szCs w:val="20"/>
          <w:bdr w:val="none" w:sz="0" w:space="0" w:color="auto"/>
          <w:lang w:val="es-ES_tradnl"/>
        </w:rPr>
        <w:t xml:space="preserve"> conformidad con los niveles de compensación considerados aceptables de acuerdo con los estándares internacionales, todas y cada una de</w:t>
      </w:r>
      <w:r w:rsidRPr="005E3BA2">
        <w:rPr>
          <w:rFonts w:asciiTheme="majorHAnsi" w:eastAsia="Times New Roman" w:hAnsiTheme="majorHAnsi" w:cs="Tahoma"/>
          <w:color w:val="auto"/>
          <w:szCs w:val="20"/>
          <w:bdr w:val="none" w:sz="0" w:space="0" w:color="auto"/>
          <w:lang w:val="es-ES_tradnl"/>
        </w:rPr>
        <w:t xml:space="preserve"> las violaciones de derechos humanos declaradas en el presente informe tanto en el aspecto material como inmaterial</w:t>
      </w:r>
      <w:r w:rsidR="002B1C1E" w:rsidRPr="005E3BA2">
        <w:rPr>
          <w:rFonts w:asciiTheme="majorHAnsi" w:eastAsia="Times New Roman" w:hAnsiTheme="majorHAnsi" w:cs="Tahoma"/>
          <w:color w:val="auto"/>
          <w:szCs w:val="20"/>
          <w:bdr w:val="none" w:sz="0" w:space="0" w:color="auto"/>
          <w:lang w:val="es-ES_tradnl"/>
        </w:rPr>
        <w:t xml:space="preserve">, incluyendo </w:t>
      </w:r>
      <w:r w:rsidRPr="005E3BA2">
        <w:rPr>
          <w:rFonts w:asciiTheme="majorHAnsi" w:eastAsia="Times New Roman" w:hAnsiTheme="majorHAnsi" w:cs="Tahoma"/>
          <w:color w:val="auto"/>
          <w:szCs w:val="20"/>
          <w:bdr w:val="none" w:sz="0" w:space="0" w:color="auto"/>
          <w:lang w:val="es-ES_tradnl"/>
        </w:rPr>
        <w:t xml:space="preserve">medidas de compensación económica y satisfacción. </w:t>
      </w:r>
    </w:p>
    <w:p w14:paraId="6BEFF7A3" w14:textId="77777777" w:rsidR="00DE4700" w:rsidRPr="00824696" w:rsidRDefault="00DE4700" w:rsidP="0011380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s="Tahoma"/>
          <w:color w:val="auto"/>
          <w:szCs w:val="20"/>
          <w:bdr w:val="none" w:sz="0" w:space="0" w:color="auto"/>
          <w:lang w:val="es-ES_tradnl"/>
        </w:rPr>
      </w:pPr>
    </w:p>
    <w:p w14:paraId="6FFC286A" w14:textId="77777777" w:rsidR="00A002CB" w:rsidRPr="00A002CB" w:rsidRDefault="00DE4700" w:rsidP="00A002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_tradnl"/>
        </w:rPr>
      </w:pPr>
      <w:r w:rsidRPr="00824696">
        <w:rPr>
          <w:rFonts w:asciiTheme="majorHAnsi" w:eastAsia="Times New Roman" w:hAnsiTheme="majorHAnsi" w:cs="Tahoma"/>
          <w:color w:val="auto"/>
          <w:szCs w:val="20"/>
          <w:bdr w:val="none" w:sz="0" w:space="0" w:color="auto"/>
          <w:lang w:val="es-ES_tradnl"/>
        </w:rPr>
        <w:t>Disponer las medidas de atención en salud física y mental necesarias para la rehabilitación de las víctimas del presente caso, de ser su voluntad y de manera concertada</w:t>
      </w:r>
      <w:r w:rsidR="002B1C1E">
        <w:rPr>
          <w:rFonts w:asciiTheme="majorHAnsi" w:eastAsia="Times New Roman" w:hAnsiTheme="majorHAnsi" w:cs="Tahoma"/>
          <w:color w:val="auto"/>
          <w:szCs w:val="20"/>
          <w:bdr w:val="none" w:sz="0" w:space="0" w:color="auto"/>
          <w:lang w:val="es-ES_tradnl"/>
        </w:rPr>
        <w:t xml:space="preserve"> con éstas</w:t>
      </w:r>
      <w:r w:rsidRPr="00824696">
        <w:rPr>
          <w:rFonts w:asciiTheme="majorHAnsi" w:eastAsia="Times New Roman" w:hAnsiTheme="majorHAnsi" w:cs="Tahoma"/>
          <w:color w:val="auto"/>
          <w:szCs w:val="20"/>
          <w:bdr w:val="none" w:sz="0" w:space="0" w:color="auto"/>
          <w:lang w:val="es-ES_tradnl"/>
        </w:rPr>
        <w:t>.</w:t>
      </w:r>
    </w:p>
    <w:p w14:paraId="37A7629E" w14:textId="77777777" w:rsidR="00733977" w:rsidRPr="00733977" w:rsidRDefault="00733977" w:rsidP="007339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es-ES_tradnl"/>
        </w:rPr>
      </w:pPr>
    </w:p>
    <w:p w14:paraId="2B7F27D5" w14:textId="77777777" w:rsidR="00A002CB" w:rsidRPr="00A002CB" w:rsidRDefault="00A002CB" w:rsidP="00A002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_tradnl"/>
        </w:rPr>
      </w:pPr>
      <w:r w:rsidRPr="00A002CB">
        <w:rPr>
          <w:rFonts w:asciiTheme="majorHAnsi" w:hAnsiTheme="majorHAnsi"/>
          <w:szCs w:val="20"/>
          <w:lang w:val="es-MX"/>
        </w:rPr>
        <w:t xml:space="preserve">Disponer las medidas necesarias para </w:t>
      </w:r>
      <w:r>
        <w:rPr>
          <w:rFonts w:asciiTheme="majorHAnsi" w:hAnsiTheme="majorHAnsi"/>
          <w:szCs w:val="20"/>
          <w:lang w:val="es-MX"/>
        </w:rPr>
        <w:t xml:space="preserve">que </w:t>
      </w:r>
      <w:r w:rsidRPr="00A002CB">
        <w:rPr>
          <w:rFonts w:asciiTheme="majorHAnsi" w:hAnsiTheme="majorHAnsi"/>
          <w:szCs w:val="20"/>
          <w:lang w:val="es-MX"/>
        </w:rPr>
        <w:t xml:space="preserve">se realice un diagnóstico efectivo sobre </w:t>
      </w:r>
      <w:r>
        <w:rPr>
          <w:rFonts w:asciiTheme="majorHAnsi" w:hAnsiTheme="majorHAnsi"/>
          <w:szCs w:val="20"/>
          <w:lang w:val="es-MX"/>
        </w:rPr>
        <w:t xml:space="preserve">la </w:t>
      </w:r>
      <w:r w:rsidRPr="00A002CB">
        <w:rPr>
          <w:rFonts w:asciiTheme="majorHAnsi" w:hAnsiTheme="majorHAnsi"/>
          <w:szCs w:val="20"/>
          <w:lang w:val="es-MX"/>
        </w:rPr>
        <w:t xml:space="preserve">situación de riesgo </w:t>
      </w:r>
      <w:r>
        <w:rPr>
          <w:rFonts w:asciiTheme="majorHAnsi" w:hAnsiTheme="majorHAnsi"/>
          <w:szCs w:val="20"/>
          <w:lang w:val="es-MX"/>
        </w:rPr>
        <w:t xml:space="preserve">de Baptiste Willer y su familia directa </w:t>
      </w:r>
      <w:r w:rsidRPr="00A002CB">
        <w:rPr>
          <w:rFonts w:asciiTheme="majorHAnsi" w:hAnsiTheme="majorHAnsi"/>
          <w:szCs w:val="20"/>
          <w:lang w:val="es-MX"/>
        </w:rPr>
        <w:t>y</w:t>
      </w:r>
      <w:r>
        <w:rPr>
          <w:rFonts w:asciiTheme="majorHAnsi" w:hAnsiTheme="majorHAnsi"/>
          <w:szCs w:val="20"/>
          <w:lang w:val="es-MX"/>
        </w:rPr>
        <w:t>, de ser el caso,</w:t>
      </w:r>
      <w:r w:rsidRPr="00A002CB">
        <w:rPr>
          <w:rFonts w:asciiTheme="majorHAnsi" w:hAnsiTheme="majorHAnsi"/>
          <w:szCs w:val="20"/>
          <w:lang w:val="es-MX"/>
        </w:rPr>
        <w:t xml:space="preserve"> se adopten las medidas de protección que sean pertinentes de manera concertada con </w:t>
      </w:r>
      <w:r>
        <w:rPr>
          <w:rFonts w:asciiTheme="majorHAnsi" w:hAnsiTheme="majorHAnsi"/>
          <w:szCs w:val="20"/>
          <w:lang w:val="es-MX"/>
        </w:rPr>
        <w:t>ellos</w:t>
      </w:r>
      <w:r w:rsidR="00B650D1">
        <w:rPr>
          <w:rFonts w:asciiTheme="majorHAnsi" w:hAnsiTheme="majorHAnsi"/>
          <w:szCs w:val="20"/>
          <w:lang w:val="es-MX"/>
        </w:rPr>
        <w:t>.</w:t>
      </w:r>
    </w:p>
    <w:p w14:paraId="4827E773" w14:textId="77777777" w:rsidR="00A002CB" w:rsidRPr="00A002CB" w:rsidRDefault="00A002CB" w:rsidP="00A002C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es-ES_tradnl"/>
        </w:rPr>
      </w:pPr>
    </w:p>
    <w:p w14:paraId="3DE71526" w14:textId="77777777" w:rsidR="00B650D1" w:rsidRPr="00B650D1" w:rsidRDefault="00B650D1" w:rsidP="002B1C1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_tradnl"/>
        </w:rPr>
      </w:pPr>
      <w:r>
        <w:rPr>
          <w:rFonts w:asciiTheme="majorHAnsi" w:hAnsiTheme="majorHAnsi"/>
          <w:szCs w:val="20"/>
          <w:lang w:val="es-US"/>
        </w:rPr>
        <w:t>P</w:t>
      </w:r>
      <w:r w:rsidRPr="00E11125">
        <w:rPr>
          <w:rFonts w:asciiTheme="majorHAnsi" w:hAnsiTheme="majorHAnsi"/>
          <w:szCs w:val="20"/>
          <w:lang w:val="es-US"/>
        </w:rPr>
        <w:t xml:space="preserve">roveer las condiciones </w:t>
      </w:r>
      <w:r>
        <w:rPr>
          <w:rFonts w:asciiTheme="majorHAnsi" w:hAnsiTheme="majorHAnsi"/>
          <w:szCs w:val="20"/>
          <w:lang w:val="es-US"/>
        </w:rPr>
        <w:t xml:space="preserve">de seguridad </w:t>
      </w:r>
      <w:r w:rsidRPr="00E11125">
        <w:rPr>
          <w:rFonts w:asciiTheme="majorHAnsi" w:hAnsiTheme="majorHAnsi"/>
          <w:szCs w:val="20"/>
          <w:lang w:val="es-US"/>
        </w:rPr>
        <w:t>necesarias para facilitar</w:t>
      </w:r>
      <w:r>
        <w:rPr>
          <w:rFonts w:asciiTheme="majorHAnsi" w:hAnsiTheme="majorHAnsi"/>
          <w:szCs w:val="20"/>
          <w:lang w:val="es-US"/>
        </w:rPr>
        <w:t>, si así lo desean,</w:t>
      </w:r>
      <w:r w:rsidRPr="00E11125">
        <w:rPr>
          <w:rFonts w:asciiTheme="majorHAnsi" w:hAnsiTheme="majorHAnsi"/>
          <w:szCs w:val="20"/>
          <w:lang w:val="es-US"/>
        </w:rPr>
        <w:t xml:space="preserve"> </w:t>
      </w:r>
      <w:r>
        <w:rPr>
          <w:rFonts w:asciiTheme="majorHAnsi" w:hAnsiTheme="majorHAnsi"/>
          <w:szCs w:val="20"/>
          <w:lang w:val="es-US"/>
        </w:rPr>
        <w:t xml:space="preserve">el </w:t>
      </w:r>
      <w:r w:rsidRPr="00E11125">
        <w:rPr>
          <w:rFonts w:asciiTheme="majorHAnsi" w:hAnsiTheme="majorHAnsi"/>
          <w:szCs w:val="20"/>
          <w:lang w:val="es-US"/>
        </w:rPr>
        <w:t xml:space="preserve">retorno voluntario, digno y seguro </w:t>
      </w:r>
      <w:r w:rsidRPr="00E11125">
        <w:rPr>
          <w:rFonts w:asciiTheme="majorHAnsi" w:hAnsiTheme="majorHAnsi"/>
          <w:szCs w:val="20"/>
          <w:lang w:val="es-VE"/>
        </w:rPr>
        <w:t xml:space="preserve">de Baptiste Willer, </w:t>
      </w:r>
      <w:r w:rsidRPr="00E11125">
        <w:rPr>
          <w:rFonts w:asciiTheme="majorHAnsi" w:hAnsiTheme="majorHAnsi"/>
          <w:szCs w:val="20"/>
          <w:lang w:val="es-US"/>
        </w:rPr>
        <w:t>su esposa Noëlzina Baptiste y sus tres hijos, Baptiste Costaguinov, Baptiste Wilderson y Baptiste Noë-Willo</w:t>
      </w:r>
      <w:r>
        <w:rPr>
          <w:rFonts w:asciiTheme="majorHAnsi" w:hAnsiTheme="majorHAnsi"/>
          <w:szCs w:val="20"/>
          <w:lang w:val="es-US"/>
        </w:rPr>
        <w:t>,</w:t>
      </w:r>
      <w:r w:rsidRPr="00E11125">
        <w:rPr>
          <w:rFonts w:asciiTheme="majorHAnsi" w:hAnsiTheme="majorHAnsi"/>
          <w:szCs w:val="20"/>
          <w:lang w:val="es-US"/>
        </w:rPr>
        <w:t xml:space="preserve"> a su lugar de residencia habitual o su reasentamiento voluntario en otra parte del país, garantizando su participación plena en la planificación y gestión de su regreso o reintegración</w:t>
      </w:r>
      <w:r>
        <w:rPr>
          <w:rFonts w:asciiTheme="majorHAnsi" w:hAnsiTheme="majorHAnsi"/>
          <w:szCs w:val="20"/>
          <w:lang w:val="es-US"/>
        </w:rPr>
        <w:t>.</w:t>
      </w:r>
    </w:p>
    <w:p w14:paraId="65231BA2" w14:textId="77777777" w:rsidR="00B650D1" w:rsidRPr="00B650D1" w:rsidRDefault="00B650D1" w:rsidP="00B650D1">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es-ES_tradnl"/>
        </w:rPr>
      </w:pPr>
    </w:p>
    <w:p w14:paraId="0EE804F9" w14:textId="77777777" w:rsidR="002B1C1E" w:rsidRPr="005E3BA2" w:rsidRDefault="007F212F" w:rsidP="002B1C1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_tradnl"/>
        </w:rPr>
      </w:pPr>
      <w:r w:rsidRPr="005E3BA2">
        <w:rPr>
          <w:rFonts w:asciiTheme="majorHAnsi" w:eastAsia="Times New Roman" w:hAnsiTheme="majorHAnsi" w:cs="Tahoma"/>
          <w:color w:val="auto"/>
          <w:szCs w:val="20"/>
          <w:bdr w:val="none" w:sz="0" w:space="0" w:color="auto"/>
          <w:lang w:val="es-ES_tradnl"/>
        </w:rPr>
        <w:t xml:space="preserve">Emprender </w:t>
      </w:r>
      <w:r w:rsidR="00106B7B" w:rsidRPr="005E3BA2">
        <w:rPr>
          <w:rFonts w:asciiTheme="majorHAnsi" w:eastAsia="Times New Roman" w:hAnsiTheme="majorHAnsi" w:cs="Tahoma"/>
          <w:color w:val="auto"/>
          <w:szCs w:val="20"/>
          <w:bdr w:val="none" w:sz="0" w:space="0" w:color="auto"/>
          <w:lang w:val="es-ES_tradnl"/>
        </w:rPr>
        <w:t>una</w:t>
      </w:r>
      <w:r w:rsidR="00006896" w:rsidRPr="005E3BA2">
        <w:rPr>
          <w:rFonts w:asciiTheme="majorHAnsi" w:eastAsia="Times New Roman" w:hAnsiTheme="majorHAnsi" w:cs="Tahoma"/>
          <w:color w:val="auto"/>
          <w:szCs w:val="20"/>
          <w:bdr w:val="none" w:sz="0" w:space="0" w:color="auto"/>
          <w:lang w:val="es-ES_tradnl"/>
        </w:rPr>
        <w:t xml:space="preserve"> investigación penal </w:t>
      </w:r>
      <w:r w:rsidRPr="005E3BA2">
        <w:rPr>
          <w:rFonts w:asciiTheme="majorHAnsi" w:eastAsia="Times New Roman" w:hAnsiTheme="majorHAnsi" w:cs="Tahoma"/>
          <w:color w:val="auto"/>
          <w:szCs w:val="20"/>
          <w:bdr w:val="none" w:sz="0" w:space="0" w:color="auto"/>
          <w:lang w:val="es-ES_tradnl"/>
        </w:rPr>
        <w:t xml:space="preserve">exhaustiva, </w:t>
      </w:r>
      <w:r w:rsidR="00006896" w:rsidRPr="005E3BA2">
        <w:rPr>
          <w:rFonts w:asciiTheme="majorHAnsi" w:eastAsia="Times New Roman" w:hAnsiTheme="majorHAnsi" w:cs="Tahoma"/>
          <w:color w:val="auto"/>
          <w:szCs w:val="20"/>
          <w:bdr w:val="none" w:sz="0" w:space="0" w:color="auto"/>
          <w:lang w:val="es-ES_tradnl"/>
        </w:rPr>
        <w:t>de manera diligente, efectiva y dentro de un plazo razonable con el objeto de esclarecer los hechos en forma completa, identificar todas las posibles responsabilidades e imponer las sanciones que correspondan respecto de las</w:t>
      </w:r>
      <w:r w:rsidR="002B1C1E" w:rsidRPr="005E3BA2">
        <w:rPr>
          <w:rFonts w:asciiTheme="majorHAnsi" w:eastAsia="Times New Roman" w:hAnsiTheme="majorHAnsi" w:cs="Tahoma"/>
          <w:color w:val="auto"/>
          <w:szCs w:val="20"/>
          <w:bdr w:val="none" w:sz="0" w:space="0" w:color="auto"/>
          <w:lang w:val="es-ES_tradnl"/>
        </w:rPr>
        <w:t xml:space="preserve"> </w:t>
      </w:r>
      <w:r w:rsidR="00006896" w:rsidRPr="005E3BA2">
        <w:rPr>
          <w:rFonts w:asciiTheme="majorHAnsi" w:eastAsia="Times New Roman" w:hAnsiTheme="majorHAnsi" w:cs="Tahoma"/>
          <w:color w:val="auto"/>
          <w:szCs w:val="20"/>
          <w:bdr w:val="none" w:sz="0" w:space="0" w:color="auto"/>
          <w:lang w:val="es-ES_tradnl"/>
        </w:rPr>
        <w:t xml:space="preserve">violaciones de derechos humanos </w:t>
      </w:r>
      <w:r w:rsidR="005B7C8F" w:rsidRPr="005E3BA2">
        <w:rPr>
          <w:rFonts w:asciiTheme="majorHAnsi" w:eastAsia="Times New Roman" w:hAnsiTheme="majorHAnsi" w:cs="Tahoma"/>
          <w:color w:val="auto"/>
          <w:szCs w:val="20"/>
          <w:bdr w:val="none" w:sz="0" w:space="0" w:color="auto"/>
          <w:lang w:val="es-ES_tradnl"/>
        </w:rPr>
        <w:t>reconocidas</w:t>
      </w:r>
      <w:r w:rsidR="00006896" w:rsidRPr="005E3BA2">
        <w:rPr>
          <w:rFonts w:asciiTheme="majorHAnsi" w:eastAsia="Times New Roman" w:hAnsiTheme="majorHAnsi" w:cs="Tahoma"/>
          <w:color w:val="auto"/>
          <w:szCs w:val="20"/>
          <w:bdr w:val="none" w:sz="0" w:space="0" w:color="auto"/>
          <w:lang w:val="es-ES_tradnl"/>
        </w:rPr>
        <w:t xml:space="preserve"> en el presente informe. </w:t>
      </w:r>
    </w:p>
    <w:p w14:paraId="7613863E" w14:textId="77777777" w:rsidR="002B1C1E" w:rsidRPr="002B1C1E" w:rsidRDefault="002B1C1E" w:rsidP="002B1C1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color w:val="auto"/>
          <w:szCs w:val="20"/>
          <w:bdr w:val="none" w:sz="0" w:space="0" w:color="auto"/>
          <w:lang w:val="es-ES_tradnl"/>
        </w:rPr>
      </w:pPr>
    </w:p>
    <w:p w14:paraId="6611E4CB" w14:textId="77777777" w:rsidR="00D75AED" w:rsidRPr="00D75AED" w:rsidRDefault="002B1C1E" w:rsidP="00D75AED">
      <w:pPr>
        <w:pStyle w:val="ListParagraph"/>
        <w:numPr>
          <w:ilvl w:val="0"/>
          <w:numId w:val="55"/>
        </w:numPr>
        <w:ind w:left="0" w:firstLine="720"/>
        <w:rPr>
          <w:rFonts w:asciiTheme="majorHAnsi" w:hAnsiTheme="majorHAnsi"/>
          <w:szCs w:val="20"/>
          <w:lang w:val="es-US"/>
        </w:rPr>
      </w:pPr>
      <w:r w:rsidRPr="002B1C1E">
        <w:rPr>
          <w:rFonts w:asciiTheme="majorHAnsi" w:hAnsiTheme="majorHAnsi"/>
          <w:color w:val="auto"/>
          <w:szCs w:val="20"/>
          <w:lang w:val="es-MX"/>
        </w:rPr>
        <w:t>Disponer las medidas necesarias para evitar la repetición de las violaciones de derechos humanos declaradas en el presente informe</w:t>
      </w:r>
      <w:r w:rsidR="00634C47">
        <w:rPr>
          <w:rFonts w:asciiTheme="majorHAnsi" w:hAnsiTheme="majorHAnsi"/>
          <w:color w:val="auto"/>
          <w:szCs w:val="20"/>
          <w:lang w:val="es-MX"/>
        </w:rPr>
        <w:t xml:space="preserve">. </w:t>
      </w:r>
      <w:r w:rsidR="00401C6D">
        <w:rPr>
          <w:rFonts w:asciiTheme="majorHAnsi" w:hAnsiTheme="majorHAnsi"/>
          <w:color w:val="auto"/>
          <w:szCs w:val="20"/>
          <w:lang w:val="es-MX"/>
        </w:rPr>
        <w:t xml:space="preserve">En particular, el Estado debe contar con </w:t>
      </w:r>
      <w:r w:rsidR="00FA2D7F">
        <w:rPr>
          <w:rFonts w:asciiTheme="majorHAnsi" w:hAnsiTheme="majorHAnsi"/>
          <w:color w:val="auto"/>
          <w:szCs w:val="20"/>
          <w:lang w:val="es-MX"/>
        </w:rPr>
        <w:t xml:space="preserve">un </w:t>
      </w:r>
      <w:r w:rsidR="00FA2D7F" w:rsidRPr="00C55B05">
        <w:rPr>
          <w:rFonts w:asciiTheme="majorHAnsi" w:hAnsiTheme="majorHAnsi"/>
          <w:szCs w:val="20"/>
          <w:lang w:val="es-US"/>
        </w:rPr>
        <w:t xml:space="preserve">programa de protección </w:t>
      </w:r>
      <w:r w:rsidR="002802D4">
        <w:rPr>
          <w:rFonts w:asciiTheme="majorHAnsi" w:hAnsiTheme="majorHAnsi"/>
          <w:szCs w:val="20"/>
          <w:lang w:val="es-US"/>
        </w:rPr>
        <w:t xml:space="preserve">para personas en situación de riesgo en razón de </w:t>
      </w:r>
      <w:r w:rsidR="002E06DD">
        <w:rPr>
          <w:rFonts w:asciiTheme="majorHAnsi" w:hAnsiTheme="majorHAnsi"/>
          <w:szCs w:val="20"/>
          <w:lang w:val="es-US"/>
        </w:rPr>
        <w:t>la delincuencia organizada</w:t>
      </w:r>
      <w:r w:rsidR="002802D4">
        <w:rPr>
          <w:rFonts w:asciiTheme="majorHAnsi" w:hAnsiTheme="majorHAnsi"/>
          <w:szCs w:val="20"/>
          <w:lang w:val="es-US"/>
        </w:rPr>
        <w:t xml:space="preserve">. </w:t>
      </w:r>
      <w:r w:rsidR="00401C6D">
        <w:rPr>
          <w:rFonts w:asciiTheme="majorHAnsi" w:hAnsiTheme="majorHAnsi"/>
          <w:szCs w:val="20"/>
          <w:lang w:val="es-US"/>
        </w:rPr>
        <w:t xml:space="preserve">Dicho programa deberá realizar un </w:t>
      </w:r>
      <w:r w:rsidR="002E06DD" w:rsidRPr="00C55B05">
        <w:rPr>
          <w:rFonts w:asciiTheme="majorHAnsi" w:hAnsiTheme="majorHAnsi"/>
          <w:szCs w:val="20"/>
          <w:lang w:val="es-US"/>
        </w:rPr>
        <w:t xml:space="preserve">análisis de riesgo que permita </w:t>
      </w:r>
      <w:r w:rsidR="00401C6D">
        <w:rPr>
          <w:rFonts w:asciiTheme="majorHAnsi" w:hAnsiTheme="majorHAnsi"/>
          <w:szCs w:val="20"/>
          <w:lang w:val="es-US"/>
        </w:rPr>
        <w:t xml:space="preserve">determinar, </w:t>
      </w:r>
      <w:r w:rsidR="002802D4">
        <w:rPr>
          <w:rFonts w:asciiTheme="majorHAnsi" w:hAnsiTheme="majorHAnsi"/>
          <w:szCs w:val="20"/>
          <w:lang w:val="es-US"/>
        </w:rPr>
        <w:t>de conformidad con los estándares internacionales aplicables</w:t>
      </w:r>
      <w:r w:rsidR="00401C6D">
        <w:rPr>
          <w:rFonts w:asciiTheme="majorHAnsi" w:hAnsiTheme="majorHAnsi"/>
          <w:szCs w:val="20"/>
          <w:lang w:val="es-US"/>
        </w:rPr>
        <w:t>,</w:t>
      </w:r>
      <w:r w:rsidR="002802D4">
        <w:rPr>
          <w:rFonts w:asciiTheme="majorHAnsi" w:hAnsiTheme="majorHAnsi"/>
          <w:szCs w:val="20"/>
          <w:lang w:val="es-US"/>
        </w:rPr>
        <w:t xml:space="preserve"> </w:t>
      </w:r>
      <w:r w:rsidR="00401C6D">
        <w:rPr>
          <w:rFonts w:asciiTheme="majorHAnsi" w:hAnsiTheme="majorHAnsi"/>
          <w:szCs w:val="20"/>
          <w:lang w:val="es-US"/>
        </w:rPr>
        <w:t>las medidas de protección que resulten idóneas y efectivas frente a las fuentes de riesgo, atendiendo a las necesidades específicas de protección de l</w:t>
      </w:r>
      <w:r w:rsidR="00FE596B">
        <w:rPr>
          <w:rFonts w:asciiTheme="majorHAnsi" w:hAnsiTheme="majorHAnsi"/>
          <w:szCs w:val="20"/>
          <w:lang w:val="es-US"/>
        </w:rPr>
        <w:t>os afectados</w:t>
      </w:r>
      <w:r w:rsidR="00401C6D">
        <w:rPr>
          <w:rFonts w:asciiTheme="majorHAnsi" w:hAnsiTheme="majorHAnsi"/>
          <w:szCs w:val="20"/>
          <w:lang w:val="es-US"/>
        </w:rPr>
        <w:t>. Tal programa</w:t>
      </w:r>
      <w:r w:rsidR="00FE596B">
        <w:rPr>
          <w:rFonts w:asciiTheme="majorHAnsi" w:hAnsiTheme="majorHAnsi"/>
          <w:szCs w:val="20"/>
          <w:lang w:val="es-US"/>
        </w:rPr>
        <w:t>,</w:t>
      </w:r>
      <w:r w:rsidR="00401C6D">
        <w:rPr>
          <w:rFonts w:asciiTheme="majorHAnsi" w:hAnsiTheme="majorHAnsi"/>
          <w:szCs w:val="20"/>
          <w:lang w:val="es-US"/>
        </w:rPr>
        <w:t xml:space="preserve"> asimismo, deberá asegurar una </w:t>
      </w:r>
      <w:r w:rsidR="00401C6D" w:rsidRPr="00401C6D">
        <w:rPr>
          <w:rFonts w:asciiTheme="majorHAnsi" w:hAnsiTheme="majorHAnsi"/>
          <w:color w:val="auto"/>
          <w:szCs w:val="20"/>
          <w:lang w:val="es-MX"/>
        </w:rPr>
        <w:t>debida coordinación institucional que permita que</w:t>
      </w:r>
      <w:r w:rsidR="00401C6D">
        <w:rPr>
          <w:rFonts w:asciiTheme="majorHAnsi" w:hAnsiTheme="majorHAnsi"/>
          <w:color w:val="auto"/>
          <w:szCs w:val="20"/>
          <w:lang w:val="es-MX"/>
        </w:rPr>
        <w:t>,</w:t>
      </w:r>
      <w:r w:rsidR="00401C6D" w:rsidRPr="00401C6D">
        <w:rPr>
          <w:rFonts w:asciiTheme="majorHAnsi" w:hAnsiTheme="majorHAnsi"/>
          <w:color w:val="auto"/>
          <w:szCs w:val="20"/>
          <w:lang w:val="es-MX"/>
        </w:rPr>
        <w:t xml:space="preserve"> ante situaciones de riesgo </w:t>
      </w:r>
      <w:r w:rsidR="00401C6D">
        <w:rPr>
          <w:rFonts w:asciiTheme="majorHAnsi" w:hAnsiTheme="majorHAnsi"/>
          <w:color w:val="auto"/>
          <w:szCs w:val="20"/>
          <w:lang w:val="es-MX"/>
        </w:rPr>
        <w:t xml:space="preserve">real e inminente </w:t>
      </w:r>
      <w:r w:rsidR="00401C6D" w:rsidRPr="00401C6D">
        <w:rPr>
          <w:rFonts w:asciiTheme="majorHAnsi" w:hAnsiTheme="majorHAnsi"/>
          <w:color w:val="auto"/>
          <w:szCs w:val="20"/>
          <w:lang w:val="es-MX"/>
        </w:rPr>
        <w:t xml:space="preserve">a la vida e integridad </w:t>
      </w:r>
      <w:r w:rsidR="00401C6D">
        <w:rPr>
          <w:rFonts w:asciiTheme="majorHAnsi" w:hAnsiTheme="majorHAnsi"/>
          <w:color w:val="auto"/>
          <w:szCs w:val="20"/>
          <w:lang w:val="es-MX"/>
        </w:rPr>
        <w:t>personal,</w:t>
      </w:r>
      <w:r w:rsidR="00401C6D" w:rsidRPr="00401C6D">
        <w:rPr>
          <w:rFonts w:asciiTheme="majorHAnsi" w:hAnsiTheme="majorHAnsi"/>
          <w:color w:val="auto"/>
          <w:szCs w:val="20"/>
          <w:lang w:val="es-MX"/>
        </w:rPr>
        <w:t xml:space="preserve"> se brinde la debida pro</w:t>
      </w:r>
      <w:r w:rsidR="00B650D1">
        <w:rPr>
          <w:rFonts w:asciiTheme="majorHAnsi" w:hAnsiTheme="majorHAnsi"/>
          <w:color w:val="auto"/>
          <w:szCs w:val="20"/>
          <w:lang w:val="es-MX"/>
        </w:rPr>
        <w:t>tección a instancias del Estado.</w:t>
      </w:r>
    </w:p>
    <w:p w14:paraId="57832BB7" w14:textId="77777777" w:rsidR="00D75AED" w:rsidRPr="006D531F" w:rsidRDefault="00D75AED" w:rsidP="00D75AED">
      <w:pPr>
        <w:pStyle w:val="ListParagraph"/>
        <w:numPr>
          <w:ilvl w:val="0"/>
          <w:numId w:val="0"/>
        </w:numPr>
        <w:rPr>
          <w:rFonts w:asciiTheme="majorHAnsi" w:hAnsiTheme="majorHAnsi"/>
          <w:color w:val="auto"/>
          <w:szCs w:val="20"/>
          <w:lang w:val="es-ES"/>
        </w:rPr>
      </w:pPr>
    </w:p>
    <w:p w14:paraId="5E3101DE" w14:textId="77777777" w:rsidR="00D75AED" w:rsidRPr="00A37B82" w:rsidRDefault="00D75AED" w:rsidP="00D75AE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Quito, Ecuador</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 días del mes de 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 Primer Vicepresidente; Antonia Urrejola, Segunda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Luis Ernesto Vargas Silva, y Flávia Piovesan,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9217B31" w14:textId="77777777" w:rsidR="00D75AED" w:rsidRPr="00A37B82" w:rsidRDefault="00D75AED" w:rsidP="00D75AED">
      <w:pPr>
        <w:suppressAutoHyphens/>
        <w:ind w:firstLine="720"/>
        <w:jc w:val="both"/>
        <w:rPr>
          <w:rFonts w:asciiTheme="majorHAnsi" w:hAnsiTheme="majorHAnsi" w:cs="Arial"/>
          <w:noProof/>
          <w:spacing w:val="-2"/>
          <w:sz w:val="20"/>
          <w:szCs w:val="20"/>
          <w:lang w:val="es-CL"/>
        </w:rPr>
      </w:pPr>
    </w:p>
    <w:p w14:paraId="347FBC9A" w14:textId="77777777" w:rsidR="00D75AED" w:rsidRDefault="00D75AED" w:rsidP="00D75AED">
      <w:pPr>
        <w:ind w:firstLine="720"/>
        <w:jc w:val="both"/>
        <w:rPr>
          <w:rFonts w:ascii="Cambria" w:hAnsi="Cambria"/>
          <w:sz w:val="20"/>
          <w:szCs w:val="20"/>
          <w:lang w:val="es-CL"/>
        </w:rPr>
      </w:pPr>
      <w:r>
        <w:rPr>
          <w:rFonts w:ascii="Cambria" w:hAnsi="Cambria"/>
          <w:sz w:val="20"/>
          <w:szCs w:val="20"/>
          <w:lang w:val="es-CL"/>
        </w:rPr>
        <w:t xml:space="preserve">El que suscribe, </w:t>
      </w:r>
      <w:r w:rsidRPr="001761EB">
        <w:rPr>
          <w:rFonts w:ascii="Cambria" w:hAnsi="Cambria" w:cs="Arial"/>
          <w:sz w:val="20"/>
          <w:szCs w:val="20"/>
          <w:lang w:val="es-US"/>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23732375" w14:textId="77777777" w:rsidR="00D75AED" w:rsidRPr="001761EB" w:rsidRDefault="00D75AED" w:rsidP="00D75AED">
      <w:pPr>
        <w:rPr>
          <w:rFonts w:ascii="Cambria" w:hAnsi="Cambria"/>
          <w:sz w:val="20"/>
          <w:szCs w:val="20"/>
          <w:lang w:val="es-US"/>
        </w:rPr>
      </w:pPr>
    </w:p>
    <w:p w14:paraId="13240C3C" w14:textId="77777777" w:rsidR="00D75AED" w:rsidRPr="006E0DF3" w:rsidRDefault="00D75AED" w:rsidP="00D75AED">
      <w:pPr>
        <w:ind w:left="4320" w:firstLine="720"/>
        <w:rPr>
          <w:rFonts w:ascii="Cambria" w:hAnsi="Cambria"/>
          <w:sz w:val="20"/>
          <w:szCs w:val="20"/>
          <w:lang w:val="es-US"/>
        </w:rPr>
      </w:pPr>
    </w:p>
    <w:p w14:paraId="68F60D45" w14:textId="77777777" w:rsidR="00D75AED" w:rsidRPr="006E0DF3" w:rsidRDefault="00D75AED" w:rsidP="00D75AED">
      <w:pPr>
        <w:ind w:left="2160" w:firstLine="720"/>
        <w:jc w:val="center"/>
        <w:rPr>
          <w:rFonts w:ascii="Cambria" w:hAnsi="Cambria"/>
          <w:sz w:val="20"/>
          <w:szCs w:val="20"/>
        </w:rPr>
      </w:pPr>
      <w:r w:rsidRPr="006E0DF3">
        <w:rPr>
          <w:rFonts w:ascii="Cambria" w:hAnsi="Cambria" w:cs="Arial"/>
          <w:sz w:val="20"/>
          <w:szCs w:val="20"/>
        </w:rPr>
        <w:t>Paulo Abrão</w:t>
      </w:r>
    </w:p>
    <w:p w14:paraId="4268081A" w14:textId="77777777" w:rsidR="00D75AED" w:rsidRPr="006D531F" w:rsidRDefault="00D75AED" w:rsidP="00D75AED">
      <w:pPr>
        <w:ind w:left="2160" w:firstLine="720"/>
        <w:jc w:val="center"/>
        <w:rPr>
          <w:rFonts w:asciiTheme="majorHAnsi" w:hAnsiTheme="majorHAnsi"/>
          <w:sz w:val="20"/>
          <w:szCs w:val="20"/>
          <w:lang w:val="es-ES"/>
        </w:rPr>
      </w:pPr>
      <w:r w:rsidRPr="006E0DF3">
        <w:rPr>
          <w:rFonts w:ascii="Cambria" w:hAnsi="Cambria"/>
          <w:sz w:val="20"/>
          <w:szCs w:val="20"/>
        </w:rPr>
        <w:t>Secretario Ejecutivo</w:t>
      </w:r>
    </w:p>
    <w:p w14:paraId="2C0BA6D6" w14:textId="77777777" w:rsidR="00D75AED" w:rsidRPr="00D75AED" w:rsidRDefault="00D75AED" w:rsidP="00D75AED">
      <w:pPr>
        <w:rPr>
          <w:rFonts w:asciiTheme="majorHAnsi" w:hAnsiTheme="majorHAnsi"/>
          <w:szCs w:val="20"/>
          <w:lang w:val="es-US"/>
        </w:rPr>
      </w:pPr>
    </w:p>
    <w:sectPr w:rsidR="00D75AED" w:rsidRPr="00D75AE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0CF7" w14:textId="77777777" w:rsidR="0067574D" w:rsidRDefault="0067574D">
      <w:r>
        <w:separator/>
      </w:r>
    </w:p>
  </w:endnote>
  <w:endnote w:type="continuationSeparator" w:id="0">
    <w:p w14:paraId="34063A44" w14:textId="77777777" w:rsidR="0067574D" w:rsidRDefault="0067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2BB07104" w14:textId="77777777" w:rsidR="0035435A" w:rsidRPr="00934A2C" w:rsidRDefault="0035435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94F55">
          <w:rPr>
            <w:noProof/>
            <w:sz w:val="16"/>
            <w:szCs w:val="22"/>
          </w:rPr>
          <w:t>4</w:t>
        </w:r>
        <w:r w:rsidRPr="00934A2C">
          <w:rPr>
            <w:noProof/>
            <w:sz w:val="16"/>
            <w:szCs w:val="22"/>
          </w:rPr>
          <w:fldChar w:fldCharType="end"/>
        </w:r>
      </w:p>
    </w:sdtContent>
  </w:sdt>
  <w:p w14:paraId="2AEC6C83" w14:textId="77777777" w:rsidR="0035435A" w:rsidRDefault="0035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73A1" w14:textId="77777777" w:rsidR="0035435A" w:rsidRPr="00934A2C" w:rsidRDefault="0035435A">
    <w:pPr>
      <w:pStyle w:val="Footer"/>
      <w:jc w:val="center"/>
      <w:rPr>
        <w:sz w:val="16"/>
        <w:szCs w:val="22"/>
      </w:rPr>
    </w:pPr>
  </w:p>
  <w:p w14:paraId="4C249F89" w14:textId="77777777" w:rsidR="0035435A" w:rsidRDefault="0035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50B4" w14:textId="77777777" w:rsidR="0067574D" w:rsidRPr="000F35ED" w:rsidRDefault="006757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194480" w14:textId="77777777" w:rsidR="0067574D" w:rsidRPr="000F35ED" w:rsidRDefault="0067574D" w:rsidP="000F35ED">
      <w:pPr>
        <w:rPr>
          <w:rFonts w:asciiTheme="majorHAnsi" w:hAnsiTheme="majorHAnsi"/>
          <w:sz w:val="16"/>
          <w:szCs w:val="16"/>
        </w:rPr>
      </w:pPr>
      <w:r w:rsidRPr="000F35ED">
        <w:rPr>
          <w:rFonts w:asciiTheme="majorHAnsi" w:hAnsiTheme="majorHAnsi"/>
          <w:sz w:val="16"/>
          <w:szCs w:val="16"/>
        </w:rPr>
        <w:separator/>
      </w:r>
    </w:p>
    <w:p w14:paraId="0865E9AD" w14:textId="77777777" w:rsidR="0067574D" w:rsidRPr="000F35ED" w:rsidRDefault="0067574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12E808" w14:textId="77777777" w:rsidR="0067574D" w:rsidRPr="000F35ED" w:rsidRDefault="0067574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393BACC" w14:textId="77777777" w:rsidR="0035435A" w:rsidRPr="0016719D" w:rsidRDefault="0035435A" w:rsidP="00A03A30">
      <w:pPr>
        <w:pStyle w:val="FootnoteText"/>
        <w:rPr>
          <w:color w:val="FF0000"/>
          <w:lang w:val="es-CO"/>
        </w:rPr>
      </w:pPr>
      <w:r w:rsidRPr="0016719D">
        <w:rPr>
          <w:rStyle w:val="FootnoteReference"/>
          <w:color w:val="auto"/>
        </w:rPr>
        <w:footnoteRef/>
      </w:r>
      <w:r w:rsidRPr="0016719D">
        <w:rPr>
          <w:color w:val="auto"/>
          <w:lang w:val="es-US"/>
        </w:rPr>
        <w:t xml:space="preserve"> CIDH. Informe No. 21/14. Petición 525-07. Admisibilidad. Baptiste Willer y </w:t>
      </w:r>
      <w:r w:rsidR="00FE596B" w:rsidRPr="0016719D">
        <w:rPr>
          <w:color w:val="auto"/>
          <w:lang w:val="es-US"/>
        </w:rPr>
        <w:t>Frédo Guirant.</w:t>
      </w:r>
      <w:r w:rsidRPr="0016719D">
        <w:rPr>
          <w:color w:val="auto"/>
          <w:lang w:val="es-US"/>
        </w:rPr>
        <w:t xml:space="preserve"> Haiti. 4 de abril de 2014</w:t>
      </w:r>
      <w:r w:rsidRPr="0016719D">
        <w:rPr>
          <w:color w:val="auto"/>
          <w:lang w:val="es-CO"/>
        </w:rPr>
        <w:t xml:space="preserve">. </w:t>
      </w:r>
      <w:r w:rsidRPr="0016719D">
        <w:rPr>
          <w:lang w:val="es-ES"/>
        </w:rPr>
        <w:t xml:space="preserve">La CIDH declaró admisible la petición respecto de Baptiste Willer en relación con los derechos consagrados en los artículos 5.1, 8.1 y 25 de la Convención Americana en relación con el artículo 1.1 del mismo instrumento y respecto de </w:t>
      </w:r>
      <w:r w:rsidR="00FE596B" w:rsidRPr="0016719D">
        <w:rPr>
          <w:lang w:val="es-ES"/>
        </w:rPr>
        <w:t xml:space="preserve">Frédo Guirant </w:t>
      </w:r>
      <w:r w:rsidRPr="0016719D">
        <w:rPr>
          <w:lang w:val="es-ES"/>
        </w:rPr>
        <w:t xml:space="preserve">en relación con los derechos consagrados en los artículos 19, 8.1 y 25 de la Convención Americana en relación con el artículo 1.1 del mismo instrumento. Conforme a lo indicado en el informe de admisibilidad, el marco factico del caso comprende las alegaciones de amenazas e intento de homicidio en contra de Baptiste Willer y el asesinato de </w:t>
      </w:r>
      <w:r w:rsidR="00FE596B" w:rsidRPr="0016719D">
        <w:rPr>
          <w:lang w:val="es-ES"/>
        </w:rPr>
        <w:t>Frédo Guirant</w:t>
      </w:r>
      <w:r w:rsidRPr="0016719D">
        <w:rPr>
          <w:lang w:val="es-ES"/>
        </w:rPr>
        <w:t xml:space="preserve">, y la falta de investigación de los mismos. Se deja expresa constancia que, por error, se indicó en la parte resolutiva de dicho informe que las presuntas violaciones ocurrieron el 27 de febrero de 2007, en circunstancias que, como consta de las consideraciones iniciales y el acervo probatorio de dicho informe, el </w:t>
      </w:r>
      <w:r w:rsidR="0061577F" w:rsidRPr="0016719D">
        <w:rPr>
          <w:lang w:val="es-ES"/>
        </w:rPr>
        <w:t>primer</w:t>
      </w:r>
      <w:r w:rsidRPr="0016719D">
        <w:rPr>
          <w:lang w:val="es-ES"/>
        </w:rPr>
        <w:t xml:space="preserve"> atentado a la vida de Baptiste Willer y el asesinato de su hermano menor </w:t>
      </w:r>
      <w:r w:rsidR="00FE596B" w:rsidRPr="0016719D">
        <w:rPr>
          <w:lang w:val="es-ES"/>
        </w:rPr>
        <w:t xml:space="preserve">Frédo Guirant </w:t>
      </w:r>
      <w:r w:rsidRPr="0016719D">
        <w:rPr>
          <w:lang w:val="es-ES"/>
        </w:rPr>
        <w:t>ocurrieron el día 4 de febrero de 2007, cuestión que la Comisión enmienda en este acto. Por otra parte, la CIDH deja constancia que las alegaciones relativas a la salud de Baptiste Willer fueron excluidas del marco fáctico en el informe de admisibilidad, ya que no se acreditó por el peticionario que se hubieran agotado los respectivos recursos internos o que fuera aplicable alguna de las excepciones del artículo 46(2) de la Convención.</w:t>
      </w:r>
    </w:p>
  </w:footnote>
  <w:footnote w:id="3">
    <w:p w14:paraId="5571C946" w14:textId="77777777" w:rsidR="0035435A" w:rsidRPr="0016719D" w:rsidRDefault="0035435A">
      <w:pPr>
        <w:pStyle w:val="FootnoteText"/>
        <w:rPr>
          <w:lang w:val="pt-BR"/>
        </w:rPr>
      </w:pPr>
      <w:r w:rsidRPr="0016719D">
        <w:rPr>
          <w:rStyle w:val="FootnoteReference"/>
        </w:rPr>
        <w:footnoteRef/>
      </w:r>
      <w:r w:rsidRPr="0016719D">
        <w:rPr>
          <w:lang w:val="pt-BR"/>
        </w:rPr>
        <w:t xml:space="preserve"> </w:t>
      </w:r>
      <w:r w:rsidR="0016719D" w:rsidRPr="0016719D">
        <w:rPr>
          <w:lang w:val="pt-BR"/>
        </w:rPr>
        <w:t>Anexo 1</w:t>
      </w:r>
      <w:r w:rsidRPr="0016719D">
        <w:rPr>
          <w:lang w:val="pt-BR"/>
        </w:rPr>
        <w:t>. Nota dirigida a la CIDH. République D’Haïti. Ministere des Affaires Etrangeres, JUR/07/PTM/fl-0886, Port-Au-Prince, 7 de agosto de 2007.</w:t>
      </w:r>
    </w:p>
  </w:footnote>
  <w:footnote w:id="4">
    <w:p w14:paraId="09435FDE" w14:textId="77777777" w:rsidR="0035435A" w:rsidRPr="0016719D" w:rsidRDefault="0035435A">
      <w:pPr>
        <w:pStyle w:val="FootnoteText"/>
        <w:rPr>
          <w:lang w:val="pt-BR"/>
        </w:rPr>
      </w:pPr>
      <w:r w:rsidRPr="0016719D">
        <w:rPr>
          <w:rStyle w:val="FootnoteReference"/>
        </w:rPr>
        <w:footnoteRef/>
      </w:r>
      <w:r w:rsidRPr="0016719D">
        <w:rPr>
          <w:lang w:val="pt-BR"/>
        </w:rPr>
        <w:t xml:space="preserve"> </w:t>
      </w:r>
      <w:r w:rsidR="0016719D" w:rsidRPr="0016719D">
        <w:rPr>
          <w:lang w:val="pt-BR"/>
        </w:rPr>
        <w:t>Anexo 1</w:t>
      </w:r>
      <w:r w:rsidRPr="0016719D">
        <w:rPr>
          <w:lang w:val="pt-BR"/>
        </w:rPr>
        <w:t>. Nota dirigida a la CIDH. République D’Haïti. Ministere des Affaires Etrangeres, JUR/07/PTM/fl-0886, Port-Au-Prince, 7 de agosto de 2007.</w:t>
      </w:r>
    </w:p>
  </w:footnote>
  <w:footnote w:id="5">
    <w:p w14:paraId="78C18E87" w14:textId="77777777" w:rsidR="0035435A" w:rsidRPr="0016719D" w:rsidRDefault="0035435A">
      <w:pPr>
        <w:pStyle w:val="FootnoteText"/>
        <w:rPr>
          <w:lang w:val="es-US"/>
        </w:rPr>
      </w:pPr>
      <w:r w:rsidRPr="0016719D">
        <w:rPr>
          <w:rStyle w:val="FootnoteReference"/>
        </w:rPr>
        <w:footnoteRef/>
      </w:r>
      <w:r w:rsidRPr="0016719D">
        <w:rPr>
          <w:lang w:val="pt-BR"/>
        </w:rPr>
        <w:t xml:space="preserve"> </w:t>
      </w:r>
      <w:r w:rsidR="0016719D" w:rsidRPr="0016719D">
        <w:rPr>
          <w:lang w:val="pt-BR"/>
        </w:rPr>
        <w:t>Anexo 2</w:t>
      </w:r>
      <w:r w:rsidRPr="0016719D">
        <w:rPr>
          <w:lang w:val="pt-BR"/>
        </w:rPr>
        <w:t xml:space="preserve">. Carta de Baptiste Willer: Orfèvre, Vidéograph, Photograph, Port-au-Prince, le 27 Février 2007 y </w:t>
      </w:r>
      <w:r w:rsidR="0016719D" w:rsidRPr="0016719D">
        <w:rPr>
          <w:lang w:val="pt-BR"/>
        </w:rPr>
        <w:t>Anexo 3</w:t>
      </w:r>
      <w:r w:rsidRPr="0016719D">
        <w:rPr>
          <w:lang w:val="pt-BR"/>
        </w:rPr>
        <w:t xml:space="preserve">. </w:t>
      </w:r>
      <w:r w:rsidRPr="0016719D">
        <w:rPr>
          <w:lang w:val="es-ES"/>
        </w:rPr>
        <w:t>Carta de Baptiste Willer: Orfèvre, Vidéograph, Photograph, Port-au-Prince, le 7 / 04 / 2007, ambos acompañados como anexo a la petición de fecha 20 de abril de 2007 y como anexos al escrito del peticionario de fecha 6 de febrero de 2017.</w:t>
      </w:r>
    </w:p>
  </w:footnote>
  <w:footnote w:id="6">
    <w:p w14:paraId="3485CACD" w14:textId="77777777" w:rsidR="0035435A" w:rsidRPr="0016719D" w:rsidRDefault="0035435A">
      <w:pPr>
        <w:pStyle w:val="FootnoteText"/>
        <w:rPr>
          <w:lang w:val="es-ES"/>
        </w:rPr>
      </w:pPr>
      <w:r w:rsidRPr="0016719D">
        <w:rPr>
          <w:rStyle w:val="FootnoteReference"/>
        </w:rPr>
        <w:footnoteRef/>
      </w:r>
      <w:r w:rsidRPr="0016719D">
        <w:rPr>
          <w:lang w:val="es-ES"/>
        </w:rPr>
        <w:t xml:space="preserve"> Anexo</w:t>
      </w:r>
      <w:r w:rsidR="0016719D" w:rsidRPr="0016719D">
        <w:rPr>
          <w:lang w:val="es-ES"/>
        </w:rPr>
        <w:t xml:space="preserve"> 5</w:t>
      </w:r>
      <w:r w:rsidRPr="0016719D">
        <w:rPr>
          <w:lang w:val="es-ES"/>
        </w:rPr>
        <w:t>. Ministère de la Justice. République d’Haití. État Civil. Acte de Deces 053081, Reg 2, page 58, No 144. Carrefour, Haití. Mardi, trente Septembre 2014. Acompañado como anexo a nota del peticionario de fecha 11 de mayo de 2017.</w:t>
      </w:r>
    </w:p>
  </w:footnote>
  <w:footnote w:id="7">
    <w:p w14:paraId="0BC1FAC2" w14:textId="77777777" w:rsidR="0035435A" w:rsidRPr="0016719D" w:rsidRDefault="0035435A">
      <w:pPr>
        <w:pStyle w:val="FootnoteText"/>
        <w:rPr>
          <w:lang w:val="es-ES"/>
        </w:rPr>
      </w:pPr>
      <w:r w:rsidRPr="0016719D">
        <w:rPr>
          <w:rStyle w:val="FootnoteReference"/>
        </w:rPr>
        <w:footnoteRef/>
      </w:r>
      <w:r w:rsidRPr="0016719D">
        <w:rPr>
          <w:lang w:val="es-ES"/>
        </w:rPr>
        <w:t xml:space="preserve"> </w:t>
      </w:r>
      <w:r w:rsidR="0016719D" w:rsidRPr="0016719D">
        <w:rPr>
          <w:lang w:val="es-ES"/>
        </w:rPr>
        <w:t>Anexo 5</w:t>
      </w:r>
      <w:r w:rsidRPr="0016719D">
        <w:rPr>
          <w:lang w:val="es-ES"/>
        </w:rPr>
        <w:t>. République d’Haití. Ministére de la Justice de la Securite Publique. Port-au-Prince, le 7 Fevrier 2007. Acompañado como anexo a la petición de fecha 20 de abril de 2007 y como anexo al escrito del peticionario de fecha 6 de febrero de 2017.</w:t>
      </w:r>
    </w:p>
  </w:footnote>
  <w:footnote w:id="8">
    <w:p w14:paraId="2BBDA79D" w14:textId="77777777" w:rsidR="0035435A" w:rsidRPr="0016719D" w:rsidRDefault="0035435A">
      <w:pPr>
        <w:pStyle w:val="FootnoteText"/>
        <w:rPr>
          <w:lang w:val="es-ES"/>
        </w:rPr>
      </w:pPr>
      <w:r w:rsidRPr="0016719D">
        <w:rPr>
          <w:rStyle w:val="FootnoteReference"/>
        </w:rPr>
        <w:footnoteRef/>
      </w:r>
      <w:r w:rsidRPr="0016719D">
        <w:rPr>
          <w:lang w:val="pt-BR"/>
        </w:rPr>
        <w:t xml:space="preserve"> </w:t>
      </w:r>
      <w:r w:rsidR="0016719D" w:rsidRPr="0016719D">
        <w:rPr>
          <w:lang w:val="pt-BR"/>
        </w:rPr>
        <w:t>Anexo 6</w:t>
      </w:r>
      <w:r w:rsidRPr="0016719D">
        <w:rPr>
          <w:lang w:val="pt-BR"/>
        </w:rPr>
        <w:t xml:space="preserve">. Certificado Entreprise Funeraire St-Jacques. </w:t>
      </w:r>
      <w:r w:rsidRPr="0016719D">
        <w:rPr>
          <w:lang w:val="es-ES"/>
        </w:rPr>
        <w:t>Acompañado como anexo a la petición de fecha 20 de abril de 2007 y como anexo al escrito del peticionario de fecha 6 de febrero de 2017.</w:t>
      </w:r>
    </w:p>
  </w:footnote>
  <w:footnote w:id="9">
    <w:p w14:paraId="25D40249" w14:textId="77777777" w:rsidR="0035435A" w:rsidRPr="0016719D" w:rsidRDefault="0035435A">
      <w:pPr>
        <w:pStyle w:val="FootnoteText"/>
        <w:rPr>
          <w:lang w:val="es-ES"/>
        </w:rPr>
      </w:pPr>
      <w:r w:rsidRPr="0016719D">
        <w:rPr>
          <w:rStyle w:val="FootnoteReference"/>
        </w:rPr>
        <w:footnoteRef/>
      </w:r>
      <w:r w:rsidRPr="0016719D">
        <w:rPr>
          <w:lang w:val="es-ES"/>
        </w:rPr>
        <w:t xml:space="preserve"> </w:t>
      </w:r>
      <w:r w:rsidR="0016719D" w:rsidRPr="0016719D">
        <w:rPr>
          <w:lang w:val="es-ES"/>
        </w:rPr>
        <w:t>Anexo 7</w:t>
      </w:r>
      <w:r w:rsidRPr="0016719D">
        <w:rPr>
          <w:lang w:val="es-ES"/>
        </w:rPr>
        <w:t>. Set de XX fotografías acompañadas como anexo a la petición de fecha 20 de abril de 2007.</w:t>
      </w:r>
    </w:p>
  </w:footnote>
  <w:footnote w:id="10">
    <w:p w14:paraId="5168729A" w14:textId="77777777" w:rsidR="0035435A" w:rsidRPr="0016719D" w:rsidRDefault="0035435A">
      <w:pPr>
        <w:pStyle w:val="FootnoteText"/>
        <w:rPr>
          <w:lang w:val="es-ES"/>
        </w:rPr>
      </w:pPr>
      <w:r w:rsidRPr="0016719D">
        <w:rPr>
          <w:rStyle w:val="FootnoteReference"/>
        </w:rPr>
        <w:footnoteRef/>
      </w:r>
      <w:r w:rsidRPr="0016719D">
        <w:rPr>
          <w:lang w:val="es-ES"/>
        </w:rPr>
        <w:t xml:space="preserve"> </w:t>
      </w:r>
      <w:r w:rsidR="0016719D" w:rsidRPr="0016719D">
        <w:rPr>
          <w:lang w:val="es-ES"/>
        </w:rPr>
        <w:t>Anexo 8</w:t>
      </w:r>
      <w:r w:rsidRPr="0016719D">
        <w:rPr>
          <w:lang w:val="es-ES"/>
        </w:rPr>
        <w:t>. Video VHS con imágenes de XXXX acompañado como anexo a la petición de fecha 20 de abril de 2007.</w:t>
      </w:r>
    </w:p>
  </w:footnote>
  <w:footnote w:id="11">
    <w:p w14:paraId="2F014DBF" w14:textId="77777777" w:rsidR="0035435A" w:rsidRPr="0016719D" w:rsidRDefault="0035435A">
      <w:pPr>
        <w:pStyle w:val="FootnoteText"/>
        <w:rPr>
          <w:lang w:val="es-ES"/>
        </w:rPr>
      </w:pPr>
      <w:r w:rsidRPr="0016719D">
        <w:rPr>
          <w:rStyle w:val="FootnoteReference"/>
        </w:rPr>
        <w:footnoteRef/>
      </w:r>
      <w:r w:rsidRPr="0016719D">
        <w:rPr>
          <w:lang w:val="es-ES"/>
        </w:rPr>
        <w:t xml:space="preserve"> </w:t>
      </w:r>
      <w:r w:rsidR="0016719D" w:rsidRPr="0016719D">
        <w:rPr>
          <w:lang w:val="es-ES"/>
        </w:rPr>
        <w:t>Anexo 2</w:t>
      </w:r>
      <w:r w:rsidRPr="0016719D">
        <w:rPr>
          <w:lang w:val="es-ES"/>
        </w:rPr>
        <w:t>. Carta de Baptiste Willer: Orfèvre, Vidéograph, Photograph, Port-au-Prince, le 27 Février 2007. Acompañado como anexo a la petición de fecha 20 de abril de 2007 y como anexo al escrito del peticionario de fecha 6 de febrero de 2017.</w:t>
      </w:r>
    </w:p>
  </w:footnote>
  <w:footnote w:id="12">
    <w:p w14:paraId="60105D05" w14:textId="77777777" w:rsidR="0035435A" w:rsidRPr="0016719D" w:rsidRDefault="0035435A">
      <w:pPr>
        <w:pStyle w:val="FootnoteText"/>
        <w:rPr>
          <w:lang w:val="es-US"/>
        </w:rPr>
      </w:pPr>
      <w:r w:rsidRPr="0016719D">
        <w:rPr>
          <w:rStyle w:val="FootnoteReference"/>
        </w:rPr>
        <w:footnoteRef/>
      </w:r>
      <w:r w:rsidRPr="0016719D">
        <w:rPr>
          <w:lang w:val="es-ES"/>
        </w:rPr>
        <w:t xml:space="preserve"> </w:t>
      </w:r>
      <w:r w:rsidR="0016719D" w:rsidRPr="0016719D">
        <w:rPr>
          <w:lang w:val="es-ES"/>
        </w:rPr>
        <w:t>Anexo 2</w:t>
      </w:r>
      <w:r w:rsidRPr="0016719D">
        <w:rPr>
          <w:lang w:val="es-ES"/>
        </w:rPr>
        <w:t>. Carta de Baptiste Willer: Orfèvre, Vidéograph, Photograph, Port-au-Prince, le 27 Février 2007. Acompañado como anexo a la petición de fecha 20 de abril de 2007 y como anexo al escrito del peticionario de fecha 6 de febrero de 2017.</w:t>
      </w:r>
    </w:p>
  </w:footnote>
  <w:footnote w:id="13">
    <w:p w14:paraId="6ECD7157"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0016719D" w:rsidRPr="0016719D">
        <w:rPr>
          <w:lang w:val="es-ES"/>
        </w:rPr>
        <w:t>Anexo 2</w:t>
      </w:r>
      <w:r w:rsidRPr="0016719D">
        <w:rPr>
          <w:lang w:val="es-ES"/>
        </w:rPr>
        <w:t>. Carta de Baptiste Willer: Orfèvre, Vidéograph, Photograph, Port-au-Prince, le 27 Février 2007. Acompañado como anexo a la petición de fecha 20 de abril de 2007 y como anexo al escrito del peticionario de fecha 6 de febrero de 2017.</w:t>
      </w:r>
    </w:p>
  </w:footnote>
  <w:footnote w:id="14">
    <w:p w14:paraId="5A81FF5B" w14:textId="77777777" w:rsidR="0035435A" w:rsidRPr="0016719D" w:rsidRDefault="0035435A" w:rsidP="002E305A">
      <w:pPr>
        <w:pStyle w:val="FootnoteText"/>
        <w:rPr>
          <w:lang w:val="es-US"/>
        </w:rPr>
      </w:pPr>
      <w:r w:rsidRPr="0016719D">
        <w:rPr>
          <w:rStyle w:val="FootnoteReference"/>
        </w:rPr>
        <w:footnoteRef/>
      </w:r>
      <w:r w:rsidRPr="0016719D">
        <w:rPr>
          <w:lang w:val="es-US"/>
        </w:rPr>
        <w:t xml:space="preserve"> </w:t>
      </w:r>
      <w:r w:rsidR="0016719D" w:rsidRPr="0016719D">
        <w:rPr>
          <w:lang w:val="es-ES"/>
        </w:rPr>
        <w:t>Anexo 2</w:t>
      </w:r>
      <w:r w:rsidRPr="0016719D">
        <w:rPr>
          <w:lang w:val="es-ES"/>
        </w:rPr>
        <w:t>. Carta de Baptiste Willer: Orfèvre, Vidéograph, Photograph, Port-au-Prince, le 27 Février 2007. Acompañado como anexo a la petición de fecha 20 de abril de 2007 y como anexo al escrito del peticionario de fecha 6 de febrero de 2017.</w:t>
      </w:r>
    </w:p>
  </w:footnote>
  <w:footnote w:id="15">
    <w:p w14:paraId="482E1D80" w14:textId="77777777" w:rsidR="0035435A" w:rsidRPr="0016719D" w:rsidRDefault="0035435A" w:rsidP="0053572B">
      <w:pPr>
        <w:pStyle w:val="FootnoteText"/>
        <w:rPr>
          <w:lang w:val="es-ES"/>
        </w:rPr>
      </w:pPr>
      <w:r w:rsidRPr="0016719D">
        <w:rPr>
          <w:rStyle w:val="FootnoteReference"/>
        </w:rPr>
        <w:footnoteRef/>
      </w:r>
      <w:r w:rsidRPr="0016719D">
        <w:rPr>
          <w:lang w:val="es-US"/>
        </w:rPr>
        <w:t xml:space="preserve"> </w:t>
      </w:r>
      <w:r w:rsidR="0016719D" w:rsidRPr="0016719D">
        <w:rPr>
          <w:lang w:val="es-US"/>
        </w:rPr>
        <w:t>Anexo 3</w:t>
      </w:r>
      <w:r w:rsidRPr="0016719D">
        <w:rPr>
          <w:lang w:val="es-US"/>
        </w:rPr>
        <w:t xml:space="preserve">. </w:t>
      </w:r>
      <w:r w:rsidRPr="0016719D">
        <w:rPr>
          <w:lang w:val="es-ES"/>
        </w:rPr>
        <w:t>Carta de Baptiste Willer: Orfèvre, Vidéograph, Photograph, Port-au-Prince, le 07 / 04 / 2007. Acompañado como anexo a la petición de fecha 20 de abril de 2007 y como anexo al escrito del peticionario de fecha 6 de febrero de 2017.</w:t>
      </w:r>
    </w:p>
  </w:footnote>
  <w:footnote w:id="16">
    <w:p w14:paraId="2C2E905E" w14:textId="77777777" w:rsidR="0035435A" w:rsidRPr="0016719D" w:rsidRDefault="0035435A">
      <w:pPr>
        <w:pStyle w:val="FootnoteText"/>
        <w:rPr>
          <w:lang w:val="es-US"/>
        </w:rPr>
      </w:pPr>
      <w:r w:rsidRPr="0016719D">
        <w:rPr>
          <w:rStyle w:val="FootnoteReference"/>
        </w:rPr>
        <w:footnoteRef/>
      </w:r>
      <w:r w:rsidRPr="0016719D">
        <w:rPr>
          <w:lang w:val="es-US"/>
        </w:rPr>
        <w:t xml:space="preserve"> Ibid. </w:t>
      </w:r>
    </w:p>
  </w:footnote>
  <w:footnote w:id="17">
    <w:p w14:paraId="116529F6" w14:textId="77777777" w:rsidR="0035435A" w:rsidRPr="0016719D" w:rsidRDefault="0035435A">
      <w:pPr>
        <w:pStyle w:val="FootnoteText"/>
        <w:rPr>
          <w:lang w:val="es-ES"/>
        </w:rPr>
      </w:pPr>
      <w:r w:rsidRPr="0016719D">
        <w:rPr>
          <w:rStyle w:val="FootnoteReference"/>
        </w:rPr>
        <w:footnoteRef/>
      </w:r>
      <w:r w:rsidRPr="0016719D">
        <w:rPr>
          <w:lang w:val="es-ES"/>
        </w:rPr>
        <w:t xml:space="preserve"> </w:t>
      </w:r>
      <w:r w:rsidR="0016719D" w:rsidRPr="0016719D">
        <w:rPr>
          <w:lang w:val="es-ES"/>
        </w:rPr>
        <w:t>Anexo 1</w:t>
      </w:r>
      <w:r w:rsidRPr="0016719D">
        <w:rPr>
          <w:lang w:val="es-ES"/>
        </w:rPr>
        <w:t>. Nota dirigida a la CIDH. République D’Haïti. Ministere des Affaires Etrangeres, JUR/07/PTM/fl-0886, Port-Au-Prince, 7 de agosto de 2007.</w:t>
      </w:r>
    </w:p>
  </w:footnote>
  <w:footnote w:id="18">
    <w:p w14:paraId="7107849A" w14:textId="77777777" w:rsidR="0035435A" w:rsidRPr="0016719D" w:rsidRDefault="0035435A">
      <w:pPr>
        <w:pStyle w:val="FootnoteText"/>
        <w:rPr>
          <w:lang w:val="es-ES"/>
        </w:rPr>
      </w:pPr>
      <w:r w:rsidRPr="0016719D">
        <w:rPr>
          <w:rStyle w:val="FootnoteReference"/>
        </w:rPr>
        <w:footnoteRef/>
      </w:r>
      <w:r w:rsidRPr="0016719D">
        <w:rPr>
          <w:lang w:val="es-US"/>
        </w:rPr>
        <w:t xml:space="preserve"> </w:t>
      </w:r>
      <w:r w:rsidR="0016719D" w:rsidRPr="0016719D">
        <w:rPr>
          <w:lang w:val="es-US"/>
        </w:rPr>
        <w:t>Anexo 3</w:t>
      </w:r>
      <w:r w:rsidRPr="0016719D">
        <w:rPr>
          <w:lang w:val="es-US"/>
        </w:rPr>
        <w:t xml:space="preserve">. Carta de Baptiste Willer: Orfèvre, Vidéograph, Photograph, Port-au-Prince, le 07 / 04 / 2007. </w:t>
      </w:r>
      <w:r w:rsidRPr="0016719D">
        <w:rPr>
          <w:lang w:val="es-ES"/>
        </w:rPr>
        <w:t xml:space="preserve">Acompañado como anexo a la petición de fecha 20 de abril de 2007 y como anexo al escrito del peticionario de fecha 6 de febrero de 2017. Ver también, </w:t>
      </w:r>
      <w:r w:rsidR="0016719D" w:rsidRPr="0016719D">
        <w:rPr>
          <w:lang w:val="es-ES"/>
        </w:rPr>
        <w:t>Anexo 9</w:t>
      </w:r>
      <w:r w:rsidRPr="0016719D">
        <w:rPr>
          <w:lang w:val="es-ES"/>
        </w:rPr>
        <w:t xml:space="preserve">. Email de Willer Baptiste a la Secretaria Ejecutiva de la CIDH Marie Claude Fournier, 13 de agosto de 2009, 19:26 hrs, acompañado como anexo al escrito del peticionario de fecha 6 de febrero de 2017; </w:t>
      </w:r>
      <w:r w:rsidR="0016719D" w:rsidRPr="0016719D">
        <w:rPr>
          <w:lang w:val="es-ES"/>
        </w:rPr>
        <w:t>Anexo 10</w:t>
      </w:r>
      <w:r w:rsidRPr="0016719D">
        <w:rPr>
          <w:lang w:val="es-ES"/>
        </w:rPr>
        <w:t xml:space="preserve">. Email de Willer Baptiste a la Secretaria Ejecutiva de la CIDH Marie Claude Fournier, 9 de septiembre de 2009, 17:10 hrs, acompañado como anexo al escrito del peticionario de fecha 6 de febrero de 2017; </w:t>
      </w:r>
      <w:r w:rsidR="0016719D" w:rsidRPr="0016719D">
        <w:rPr>
          <w:lang w:val="es-ES"/>
        </w:rPr>
        <w:t>Anexo 11</w:t>
      </w:r>
      <w:r w:rsidRPr="0016719D">
        <w:rPr>
          <w:lang w:val="es-ES"/>
        </w:rPr>
        <w:t>. Email de Willer Baptiste a CIDH Denuncias, 20 de julio de 2014, 9:25 hr, acompañado como anexo al escrito del peticionario de fecha 6 de febrero de 2017.</w:t>
      </w:r>
    </w:p>
  </w:footnote>
  <w:footnote w:id="19">
    <w:p w14:paraId="4876F7AA" w14:textId="77777777" w:rsidR="0035435A" w:rsidRPr="0016719D" w:rsidRDefault="0035435A">
      <w:pPr>
        <w:pStyle w:val="FootnoteText"/>
        <w:rPr>
          <w:lang w:val="es-ES"/>
        </w:rPr>
      </w:pPr>
      <w:r w:rsidRPr="0016719D">
        <w:rPr>
          <w:rStyle w:val="FootnoteReference"/>
        </w:rPr>
        <w:footnoteRef/>
      </w:r>
      <w:r w:rsidRPr="0016719D">
        <w:rPr>
          <w:lang w:val="es-ES"/>
        </w:rPr>
        <w:t xml:space="preserve"> Ver, entre otros, </w:t>
      </w:r>
      <w:r w:rsidR="0016719D" w:rsidRPr="0016719D">
        <w:rPr>
          <w:lang w:val="es-ES"/>
        </w:rPr>
        <w:t>Anexo 12</w:t>
      </w:r>
      <w:r w:rsidRPr="0016719D">
        <w:rPr>
          <w:lang w:val="es-ES"/>
        </w:rPr>
        <w:t xml:space="preserve">. Email de Willer Baptiste a CIDH Denuncias, 25 de junio de 2007, 13:58 hrs, acompañado como anexo al escrito del peticionario de fecha 6 de febrero de 2017; </w:t>
      </w:r>
      <w:r w:rsidR="0016719D" w:rsidRPr="0016719D">
        <w:rPr>
          <w:lang w:val="es-ES"/>
        </w:rPr>
        <w:t>Anexo 13</w:t>
      </w:r>
      <w:r w:rsidRPr="0016719D">
        <w:rPr>
          <w:lang w:val="es-ES"/>
        </w:rPr>
        <w:t xml:space="preserve">. Carta de Baptiste Willer a la CIDH, 7 de abril de 2008, acompañada como anexo al escrito del peticionario de fecha 6 de febrero de 2017; </w:t>
      </w:r>
      <w:r w:rsidR="0016719D" w:rsidRPr="0016719D">
        <w:rPr>
          <w:lang w:val="es-ES"/>
        </w:rPr>
        <w:t>Anexo 14</w:t>
      </w:r>
      <w:r w:rsidRPr="0016719D">
        <w:rPr>
          <w:lang w:val="es-ES"/>
        </w:rPr>
        <w:t xml:space="preserve">. Carta de Baptiste Willer a la CIDH, 8 de agosto de 2009, enviada por email el 9 de septiembre de 2009 a las 17:28; </w:t>
      </w:r>
      <w:r w:rsidR="0016719D" w:rsidRPr="0016719D">
        <w:rPr>
          <w:lang w:val="es-ES"/>
        </w:rPr>
        <w:t>Anexo 9</w:t>
      </w:r>
      <w:r w:rsidRPr="0016719D">
        <w:rPr>
          <w:lang w:val="es-ES"/>
        </w:rPr>
        <w:t xml:space="preserve">. Email de Willer Baptiste a la Secretaria Ejecutiva de la CIDH Marie Claude Fournier, 13 de agosto de 2009, 19:26 hrs, acompañado como anexo al escrito del peticionario de fecha 6 de febrero de 2017; </w:t>
      </w:r>
      <w:r w:rsidR="0016719D" w:rsidRPr="0016719D">
        <w:rPr>
          <w:lang w:val="es-ES"/>
        </w:rPr>
        <w:t>Anexo 15</w:t>
      </w:r>
      <w:r w:rsidRPr="0016719D">
        <w:rPr>
          <w:lang w:val="es-ES"/>
        </w:rPr>
        <w:t>. Copia de denuncia de amenazas ante el Juez de Paz Suplente de la Comuna de Carrefour, 25 de octubre de 2016, acompañado como anexo al escrito del peticionario de fecha 11 de mayo de 2017.</w:t>
      </w:r>
    </w:p>
  </w:footnote>
  <w:footnote w:id="20">
    <w:p w14:paraId="17080802" w14:textId="77777777" w:rsidR="0035435A" w:rsidRPr="0016719D" w:rsidRDefault="0035435A">
      <w:pPr>
        <w:pStyle w:val="FootnoteText"/>
        <w:rPr>
          <w:lang w:val="es-MX"/>
        </w:rPr>
      </w:pPr>
      <w:r w:rsidRPr="0016719D">
        <w:rPr>
          <w:rStyle w:val="FootnoteReference"/>
        </w:rPr>
        <w:footnoteRef/>
      </w:r>
      <w:r w:rsidRPr="0016719D">
        <w:rPr>
          <w:lang w:val="es-MX"/>
        </w:rPr>
        <w:t xml:space="preserve"> </w:t>
      </w:r>
      <w:r w:rsidR="0016719D" w:rsidRPr="0016719D">
        <w:rPr>
          <w:lang w:val="es-ES"/>
        </w:rPr>
        <w:t>Anexo 3</w:t>
      </w:r>
      <w:r w:rsidRPr="0016719D">
        <w:rPr>
          <w:lang w:val="es-ES"/>
        </w:rPr>
        <w:t>. Carta de Baptiste Willer: Orfèvre, Vidéograph, Photograph, Port-au-Prince, le 07 / 04 / 2007. Acompañado como anexo a la petición de fecha 20 de abril de 2007 y como anexo al escrito del peticionario de fecha 6 de febrero de 2017</w:t>
      </w:r>
    </w:p>
  </w:footnote>
  <w:footnote w:id="21">
    <w:p w14:paraId="2A27E0A3"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0016719D" w:rsidRPr="0016719D">
        <w:rPr>
          <w:lang w:val="es-ES"/>
        </w:rPr>
        <w:t>Anexo 9</w:t>
      </w:r>
      <w:r w:rsidRPr="0016719D">
        <w:rPr>
          <w:lang w:val="es-ES"/>
        </w:rPr>
        <w:t xml:space="preserve">. Email de Willer Baptiste a la Secretaria Ejecutiva de la CIDH Marie Claude Fournier, 13 de agosto de 2009, 19:26 hrs y </w:t>
      </w:r>
      <w:r w:rsidR="0016719D" w:rsidRPr="0016719D">
        <w:rPr>
          <w:lang w:val="es-ES"/>
        </w:rPr>
        <w:t>Anexo 10</w:t>
      </w:r>
      <w:r w:rsidRPr="0016719D">
        <w:rPr>
          <w:lang w:val="es-ES"/>
        </w:rPr>
        <w:t>. Email de Willer Baptiste a la Secretaria Ejecutiva de la CIDH Marie Claude Fournier, 9 de septiembre de 2009, 17:10 hrs, ambos acompañados como anexo al escrito del peticionario de fecha 6 de febrero de 2017.</w:t>
      </w:r>
    </w:p>
  </w:footnote>
  <w:footnote w:id="22">
    <w:p w14:paraId="56E191A0" w14:textId="77777777" w:rsidR="0035435A" w:rsidRPr="0016719D" w:rsidRDefault="0035435A">
      <w:pPr>
        <w:pStyle w:val="FootnoteText"/>
        <w:rPr>
          <w:lang w:val="es-ES"/>
        </w:rPr>
      </w:pPr>
      <w:r w:rsidRPr="0016719D">
        <w:rPr>
          <w:rStyle w:val="FootnoteReference"/>
        </w:rPr>
        <w:footnoteRef/>
      </w:r>
      <w:r w:rsidRPr="0016719D">
        <w:rPr>
          <w:lang w:val="es-ES"/>
        </w:rPr>
        <w:t xml:space="preserve"> </w:t>
      </w:r>
      <w:r w:rsidR="0016719D" w:rsidRPr="0016719D">
        <w:rPr>
          <w:lang w:val="es-ES"/>
        </w:rPr>
        <w:t>Anexo 10</w:t>
      </w:r>
      <w:r w:rsidRPr="0016719D">
        <w:rPr>
          <w:lang w:val="es-ES"/>
        </w:rPr>
        <w:t xml:space="preserve">. Email de Willer Baptiste a la Secretaria Ejecutiva de la CIDH Marie Claude Fournier, 9 de septiembre de 2009, 17:10 hrs y </w:t>
      </w:r>
      <w:r w:rsidR="0016719D" w:rsidRPr="0016719D">
        <w:rPr>
          <w:lang w:val="es-ES"/>
        </w:rPr>
        <w:t>Anexo 11</w:t>
      </w:r>
      <w:r w:rsidRPr="0016719D">
        <w:rPr>
          <w:lang w:val="es-ES"/>
        </w:rPr>
        <w:t>. Email de Willer Baptiste a CIDH Denuncias, 20 de julio de 2014, 9:25 hr, ambos acompañados como anexo al escrito del peticionario de fecha 6 de febrero de 2017.</w:t>
      </w:r>
    </w:p>
  </w:footnote>
  <w:footnote w:id="23">
    <w:p w14:paraId="269C7ABF"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0016719D" w:rsidRPr="0016719D">
        <w:rPr>
          <w:lang w:val="es-ES"/>
        </w:rPr>
        <w:t>Anexo 16</w:t>
      </w:r>
      <w:r w:rsidRPr="0016719D">
        <w:rPr>
          <w:lang w:val="es-ES"/>
        </w:rPr>
        <w:t>. Email de Willer Baptiste a CIDH Denuncias, 3 de septiembre de 2009, 14:45 hrs</w:t>
      </w:r>
    </w:p>
  </w:footnote>
  <w:footnote w:id="24">
    <w:p w14:paraId="5C1DC023" w14:textId="77777777" w:rsidR="0035435A" w:rsidRPr="0016719D" w:rsidRDefault="0035435A">
      <w:pPr>
        <w:pStyle w:val="FootnoteText"/>
        <w:rPr>
          <w:lang w:val="es-ES"/>
        </w:rPr>
      </w:pPr>
      <w:r w:rsidRPr="0016719D">
        <w:rPr>
          <w:rStyle w:val="FootnoteReference"/>
        </w:rPr>
        <w:footnoteRef/>
      </w:r>
      <w:r w:rsidRPr="0016719D">
        <w:rPr>
          <w:lang w:val="es-US"/>
        </w:rPr>
        <w:t xml:space="preserve"> </w:t>
      </w:r>
      <w:r w:rsidR="0016719D" w:rsidRPr="0016719D">
        <w:rPr>
          <w:lang w:val="es-US"/>
        </w:rPr>
        <w:t>Anexo 17</w:t>
      </w:r>
      <w:r w:rsidRPr="0016719D">
        <w:rPr>
          <w:lang w:val="es-US"/>
        </w:rPr>
        <w:t xml:space="preserve">. </w:t>
      </w:r>
      <w:r w:rsidRPr="0016719D">
        <w:rPr>
          <w:lang w:val="es-ES"/>
        </w:rPr>
        <w:t>Email de Willer Baptiste a CIDH Denuncias, 24 de julio de 2014, 17:40 hrs;</w:t>
      </w:r>
    </w:p>
  </w:footnote>
  <w:footnote w:id="25">
    <w:p w14:paraId="7C60D4E1" w14:textId="77777777" w:rsidR="0035435A" w:rsidRPr="0016719D" w:rsidRDefault="0035435A">
      <w:pPr>
        <w:pStyle w:val="FootnoteText"/>
        <w:rPr>
          <w:lang w:val="es-US"/>
        </w:rPr>
      </w:pPr>
      <w:r w:rsidRPr="0016719D">
        <w:rPr>
          <w:rStyle w:val="FootnoteReference"/>
        </w:rPr>
        <w:footnoteRef/>
      </w:r>
      <w:r w:rsidRPr="0016719D">
        <w:rPr>
          <w:lang w:val="es-US"/>
        </w:rPr>
        <w:t xml:space="preserve"> El artículo 4.1 de la Convención Americana establece lo siguiente: “Artículo 4. Derecho a la Vida 1. Toda persona tiene derecho a que se respete su vida. Este derecho estará protegido por la ley y, en general, a partir del momento de la concepción. Nadie puede ser privado de la vida arbitrariamente”. </w:t>
      </w:r>
    </w:p>
  </w:footnote>
  <w:footnote w:id="26">
    <w:p w14:paraId="29D3B799" w14:textId="77777777" w:rsidR="0035435A" w:rsidRPr="0016719D" w:rsidRDefault="0035435A" w:rsidP="00941DDC">
      <w:pPr>
        <w:pStyle w:val="FootnoteText"/>
        <w:rPr>
          <w:lang w:val="es-US"/>
        </w:rPr>
      </w:pPr>
      <w:r w:rsidRPr="0016719D">
        <w:rPr>
          <w:rStyle w:val="FootnoteReference"/>
        </w:rPr>
        <w:footnoteRef/>
      </w:r>
      <w:r w:rsidRPr="0016719D">
        <w:rPr>
          <w:lang w:val="es-US"/>
        </w:rPr>
        <w:t xml:space="preserve"> El artículo 5.1 de la Convención Americana establece lo siguiente: “Artículo 5. Derecho a la Integridad Personal 1. Toda persona tiene derecho a que se respete su integridad física, psíquica y moral”.</w:t>
      </w:r>
    </w:p>
  </w:footnote>
  <w:footnote w:id="27">
    <w:p w14:paraId="3A3725CD" w14:textId="77777777" w:rsidR="0035435A" w:rsidRPr="0016719D" w:rsidRDefault="0035435A">
      <w:pPr>
        <w:pStyle w:val="FootnoteText"/>
        <w:rPr>
          <w:lang w:val="es-MX"/>
        </w:rPr>
      </w:pPr>
      <w:r w:rsidRPr="0016719D">
        <w:rPr>
          <w:rStyle w:val="FootnoteReference"/>
        </w:rPr>
        <w:footnoteRef/>
      </w:r>
      <w:r w:rsidRPr="0016719D">
        <w:rPr>
          <w:lang w:val="es-MX"/>
        </w:rPr>
        <w:t xml:space="preserve"> El artículo 19 de la Convención Americana establece lo siguiente: “Articulo 19. Todo niño tiene derecho a las medidas de protección que su condición de menor requieren por parte de su familia, de la sociedad y del Estado.”</w:t>
      </w:r>
    </w:p>
  </w:footnote>
  <w:footnote w:id="28">
    <w:p w14:paraId="70B1EC4E" w14:textId="77777777" w:rsidR="0035435A" w:rsidRPr="0016719D" w:rsidRDefault="0035435A" w:rsidP="009942DE">
      <w:pPr>
        <w:pStyle w:val="FootnoteText"/>
        <w:rPr>
          <w:lang w:val="es-US"/>
        </w:rPr>
      </w:pPr>
      <w:r w:rsidRPr="0016719D">
        <w:rPr>
          <w:rStyle w:val="FootnoteReference"/>
        </w:rPr>
        <w:footnoteRef/>
      </w:r>
      <w:r w:rsidRPr="0016719D">
        <w:rPr>
          <w:lang w:val="es-US"/>
        </w:rPr>
        <w:t xml:space="preserve"> El artículo 1.1 de la Convención Americana establece lo siguiente: “</w:t>
      </w:r>
      <w:r w:rsidRPr="0016719D">
        <w:rPr>
          <w:bCs/>
          <w:lang w:val="es-US"/>
        </w:rPr>
        <w:t xml:space="preserve">Artículo 1.  Obligación de Respetar los Derechos </w:t>
      </w:r>
      <w:r w:rsidRPr="0016719D">
        <w:rPr>
          <w:lang w:val="es-U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9">
    <w:p w14:paraId="74C36D6F" w14:textId="77777777" w:rsidR="0035435A" w:rsidRPr="0016719D" w:rsidRDefault="0035435A">
      <w:pPr>
        <w:pStyle w:val="FootnoteText"/>
        <w:rPr>
          <w:lang w:val="es-US"/>
        </w:rPr>
      </w:pPr>
      <w:r w:rsidRPr="0016719D">
        <w:rPr>
          <w:rStyle w:val="FootnoteReference"/>
        </w:rPr>
        <w:footnoteRef/>
      </w:r>
      <w:r w:rsidRPr="0016719D">
        <w:rPr>
          <w:lang w:val="es-US"/>
        </w:rPr>
        <w:t xml:space="preserve"> Corte IDH. </w:t>
      </w:r>
      <w:r w:rsidRPr="0016719D">
        <w:rPr>
          <w:i/>
          <w:lang w:val="es-US"/>
        </w:rPr>
        <w:t>Caso Masacres de El Mozote y lugares aledaños Vs. El Salvador</w:t>
      </w:r>
      <w:r w:rsidRPr="0016719D">
        <w:rPr>
          <w:lang w:val="es-US"/>
        </w:rPr>
        <w:t>. Fondo, Reparaciones y Costas. Sentencia de 25 de octubre de 2012. Serie C No. 252 (Sentencia</w:t>
      </w:r>
      <w:r w:rsidRPr="0016719D">
        <w:rPr>
          <w:rFonts w:ascii="Times New Roman" w:eastAsia="Times New Roman" w:hAnsi="Times New Roman" w:cs="Times New Roman"/>
          <w:i/>
          <w:color w:val="auto"/>
          <w:sz w:val="24"/>
          <w:szCs w:val="24"/>
          <w:bdr w:val="none" w:sz="0" w:space="0" w:color="auto"/>
          <w:lang w:val="es-US" w:eastAsia="en-US"/>
        </w:rPr>
        <w:t xml:space="preserve"> </w:t>
      </w:r>
      <w:r w:rsidRPr="0016719D">
        <w:rPr>
          <w:i/>
          <w:lang w:val="es-US"/>
        </w:rPr>
        <w:t>Masacres de El Mozote y lugares aledaños)</w:t>
      </w:r>
      <w:r w:rsidRPr="0016719D">
        <w:rPr>
          <w:lang w:val="es-US"/>
        </w:rPr>
        <w:t>, párr. 145.</w:t>
      </w:r>
    </w:p>
  </w:footnote>
  <w:footnote w:id="30">
    <w:p w14:paraId="084A3A55"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Pr="0016719D">
        <w:rPr>
          <w:lang w:val="es-ES"/>
        </w:rPr>
        <w:t xml:space="preserve">Corte IDH. </w:t>
      </w:r>
      <w:r w:rsidRPr="0016719D">
        <w:rPr>
          <w:i/>
          <w:lang w:val="es-ES"/>
        </w:rPr>
        <w:t>Caso de las Masacres de Ituango Vs. Colombia</w:t>
      </w:r>
      <w:r w:rsidRPr="0016719D">
        <w:rPr>
          <w:lang w:val="es-ES"/>
        </w:rPr>
        <w:t xml:space="preserve">. Sentencia de 1 de julio de 2006. Serie C No. 148 (Sentencia </w:t>
      </w:r>
      <w:r w:rsidRPr="0016719D">
        <w:rPr>
          <w:i/>
          <w:lang w:val="es-ES"/>
        </w:rPr>
        <w:t>Masacres de Ituango)</w:t>
      </w:r>
      <w:r w:rsidRPr="0016719D">
        <w:rPr>
          <w:lang w:val="es-ES"/>
        </w:rPr>
        <w:t>, párr. 131.</w:t>
      </w:r>
    </w:p>
  </w:footnote>
  <w:footnote w:id="31">
    <w:p w14:paraId="22AC7DDC" w14:textId="77777777" w:rsidR="0035435A" w:rsidRPr="0016719D" w:rsidRDefault="0035435A">
      <w:pPr>
        <w:pStyle w:val="FootnoteText"/>
        <w:rPr>
          <w:lang w:val="es-US"/>
        </w:rPr>
      </w:pPr>
      <w:r w:rsidRPr="0016719D">
        <w:rPr>
          <w:rStyle w:val="FootnoteReference"/>
        </w:rPr>
        <w:footnoteRef/>
      </w:r>
      <w:r w:rsidRPr="0016719D">
        <w:rPr>
          <w:lang w:val="es-US"/>
        </w:rPr>
        <w:t xml:space="preserve"> Corte IDH. </w:t>
      </w:r>
      <w:r w:rsidRPr="0016719D">
        <w:rPr>
          <w:i/>
          <w:lang w:val="es-US"/>
        </w:rPr>
        <w:t>Caso Loayza Tamayo Vs. Perú</w:t>
      </w:r>
      <w:r w:rsidRPr="0016719D">
        <w:rPr>
          <w:lang w:val="es-US"/>
        </w:rPr>
        <w:t>. Fondo. Sentencia de 17 de septiembre de 1997. Serie C No. 33, párr. 57.</w:t>
      </w:r>
    </w:p>
  </w:footnote>
  <w:footnote w:id="32">
    <w:p w14:paraId="4E65367D" w14:textId="77777777" w:rsidR="0035435A" w:rsidRPr="0016719D" w:rsidRDefault="0035435A">
      <w:pPr>
        <w:pStyle w:val="FootnoteText"/>
        <w:rPr>
          <w:lang w:val="es-US"/>
        </w:rPr>
      </w:pPr>
      <w:r w:rsidRPr="0016719D">
        <w:rPr>
          <w:rStyle w:val="FootnoteReference"/>
        </w:rPr>
        <w:footnoteRef/>
      </w:r>
      <w:r w:rsidRPr="0016719D">
        <w:rPr>
          <w:lang w:val="es-US"/>
        </w:rPr>
        <w:t xml:space="preserve"> Corte IDH. </w:t>
      </w:r>
      <w:r w:rsidRPr="0016719D">
        <w:rPr>
          <w:i/>
          <w:lang w:val="es-US"/>
        </w:rPr>
        <w:t>Caso Familia Barrios Vs. Venezuela</w:t>
      </w:r>
      <w:r w:rsidRPr="0016719D">
        <w:rPr>
          <w:lang w:val="es-US"/>
        </w:rPr>
        <w:t xml:space="preserve">. Fondo, Reparaciones y Costas. Sentencia de 24 de noviembre de 2011. Serie C No. 237, párr. 82. Véase también: </w:t>
      </w:r>
      <w:r w:rsidRPr="0016719D">
        <w:rPr>
          <w:i/>
          <w:lang w:val="es-US"/>
        </w:rPr>
        <w:t>Caso Cantoral Benavides Vs. Perú.</w:t>
      </w:r>
      <w:r w:rsidRPr="0016719D">
        <w:rPr>
          <w:lang w:val="es-US"/>
        </w:rPr>
        <w:t xml:space="preserve"> Fondo. Sentencia de 18 de agosto de 2000. Serie C No. 69, párr. 102.</w:t>
      </w:r>
    </w:p>
  </w:footnote>
  <w:footnote w:id="33">
    <w:p w14:paraId="1BE843E3" w14:textId="77777777" w:rsidR="0035435A" w:rsidRPr="0016719D" w:rsidRDefault="0035435A" w:rsidP="00F51DC1">
      <w:pPr>
        <w:pStyle w:val="FootnoteText"/>
        <w:rPr>
          <w:lang w:val="es-US"/>
        </w:rPr>
      </w:pPr>
      <w:r w:rsidRPr="0016719D">
        <w:rPr>
          <w:rStyle w:val="FootnoteReference"/>
        </w:rPr>
        <w:footnoteRef/>
      </w:r>
      <w:r w:rsidRPr="0016719D">
        <w:rPr>
          <w:lang w:val="es-US"/>
        </w:rPr>
        <w:t xml:space="preserve"> Corte IDH. </w:t>
      </w:r>
      <w:r w:rsidRPr="0016719D">
        <w:rPr>
          <w:i/>
          <w:lang w:val="es-US"/>
        </w:rPr>
        <w:t>Caso Masacre de Santo Domingo Vs. Colombia.</w:t>
      </w:r>
      <w:r w:rsidRPr="0016719D">
        <w:rPr>
          <w:lang w:val="es-US"/>
        </w:rPr>
        <w:t xml:space="preserve"> Excepciones Preliminares, Fondo y Reparaciones. Sentencia de 30 de noviembre de 2012. Serie C No. 259 (Sentencia </w:t>
      </w:r>
      <w:r w:rsidRPr="0016719D">
        <w:rPr>
          <w:i/>
          <w:lang w:val="es-US"/>
        </w:rPr>
        <w:t>Masacre de Santo Domingo)</w:t>
      </w:r>
      <w:r w:rsidRPr="0016719D">
        <w:rPr>
          <w:lang w:val="es-US"/>
        </w:rPr>
        <w:t>, párr. 188.</w:t>
      </w:r>
    </w:p>
  </w:footnote>
  <w:footnote w:id="34">
    <w:p w14:paraId="38811336" w14:textId="77777777" w:rsidR="0035435A" w:rsidRPr="0016719D" w:rsidRDefault="0035435A" w:rsidP="00F51DC1">
      <w:pPr>
        <w:pStyle w:val="FootnoteText"/>
        <w:rPr>
          <w:lang w:val="es-US"/>
        </w:rPr>
      </w:pPr>
      <w:r w:rsidRPr="0016719D">
        <w:rPr>
          <w:rStyle w:val="FootnoteReference"/>
        </w:rPr>
        <w:footnoteRef/>
      </w:r>
      <w:r w:rsidRPr="0016719D">
        <w:rPr>
          <w:lang w:val="es-US"/>
        </w:rPr>
        <w:t xml:space="preserve"> Corte IDH. </w:t>
      </w:r>
      <w:r w:rsidRPr="0016719D">
        <w:rPr>
          <w:i/>
          <w:lang w:val="es-US"/>
        </w:rPr>
        <w:t>Caso Luna López Vs. Honduras</w:t>
      </w:r>
      <w:r w:rsidRPr="0016719D">
        <w:rPr>
          <w:lang w:val="es-US"/>
        </w:rPr>
        <w:t xml:space="preserve">. Fondo, Reparaciones y Costas. Sentencia de 10 de octubre de 2013. Serie C No. 269 (Sentencia </w:t>
      </w:r>
      <w:r w:rsidRPr="0016719D">
        <w:rPr>
          <w:i/>
          <w:lang w:val="es-US"/>
        </w:rPr>
        <w:t>Luna López</w:t>
      </w:r>
      <w:r w:rsidRPr="0016719D">
        <w:rPr>
          <w:lang w:val="es-US"/>
        </w:rPr>
        <w:t>), párr. 120.</w:t>
      </w:r>
    </w:p>
  </w:footnote>
  <w:footnote w:id="35">
    <w:p w14:paraId="4ACADDDA" w14:textId="77777777" w:rsidR="0035435A" w:rsidRPr="0016719D" w:rsidRDefault="0035435A">
      <w:pPr>
        <w:pStyle w:val="FootnoteText"/>
        <w:rPr>
          <w:lang w:val="es-US"/>
        </w:rPr>
      </w:pPr>
      <w:r w:rsidRPr="0016719D">
        <w:rPr>
          <w:rStyle w:val="FootnoteReference"/>
        </w:rPr>
        <w:footnoteRef/>
      </w:r>
      <w:r w:rsidRPr="0016719D">
        <w:rPr>
          <w:lang w:val="es-US"/>
        </w:rPr>
        <w:t xml:space="preserve"> Corte IDH. Sentencia</w:t>
      </w:r>
      <w:r w:rsidRPr="0016719D">
        <w:rPr>
          <w:i/>
          <w:lang w:val="es-US"/>
        </w:rPr>
        <w:t xml:space="preserve"> Luna López</w:t>
      </w:r>
      <w:r w:rsidRPr="0016719D">
        <w:rPr>
          <w:lang w:val="es-US"/>
        </w:rPr>
        <w:t>, párr. 120</w:t>
      </w:r>
    </w:p>
  </w:footnote>
  <w:footnote w:id="36">
    <w:p w14:paraId="63ADC8DD" w14:textId="77777777" w:rsidR="0035435A" w:rsidRPr="0016719D" w:rsidRDefault="0035435A" w:rsidP="00F51DC1">
      <w:pPr>
        <w:pStyle w:val="FootnoteText"/>
        <w:rPr>
          <w:lang w:val="es-US"/>
        </w:rPr>
      </w:pPr>
      <w:r w:rsidRPr="0016719D">
        <w:rPr>
          <w:rStyle w:val="FootnoteReference"/>
        </w:rPr>
        <w:footnoteRef/>
      </w:r>
      <w:r w:rsidRPr="0016719D">
        <w:rPr>
          <w:lang w:val="es-US"/>
        </w:rPr>
        <w:t xml:space="preserve"> Corte IDH. </w:t>
      </w:r>
      <w:r w:rsidRPr="0016719D">
        <w:rPr>
          <w:i/>
          <w:lang w:val="es-US"/>
        </w:rPr>
        <w:t>Caso de la Masacre de Pueblo Bello Vs. Colombia</w:t>
      </w:r>
      <w:r w:rsidRPr="0016719D">
        <w:rPr>
          <w:lang w:val="es-US"/>
        </w:rPr>
        <w:t xml:space="preserve">. Sentencia de 31 de enero de 2006. Serie C No. 140, párr. 123; </w:t>
      </w:r>
      <w:r w:rsidRPr="0016719D">
        <w:rPr>
          <w:i/>
          <w:lang w:val="es-US"/>
        </w:rPr>
        <w:t>Caso González y otras (“Campo Algodonero”) Vs. México</w:t>
      </w:r>
      <w:r w:rsidRPr="0016719D">
        <w:rPr>
          <w:lang w:val="es-US"/>
        </w:rPr>
        <w:t xml:space="preserve">. Excepción Preliminar, Fondo, Reparaciones y Costas. Sentencia de 16 de noviembre de 2009. Serie C No. 205, párr. 280; </w:t>
      </w:r>
      <w:r w:rsidRPr="0016719D">
        <w:rPr>
          <w:i/>
          <w:lang w:val="es-US"/>
        </w:rPr>
        <w:t>Caso Velásquez Paiz y otros Vs. Guatemala</w:t>
      </w:r>
      <w:r w:rsidRPr="0016719D">
        <w:rPr>
          <w:lang w:val="es-US"/>
        </w:rPr>
        <w:t xml:space="preserve">. Excepciones Preliminares, Fondo, Reparaciones y Costas. Sentencia de 19 de noviembre de 2015. Serie C No. 307 (Sentencia </w:t>
      </w:r>
      <w:r w:rsidRPr="0016719D">
        <w:rPr>
          <w:i/>
          <w:lang w:val="es-US"/>
        </w:rPr>
        <w:t>Velásquez Paiz y otros</w:t>
      </w:r>
      <w:r w:rsidRPr="0016719D">
        <w:rPr>
          <w:lang w:val="es-US"/>
        </w:rPr>
        <w:t>), párr. 109.</w:t>
      </w:r>
    </w:p>
  </w:footnote>
  <w:footnote w:id="37">
    <w:p w14:paraId="1CFFA9DE" w14:textId="77777777" w:rsidR="0035435A" w:rsidRPr="0016719D" w:rsidRDefault="0035435A">
      <w:pPr>
        <w:pStyle w:val="FootnoteText"/>
        <w:rPr>
          <w:lang w:val="pt-BR"/>
        </w:rPr>
      </w:pPr>
      <w:r w:rsidRPr="0016719D">
        <w:rPr>
          <w:rStyle w:val="FootnoteReference"/>
        </w:rPr>
        <w:footnoteRef/>
      </w:r>
      <w:r w:rsidRPr="0016719D">
        <w:rPr>
          <w:lang w:val="es-US"/>
        </w:rPr>
        <w:t xml:space="preserve"> Corte IDH. Sentencia </w:t>
      </w:r>
      <w:r w:rsidRPr="0016719D">
        <w:rPr>
          <w:i/>
          <w:lang w:val="es-US"/>
        </w:rPr>
        <w:t xml:space="preserve">Velásquez Paiz y otros, </w:t>
      </w:r>
      <w:r w:rsidRPr="0016719D">
        <w:rPr>
          <w:lang w:val="es-US"/>
        </w:rPr>
        <w:t xml:space="preserve">párr. </w:t>
      </w:r>
      <w:r w:rsidRPr="0016719D">
        <w:rPr>
          <w:lang w:val="pt-BR"/>
        </w:rPr>
        <w:t>109</w:t>
      </w:r>
    </w:p>
  </w:footnote>
  <w:footnote w:id="38">
    <w:p w14:paraId="17246C7D" w14:textId="77777777" w:rsidR="0035435A" w:rsidRPr="0016719D" w:rsidRDefault="0035435A" w:rsidP="00462C0F">
      <w:pPr>
        <w:pStyle w:val="FootnoteText"/>
        <w:rPr>
          <w:lang w:val="es-US"/>
        </w:rPr>
      </w:pPr>
      <w:r w:rsidRPr="0016719D">
        <w:rPr>
          <w:rStyle w:val="FootnoteReference"/>
        </w:rPr>
        <w:footnoteRef/>
      </w:r>
      <w:r w:rsidRPr="0016719D">
        <w:rPr>
          <w:lang w:val="pt-BR"/>
        </w:rPr>
        <w:t xml:space="preserve"> Corte IDH. Sentencia </w:t>
      </w:r>
      <w:r w:rsidRPr="0016719D">
        <w:rPr>
          <w:i/>
          <w:lang w:val="pt-BR"/>
        </w:rPr>
        <w:t>Masacre de Santo Domingo</w:t>
      </w:r>
      <w:r w:rsidRPr="0016719D">
        <w:rPr>
          <w:lang w:val="pt-BR"/>
        </w:rPr>
        <w:t xml:space="preserve">, párr. </w:t>
      </w:r>
      <w:r w:rsidRPr="0016719D">
        <w:rPr>
          <w:lang w:val="es-US"/>
        </w:rPr>
        <w:t>189.</w:t>
      </w:r>
    </w:p>
  </w:footnote>
  <w:footnote w:id="39">
    <w:p w14:paraId="6B62ABC8" w14:textId="77777777" w:rsidR="0035435A" w:rsidRPr="0016719D" w:rsidRDefault="0035435A" w:rsidP="00687B20">
      <w:pPr>
        <w:pStyle w:val="FootnoteText"/>
        <w:rPr>
          <w:rFonts w:ascii="Cambria" w:hAnsi="Cambria"/>
          <w:lang w:val="es-MX"/>
        </w:rPr>
      </w:pPr>
      <w:r w:rsidRPr="0016719D">
        <w:rPr>
          <w:rStyle w:val="FootnoteReference"/>
          <w:rFonts w:ascii="Cambria" w:hAnsi="Cambria"/>
        </w:rPr>
        <w:footnoteRef/>
      </w:r>
      <w:r w:rsidRPr="0016719D">
        <w:rPr>
          <w:rFonts w:ascii="Cambria" w:hAnsi="Cambria"/>
          <w:lang w:val="es-MX"/>
        </w:rPr>
        <w:t xml:space="preserve"> </w:t>
      </w:r>
      <w:r w:rsidRPr="0016719D">
        <w:rPr>
          <w:lang w:val="es-US"/>
        </w:rPr>
        <w:t xml:space="preserve">Corte IDH. </w:t>
      </w:r>
      <w:r w:rsidRPr="0016719D">
        <w:rPr>
          <w:i/>
          <w:lang w:val="es-US"/>
        </w:rPr>
        <w:t>Caso Vélez Restrepo y familiares Vs. Colombia.</w:t>
      </w:r>
      <w:r w:rsidRPr="0016719D">
        <w:rPr>
          <w:lang w:val="es-US"/>
        </w:rPr>
        <w:t xml:space="preserve"> Excepción Preliminar, Fondo, Reparaciones y Costas. Sentencia de 3 de septiembre de 2012. Serie C No. 248 (Sentencia </w:t>
      </w:r>
      <w:r w:rsidRPr="0016719D">
        <w:rPr>
          <w:i/>
          <w:lang w:val="es-US"/>
        </w:rPr>
        <w:t>Vélez Restrepo y familiares)</w:t>
      </w:r>
      <w:r w:rsidRPr="0016719D">
        <w:rPr>
          <w:lang w:val="es-US"/>
        </w:rPr>
        <w:t>, párr. 201.</w:t>
      </w:r>
    </w:p>
  </w:footnote>
  <w:footnote w:id="40">
    <w:p w14:paraId="43651696" w14:textId="77777777" w:rsidR="0035435A" w:rsidRPr="0016719D" w:rsidRDefault="0035435A" w:rsidP="009B4D16">
      <w:pPr>
        <w:pStyle w:val="FootnoteText"/>
        <w:rPr>
          <w:lang w:val="es-US"/>
        </w:rPr>
      </w:pPr>
      <w:r w:rsidRPr="0016719D">
        <w:rPr>
          <w:rStyle w:val="FootnoteReference"/>
        </w:rPr>
        <w:footnoteRef/>
      </w:r>
      <w:r w:rsidRPr="0016719D">
        <w:rPr>
          <w:lang w:val="es-US"/>
        </w:rPr>
        <w:t xml:space="preserve"> Corte IDH. Sentencia </w:t>
      </w:r>
      <w:r w:rsidRPr="0016719D">
        <w:rPr>
          <w:i/>
          <w:lang w:val="es-US"/>
        </w:rPr>
        <w:t>Vélez Restrepo y familiares</w:t>
      </w:r>
      <w:r w:rsidRPr="0016719D">
        <w:rPr>
          <w:lang w:val="es-US"/>
        </w:rPr>
        <w:t>, párr. 201.</w:t>
      </w:r>
    </w:p>
  </w:footnote>
  <w:footnote w:id="41">
    <w:p w14:paraId="182046F2" w14:textId="77777777" w:rsidR="0035435A" w:rsidRPr="0016719D" w:rsidRDefault="0035435A" w:rsidP="009C09CA">
      <w:pPr>
        <w:pStyle w:val="FootnoteText"/>
        <w:rPr>
          <w:rFonts w:ascii="Cambria" w:hAnsi="Cambria"/>
          <w:lang w:val="es-ES_tradnl"/>
        </w:rPr>
      </w:pPr>
      <w:r w:rsidRPr="0016719D">
        <w:rPr>
          <w:rStyle w:val="FootnoteReference"/>
          <w:rFonts w:ascii="Cambria" w:hAnsi="Cambria"/>
          <w:lang w:val="es-ES"/>
        </w:rPr>
        <w:footnoteRef/>
      </w:r>
      <w:r w:rsidRPr="0016719D">
        <w:rPr>
          <w:rFonts w:ascii="Cambria" w:hAnsi="Cambria"/>
          <w:lang w:val="es-US"/>
        </w:rPr>
        <w:t xml:space="preserve"> Ver, entre otros: </w:t>
      </w:r>
      <w:r w:rsidRPr="0016719D">
        <w:rPr>
          <w:rFonts w:ascii="Cambria" w:hAnsi="Cambria"/>
          <w:lang w:val="es-ES_tradnl"/>
        </w:rPr>
        <w:t xml:space="preserve">Corte IDH. </w:t>
      </w:r>
      <w:r w:rsidRPr="0016719D">
        <w:rPr>
          <w:rFonts w:ascii="Cambria" w:hAnsi="Cambria"/>
          <w:i/>
          <w:lang w:val="es-ES_tradnl"/>
        </w:rPr>
        <w:t>Caso "Instituto de Reeducación del Menor" Vs. Paraguay</w:t>
      </w:r>
      <w:r w:rsidRPr="0016719D">
        <w:rPr>
          <w:rFonts w:ascii="Cambria" w:hAnsi="Cambria"/>
          <w:lang w:val="es-ES_tradnl"/>
        </w:rPr>
        <w:t xml:space="preserve">. Excepciones Preliminares, Fondo, Reparaciones y Costas. Sentencia de 2 de septiembre de 2004. Serie C No. 112 (Sentencia </w:t>
      </w:r>
      <w:r w:rsidRPr="0016719D">
        <w:rPr>
          <w:rFonts w:ascii="Cambria" w:hAnsi="Cambria"/>
          <w:i/>
          <w:lang w:val="es-ES_tradnl"/>
        </w:rPr>
        <w:t>Instituto de Reeducación del Menor</w:t>
      </w:r>
      <w:r w:rsidRPr="0016719D">
        <w:rPr>
          <w:rFonts w:ascii="Cambria" w:hAnsi="Cambria"/>
          <w:lang w:val="es-ES_tradnl"/>
        </w:rPr>
        <w:t xml:space="preserve">), párr. 147; </w:t>
      </w:r>
      <w:r w:rsidRPr="0016719D">
        <w:rPr>
          <w:rFonts w:ascii="Cambria" w:hAnsi="Cambria"/>
          <w:i/>
          <w:lang w:val="es-ES_tradnl"/>
        </w:rPr>
        <w:t>Caso Servellón García y otros Vs. Honduras</w:t>
      </w:r>
      <w:r w:rsidRPr="0016719D">
        <w:rPr>
          <w:rFonts w:ascii="Cambria" w:hAnsi="Cambria"/>
          <w:lang w:val="es-ES_tradnl"/>
        </w:rPr>
        <w:t>. Sentencia de 21 de septiembre de 2006. Serie C No. 152, párr. 113.</w:t>
      </w:r>
    </w:p>
  </w:footnote>
  <w:footnote w:id="42">
    <w:p w14:paraId="294E6C36" w14:textId="77777777" w:rsidR="0035435A" w:rsidRPr="0016719D" w:rsidRDefault="0035435A" w:rsidP="009C09CA">
      <w:pPr>
        <w:pStyle w:val="FootnoteText"/>
        <w:rPr>
          <w:rFonts w:ascii="Cambria" w:hAnsi="Cambria"/>
          <w:lang w:val="es-US"/>
        </w:rPr>
      </w:pPr>
      <w:r w:rsidRPr="0016719D">
        <w:rPr>
          <w:rStyle w:val="FootnoteReference"/>
          <w:rFonts w:ascii="Cambria" w:hAnsi="Cambria"/>
        </w:rPr>
        <w:footnoteRef/>
      </w:r>
      <w:r w:rsidRPr="0016719D">
        <w:rPr>
          <w:rFonts w:ascii="Cambria" w:hAnsi="Cambria"/>
          <w:lang w:val="es-US"/>
        </w:rPr>
        <w:t xml:space="preserve"> Corte IDH. </w:t>
      </w:r>
      <w:r w:rsidRPr="0016719D">
        <w:rPr>
          <w:rFonts w:ascii="Cambria" w:hAnsi="Cambria"/>
          <w:i/>
          <w:lang w:val="es-US"/>
        </w:rPr>
        <w:t>Condición jurídica y derechos humanos del niño. Opinión Consultiva</w:t>
      </w:r>
      <w:r w:rsidRPr="0016719D">
        <w:rPr>
          <w:rFonts w:ascii="Cambria" w:hAnsi="Cambria"/>
          <w:lang w:val="es-US"/>
        </w:rPr>
        <w:t xml:space="preserve"> OC-17/02 de 28 de agosto de 2002. Serie A No. 17 (Opinión Consultiva </w:t>
      </w:r>
      <w:r w:rsidRPr="0016719D">
        <w:rPr>
          <w:rFonts w:ascii="Cambria" w:hAnsi="Cambria"/>
          <w:i/>
          <w:lang w:val="es-US"/>
        </w:rPr>
        <w:t>Condición jurídica y derechos humanos del niño</w:t>
      </w:r>
      <w:r w:rsidRPr="0016719D">
        <w:rPr>
          <w:rFonts w:ascii="Cambria" w:hAnsi="Cambria"/>
          <w:lang w:val="es-US"/>
        </w:rPr>
        <w:t>), párr. 24. 54.</w:t>
      </w:r>
    </w:p>
  </w:footnote>
  <w:footnote w:id="43">
    <w:p w14:paraId="409A133B" w14:textId="77777777" w:rsidR="0035435A" w:rsidRPr="0016719D" w:rsidRDefault="0035435A" w:rsidP="009C09CA">
      <w:pPr>
        <w:pStyle w:val="FootnoteText"/>
        <w:rPr>
          <w:rFonts w:ascii="Cambria" w:hAnsi="Cambria"/>
          <w:lang w:val="es-US"/>
        </w:rPr>
      </w:pPr>
      <w:r w:rsidRPr="0016719D">
        <w:rPr>
          <w:rStyle w:val="FootnoteReference"/>
          <w:rFonts w:ascii="Cambria" w:hAnsi="Cambria"/>
        </w:rPr>
        <w:footnoteRef/>
      </w:r>
      <w:r w:rsidRPr="0016719D">
        <w:rPr>
          <w:rFonts w:ascii="Cambria" w:hAnsi="Cambria"/>
          <w:lang w:val="es-US"/>
        </w:rPr>
        <w:t xml:space="preserve"> </w:t>
      </w:r>
      <w:r w:rsidRPr="0016719D">
        <w:rPr>
          <w:rFonts w:ascii="Cambria" w:hAnsi="Cambria"/>
          <w:lang w:val="es-CL"/>
        </w:rPr>
        <w:t xml:space="preserve">Corte IDH. </w:t>
      </w:r>
      <w:r w:rsidRPr="0016719D">
        <w:rPr>
          <w:rFonts w:ascii="Cambria" w:hAnsi="Cambria"/>
          <w:i/>
          <w:lang w:val="es-CL"/>
        </w:rPr>
        <w:t>Caso de la Masacre de las Dos Erres Vs. Guatemala</w:t>
      </w:r>
      <w:r w:rsidRPr="0016719D">
        <w:rPr>
          <w:rFonts w:ascii="Cambria" w:hAnsi="Cambria"/>
          <w:lang w:val="es-CL"/>
        </w:rPr>
        <w:t xml:space="preserve">. Excepción Preliminar, Fondo, Reparaciones y Costas. Sentencia de 24 de noviembre de 2009. Series C No. 211 (Sentencia </w:t>
      </w:r>
      <w:r w:rsidRPr="0016719D">
        <w:rPr>
          <w:rFonts w:ascii="Cambria" w:hAnsi="Cambria"/>
          <w:i/>
          <w:lang w:val="es-CL"/>
        </w:rPr>
        <w:t>Masacre de las Dos Erres</w:t>
      </w:r>
      <w:r w:rsidRPr="0016719D">
        <w:rPr>
          <w:rFonts w:ascii="Cambria" w:hAnsi="Cambria"/>
          <w:lang w:val="es-CL"/>
        </w:rPr>
        <w:t>), párr.</w:t>
      </w:r>
      <w:r w:rsidRPr="0016719D">
        <w:rPr>
          <w:rFonts w:ascii="Cambria" w:hAnsi="Cambria"/>
          <w:lang w:val="es-US"/>
        </w:rPr>
        <w:t xml:space="preserve"> 184.</w:t>
      </w:r>
    </w:p>
  </w:footnote>
  <w:footnote w:id="44">
    <w:p w14:paraId="71E0A070" w14:textId="77777777" w:rsidR="0035435A" w:rsidRPr="0016719D" w:rsidRDefault="0035435A" w:rsidP="009C09CA">
      <w:pPr>
        <w:pStyle w:val="FootnoteText"/>
        <w:rPr>
          <w:rFonts w:ascii="Cambria" w:hAnsi="Cambria"/>
          <w:lang w:val="es-ES"/>
        </w:rPr>
      </w:pPr>
      <w:r w:rsidRPr="0016719D">
        <w:rPr>
          <w:rStyle w:val="FootnoteReference"/>
          <w:rFonts w:ascii="Cambria" w:hAnsi="Cambria"/>
          <w:lang w:val="es-ES"/>
        </w:rPr>
        <w:footnoteRef/>
      </w:r>
      <w:r w:rsidRPr="0016719D">
        <w:rPr>
          <w:rFonts w:ascii="Cambria" w:hAnsi="Cambria"/>
          <w:lang w:val="es-ES"/>
        </w:rPr>
        <w:t xml:space="preserve"> Corte IDH. Opinión Consultiva </w:t>
      </w:r>
      <w:r w:rsidRPr="0016719D">
        <w:rPr>
          <w:rFonts w:ascii="Cambria" w:hAnsi="Cambria"/>
          <w:i/>
          <w:lang w:val="es-ES"/>
        </w:rPr>
        <w:t>Condición jurídica y derechos humanos del niño</w:t>
      </w:r>
      <w:r w:rsidRPr="0016719D">
        <w:rPr>
          <w:rFonts w:ascii="Cambria" w:hAnsi="Cambria"/>
          <w:lang w:val="es-ES"/>
        </w:rPr>
        <w:t xml:space="preserve">, párr. 62; Sentencia </w:t>
      </w:r>
      <w:r w:rsidRPr="0016719D">
        <w:rPr>
          <w:rFonts w:ascii="Cambria" w:hAnsi="Cambria"/>
          <w:i/>
          <w:lang w:val="es-ES"/>
        </w:rPr>
        <w:t>Instituto de Reeducación del Menor</w:t>
      </w:r>
      <w:r w:rsidRPr="0016719D">
        <w:rPr>
          <w:rFonts w:ascii="Cambria" w:hAnsi="Cambria"/>
          <w:lang w:val="es-ES"/>
        </w:rPr>
        <w:t>, párr. 147.</w:t>
      </w:r>
    </w:p>
  </w:footnote>
  <w:footnote w:id="45">
    <w:p w14:paraId="5177D901" w14:textId="77777777" w:rsidR="0035435A" w:rsidRPr="0016719D" w:rsidRDefault="0035435A" w:rsidP="009C09CA">
      <w:pPr>
        <w:pStyle w:val="FootnoteText"/>
        <w:rPr>
          <w:rFonts w:ascii="Cambria" w:hAnsi="Cambria"/>
          <w:lang w:val="es-US"/>
        </w:rPr>
      </w:pPr>
      <w:r w:rsidRPr="0016719D">
        <w:rPr>
          <w:rStyle w:val="FootnoteReference"/>
          <w:rFonts w:ascii="Cambria" w:hAnsi="Cambria"/>
        </w:rPr>
        <w:footnoteRef/>
      </w:r>
      <w:r w:rsidRPr="0016719D">
        <w:rPr>
          <w:rFonts w:ascii="Cambria" w:hAnsi="Cambria"/>
          <w:lang w:val="es-ES"/>
        </w:rPr>
        <w:t xml:space="preserve"> Corte IDH. Sentencia </w:t>
      </w:r>
      <w:r w:rsidRPr="0016719D">
        <w:rPr>
          <w:rFonts w:ascii="Cambria" w:hAnsi="Cambria"/>
          <w:i/>
          <w:lang w:val="es-ES"/>
        </w:rPr>
        <w:t>Masacres de Ituango</w:t>
      </w:r>
      <w:r w:rsidRPr="0016719D">
        <w:rPr>
          <w:rFonts w:ascii="Cambria" w:hAnsi="Cambria"/>
          <w:lang w:val="es-ES"/>
        </w:rPr>
        <w:t xml:space="preserve">, párr. 244; </w:t>
      </w:r>
      <w:r w:rsidRPr="0016719D">
        <w:rPr>
          <w:rFonts w:ascii="Cambria" w:hAnsi="Cambria"/>
          <w:i/>
          <w:lang w:val="es-ES"/>
        </w:rPr>
        <w:t>Caso de la Masacre de Mapiripán Vs. Colombia.</w:t>
      </w:r>
      <w:r w:rsidRPr="0016719D">
        <w:rPr>
          <w:rFonts w:ascii="Cambria" w:hAnsi="Cambria"/>
          <w:lang w:val="es-ES"/>
        </w:rPr>
        <w:t xml:space="preserve"> Fondo, Reparaciones y Costas. Sentencia de 15 de septiembre de 2005. Serie C No. 134, párr.</w:t>
      </w:r>
      <w:r w:rsidRPr="0016719D">
        <w:rPr>
          <w:rFonts w:ascii="Cambria" w:hAnsi="Cambria"/>
          <w:lang w:val="es-US"/>
        </w:rPr>
        <w:t>154.</w:t>
      </w:r>
    </w:p>
  </w:footnote>
  <w:footnote w:id="46">
    <w:p w14:paraId="7DCCDFFD" w14:textId="77777777" w:rsidR="0035435A" w:rsidRPr="0016719D" w:rsidRDefault="0035435A" w:rsidP="009B4D16">
      <w:pPr>
        <w:pStyle w:val="FootnoteText"/>
        <w:rPr>
          <w:lang w:val="es-US"/>
        </w:rPr>
      </w:pPr>
      <w:r w:rsidRPr="0016719D">
        <w:rPr>
          <w:rStyle w:val="FootnoteReference"/>
        </w:rPr>
        <w:footnoteRef/>
      </w:r>
      <w:r w:rsidRPr="0016719D">
        <w:rPr>
          <w:lang w:val="es-US"/>
        </w:rPr>
        <w:t xml:space="preserve"> CIDH, </w:t>
      </w:r>
      <w:r w:rsidRPr="0016719D">
        <w:rPr>
          <w:i/>
          <w:lang w:val="es-US"/>
        </w:rPr>
        <w:t>Observaciones de la Comisión Interamericana de Derechos Humanos sobre su visita a Haití en abril de 2007</w:t>
      </w:r>
      <w:r w:rsidRPr="0016719D">
        <w:rPr>
          <w:lang w:val="es-US"/>
        </w:rPr>
        <w:t>, OEA/Ser.L/V/II.131, doc. 36, 2 de marzo de 2008 (</w:t>
      </w:r>
      <w:r w:rsidRPr="0016719D">
        <w:rPr>
          <w:i/>
          <w:lang w:val="es-US"/>
        </w:rPr>
        <w:t>Observaciones visita a Haití en abril de 2007)</w:t>
      </w:r>
      <w:r w:rsidRPr="0016719D">
        <w:rPr>
          <w:lang w:val="es-US"/>
        </w:rPr>
        <w:t>, párr. 11.</w:t>
      </w:r>
    </w:p>
  </w:footnote>
  <w:footnote w:id="47">
    <w:p w14:paraId="37B9EAF1" w14:textId="77777777" w:rsidR="0035435A" w:rsidRPr="0016719D" w:rsidRDefault="0035435A" w:rsidP="009B4D16">
      <w:pPr>
        <w:pStyle w:val="FootnoteText"/>
        <w:rPr>
          <w:lang w:val="es-US"/>
        </w:rPr>
      </w:pPr>
      <w:r w:rsidRPr="0016719D">
        <w:rPr>
          <w:rStyle w:val="FootnoteReference"/>
        </w:rPr>
        <w:footnoteRef/>
      </w:r>
      <w:r w:rsidRPr="0016719D">
        <w:rPr>
          <w:lang w:val="es-US"/>
        </w:rPr>
        <w:t xml:space="preserve"> CIDH, </w:t>
      </w:r>
      <w:r w:rsidRPr="0016719D">
        <w:rPr>
          <w:i/>
          <w:lang w:val="es-US"/>
        </w:rPr>
        <w:t>Observaciones visita a Haití en abril de 2007</w:t>
      </w:r>
      <w:r w:rsidRPr="0016719D">
        <w:rPr>
          <w:lang w:val="es-US"/>
        </w:rPr>
        <w:t>,</w:t>
      </w:r>
      <w:r w:rsidRPr="0016719D">
        <w:rPr>
          <w:i/>
          <w:lang w:val="es-US"/>
        </w:rPr>
        <w:t xml:space="preserve"> </w:t>
      </w:r>
      <w:r w:rsidRPr="0016719D">
        <w:rPr>
          <w:lang w:val="es-US"/>
        </w:rPr>
        <w:t xml:space="preserve">párrs. 11-15  </w:t>
      </w:r>
    </w:p>
  </w:footnote>
  <w:footnote w:id="48">
    <w:p w14:paraId="7276E71B" w14:textId="77777777" w:rsidR="0035435A" w:rsidRPr="0016719D" w:rsidRDefault="0035435A" w:rsidP="009B4D16">
      <w:pPr>
        <w:pStyle w:val="FootnoteText"/>
        <w:rPr>
          <w:lang w:val="es-US"/>
        </w:rPr>
      </w:pPr>
      <w:r w:rsidRPr="0016719D">
        <w:rPr>
          <w:rStyle w:val="FootnoteReference"/>
        </w:rPr>
        <w:footnoteRef/>
      </w:r>
      <w:r w:rsidRPr="0016719D">
        <w:rPr>
          <w:lang w:val="es-US"/>
        </w:rPr>
        <w:t xml:space="preserve"> CIDH, </w:t>
      </w:r>
      <w:r w:rsidRPr="0016719D">
        <w:rPr>
          <w:i/>
          <w:lang w:val="es-US"/>
        </w:rPr>
        <w:t>Observaciones visita a Haití en abril de 2007</w:t>
      </w:r>
      <w:r w:rsidRPr="0016719D">
        <w:rPr>
          <w:lang w:val="es-US"/>
        </w:rPr>
        <w:t>,</w:t>
      </w:r>
      <w:r w:rsidRPr="0016719D">
        <w:rPr>
          <w:i/>
          <w:lang w:val="es-US"/>
        </w:rPr>
        <w:t xml:space="preserve"> </w:t>
      </w:r>
      <w:r w:rsidRPr="0016719D">
        <w:rPr>
          <w:lang w:val="es-US"/>
        </w:rPr>
        <w:t>párrs. 16-30</w:t>
      </w:r>
    </w:p>
  </w:footnote>
  <w:footnote w:id="49">
    <w:p w14:paraId="568CE28E" w14:textId="77777777" w:rsidR="0035435A" w:rsidRPr="0016719D" w:rsidRDefault="0035435A">
      <w:pPr>
        <w:pStyle w:val="FootnoteText"/>
        <w:rPr>
          <w:lang w:val="es-US"/>
        </w:rPr>
      </w:pPr>
      <w:r w:rsidRPr="0016719D">
        <w:rPr>
          <w:rStyle w:val="FootnoteReference"/>
        </w:rPr>
        <w:footnoteRef/>
      </w:r>
      <w:r w:rsidRPr="0016719D">
        <w:rPr>
          <w:lang w:val="es-US"/>
        </w:rPr>
        <w:t xml:space="preserve"> CIDH, </w:t>
      </w:r>
      <w:r w:rsidRPr="0016719D">
        <w:rPr>
          <w:i/>
          <w:lang w:val="es-US"/>
        </w:rPr>
        <w:t>Observaciones visita a Haití en abril de 2007</w:t>
      </w:r>
      <w:r w:rsidRPr="0016719D">
        <w:rPr>
          <w:lang w:val="es-US"/>
        </w:rPr>
        <w:t>,</w:t>
      </w:r>
      <w:r w:rsidRPr="0016719D">
        <w:rPr>
          <w:i/>
          <w:lang w:val="es-US"/>
        </w:rPr>
        <w:t xml:space="preserve"> </w:t>
      </w:r>
      <w:r w:rsidRPr="0016719D">
        <w:rPr>
          <w:lang w:val="es-US"/>
        </w:rPr>
        <w:t>párrs. 9, 15.</w:t>
      </w:r>
    </w:p>
  </w:footnote>
  <w:footnote w:id="50">
    <w:p w14:paraId="75DC4337" w14:textId="77777777" w:rsidR="0035435A" w:rsidRPr="0016719D" w:rsidRDefault="0035435A" w:rsidP="000A3FA3">
      <w:pPr>
        <w:jc w:val="both"/>
        <w:rPr>
          <w:rFonts w:ascii="Cambria" w:eastAsia="Cambria" w:hAnsi="Cambria" w:cs="Cambria"/>
          <w:sz w:val="16"/>
          <w:szCs w:val="16"/>
          <w:lang w:val="es-MX"/>
        </w:rPr>
      </w:pPr>
      <w:r w:rsidRPr="0016719D">
        <w:rPr>
          <w:rFonts w:ascii="Cambria" w:hAnsi="Cambria"/>
          <w:sz w:val="16"/>
          <w:szCs w:val="16"/>
          <w:vertAlign w:val="superscript"/>
        </w:rPr>
        <w:footnoteRef/>
      </w:r>
      <w:r w:rsidRPr="0016719D">
        <w:rPr>
          <w:rFonts w:ascii="Cambria" w:eastAsia="Calibri" w:hAnsi="Cambria" w:cs="Calibri"/>
          <w:color w:val="000000"/>
          <w:sz w:val="16"/>
          <w:szCs w:val="16"/>
          <w:lang w:val="es-MX"/>
        </w:rPr>
        <w:t xml:space="preserve"> </w:t>
      </w:r>
      <w:r w:rsidRPr="0016719D">
        <w:rPr>
          <w:rFonts w:ascii="Cambria" w:eastAsia="Cambria" w:hAnsi="Cambria" w:cs="Cambria"/>
          <w:color w:val="000000"/>
          <w:sz w:val="16"/>
          <w:szCs w:val="16"/>
          <w:lang w:val="es-MX"/>
        </w:rPr>
        <w:t>El artículo 22.1 de la Convención Americana establece lo siguiente: “Articulo 22. Derecho de Circulación y de Residencia 1. Toda persona que se halle legalmente en el territorio de un Estado tiene derecho a circular por el mismo y, a residir en él con sujeción a las disposiciones legales.”</w:t>
      </w:r>
    </w:p>
  </w:footnote>
  <w:footnote w:id="51">
    <w:p w14:paraId="1E0B88D2" w14:textId="77777777" w:rsidR="0035435A" w:rsidRPr="0016719D" w:rsidRDefault="0035435A" w:rsidP="00A341B4">
      <w:pPr>
        <w:pStyle w:val="FootnoteText"/>
        <w:rPr>
          <w:lang w:val="es-US"/>
        </w:rPr>
      </w:pPr>
      <w:r w:rsidRPr="0016719D">
        <w:rPr>
          <w:rStyle w:val="FootnoteReference"/>
        </w:rPr>
        <w:footnoteRef/>
      </w:r>
      <w:r w:rsidRPr="0016719D">
        <w:rPr>
          <w:lang w:val="pt-BR"/>
        </w:rPr>
        <w:t xml:space="preserve"> Corte IDH. </w:t>
      </w:r>
      <w:r w:rsidRPr="0016719D">
        <w:rPr>
          <w:i/>
          <w:lang w:val="pt-BR"/>
        </w:rPr>
        <w:t xml:space="preserve">Caso Ricardo Canese Vs. </w:t>
      </w:r>
      <w:r w:rsidRPr="0016719D">
        <w:rPr>
          <w:i/>
          <w:lang w:val="es-US"/>
        </w:rPr>
        <w:t>Paraguay.</w:t>
      </w:r>
      <w:r w:rsidRPr="0016719D">
        <w:rPr>
          <w:lang w:val="es-US"/>
        </w:rPr>
        <w:t xml:space="preserve"> Fondo, Reparaciones y Costas. Sentencia de 31 de agosto de 2004. Serie C No. 111 (Sentencia </w:t>
      </w:r>
      <w:r w:rsidRPr="0016719D">
        <w:rPr>
          <w:i/>
          <w:lang w:val="es-US"/>
        </w:rPr>
        <w:t>Ricardo Canese)</w:t>
      </w:r>
      <w:r w:rsidRPr="0016719D">
        <w:rPr>
          <w:lang w:val="es-US"/>
        </w:rPr>
        <w:t>, párr. 115.</w:t>
      </w:r>
    </w:p>
  </w:footnote>
  <w:footnote w:id="52">
    <w:p w14:paraId="3B8CB33C" w14:textId="77777777" w:rsidR="0035435A" w:rsidRPr="0016719D" w:rsidRDefault="0035435A" w:rsidP="00A341B4">
      <w:pPr>
        <w:pStyle w:val="FootnoteText"/>
        <w:rPr>
          <w:lang w:val="es-US"/>
        </w:rPr>
      </w:pPr>
      <w:r w:rsidRPr="0016719D">
        <w:rPr>
          <w:rStyle w:val="FootnoteReference"/>
        </w:rPr>
        <w:footnoteRef/>
      </w:r>
      <w:r w:rsidRPr="0016719D">
        <w:rPr>
          <w:lang w:val="es-US"/>
        </w:rPr>
        <w:t xml:space="preserve"> Corte IDH. </w:t>
      </w:r>
      <w:r w:rsidRPr="0016719D">
        <w:rPr>
          <w:i/>
          <w:lang w:val="es-US"/>
        </w:rPr>
        <w:t>Caso Valle Jaramillo y otros Vs. Colombia</w:t>
      </w:r>
      <w:r w:rsidRPr="0016719D">
        <w:rPr>
          <w:lang w:val="es-US"/>
        </w:rPr>
        <w:t xml:space="preserve">. Fondo, Reparaciones y Costas. Sentencia de 27 de noviembre de 2008. Serie C No. 192 (Sentencia </w:t>
      </w:r>
      <w:r w:rsidRPr="0016719D">
        <w:rPr>
          <w:i/>
          <w:lang w:val="es-US"/>
        </w:rPr>
        <w:t>Valle Jaramillo</w:t>
      </w:r>
      <w:r w:rsidRPr="0016719D">
        <w:rPr>
          <w:lang w:val="es-US"/>
        </w:rPr>
        <w:t xml:space="preserve">), párr. 138; </w:t>
      </w:r>
      <w:r w:rsidRPr="0016719D">
        <w:rPr>
          <w:i/>
          <w:lang w:val="es-US"/>
        </w:rPr>
        <w:t>Caso Fleury y otros Vs. Haití</w:t>
      </w:r>
      <w:r w:rsidRPr="0016719D">
        <w:rPr>
          <w:lang w:val="es-US"/>
        </w:rPr>
        <w:t>. Fondo y Reparaciones. Sentencia de 23 de noviembre de 2011. Serie C No. 236, párr. 93.</w:t>
      </w:r>
    </w:p>
  </w:footnote>
  <w:footnote w:id="53">
    <w:p w14:paraId="1FC4E18F" w14:textId="77777777" w:rsidR="0035435A" w:rsidRPr="0016719D" w:rsidRDefault="0035435A" w:rsidP="00A341B4">
      <w:pPr>
        <w:pStyle w:val="FootnoteText"/>
        <w:rPr>
          <w:lang w:val="es-US"/>
        </w:rPr>
      </w:pPr>
      <w:r w:rsidRPr="0016719D">
        <w:rPr>
          <w:rStyle w:val="FootnoteReference"/>
        </w:rPr>
        <w:footnoteRef/>
      </w:r>
      <w:r w:rsidRPr="0016719D">
        <w:rPr>
          <w:lang w:val="es-US"/>
        </w:rPr>
        <w:t xml:space="preserve"> Corte IDH. Sentencia </w:t>
      </w:r>
      <w:r w:rsidRPr="0016719D">
        <w:rPr>
          <w:i/>
          <w:lang w:val="es-US"/>
        </w:rPr>
        <w:t>Valle Jaramillo</w:t>
      </w:r>
      <w:r w:rsidRPr="0016719D">
        <w:rPr>
          <w:lang w:val="es-US"/>
        </w:rPr>
        <w:t xml:space="preserve">, párr. 139. Ver también, </w:t>
      </w:r>
      <w:r w:rsidRPr="0016719D">
        <w:rPr>
          <w:i/>
          <w:lang w:val="es-US"/>
        </w:rPr>
        <w:t>Caso de la Comunidad Moiwana Vs. Surinam.</w:t>
      </w:r>
      <w:r w:rsidRPr="0016719D">
        <w:rPr>
          <w:lang w:val="es-US"/>
        </w:rPr>
        <w:t xml:space="preserve"> Excepciones Preliminares, Fondo, Reparaciones y Costas. Sentencia de 15 de junio de 2005. Serie C No. 124 (Sentencia </w:t>
      </w:r>
      <w:r w:rsidRPr="0016719D">
        <w:rPr>
          <w:i/>
          <w:lang w:val="es-US"/>
        </w:rPr>
        <w:t>Comunidad Moiwana)</w:t>
      </w:r>
      <w:r w:rsidRPr="0016719D">
        <w:rPr>
          <w:lang w:val="es-US"/>
        </w:rPr>
        <w:t>, párrs. 119-120</w:t>
      </w:r>
    </w:p>
  </w:footnote>
  <w:footnote w:id="54">
    <w:p w14:paraId="5F0DFFD7" w14:textId="77777777" w:rsidR="0035435A" w:rsidRPr="0016719D" w:rsidRDefault="0035435A" w:rsidP="00A341B4">
      <w:pPr>
        <w:pStyle w:val="FootnoteText"/>
        <w:rPr>
          <w:lang w:val="es-US"/>
        </w:rPr>
      </w:pPr>
      <w:r w:rsidRPr="0016719D">
        <w:rPr>
          <w:rStyle w:val="FootnoteReference"/>
        </w:rPr>
        <w:footnoteRef/>
      </w:r>
      <w:r w:rsidRPr="0016719D">
        <w:rPr>
          <w:lang w:val="es-US"/>
        </w:rPr>
        <w:t xml:space="preserve"> Corte IDH. Sentencia </w:t>
      </w:r>
      <w:r w:rsidRPr="0016719D">
        <w:rPr>
          <w:i/>
          <w:lang w:val="es-US"/>
        </w:rPr>
        <w:t>Valle Jaramillo</w:t>
      </w:r>
      <w:r w:rsidRPr="0016719D">
        <w:rPr>
          <w:lang w:val="es-US"/>
        </w:rPr>
        <w:t>, párr. 139.</w:t>
      </w:r>
    </w:p>
  </w:footnote>
  <w:footnote w:id="55">
    <w:p w14:paraId="371CD397"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Pr="0016719D">
        <w:rPr>
          <w:bCs/>
          <w:lang w:val="es-US"/>
        </w:rPr>
        <w:t xml:space="preserve">Corte IDH. </w:t>
      </w:r>
      <w:r w:rsidRPr="0016719D">
        <w:rPr>
          <w:bCs/>
          <w:i/>
          <w:lang w:val="es-US"/>
        </w:rPr>
        <w:t>Caso Defensor de Derechos Humanos y otros Vs. Guatemala</w:t>
      </w:r>
      <w:r w:rsidRPr="0016719D">
        <w:rPr>
          <w:bCs/>
          <w:lang w:val="es-US"/>
        </w:rPr>
        <w:t xml:space="preserve">. Excepciones Preliminares, Fondo, Reparaciones y Costas. Sentencia de 28 de agosto de 2014. Serie C No. 283 (Sentencia </w:t>
      </w:r>
      <w:r w:rsidRPr="0016719D">
        <w:rPr>
          <w:bCs/>
          <w:i/>
          <w:lang w:val="es-US"/>
        </w:rPr>
        <w:t>Defensor de Derechos Humanos)</w:t>
      </w:r>
      <w:r w:rsidRPr="0016719D">
        <w:rPr>
          <w:bCs/>
          <w:lang w:val="es-US"/>
        </w:rPr>
        <w:t xml:space="preserve">, párr. 166.; </w:t>
      </w:r>
      <w:r w:rsidRPr="0016719D">
        <w:rPr>
          <w:lang w:val="es-US"/>
        </w:rPr>
        <w:t>Sentencia</w:t>
      </w:r>
      <w:r w:rsidRPr="0016719D">
        <w:rPr>
          <w:i/>
          <w:lang w:val="es-US"/>
        </w:rPr>
        <w:t xml:space="preserve"> Masacres de El Mozote y lugares aledaños</w:t>
      </w:r>
      <w:r w:rsidRPr="0016719D">
        <w:rPr>
          <w:lang w:val="es-US"/>
        </w:rPr>
        <w:t xml:space="preserve">, párr. 188; </w:t>
      </w:r>
      <w:r w:rsidRPr="0016719D">
        <w:rPr>
          <w:bCs/>
          <w:i/>
          <w:lang w:val="es-US"/>
        </w:rPr>
        <w:t>Caso Chitay Nech y otros Vs. Guatemala.</w:t>
      </w:r>
      <w:r w:rsidRPr="0016719D">
        <w:rPr>
          <w:bCs/>
          <w:lang w:val="es-US"/>
        </w:rPr>
        <w:t xml:space="preserve"> Excepciones Preliminares, Fondo, Reparaciones y Costas. Sentencia de 25 de mayo de 2010. Serie C No. 212</w:t>
      </w:r>
      <w:r w:rsidRPr="0016719D">
        <w:rPr>
          <w:lang w:val="es-US"/>
        </w:rPr>
        <w:t>, párr. 149.</w:t>
      </w:r>
    </w:p>
  </w:footnote>
  <w:footnote w:id="56">
    <w:p w14:paraId="67EE24B1" w14:textId="77777777" w:rsidR="0035435A" w:rsidRPr="0016719D" w:rsidRDefault="0035435A">
      <w:pPr>
        <w:pStyle w:val="FootnoteText"/>
        <w:rPr>
          <w:lang w:val="es-US"/>
        </w:rPr>
      </w:pPr>
      <w:r w:rsidRPr="0016719D">
        <w:rPr>
          <w:rStyle w:val="FootnoteReference"/>
        </w:rPr>
        <w:footnoteRef/>
      </w:r>
      <w:r w:rsidRPr="0016719D">
        <w:rPr>
          <w:lang w:val="es-US"/>
        </w:rPr>
        <w:t xml:space="preserve"> Corte IDH. </w:t>
      </w:r>
      <w:r w:rsidRPr="0016719D">
        <w:rPr>
          <w:bCs/>
          <w:lang w:val="es-US"/>
        </w:rPr>
        <w:t xml:space="preserve">Sentencia </w:t>
      </w:r>
      <w:r w:rsidRPr="0016719D">
        <w:rPr>
          <w:bCs/>
          <w:i/>
          <w:lang w:val="es-US"/>
        </w:rPr>
        <w:t>Defensor de Derechos Humanos</w:t>
      </w:r>
      <w:r w:rsidRPr="0016719D">
        <w:rPr>
          <w:bCs/>
          <w:lang w:val="es-US"/>
        </w:rPr>
        <w:t>, párr. 178.</w:t>
      </w:r>
    </w:p>
  </w:footnote>
  <w:footnote w:id="57">
    <w:p w14:paraId="3602762A" w14:textId="77777777" w:rsidR="0035435A" w:rsidRPr="0016719D" w:rsidRDefault="0035435A" w:rsidP="00325178">
      <w:pPr>
        <w:pStyle w:val="FootnoteText"/>
        <w:rPr>
          <w:lang w:val="es-ES"/>
        </w:rPr>
      </w:pPr>
      <w:r w:rsidRPr="0016719D">
        <w:rPr>
          <w:rStyle w:val="FootnoteReference"/>
        </w:rPr>
        <w:footnoteRef/>
      </w:r>
      <w:r w:rsidRPr="0016719D">
        <w:rPr>
          <w:lang w:val="es-ES"/>
        </w:rPr>
        <w:t xml:space="preserve"> </w:t>
      </w:r>
      <w:r w:rsidRPr="0016719D">
        <w:rPr>
          <w:lang w:val="es-US"/>
        </w:rPr>
        <w:t>El artículo 8.1 de la Convención Americana establece, en lo pertinente, lo siguiente: “</w:t>
      </w:r>
      <w:r w:rsidRPr="0016719D">
        <w:rPr>
          <w:bCs/>
          <w:lang w:val="es-ES"/>
        </w:rPr>
        <w:t xml:space="preserve">Artículo 8.  Garantías Judiciales. </w:t>
      </w:r>
      <w:r w:rsidRPr="0016719D">
        <w:rPr>
          <w:lang w:val="es-E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16719D">
        <w:rPr>
          <w:lang w:val="es-US"/>
        </w:rPr>
        <w:t> […]”</w:t>
      </w:r>
      <w:r w:rsidRPr="0016719D">
        <w:rPr>
          <w:lang w:val="es-ES"/>
        </w:rPr>
        <w:t>.</w:t>
      </w:r>
    </w:p>
  </w:footnote>
  <w:footnote w:id="58">
    <w:p w14:paraId="177BF743" w14:textId="77777777" w:rsidR="0035435A" w:rsidRPr="0016719D" w:rsidRDefault="0035435A" w:rsidP="00325178">
      <w:pPr>
        <w:pStyle w:val="FootnoteText"/>
        <w:rPr>
          <w:lang w:val="es-ES"/>
        </w:rPr>
      </w:pPr>
      <w:r w:rsidRPr="0016719D">
        <w:rPr>
          <w:rStyle w:val="FootnoteReference"/>
        </w:rPr>
        <w:footnoteRef/>
      </w:r>
      <w:r w:rsidRPr="0016719D">
        <w:rPr>
          <w:lang w:val="es-ES"/>
        </w:rPr>
        <w:t xml:space="preserve"> </w:t>
      </w:r>
      <w:r w:rsidRPr="0016719D">
        <w:rPr>
          <w:lang w:val="es-US"/>
        </w:rPr>
        <w:t>El artículo 25.1 de la Convención Americana establece, en lo pertinente, lo siguiente: “</w:t>
      </w:r>
      <w:r w:rsidRPr="0016719D">
        <w:rPr>
          <w:bCs/>
          <w:lang w:val="es-ES"/>
        </w:rPr>
        <w:t xml:space="preserve">Artículo 25.  Protección Judicial. </w:t>
      </w:r>
      <w:r w:rsidRPr="0016719D">
        <w:rPr>
          <w:lang w:val="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59">
    <w:p w14:paraId="09C97C31" w14:textId="77777777" w:rsidR="0035435A" w:rsidRPr="0016719D" w:rsidRDefault="0035435A" w:rsidP="00A04245">
      <w:pPr>
        <w:pStyle w:val="FootnoteText"/>
        <w:rPr>
          <w:lang w:val="es-US"/>
        </w:rPr>
      </w:pPr>
      <w:r w:rsidRPr="0016719D">
        <w:rPr>
          <w:rStyle w:val="FootnoteReference"/>
        </w:rPr>
        <w:footnoteRef/>
      </w:r>
      <w:r w:rsidRPr="0016719D">
        <w:rPr>
          <w:lang w:val="es-MX"/>
        </w:rPr>
        <w:t xml:space="preserve"> Corte IDH. </w:t>
      </w:r>
      <w:r w:rsidRPr="0016719D">
        <w:rPr>
          <w:i/>
          <w:lang w:val="es-MX"/>
        </w:rPr>
        <w:t>Caso Velásquez Rodríguez Vs Honduras</w:t>
      </w:r>
      <w:r w:rsidRPr="0016719D">
        <w:rPr>
          <w:lang w:val="es-MX"/>
        </w:rPr>
        <w:t xml:space="preserve">. Excepciones Preliminares. Sentencia de 26 de junio de 1987. Serie C No. 1, párr. 91. Ver también: </w:t>
      </w:r>
      <w:r w:rsidRPr="0016719D">
        <w:rPr>
          <w:lang w:val="es-ES"/>
        </w:rPr>
        <w:t xml:space="preserve">Sentencia </w:t>
      </w:r>
      <w:r w:rsidRPr="0016719D">
        <w:rPr>
          <w:i/>
          <w:lang w:val="es-ES"/>
        </w:rPr>
        <w:t>Masacre de las Dos Erres</w:t>
      </w:r>
      <w:r w:rsidRPr="0016719D">
        <w:rPr>
          <w:lang w:val="es-ES"/>
        </w:rPr>
        <w:t xml:space="preserve">, párr. 104; </w:t>
      </w:r>
      <w:r w:rsidRPr="0016719D">
        <w:rPr>
          <w:bCs/>
          <w:i/>
          <w:lang w:val="es-ES_tradnl"/>
        </w:rPr>
        <w:t>Caso Zambrano Vélez y otros Vs. Ecuador.</w:t>
      </w:r>
      <w:r w:rsidRPr="0016719D">
        <w:rPr>
          <w:b/>
          <w:bCs/>
          <w:lang w:val="es-ES_tradnl"/>
        </w:rPr>
        <w:t xml:space="preserve"> </w:t>
      </w:r>
      <w:r w:rsidRPr="0016719D">
        <w:rPr>
          <w:lang w:val="es-ES_tradnl"/>
        </w:rPr>
        <w:t xml:space="preserve">Fondo, Reparaciones y Costas. Sentencia de 4 de julio de 2007. Serie C No. 166, párr. </w:t>
      </w:r>
      <w:r w:rsidRPr="0016719D">
        <w:rPr>
          <w:lang w:val="es-US"/>
        </w:rPr>
        <w:t xml:space="preserve">114; </w:t>
      </w:r>
      <w:r w:rsidRPr="0016719D">
        <w:rPr>
          <w:i/>
          <w:lang w:val="es-ES"/>
        </w:rPr>
        <w:t>Caso del Penal Miguel Castro Castro Vs. Perú</w:t>
      </w:r>
      <w:r w:rsidRPr="0016719D">
        <w:rPr>
          <w:lang w:val="es-ES"/>
        </w:rPr>
        <w:t xml:space="preserve">. Fondo, Reparaciones y Costas. Sentencia de 25 de noviembre de 2006. Serie C No. 160, párr. </w:t>
      </w:r>
      <w:r w:rsidRPr="0016719D">
        <w:rPr>
          <w:lang w:val="es-US"/>
        </w:rPr>
        <w:t xml:space="preserve"> 381.</w:t>
      </w:r>
    </w:p>
  </w:footnote>
  <w:footnote w:id="60">
    <w:p w14:paraId="11AE15C8" w14:textId="77777777" w:rsidR="0035435A" w:rsidRPr="0016719D" w:rsidRDefault="0035435A" w:rsidP="00A04245">
      <w:pPr>
        <w:pStyle w:val="FootnoteText"/>
        <w:rPr>
          <w:lang w:val="es-ES"/>
        </w:rPr>
      </w:pPr>
      <w:r w:rsidRPr="0016719D">
        <w:rPr>
          <w:rStyle w:val="FootnoteReference"/>
        </w:rPr>
        <w:footnoteRef/>
      </w:r>
      <w:r w:rsidRPr="0016719D">
        <w:rPr>
          <w:lang w:val="es-US"/>
        </w:rPr>
        <w:t xml:space="preserve"> </w:t>
      </w:r>
      <w:r w:rsidRPr="0016719D">
        <w:rPr>
          <w:bCs/>
          <w:lang w:val="es-US"/>
        </w:rPr>
        <w:t xml:space="preserve">Corte IDH. </w:t>
      </w:r>
      <w:r w:rsidRPr="0016719D">
        <w:rPr>
          <w:bCs/>
          <w:i/>
          <w:lang w:val="es-ES"/>
        </w:rPr>
        <w:t>Caso García Prieto y otro Vs. El Salvador</w:t>
      </w:r>
      <w:r w:rsidRPr="0016719D">
        <w:rPr>
          <w:bCs/>
          <w:lang w:val="es-ES"/>
        </w:rPr>
        <w:t>. Excepciones Preliminares, Fondo, Reparaciones y Costas. Sentencia de 20 de noviembre de 2007. Serie C No. 168, párr. 101.</w:t>
      </w:r>
    </w:p>
  </w:footnote>
  <w:footnote w:id="61">
    <w:p w14:paraId="5E86530D" w14:textId="77777777" w:rsidR="0035435A" w:rsidRPr="0016719D" w:rsidRDefault="0035435A">
      <w:pPr>
        <w:pStyle w:val="FootnoteText"/>
        <w:rPr>
          <w:lang w:val="es-US"/>
        </w:rPr>
      </w:pPr>
      <w:r w:rsidRPr="0016719D">
        <w:rPr>
          <w:rStyle w:val="FootnoteReference"/>
        </w:rPr>
        <w:footnoteRef/>
      </w:r>
      <w:r w:rsidRPr="0016719D">
        <w:rPr>
          <w:lang w:val="es-US"/>
        </w:rPr>
        <w:t xml:space="preserve"> Corte IDH. </w:t>
      </w:r>
      <w:r w:rsidRPr="0016719D">
        <w:rPr>
          <w:i/>
          <w:iCs/>
          <w:lang w:val="es-US"/>
        </w:rPr>
        <w:t xml:space="preserve">Caso de los "Niños de la Calle" (Villagrán Morales y otros) Vs. Guatemala. </w:t>
      </w:r>
      <w:r w:rsidRPr="0016719D">
        <w:rPr>
          <w:iCs/>
          <w:lang w:val="es-US"/>
        </w:rPr>
        <w:t>Fondo. Sentencia de 19 de noviembre de 1999. Serie C No. 63, párr. 146.</w:t>
      </w:r>
    </w:p>
  </w:footnote>
  <w:footnote w:id="62">
    <w:p w14:paraId="622CF8CE" w14:textId="77777777" w:rsidR="0035435A" w:rsidRPr="0016719D" w:rsidRDefault="0035435A" w:rsidP="00A04245">
      <w:pPr>
        <w:pStyle w:val="FootnoteText"/>
        <w:rPr>
          <w:lang w:val="es-US"/>
        </w:rPr>
      </w:pPr>
      <w:r w:rsidRPr="0016719D">
        <w:rPr>
          <w:rStyle w:val="FootnoteReference"/>
        </w:rPr>
        <w:footnoteRef/>
      </w:r>
      <w:r w:rsidRPr="0016719D">
        <w:rPr>
          <w:lang w:val="es-US"/>
        </w:rPr>
        <w:t xml:space="preserve"> </w:t>
      </w:r>
      <w:r w:rsidRPr="0016719D">
        <w:rPr>
          <w:bCs/>
          <w:lang w:val="es-US"/>
        </w:rPr>
        <w:t xml:space="preserve">Corte IDH. </w:t>
      </w:r>
      <w:r w:rsidRPr="0016719D">
        <w:rPr>
          <w:bCs/>
          <w:i/>
          <w:lang w:val="es-US"/>
        </w:rPr>
        <w:t>Caso Velásquez Rodríguez Vs. Honduras</w:t>
      </w:r>
      <w:r w:rsidRPr="0016719D">
        <w:rPr>
          <w:bCs/>
          <w:lang w:val="es-US"/>
        </w:rPr>
        <w:t>. Fondo. Sentencia de 29 de julio de 1988. Serie C No. 4, párr. 177.</w:t>
      </w:r>
    </w:p>
  </w:footnote>
  <w:footnote w:id="63">
    <w:p w14:paraId="7251E3EE" w14:textId="77777777" w:rsidR="0035435A" w:rsidRPr="0016719D" w:rsidRDefault="0035435A" w:rsidP="00F1453D">
      <w:pPr>
        <w:pStyle w:val="FootnoteText"/>
        <w:rPr>
          <w:lang w:val="es-ES"/>
        </w:rPr>
      </w:pPr>
      <w:r w:rsidRPr="0016719D">
        <w:rPr>
          <w:rStyle w:val="FootnoteReference"/>
        </w:rPr>
        <w:footnoteRef/>
      </w:r>
      <w:r w:rsidRPr="0016719D">
        <w:rPr>
          <w:lang w:val="es-ES"/>
        </w:rPr>
        <w:t xml:space="preserve"> UN. </w:t>
      </w:r>
      <w:r w:rsidRPr="0016719D">
        <w:rPr>
          <w:i/>
          <w:lang w:val="es-ES"/>
        </w:rPr>
        <w:t>Protocolo de Minnesota sobre la Investigación de Muertes Potencialmente Ilícitas</w:t>
      </w:r>
      <w:r w:rsidRPr="0016719D">
        <w:rPr>
          <w:lang w:val="es-ES"/>
        </w:rPr>
        <w:t xml:space="preserve"> (2016), Oficina del Alto Comisionado de las Naciones Unidas para los Derechos Humanos, Nueva York y Ginebra, 2017 (</w:t>
      </w:r>
      <w:r w:rsidRPr="0016719D">
        <w:rPr>
          <w:i/>
          <w:lang w:val="es-ES"/>
        </w:rPr>
        <w:t>Protocolo de Minnesota</w:t>
      </w:r>
      <w:r w:rsidRPr="0016719D">
        <w:rPr>
          <w:lang w:val="es-ES"/>
        </w:rPr>
        <w:t>).</w:t>
      </w:r>
    </w:p>
  </w:footnote>
  <w:footnote w:id="64">
    <w:p w14:paraId="4AA20D48"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Pr="0016719D">
        <w:rPr>
          <w:rFonts w:eastAsia="Times New Roman"/>
          <w:bCs/>
          <w:color w:val="auto"/>
          <w:lang w:val="es-ES"/>
        </w:rPr>
        <w:t xml:space="preserve">Corte IDH. </w:t>
      </w:r>
      <w:r w:rsidRPr="0016719D">
        <w:rPr>
          <w:rFonts w:eastAsia="Times New Roman"/>
          <w:bCs/>
          <w:i/>
          <w:color w:val="auto"/>
          <w:lang w:val="es-ES"/>
        </w:rPr>
        <w:t xml:space="preserve">Caso Ortiz Hernández y otros Vs. Venezuela. </w:t>
      </w:r>
      <w:r w:rsidRPr="0016719D">
        <w:rPr>
          <w:rFonts w:eastAsia="Times New Roman"/>
          <w:bCs/>
          <w:color w:val="auto"/>
          <w:lang w:val="es-ES"/>
        </w:rPr>
        <w:t xml:space="preserve">Fondo, Reparaciones y Costas. </w:t>
      </w:r>
      <w:r w:rsidRPr="0016719D">
        <w:rPr>
          <w:rFonts w:eastAsia="Times New Roman"/>
          <w:bCs/>
          <w:color w:val="auto"/>
          <w:lang w:val="es-CO"/>
        </w:rPr>
        <w:t>Sentencia de 22 de agosto de 2017. Serie C No. 338, párr. 161.</w:t>
      </w:r>
    </w:p>
  </w:footnote>
  <w:footnote w:id="65">
    <w:p w14:paraId="45E46BAE" w14:textId="77777777" w:rsidR="0035435A" w:rsidRPr="0016719D" w:rsidRDefault="0035435A">
      <w:pPr>
        <w:pStyle w:val="FootnoteText"/>
        <w:rPr>
          <w:lang w:val="es-US"/>
        </w:rPr>
      </w:pPr>
      <w:r w:rsidRPr="0016719D">
        <w:rPr>
          <w:rStyle w:val="FootnoteReference"/>
        </w:rPr>
        <w:footnoteRef/>
      </w:r>
      <w:r w:rsidRPr="0016719D">
        <w:rPr>
          <w:lang w:val="es-US"/>
        </w:rPr>
        <w:t xml:space="preserve"> </w:t>
      </w:r>
      <w:r w:rsidRPr="0016719D">
        <w:rPr>
          <w:lang w:val="es-ES"/>
        </w:rPr>
        <w:t xml:space="preserve">UN. </w:t>
      </w:r>
      <w:r w:rsidRPr="0016719D">
        <w:rPr>
          <w:i/>
          <w:lang w:val="es-ES"/>
        </w:rPr>
        <w:t>Protocolo de Minnesota</w:t>
      </w:r>
      <w:r w:rsidRPr="0016719D">
        <w:rPr>
          <w:lang w:val="es-ES"/>
        </w:rPr>
        <w:t>, párr. 25.</w:t>
      </w:r>
    </w:p>
  </w:footnote>
  <w:footnote w:id="66">
    <w:p w14:paraId="6703DAF5" w14:textId="77777777" w:rsidR="0035435A" w:rsidRPr="0016719D" w:rsidRDefault="0035435A" w:rsidP="001C1F09">
      <w:pPr>
        <w:pStyle w:val="FootnoteText"/>
        <w:rPr>
          <w:rFonts w:ascii="Cambria" w:hAnsi="Cambria"/>
          <w:lang w:val="es-US"/>
        </w:rPr>
      </w:pPr>
      <w:r w:rsidRPr="0016719D">
        <w:rPr>
          <w:rStyle w:val="FootnoteReference"/>
          <w:rFonts w:ascii="Cambria" w:hAnsi="Cambria"/>
        </w:rPr>
        <w:footnoteRef/>
      </w:r>
      <w:r w:rsidRPr="0016719D">
        <w:rPr>
          <w:rFonts w:ascii="Cambria" w:hAnsi="Cambria"/>
          <w:lang w:val="es-MX"/>
        </w:rPr>
        <w:t xml:space="preserve"> </w:t>
      </w:r>
      <w:r w:rsidRPr="0016719D">
        <w:rPr>
          <w:rFonts w:ascii="Cambria" w:hAnsi="Cambria"/>
          <w:lang w:val="es-VE"/>
        </w:rPr>
        <w:t xml:space="preserve">CIDH, </w:t>
      </w:r>
      <w:r w:rsidRPr="0016719D">
        <w:rPr>
          <w:rFonts w:ascii="Cambria" w:hAnsi="Cambria"/>
          <w:i/>
          <w:lang w:val="es-VE"/>
        </w:rPr>
        <w:t>Segundo Informe sobre la situación de las defensoras y los defensores de derechos humanos en las Américas</w:t>
      </w:r>
      <w:r w:rsidRPr="0016719D">
        <w:rPr>
          <w:rFonts w:ascii="Cambria" w:hAnsi="Cambria"/>
          <w:lang w:val="es-VE"/>
        </w:rPr>
        <w:t xml:space="preserve">, OEA/ser.L/V/II.Doc.66, 31 de diciembre de 2011, párr. </w:t>
      </w:r>
      <w:r w:rsidRPr="0016719D">
        <w:rPr>
          <w:rFonts w:ascii="Cambria" w:hAnsi="Cambria"/>
          <w:lang w:val="es-US"/>
        </w:rPr>
        <w:t>45.</w:t>
      </w:r>
    </w:p>
  </w:footnote>
  <w:footnote w:id="67">
    <w:p w14:paraId="19F3E6A9" w14:textId="77777777" w:rsidR="0035435A" w:rsidRPr="0016719D" w:rsidRDefault="0035435A" w:rsidP="0050521B">
      <w:pPr>
        <w:pStyle w:val="FootnoteText"/>
        <w:rPr>
          <w:rFonts w:ascii="Cambria" w:hAnsi="Cambria"/>
          <w:lang w:val="pt-BR"/>
        </w:rPr>
      </w:pPr>
      <w:r w:rsidRPr="0016719D">
        <w:rPr>
          <w:rStyle w:val="FootnoteReference"/>
          <w:rFonts w:ascii="Cambria" w:hAnsi="Cambria"/>
        </w:rPr>
        <w:footnoteRef/>
      </w:r>
      <w:r w:rsidRPr="0016719D">
        <w:rPr>
          <w:rFonts w:ascii="Cambria" w:hAnsi="Cambria" w:cs="Arial"/>
          <w:lang w:val="es-US"/>
        </w:rPr>
        <w:t xml:space="preserve"> </w:t>
      </w:r>
      <w:r w:rsidRPr="0016719D">
        <w:rPr>
          <w:rFonts w:ascii="Cambria" w:hAnsi="Cambria"/>
          <w:lang w:val="es-US"/>
        </w:rPr>
        <w:t xml:space="preserve">Corte IDH. Sentencia </w:t>
      </w:r>
      <w:r w:rsidRPr="0016719D">
        <w:rPr>
          <w:rFonts w:ascii="Cambria" w:hAnsi="Cambria"/>
          <w:i/>
          <w:lang w:val="es-US"/>
        </w:rPr>
        <w:t>Comunidad Moiwana</w:t>
      </w:r>
      <w:r w:rsidRPr="0016719D">
        <w:rPr>
          <w:rFonts w:ascii="Cambria" w:hAnsi="Cambria"/>
          <w:lang w:val="es-US"/>
        </w:rPr>
        <w:t xml:space="preserve">, párr. 160; </w:t>
      </w:r>
      <w:r w:rsidRPr="0016719D">
        <w:rPr>
          <w:rFonts w:ascii="Cambria" w:hAnsi="Cambria"/>
          <w:i/>
          <w:lang w:val="es-US"/>
        </w:rPr>
        <w:t>Caso Gómez Palomino Vs. Perú</w:t>
      </w:r>
      <w:r w:rsidRPr="0016719D">
        <w:rPr>
          <w:rFonts w:ascii="Cambria" w:hAnsi="Cambria"/>
          <w:lang w:val="es-US"/>
        </w:rPr>
        <w:t xml:space="preserve">. Fondo, Reparaciones y Costas. Sentencia de 22 de noviembre de 2005. Serie C No. 136, párr. </w:t>
      </w:r>
      <w:r w:rsidRPr="0016719D">
        <w:rPr>
          <w:rFonts w:ascii="Cambria" w:hAnsi="Cambria" w:cs="Arial"/>
          <w:lang w:val="es-US"/>
        </w:rPr>
        <w:t xml:space="preserve">85; </w:t>
      </w:r>
      <w:r w:rsidRPr="0016719D">
        <w:rPr>
          <w:rFonts w:ascii="Cambria" w:hAnsi="Cambria"/>
          <w:i/>
          <w:lang w:val="es-ES_tradnl"/>
        </w:rPr>
        <w:t>Caso García Asto y Ramírez Rojas Vs. Perú</w:t>
      </w:r>
      <w:r w:rsidRPr="0016719D">
        <w:rPr>
          <w:rFonts w:ascii="Cambria" w:hAnsi="Cambria"/>
          <w:lang w:val="es-ES_tradnl"/>
        </w:rPr>
        <w:t xml:space="preserve">. </w:t>
      </w:r>
      <w:r w:rsidRPr="0016719D">
        <w:rPr>
          <w:rFonts w:ascii="Cambria" w:hAnsi="Cambria"/>
          <w:lang w:val="es-AR"/>
        </w:rPr>
        <w:t>Fondo, Reparaciones y Costas.</w:t>
      </w:r>
      <w:r w:rsidRPr="0016719D">
        <w:rPr>
          <w:rFonts w:ascii="Cambria" w:hAnsi="Cambria"/>
          <w:lang w:val="es-ES_tradnl"/>
        </w:rPr>
        <w:t xml:space="preserve"> Sentencia de 25 de noviembre de 2005. </w:t>
      </w:r>
      <w:r w:rsidRPr="0016719D">
        <w:rPr>
          <w:rFonts w:ascii="Cambria" w:hAnsi="Cambria"/>
          <w:lang w:val="pt-BR"/>
        </w:rPr>
        <w:t>Serie C No. 137</w:t>
      </w:r>
      <w:r w:rsidRPr="0016719D">
        <w:rPr>
          <w:rFonts w:ascii="Cambria" w:hAnsi="Cambria" w:cs="Arial"/>
          <w:iCs/>
          <w:lang w:val="pt-BR"/>
        </w:rPr>
        <w:t xml:space="preserve">, párr. 166. </w:t>
      </w:r>
    </w:p>
  </w:footnote>
  <w:footnote w:id="68">
    <w:p w14:paraId="3CE4AC53" w14:textId="77777777" w:rsidR="0035435A" w:rsidRPr="0016719D" w:rsidRDefault="0035435A" w:rsidP="0050521B">
      <w:pPr>
        <w:pStyle w:val="FootnoteText"/>
        <w:rPr>
          <w:rFonts w:ascii="Cambria" w:hAnsi="Cambria"/>
          <w:lang w:val="pt-BR"/>
        </w:rPr>
      </w:pPr>
      <w:r w:rsidRPr="0016719D">
        <w:rPr>
          <w:rStyle w:val="FootnoteReference"/>
          <w:rFonts w:ascii="Cambria" w:hAnsi="Cambria"/>
        </w:rPr>
        <w:footnoteRef/>
      </w:r>
      <w:r w:rsidRPr="0016719D">
        <w:rPr>
          <w:rFonts w:ascii="Cambria" w:hAnsi="Cambria"/>
          <w:lang w:val="pt-BR"/>
        </w:rPr>
        <w:t xml:space="preserve"> Corte IDH. Sentencia </w:t>
      </w:r>
      <w:r w:rsidRPr="0016719D">
        <w:rPr>
          <w:rFonts w:ascii="Cambria" w:hAnsi="Cambria"/>
          <w:i/>
          <w:lang w:val="pt-BR"/>
        </w:rPr>
        <w:t>Ricardo Canese</w:t>
      </w:r>
      <w:r w:rsidRPr="0016719D">
        <w:rPr>
          <w:rFonts w:ascii="Cambria" w:hAnsi="Cambria"/>
          <w:lang w:val="pt-BR"/>
        </w:rPr>
        <w:t>, párr.</w:t>
      </w:r>
      <w:r w:rsidRPr="0016719D">
        <w:rPr>
          <w:rFonts w:ascii="Cambria" w:hAnsi="Cambria" w:cs="Arial"/>
          <w:lang w:val="pt-BR"/>
        </w:rPr>
        <w:t xml:space="preserve"> 142.</w:t>
      </w:r>
    </w:p>
  </w:footnote>
  <w:footnote w:id="69">
    <w:p w14:paraId="2BB3B835" w14:textId="77777777" w:rsidR="0035435A" w:rsidRPr="0016719D" w:rsidRDefault="0035435A" w:rsidP="0050521B">
      <w:pPr>
        <w:pStyle w:val="FootnoteText"/>
        <w:rPr>
          <w:rFonts w:ascii="Cambria" w:hAnsi="Cambria"/>
          <w:lang w:val="es-ES_tradnl"/>
        </w:rPr>
      </w:pPr>
      <w:r w:rsidRPr="0016719D">
        <w:rPr>
          <w:rStyle w:val="FootnoteReference"/>
          <w:rFonts w:ascii="Cambria" w:hAnsi="Cambria"/>
        </w:rPr>
        <w:footnoteRef/>
      </w:r>
      <w:r w:rsidRPr="0016719D">
        <w:rPr>
          <w:rFonts w:ascii="Cambria" w:hAnsi="Cambria" w:cs="Arial"/>
          <w:lang w:val="pt-BR"/>
        </w:rPr>
        <w:t xml:space="preserve"> </w:t>
      </w:r>
      <w:r w:rsidRPr="0016719D">
        <w:rPr>
          <w:rFonts w:ascii="Cambria" w:hAnsi="Cambria"/>
          <w:lang w:val="pt-BR"/>
        </w:rPr>
        <w:t xml:space="preserve">Corte IDH. </w:t>
      </w:r>
      <w:r w:rsidRPr="0016719D">
        <w:rPr>
          <w:rFonts w:ascii="Cambria" w:hAnsi="Cambria"/>
          <w:i/>
          <w:lang w:val="es-ES_tradnl"/>
        </w:rPr>
        <w:t>Caso</w:t>
      </w:r>
      <w:r w:rsidRPr="0016719D">
        <w:rPr>
          <w:rFonts w:ascii="Cambria" w:hAnsi="Cambria"/>
          <w:lang w:val="es-ES_tradnl"/>
        </w:rPr>
        <w:t xml:space="preserve"> </w:t>
      </w:r>
      <w:r w:rsidRPr="0016719D">
        <w:rPr>
          <w:rFonts w:ascii="Cambria" w:hAnsi="Cambria"/>
          <w:i/>
          <w:lang w:val="es-ES_tradnl"/>
        </w:rPr>
        <w:t>López Álvarez Vs. Honduras</w:t>
      </w:r>
      <w:r w:rsidRPr="0016719D">
        <w:rPr>
          <w:rFonts w:ascii="Cambria" w:hAnsi="Cambria"/>
          <w:lang w:val="es-ES_tradnl"/>
        </w:rPr>
        <w:t>. Fondo, Reparaciones y Costas. Sentencia de 1 de febrero de 2006. Serie C No. 141, párr.</w:t>
      </w:r>
      <w:r w:rsidRPr="0016719D">
        <w:rPr>
          <w:rFonts w:ascii="Cambria" w:hAnsi="Cambria" w:cs="Arial"/>
          <w:lang w:val="es-ES"/>
        </w:rPr>
        <w:t xml:space="preserve"> 129; </w:t>
      </w:r>
      <w:r w:rsidRPr="0016719D">
        <w:rPr>
          <w:rFonts w:ascii="Cambria" w:hAnsi="Cambria"/>
          <w:lang w:val="es-ES_tradnl"/>
        </w:rPr>
        <w:t xml:space="preserve">Corte IDH. </w:t>
      </w:r>
      <w:r w:rsidRPr="0016719D">
        <w:rPr>
          <w:rFonts w:ascii="Cambria" w:hAnsi="Cambria"/>
          <w:i/>
          <w:lang w:val="es-ES_tradnl"/>
        </w:rPr>
        <w:t>Caso Acosta Calderón Vs. Ecuador</w:t>
      </w:r>
      <w:r w:rsidRPr="0016719D">
        <w:rPr>
          <w:rFonts w:ascii="Cambria" w:hAnsi="Cambria"/>
          <w:lang w:val="es-ES_tradnl"/>
        </w:rPr>
        <w:t>. Fondo, Reparaciones y Costas. Sentencia de 24 de junio de 2005. Serie C No. 129, párr.</w:t>
      </w:r>
      <w:r w:rsidRPr="0016719D">
        <w:rPr>
          <w:rFonts w:ascii="Cambria" w:hAnsi="Cambria" w:cs="Arial"/>
          <w:lang w:val="es-ES"/>
        </w:rPr>
        <w:t xml:space="preserve"> 104; y</w:t>
      </w:r>
      <w:r w:rsidRPr="0016719D">
        <w:rPr>
          <w:rFonts w:ascii="Cambria" w:hAnsi="Cambria"/>
          <w:lang w:val="es-ES_tradnl"/>
        </w:rPr>
        <w:t xml:space="preserve"> Corte IDH. </w:t>
      </w:r>
      <w:r w:rsidRPr="0016719D">
        <w:rPr>
          <w:rFonts w:ascii="Cambria" w:hAnsi="Cambria"/>
          <w:i/>
          <w:lang w:val="es-ES_tradnl"/>
        </w:rPr>
        <w:t>Caso Tibi Vs. Ecuador</w:t>
      </w:r>
      <w:r w:rsidRPr="0016719D">
        <w:rPr>
          <w:rFonts w:ascii="Cambria" w:hAnsi="Cambria"/>
          <w:lang w:val="es-ES_tradnl"/>
        </w:rPr>
        <w:t>. Excepciones Preliminares, Fondo, Reparaciones y Costas. Sentencia de 7 de septiembre de 2004. Serie C No. 114</w:t>
      </w:r>
      <w:r w:rsidRPr="0016719D">
        <w:rPr>
          <w:rFonts w:ascii="Cambria" w:hAnsi="Cambria" w:cs="Arial"/>
          <w:lang w:val="es-ES_tradnl"/>
        </w:rPr>
        <w:t>, párr. 168.</w:t>
      </w:r>
    </w:p>
  </w:footnote>
  <w:footnote w:id="70">
    <w:p w14:paraId="28AE8ABE" w14:textId="77777777" w:rsidR="0035435A" w:rsidRPr="0016719D" w:rsidRDefault="0035435A" w:rsidP="0050521B">
      <w:pPr>
        <w:pStyle w:val="FootnoteText"/>
        <w:rPr>
          <w:rFonts w:ascii="Cambria" w:hAnsi="Cambria"/>
          <w:lang w:val="es-ES_tradnl"/>
        </w:rPr>
      </w:pPr>
      <w:r w:rsidRPr="0016719D">
        <w:rPr>
          <w:rStyle w:val="FootnoteReference"/>
          <w:rFonts w:ascii="Cambria" w:hAnsi="Cambria"/>
        </w:rPr>
        <w:footnoteRef/>
      </w:r>
      <w:r w:rsidRPr="0016719D">
        <w:rPr>
          <w:rFonts w:ascii="Cambria" w:hAnsi="Cambria" w:cs="Arial"/>
          <w:lang w:val="es-ES_tradnl"/>
        </w:rPr>
        <w:t xml:space="preserve"> </w:t>
      </w:r>
      <w:r w:rsidRPr="0016719D">
        <w:rPr>
          <w:rFonts w:ascii="Cambria" w:hAnsi="Cambria"/>
          <w:lang w:val="es-ES_tradnl"/>
        </w:rPr>
        <w:t xml:space="preserve">Corte IDH. Sentencia </w:t>
      </w:r>
      <w:r w:rsidRPr="0016719D">
        <w:rPr>
          <w:rFonts w:ascii="Cambria" w:hAnsi="Cambria"/>
          <w:i/>
          <w:lang w:val="es-ES_tradnl"/>
        </w:rPr>
        <w:t>Masacre de Santo Domingo</w:t>
      </w:r>
      <w:r w:rsidRPr="0016719D">
        <w:rPr>
          <w:rFonts w:ascii="Cambria" w:hAnsi="Cambria"/>
          <w:lang w:val="es-ES_tradnl"/>
        </w:rPr>
        <w:t>, párr.</w:t>
      </w:r>
      <w:r w:rsidRPr="0016719D">
        <w:rPr>
          <w:rFonts w:ascii="Cambria" w:hAnsi="Cambria" w:cs="Arial"/>
          <w:lang w:val="es-ES_tradnl"/>
        </w:rPr>
        <w:t xml:space="preserve"> </w:t>
      </w:r>
      <w:r w:rsidRPr="0016719D">
        <w:rPr>
          <w:rFonts w:ascii="Cambria" w:hAnsi="Cambria" w:cs="Arial"/>
          <w:lang w:val="es-ES"/>
        </w:rPr>
        <w:t>164.</w:t>
      </w:r>
    </w:p>
  </w:footnote>
  <w:footnote w:id="71">
    <w:p w14:paraId="4B0D6B6C" w14:textId="77777777" w:rsidR="0035435A" w:rsidRPr="0016719D" w:rsidRDefault="0035435A" w:rsidP="00063572">
      <w:pPr>
        <w:pStyle w:val="FootnoteText"/>
        <w:rPr>
          <w:lang w:val="es-US"/>
        </w:rPr>
      </w:pPr>
      <w:r w:rsidRPr="0016719D">
        <w:rPr>
          <w:rStyle w:val="FootnoteReference"/>
        </w:rPr>
        <w:footnoteRef/>
      </w:r>
      <w:r w:rsidRPr="0016719D">
        <w:rPr>
          <w:lang w:val="es-US"/>
        </w:rPr>
        <w:t xml:space="preserve"> Corte IDH. Sentencia </w:t>
      </w:r>
      <w:r w:rsidRPr="0016719D">
        <w:rPr>
          <w:i/>
          <w:lang w:val="es-US"/>
        </w:rPr>
        <w:t>Masacre de las Dos Erres</w:t>
      </w:r>
      <w:r w:rsidRPr="0016719D">
        <w:rPr>
          <w:lang w:val="es-US"/>
        </w:rPr>
        <w:t xml:space="preserve">, párr. 206. </w:t>
      </w:r>
    </w:p>
  </w:footnote>
  <w:footnote w:id="72">
    <w:p w14:paraId="5CDEE440" w14:textId="77777777" w:rsidR="0035435A" w:rsidRPr="00E5046F" w:rsidRDefault="0035435A" w:rsidP="00063572">
      <w:pPr>
        <w:pStyle w:val="FootnoteText"/>
        <w:rPr>
          <w:lang w:val="es-ES_tradnl"/>
        </w:rPr>
      </w:pPr>
      <w:r w:rsidRPr="0016719D">
        <w:rPr>
          <w:rStyle w:val="FootnoteReference"/>
        </w:rPr>
        <w:footnoteRef/>
      </w:r>
      <w:r w:rsidRPr="0016719D">
        <w:rPr>
          <w:lang w:val="es-US"/>
        </w:rPr>
        <w:t xml:space="preserve"> </w:t>
      </w:r>
      <w:r w:rsidRPr="0016719D">
        <w:rPr>
          <w:noProof/>
          <w:lang w:val="es-US"/>
        </w:rPr>
        <w:t xml:space="preserve">Corte IDH. </w:t>
      </w:r>
      <w:r w:rsidRPr="0016719D">
        <w:rPr>
          <w:noProof/>
          <w:lang w:val="es-ES"/>
        </w:rPr>
        <w:t xml:space="preserve">Sentencia </w:t>
      </w:r>
      <w:r w:rsidRPr="0016719D">
        <w:rPr>
          <w:i/>
          <w:noProof/>
          <w:lang w:val="es-ES"/>
        </w:rPr>
        <w:t>Valle Jaramillo</w:t>
      </w:r>
      <w:r w:rsidRPr="0016719D">
        <w:rPr>
          <w:noProof/>
          <w:lang w:val="es-ES"/>
        </w:rPr>
        <w:t>, párr.</w:t>
      </w:r>
      <w:r w:rsidRPr="0016719D">
        <w:rPr>
          <w:lang w:val="es-ES_tradnl"/>
        </w:rPr>
        <w:t xml:space="preserve"> 102.</w:t>
      </w:r>
      <w:r w:rsidRPr="00925087">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1CB8" w14:textId="77777777" w:rsidR="0035435A" w:rsidRDefault="0035435A" w:rsidP="000C19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95A7F0F" w14:textId="77777777" w:rsidR="0035435A" w:rsidRDefault="0035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2AAC" w14:textId="77777777" w:rsidR="0035435A" w:rsidRDefault="0035435A" w:rsidP="00A50FCF">
    <w:pPr>
      <w:pStyle w:val="Header"/>
      <w:tabs>
        <w:tab w:val="clear" w:pos="4320"/>
        <w:tab w:val="clear" w:pos="8640"/>
      </w:tabs>
      <w:jc w:val="center"/>
      <w:rPr>
        <w:sz w:val="22"/>
        <w:szCs w:val="22"/>
      </w:rPr>
    </w:pPr>
    <w:r>
      <w:rPr>
        <w:noProof/>
        <w:sz w:val="22"/>
        <w:szCs w:val="22"/>
      </w:rPr>
      <w:drawing>
        <wp:inline distT="0" distB="0" distL="0" distR="0" wp14:anchorId="02B956CC" wp14:editId="1B4384D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084C9AD" w14:textId="77777777" w:rsidR="0035435A" w:rsidRPr="00EC7D62" w:rsidRDefault="004B28A0" w:rsidP="00A50FCF">
    <w:pPr>
      <w:pStyle w:val="Header"/>
      <w:tabs>
        <w:tab w:val="clear" w:pos="4320"/>
        <w:tab w:val="clear" w:pos="8640"/>
      </w:tabs>
      <w:jc w:val="center"/>
      <w:rPr>
        <w:sz w:val="22"/>
        <w:szCs w:val="22"/>
      </w:rPr>
    </w:pPr>
    <w:r>
      <w:rPr>
        <w:noProof/>
        <w:sz w:val="22"/>
        <w:szCs w:val="22"/>
        <w:bdr w:val="nil"/>
      </w:rPr>
      <w:pict w14:anchorId="084CC0F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3B3FD0"/>
    <w:multiLevelType w:val="hybridMultilevel"/>
    <w:tmpl w:val="35FAFF90"/>
    <w:lvl w:ilvl="0" w:tplc="C5D8AC78">
      <w:start w:val="1"/>
      <w:numFmt w:val="decimal"/>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561612"/>
    <w:multiLevelType w:val="hybridMultilevel"/>
    <w:tmpl w:val="B8A29964"/>
    <w:lvl w:ilvl="0" w:tplc="58E4771E">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C5107"/>
    <w:multiLevelType w:val="hybridMultilevel"/>
    <w:tmpl w:val="1F6E3488"/>
    <w:lvl w:ilvl="0" w:tplc="BCE67EDA">
      <w:start w:val="1"/>
      <w:numFmt w:val="upperLetter"/>
      <w:pStyle w:val="Heading2"/>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DC4CE842"/>
    <w:lvl w:ilvl="0" w:tplc="1534EA50">
      <w:start w:val="1"/>
      <w:numFmt w:val="upperRoman"/>
      <w:pStyle w:val="Heading1"/>
      <w:lvlText w:val="%1."/>
      <w:lvlJc w:val="left"/>
      <w:pPr>
        <w:ind w:left="46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E871FA"/>
    <w:multiLevelType w:val="hybridMultilevel"/>
    <w:tmpl w:val="D3E44D62"/>
    <w:lvl w:ilvl="0" w:tplc="342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9D20728"/>
    <w:multiLevelType w:val="multilevel"/>
    <w:tmpl w:val="6EC2A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5A681F10"/>
    <w:multiLevelType w:val="hybridMultilevel"/>
    <w:tmpl w:val="A8D6BFA0"/>
    <w:lvl w:ilvl="0" w:tplc="E20A29CA">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82EE7E6E"/>
    <w:lvl w:ilvl="0" w:tplc="9E0CAF0C">
      <w:start w:val="1"/>
      <w:numFmt w:val="decimal"/>
      <w:lvlText w:val="%1."/>
      <w:lvlJc w:val="left"/>
      <w:pPr>
        <w:ind w:left="108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50C2010"/>
    <w:multiLevelType w:val="hybridMultilevel"/>
    <w:tmpl w:val="E0223D7C"/>
    <w:lvl w:ilvl="0" w:tplc="0F9AC49C">
      <w:start w:val="1"/>
      <w:numFmt w:val="decimal"/>
      <w:pStyle w:val="ListParagraph"/>
      <w:lvlText w:val="%1."/>
      <w:lvlJc w:val="left"/>
      <w:pPr>
        <w:ind w:left="7740" w:hanging="360"/>
      </w:pPr>
      <w:rPr>
        <w:rFonts w:ascii="Cambria" w:hAnsi="Cambria" w:hint="default"/>
        <w:b w:val="0"/>
        <w:i w:val="0"/>
        <w:sz w:val="20"/>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50"/>
  </w:num>
  <w:num w:numId="6">
    <w:abstractNumId w:val="28"/>
  </w:num>
  <w:num w:numId="7">
    <w:abstractNumId w:val="7"/>
  </w:num>
  <w:num w:numId="8">
    <w:abstractNumId w:val="18"/>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1"/>
  </w:num>
  <w:num w:numId="43">
    <w:abstractNumId w:val="52"/>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2"/>
  </w:num>
  <w:num w:numId="53">
    <w:abstractNumId w:val="47"/>
  </w:num>
  <w:num w:numId="54">
    <w:abstractNumId w:val="26"/>
  </w:num>
  <w:num w:numId="55">
    <w:abstractNumId w:val="45"/>
  </w:num>
  <w:num w:numId="56">
    <w:abstractNumId w:val="54"/>
  </w:num>
  <w:num w:numId="57">
    <w:abstractNumId w:val="17"/>
  </w:num>
  <w:num w:numId="58">
    <w:abstractNumId w:val="6"/>
  </w:num>
  <w:num w:numId="59">
    <w:abstractNumId w:val="17"/>
    <w:lvlOverride w:ilvl="0">
      <w:startOverride w:val="1"/>
    </w:lvlOverride>
  </w:num>
  <w:num w:numId="60">
    <w:abstractNumId w:val="17"/>
    <w:lvlOverride w:ilvl="0">
      <w:startOverride w:val="1"/>
    </w:lvlOverride>
  </w:num>
  <w:num w:numId="61">
    <w:abstractNumId w:val="54"/>
    <w:lvlOverride w:ilvl="0">
      <w:startOverride w:val="1"/>
    </w:lvlOverride>
  </w:num>
  <w:num w:numId="62">
    <w:abstractNumId w:val="54"/>
    <w:lvlOverride w:ilvl="0">
      <w:startOverride w:val="1"/>
    </w:lvlOverride>
  </w:num>
  <w:num w:numId="63">
    <w:abstractNumId w:val="54"/>
    <w:lvlOverride w:ilvl="0">
      <w:startOverride w:val="1"/>
    </w:lvlOverride>
  </w:num>
  <w:num w:numId="64">
    <w:abstractNumId w:val="48"/>
  </w:num>
  <w:num w:numId="65">
    <w:abstractNumId w:val="54"/>
    <w:lvlOverride w:ilvl="0">
      <w:startOverride w:val="1"/>
    </w:lvlOverride>
  </w:num>
  <w:num w:numId="66">
    <w:abstractNumId w:val="54"/>
    <w:lvlOverride w:ilvl="0">
      <w:startOverride w:val="1"/>
    </w:lvlOverride>
  </w:num>
  <w:num w:numId="67">
    <w:abstractNumId w:val="44"/>
  </w:num>
  <w:num w:numId="68">
    <w:abstractNumId w:val="54"/>
    <w:lvlOverride w:ilvl="0">
      <w:startOverride w:val="1"/>
    </w:lvlOverride>
  </w:num>
  <w:num w:numId="69">
    <w:abstractNumId w:val="54"/>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37"/>
  </w:num>
  <w:num w:numId="73">
    <w:abstractNumId w:val="3"/>
  </w:num>
  <w:num w:numId="74">
    <w:abstractNumId w:val="17"/>
    <w:lvlOverride w:ilvl="0">
      <w:startOverride w:val="1"/>
    </w:lvlOverride>
  </w:num>
  <w:num w:numId="75">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36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3A"/>
    <w:rsid w:val="000016CD"/>
    <w:rsid w:val="00001B40"/>
    <w:rsid w:val="0000378F"/>
    <w:rsid w:val="00004A39"/>
    <w:rsid w:val="0000501E"/>
    <w:rsid w:val="00006896"/>
    <w:rsid w:val="00006DD2"/>
    <w:rsid w:val="00006E1F"/>
    <w:rsid w:val="000070D7"/>
    <w:rsid w:val="00007604"/>
    <w:rsid w:val="0001180B"/>
    <w:rsid w:val="000126E7"/>
    <w:rsid w:val="00015540"/>
    <w:rsid w:val="000158FD"/>
    <w:rsid w:val="00015A35"/>
    <w:rsid w:val="000161EF"/>
    <w:rsid w:val="00016CF5"/>
    <w:rsid w:val="0001788C"/>
    <w:rsid w:val="0002223E"/>
    <w:rsid w:val="00022C1D"/>
    <w:rsid w:val="000255DD"/>
    <w:rsid w:val="00025DD7"/>
    <w:rsid w:val="0002747A"/>
    <w:rsid w:val="00027656"/>
    <w:rsid w:val="00031C94"/>
    <w:rsid w:val="00031E4C"/>
    <w:rsid w:val="00032034"/>
    <w:rsid w:val="0003211E"/>
    <w:rsid w:val="000342ED"/>
    <w:rsid w:val="00034A67"/>
    <w:rsid w:val="00034B75"/>
    <w:rsid w:val="000350D0"/>
    <w:rsid w:val="00035205"/>
    <w:rsid w:val="0003553F"/>
    <w:rsid w:val="00037C6D"/>
    <w:rsid w:val="00040C3A"/>
    <w:rsid w:val="000411B9"/>
    <w:rsid w:val="00042141"/>
    <w:rsid w:val="000428DF"/>
    <w:rsid w:val="0004441E"/>
    <w:rsid w:val="00045FCB"/>
    <w:rsid w:val="0004637B"/>
    <w:rsid w:val="00047EA6"/>
    <w:rsid w:val="00050BB2"/>
    <w:rsid w:val="00050EC3"/>
    <w:rsid w:val="0005136A"/>
    <w:rsid w:val="00053662"/>
    <w:rsid w:val="000539FE"/>
    <w:rsid w:val="000547E2"/>
    <w:rsid w:val="00055391"/>
    <w:rsid w:val="00056F86"/>
    <w:rsid w:val="00057F20"/>
    <w:rsid w:val="000624EB"/>
    <w:rsid w:val="00063572"/>
    <w:rsid w:val="0006466A"/>
    <w:rsid w:val="000651AF"/>
    <w:rsid w:val="00066EA5"/>
    <w:rsid w:val="00067A5D"/>
    <w:rsid w:val="00067FE5"/>
    <w:rsid w:val="0007021D"/>
    <w:rsid w:val="000712C5"/>
    <w:rsid w:val="000716C5"/>
    <w:rsid w:val="000725CF"/>
    <w:rsid w:val="00072D26"/>
    <w:rsid w:val="00073869"/>
    <w:rsid w:val="00075E23"/>
    <w:rsid w:val="00077649"/>
    <w:rsid w:val="0008061F"/>
    <w:rsid w:val="0008107E"/>
    <w:rsid w:val="00081481"/>
    <w:rsid w:val="000825B7"/>
    <w:rsid w:val="00082795"/>
    <w:rsid w:val="00082E57"/>
    <w:rsid w:val="0008347A"/>
    <w:rsid w:val="0008415E"/>
    <w:rsid w:val="00084521"/>
    <w:rsid w:val="00084A09"/>
    <w:rsid w:val="0008509D"/>
    <w:rsid w:val="00086510"/>
    <w:rsid w:val="00086EE9"/>
    <w:rsid w:val="0008768F"/>
    <w:rsid w:val="00087ACD"/>
    <w:rsid w:val="00090343"/>
    <w:rsid w:val="000904A5"/>
    <w:rsid w:val="00091F6C"/>
    <w:rsid w:val="00092076"/>
    <w:rsid w:val="0009344A"/>
    <w:rsid w:val="00094327"/>
    <w:rsid w:val="00095DEB"/>
    <w:rsid w:val="00096C0B"/>
    <w:rsid w:val="000A059A"/>
    <w:rsid w:val="000A0DEC"/>
    <w:rsid w:val="000A1E62"/>
    <w:rsid w:val="000A2400"/>
    <w:rsid w:val="000A392E"/>
    <w:rsid w:val="000A3DBA"/>
    <w:rsid w:val="000A3FA3"/>
    <w:rsid w:val="000A524C"/>
    <w:rsid w:val="000A575F"/>
    <w:rsid w:val="000A576A"/>
    <w:rsid w:val="000A7746"/>
    <w:rsid w:val="000B0C39"/>
    <w:rsid w:val="000B1B03"/>
    <w:rsid w:val="000B2272"/>
    <w:rsid w:val="000B4102"/>
    <w:rsid w:val="000B499E"/>
    <w:rsid w:val="000B6CDB"/>
    <w:rsid w:val="000B77AA"/>
    <w:rsid w:val="000C1822"/>
    <w:rsid w:val="000C19D9"/>
    <w:rsid w:val="000C1E49"/>
    <w:rsid w:val="000C20E4"/>
    <w:rsid w:val="000C333F"/>
    <w:rsid w:val="000C558C"/>
    <w:rsid w:val="000C5A25"/>
    <w:rsid w:val="000C7D8F"/>
    <w:rsid w:val="000C7DF0"/>
    <w:rsid w:val="000D06D9"/>
    <w:rsid w:val="000D09C4"/>
    <w:rsid w:val="000D10DB"/>
    <w:rsid w:val="000D27C5"/>
    <w:rsid w:val="000D2E67"/>
    <w:rsid w:val="000D5A42"/>
    <w:rsid w:val="000D5AF2"/>
    <w:rsid w:val="000E0448"/>
    <w:rsid w:val="000E11AF"/>
    <w:rsid w:val="000E2999"/>
    <w:rsid w:val="000E3E1C"/>
    <w:rsid w:val="000E3E49"/>
    <w:rsid w:val="000E4B76"/>
    <w:rsid w:val="000E58EE"/>
    <w:rsid w:val="000E5A4E"/>
    <w:rsid w:val="000E5EB5"/>
    <w:rsid w:val="000E795C"/>
    <w:rsid w:val="000E7E90"/>
    <w:rsid w:val="000F0A1E"/>
    <w:rsid w:val="000F35ED"/>
    <w:rsid w:val="000F50C1"/>
    <w:rsid w:val="00100267"/>
    <w:rsid w:val="001019B8"/>
    <w:rsid w:val="00103A6C"/>
    <w:rsid w:val="00104229"/>
    <w:rsid w:val="0010504C"/>
    <w:rsid w:val="001054BA"/>
    <w:rsid w:val="00105C1C"/>
    <w:rsid w:val="001063A4"/>
    <w:rsid w:val="00106B7B"/>
    <w:rsid w:val="00106C7A"/>
    <w:rsid w:val="00107131"/>
    <w:rsid w:val="0010736F"/>
    <w:rsid w:val="0011094A"/>
    <w:rsid w:val="001135D5"/>
    <w:rsid w:val="0011380E"/>
    <w:rsid w:val="00113F73"/>
    <w:rsid w:val="001142B0"/>
    <w:rsid w:val="0011698F"/>
    <w:rsid w:val="00116D66"/>
    <w:rsid w:val="00120060"/>
    <w:rsid w:val="0012113D"/>
    <w:rsid w:val="00121CC2"/>
    <w:rsid w:val="00121D63"/>
    <w:rsid w:val="0012289E"/>
    <w:rsid w:val="0012358E"/>
    <w:rsid w:val="00123FD6"/>
    <w:rsid w:val="00124409"/>
    <w:rsid w:val="00124CB9"/>
    <w:rsid w:val="00125FB6"/>
    <w:rsid w:val="00127074"/>
    <w:rsid w:val="00127E48"/>
    <w:rsid w:val="00130A8A"/>
    <w:rsid w:val="00131FD6"/>
    <w:rsid w:val="00132978"/>
    <w:rsid w:val="00132CEB"/>
    <w:rsid w:val="001334CA"/>
    <w:rsid w:val="00133E2A"/>
    <w:rsid w:val="00133EE5"/>
    <w:rsid w:val="001349CC"/>
    <w:rsid w:val="00135333"/>
    <w:rsid w:val="0013566E"/>
    <w:rsid w:val="00135F4A"/>
    <w:rsid w:val="0013667D"/>
    <w:rsid w:val="00136BB7"/>
    <w:rsid w:val="0014006E"/>
    <w:rsid w:val="0014242B"/>
    <w:rsid w:val="00142A18"/>
    <w:rsid w:val="00143165"/>
    <w:rsid w:val="00144470"/>
    <w:rsid w:val="00144BE6"/>
    <w:rsid w:val="001461A1"/>
    <w:rsid w:val="00147B76"/>
    <w:rsid w:val="00150DF5"/>
    <w:rsid w:val="00151C85"/>
    <w:rsid w:val="00152CDF"/>
    <w:rsid w:val="00154864"/>
    <w:rsid w:val="00156155"/>
    <w:rsid w:val="001564E1"/>
    <w:rsid w:val="00157AE7"/>
    <w:rsid w:val="0016088B"/>
    <w:rsid w:val="00161769"/>
    <w:rsid w:val="00162332"/>
    <w:rsid w:val="00162560"/>
    <w:rsid w:val="00165529"/>
    <w:rsid w:val="00165D91"/>
    <w:rsid w:val="00166189"/>
    <w:rsid w:val="001661B8"/>
    <w:rsid w:val="0016719D"/>
    <w:rsid w:val="00167586"/>
    <w:rsid w:val="00167601"/>
    <w:rsid w:val="00167A34"/>
    <w:rsid w:val="00167CA8"/>
    <w:rsid w:val="0017056A"/>
    <w:rsid w:val="00170924"/>
    <w:rsid w:val="00170B1F"/>
    <w:rsid w:val="001714AD"/>
    <w:rsid w:val="00172149"/>
    <w:rsid w:val="0017252D"/>
    <w:rsid w:val="0017268B"/>
    <w:rsid w:val="00172F6D"/>
    <w:rsid w:val="00174525"/>
    <w:rsid w:val="00174C6B"/>
    <w:rsid w:val="00175769"/>
    <w:rsid w:val="00181ACA"/>
    <w:rsid w:val="00181E1E"/>
    <w:rsid w:val="00181F34"/>
    <w:rsid w:val="001826CD"/>
    <w:rsid w:val="00182C08"/>
    <w:rsid w:val="00182DBA"/>
    <w:rsid w:val="001832CD"/>
    <w:rsid w:val="00184EB5"/>
    <w:rsid w:val="00186414"/>
    <w:rsid w:val="001873A1"/>
    <w:rsid w:val="001878C7"/>
    <w:rsid w:val="00194270"/>
    <w:rsid w:val="0019672B"/>
    <w:rsid w:val="001A0879"/>
    <w:rsid w:val="001A0C24"/>
    <w:rsid w:val="001A1250"/>
    <w:rsid w:val="001A1C0A"/>
    <w:rsid w:val="001A4D23"/>
    <w:rsid w:val="001A4FC2"/>
    <w:rsid w:val="001A763F"/>
    <w:rsid w:val="001A7870"/>
    <w:rsid w:val="001A7E53"/>
    <w:rsid w:val="001A7EA4"/>
    <w:rsid w:val="001B0717"/>
    <w:rsid w:val="001B0DF9"/>
    <w:rsid w:val="001B2E2F"/>
    <w:rsid w:val="001B6C99"/>
    <w:rsid w:val="001C08FD"/>
    <w:rsid w:val="001C103F"/>
    <w:rsid w:val="001C12D2"/>
    <w:rsid w:val="001C1B41"/>
    <w:rsid w:val="001C1F09"/>
    <w:rsid w:val="001C4345"/>
    <w:rsid w:val="001C5852"/>
    <w:rsid w:val="001D098F"/>
    <w:rsid w:val="001D10EF"/>
    <w:rsid w:val="001D18C7"/>
    <w:rsid w:val="001D24AB"/>
    <w:rsid w:val="001D26AE"/>
    <w:rsid w:val="001D2AA2"/>
    <w:rsid w:val="001D3061"/>
    <w:rsid w:val="001D4434"/>
    <w:rsid w:val="001D65EF"/>
    <w:rsid w:val="001D7534"/>
    <w:rsid w:val="001D75CE"/>
    <w:rsid w:val="001D7931"/>
    <w:rsid w:val="001D79BA"/>
    <w:rsid w:val="001E0C83"/>
    <w:rsid w:val="001E15B6"/>
    <w:rsid w:val="001E28D7"/>
    <w:rsid w:val="001E5640"/>
    <w:rsid w:val="001E6479"/>
    <w:rsid w:val="001E727E"/>
    <w:rsid w:val="001E78F1"/>
    <w:rsid w:val="001F0253"/>
    <w:rsid w:val="001F0A5B"/>
    <w:rsid w:val="001F2565"/>
    <w:rsid w:val="001F2FDF"/>
    <w:rsid w:val="001F3F6A"/>
    <w:rsid w:val="001F3FBB"/>
    <w:rsid w:val="001F461D"/>
    <w:rsid w:val="001F4C97"/>
    <w:rsid w:val="001F7243"/>
    <w:rsid w:val="0020401F"/>
    <w:rsid w:val="00204B61"/>
    <w:rsid w:val="00205038"/>
    <w:rsid w:val="002055FA"/>
    <w:rsid w:val="00207816"/>
    <w:rsid w:val="002100C1"/>
    <w:rsid w:val="00210DF7"/>
    <w:rsid w:val="002121C4"/>
    <w:rsid w:val="002133A8"/>
    <w:rsid w:val="00213710"/>
    <w:rsid w:val="0021451E"/>
    <w:rsid w:val="00214927"/>
    <w:rsid w:val="002169C4"/>
    <w:rsid w:val="002202A0"/>
    <w:rsid w:val="002202CE"/>
    <w:rsid w:val="0022071C"/>
    <w:rsid w:val="0022079F"/>
    <w:rsid w:val="00221D8B"/>
    <w:rsid w:val="0022273F"/>
    <w:rsid w:val="00222DD8"/>
    <w:rsid w:val="002235ED"/>
    <w:rsid w:val="002250A3"/>
    <w:rsid w:val="0022562D"/>
    <w:rsid w:val="00227D8E"/>
    <w:rsid w:val="00230A7E"/>
    <w:rsid w:val="00230EC7"/>
    <w:rsid w:val="00231DB6"/>
    <w:rsid w:val="0023231D"/>
    <w:rsid w:val="002332D5"/>
    <w:rsid w:val="00233CCC"/>
    <w:rsid w:val="002345F8"/>
    <w:rsid w:val="00235217"/>
    <w:rsid w:val="00235BF2"/>
    <w:rsid w:val="00237482"/>
    <w:rsid w:val="00245CCA"/>
    <w:rsid w:val="00245FAA"/>
    <w:rsid w:val="00246D1F"/>
    <w:rsid w:val="00247403"/>
    <w:rsid w:val="00247542"/>
    <w:rsid w:val="00247CA0"/>
    <w:rsid w:val="00252696"/>
    <w:rsid w:val="00254D6A"/>
    <w:rsid w:val="00256B6C"/>
    <w:rsid w:val="0025792B"/>
    <w:rsid w:val="00257B8D"/>
    <w:rsid w:val="00260893"/>
    <w:rsid w:val="00261BA0"/>
    <w:rsid w:val="00263389"/>
    <w:rsid w:val="00263E99"/>
    <w:rsid w:val="002648D8"/>
    <w:rsid w:val="002649D0"/>
    <w:rsid w:val="00266B61"/>
    <w:rsid w:val="0026712A"/>
    <w:rsid w:val="00267867"/>
    <w:rsid w:val="002704DB"/>
    <w:rsid w:val="00272A79"/>
    <w:rsid w:val="00272E75"/>
    <w:rsid w:val="00273096"/>
    <w:rsid w:val="0027487D"/>
    <w:rsid w:val="00276BD5"/>
    <w:rsid w:val="00276DF8"/>
    <w:rsid w:val="00276FB1"/>
    <w:rsid w:val="00277E90"/>
    <w:rsid w:val="00277EF9"/>
    <w:rsid w:val="00277F7E"/>
    <w:rsid w:val="002802D4"/>
    <w:rsid w:val="002804A2"/>
    <w:rsid w:val="0028087A"/>
    <w:rsid w:val="00281153"/>
    <w:rsid w:val="00281DD8"/>
    <w:rsid w:val="002824D1"/>
    <w:rsid w:val="002827DD"/>
    <w:rsid w:val="00282B1F"/>
    <w:rsid w:val="00283C77"/>
    <w:rsid w:val="002856B4"/>
    <w:rsid w:val="002863A8"/>
    <w:rsid w:val="00286791"/>
    <w:rsid w:val="00286DBB"/>
    <w:rsid w:val="002870AA"/>
    <w:rsid w:val="002874FD"/>
    <w:rsid w:val="00290175"/>
    <w:rsid w:val="002905F7"/>
    <w:rsid w:val="0029089F"/>
    <w:rsid w:val="00290D11"/>
    <w:rsid w:val="002916A2"/>
    <w:rsid w:val="002921E5"/>
    <w:rsid w:val="002924F0"/>
    <w:rsid w:val="00293BE3"/>
    <w:rsid w:val="00293EB1"/>
    <w:rsid w:val="00295251"/>
    <w:rsid w:val="0029554E"/>
    <w:rsid w:val="0029609F"/>
    <w:rsid w:val="00296B96"/>
    <w:rsid w:val="00297BB5"/>
    <w:rsid w:val="002A019D"/>
    <w:rsid w:val="002A0AAE"/>
    <w:rsid w:val="002A0F2E"/>
    <w:rsid w:val="002A17DF"/>
    <w:rsid w:val="002A1F20"/>
    <w:rsid w:val="002A5820"/>
    <w:rsid w:val="002A6670"/>
    <w:rsid w:val="002A7A30"/>
    <w:rsid w:val="002B02E2"/>
    <w:rsid w:val="002B1BF0"/>
    <w:rsid w:val="002B1C1E"/>
    <w:rsid w:val="002B1EEA"/>
    <w:rsid w:val="002B2030"/>
    <w:rsid w:val="002B2354"/>
    <w:rsid w:val="002B24AA"/>
    <w:rsid w:val="002B3220"/>
    <w:rsid w:val="002B569A"/>
    <w:rsid w:val="002B7501"/>
    <w:rsid w:val="002C0E7B"/>
    <w:rsid w:val="002C2C34"/>
    <w:rsid w:val="002C3FE1"/>
    <w:rsid w:val="002C41F6"/>
    <w:rsid w:val="002C5731"/>
    <w:rsid w:val="002C6A12"/>
    <w:rsid w:val="002C74C2"/>
    <w:rsid w:val="002C7C85"/>
    <w:rsid w:val="002D1109"/>
    <w:rsid w:val="002D2271"/>
    <w:rsid w:val="002D2B26"/>
    <w:rsid w:val="002D3697"/>
    <w:rsid w:val="002D4886"/>
    <w:rsid w:val="002D5C27"/>
    <w:rsid w:val="002D758E"/>
    <w:rsid w:val="002D7742"/>
    <w:rsid w:val="002D7EA2"/>
    <w:rsid w:val="002E0676"/>
    <w:rsid w:val="002E06DD"/>
    <w:rsid w:val="002E187C"/>
    <w:rsid w:val="002E305A"/>
    <w:rsid w:val="002E33FC"/>
    <w:rsid w:val="002E3FA8"/>
    <w:rsid w:val="002E402A"/>
    <w:rsid w:val="002E4AEA"/>
    <w:rsid w:val="002E5664"/>
    <w:rsid w:val="002E5FB5"/>
    <w:rsid w:val="002E6D1C"/>
    <w:rsid w:val="002E79DB"/>
    <w:rsid w:val="002F0115"/>
    <w:rsid w:val="002F02A2"/>
    <w:rsid w:val="002F0BE4"/>
    <w:rsid w:val="002F1EDE"/>
    <w:rsid w:val="002F2A3F"/>
    <w:rsid w:val="002F2FCF"/>
    <w:rsid w:val="002F3AF1"/>
    <w:rsid w:val="002F467E"/>
    <w:rsid w:val="002F5303"/>
    <w:rsid w:val="002F5F67"/>
    <w:rsid w:val="002F75D1"/>
    <w:rsid w:val="002F7B69"/>
    <w:rsid w:val="00302733"/>
    <w:rsid w:val="00303D52"/>
    <w:rsid w:val="0030606F"/>
    <w:rsid w:val="00307ABC"/>
    <w:rsid w:val="00307F8D"/>
    <w:rsid w:val="003100D6"/>
    <w:rsid w:val="0031018B"/>
    <w:rsid w:val="0031160D"/>
    <w:rsid w:val="00311990"/>
    <w:rsid w:val="00311C36"/>
    <w:rsid w:val="00314078"/>
    <w:rsid w:val="0031474F"/>
    <w:rsid w:val="00314D74"/>
    <w:rsid w:val="0031535D"/>
    <w:rsid w:val="003176D2"/>
    <w:rsid w:val="00317AC1"/>
    <w:rsid w:val="00320700"/>
    <w:rsid w:val="003207E7"/>
    <w:rsid w:val="003209E6"/>
    <w:rsid w:val="003225B4"/>
    <w:rsid w:val="00322B86"/>
    <w:rsid w:val="00322CFB"/>
    <w:rsid w:val="00322EBB"/>
    <w:rsid w:val="0032317F"/>
    <w:rsid w:val="003237E1"/>
    <w:rsid w:val="003242FB"/>
    <w:rsid w:val="00325178"/>
    <w:rsid w:val="003267D7"/>
    <w:rsid w:val="0032742E"/>
    <w:rsid w:val="0032793C"/>
    <w:rsid w:val="00327A3F"/>
    <w:rsid w:val="0033028D"/>
    <w:rsid w:val="0033169F"/>
    <w:rsid w:val="00332516"/>
    <w:rsid w:val="00332A28"/>
    <w:rsid w:val="00333C83"/>
    <w:rsid w:val="00334428"/>
    <w:rsid w:val="00335A7B"/>
    <w:rsid w:val="00335E6B"/>
    <w:rsid w:val="003362C3"/>
    <w:rsid w:val="003370DC"/>
    <w:rsid w:val="003370ED"/>
    <w:rsid w:val="00341670"/>
    <w:rsid w:val="003421CA"/>
    <w:rsid w:val="00345653"/>
    <w:rsid w:val="0034633E"/>
    <w:rsid w:val="00346597"/>
    <w:rsid w:val="003466AD"/>
    <w:rsid w:val="00346764"/>
    <w:rsid w:val="00346C95"/>
    <w:rsid w:val="00347477"/>
    <w:rsid w:val="00347750"/>
    <w:rsid w:val="00350D39"/>
    <w:rsid w:val="003516EE"/>
    <w:rsid w:val="00351B3D"/>
    <w:rsid w:val="00351C25"/>
    <w:rsid w:val="003521E2"/>
    <w:rsid w:val="0035435A"/>
    <w:rsid w:val="00355ECD"/>
    <w:rsid w:val="00356185"/>
    <w:rsid w:val="00356C6A"/>
    <w:rsid w:val="003573A6"/>
    <w:rsid w:val="0035775B"/>
    <w:rsid w:val="00357DB0"/>
    <w:rsid w:val="00360380"/>
    <w:rsid w:val="00361415"/>
    <w:rsid w:val="00361608"/>
    <w:rsid w:val="00362A1D"/>
    <w:rsid w:val="003636FF"/>
    <w:rsid w:val="00363EA4"/>
    <w:rsid w:val="003641DB"/>
    <w:rsid w:val="00364642"/>
    <w:rsid w:val="003649BF"/>
    <w:rsid w:val="00364F3E"/>
    <w:rsid w:val="00365843"/>
    <w:rsid w:val="00365872"/>
    <w:rsid w:val="00365B7F"/>
    <w:rsid w:val="0036663C"/>
    <w:rsid w:val="00366EE7"/>
    <w:rsid w:val="00372D08"/>
    <w:rsid w:val="003730A0"/>
    <w:rsid w:val="00373C26"/>
    <w:rsid w:val="00374291"/>
    <w:rsid w:val="00374E6D"/>
    <w:rsid w:val="0037519E"/>
    <w:rsid w:val="003757E4"/>
    <w:rsid w:val="00376AA0"/>
    <w:rsid w:val="00377700"/>
    <w:rsid w:val="00381AB3"/>
    <w:rsid w:val="00381DFA"/>
    <w:rsid w:val="00383E97"/>
    <w:rsid w:val="00385747"/>
    <w:rsid w:val="003859F2"/>
    <w:rsid w:val="00386CF0"/>
    <w:rsid w:val="00387537"/>
    <w:rsid w:val="0038770E"/>
    <w:rsid w:val="00387BA5"/>
    <w:rsid w:val="003916EC"/>
    <w:rsid w:val="00391A6F"/>
    <w:rsid w:val="00391C6A"/>
    <w:rsid w:val="00391E2A"/>
    <w:rsid w:val="00392474"/>
    <w:rsid w:val="003924B6"/>
    <w:rsid w:val="003928DC"/>
    <w:rsid w:val="003934E9"/>
    <w:rsid w:val="00393A5A"/>
    <w:rsid w:val="00395842"/>
    <w:rsid w:val="003958BF"/>
    <w:rsid w:val="00397A97"/>
    <w:rsid w:val="00397DA6"/>
    <w:rsid w:val="003A0768"/>
    <w:rsid w:val="003A0A9B"/>
    <w:rsid w:val="003A13AE"/>
    <w:rsid w:val="003A43FD"/>
    <w:rsid w:val="003A4F10"/>
    <w:rsid w:val="003A6D8F"/>
    <w:rsid w:val="003A7D23"/>
    <w:rsid w:val="003B0CEB"/>
    <w:rsid w:val="003B184A"/>
    <w:rsid w:val="003B1C01"/>
    <w:rsid w:val="003B1E84"/>
    <w:rsid w:val="003B47BB"/>
    <w:rsid w:val="003B58FC"/>
    <w:rsid w:val="003C17A8"/>
    <w:rsid w:val="003C185C"/>
    <w:rsid w:val="003C1B88"/>
    <w:rsid w:val="003C3025"/>
    <w:rsid w:val="003C314C"/>
    <w:rsid w:val="003C35B3"/>
    <w:rsid w:val="003C4647"/>
    <w:rsid w:val="003C5636"/>
    <w:rsid w:val="003C5975"/>
    <w:rsid w:val="003C676B"/>
    <w:rsid w:val="003C73CF"/>
    <w:rsid w:val="003C7D8F"/>
    <w:rsid w:val="003D0953"/>
    <w:rsid w:val="003D0AE0"/>
    <w:rsid w:val="003D0DA0"/>
    <w:rsid w:val="003D16D2"/>
    <w:rsid w:val="003D1E11"/>
    <w:rsid w:val="003D1F6B"/>
    <w:rsid w:val="003D2000"/>
    <w:rsid w:val="003D3BC2"/>
    <w:rsid w:val="003D67C7"/>
    <w:rsid w:val="003D7C03"/>
    <w:rsid w:val="003E0E01"/>
    <w:rsid w:val="003E432F"/>
    <w:rsid w:val="003E6CA1"/>
    <w:rsid w:val="003E735D"/>
    <w:rsid w:val="003E7B5D"/>
    <w:rsid w:val="003E7C7B"/>
    <w:rsid w:val="003F04B8"/>
    <w:rsid w:val="003F2D64"/>
    <w:rsid w:val="003F2DB9"/>
    <w:rsid w:val="003F330D"/>
    <w:rsid w:val="003F4F55"/>
    <w:rsid w:val="003F50BF"/>
    <w:rsid w:val="003F7120"/>
    <w:rsid w:val="003F77CC"/>
    <w:rsid w:val="003F7F64"/>
    <w:rsid w:val="00401218"/>
    <w:rsid w:val="00401C6D"/>
    <w:rsid w:val="00402125"/>
    <w:rsid w:val="004031A0"/>
    <w:rsid w:val="004052B9"/>
    <w:rsid w:val="00405E62"/>
    <w:rsid w:val="0040602C"/>
    <w:rsid w:val="00406258"/>
    <w:rsid w:val="00406A0F"/>
    <w:rsid w:val="0040737A"/>
    <w:rsid w:val="00407620"/>
    <w:rsid w:val="00407BCD"/>
    <w:rsid w:val="00410202"/>
    <w:rsid w:val="00410A1A"/>
    <w:rsid w:val="00410DB9"/>
    <w:rsid w:val="00411636"/>
    <w:rsid w:val="00412E4C"/>
    <w:rsid w:val="00412E84"/>
    <w:rsid w:val="00413770"/>
    <w:rsid w:val="00414B3C"/>
    <w:rsid w:val="00415DE1"/>
    <w:rsid w:val="004165C2"/>
    <w:rsid w:val="00416931"/>
    <w:rsid w:val="00420799"/>
    <w:rsid w:val="00426114"/>
    <w:rsid w:val="004266BA"/>
    <w:rsid w:val="0042749E"/>
    <w:rsid w:val="00431568"/>
    <w:rsid w:val="00431AE0"/>
    <w:rsid w:val="00432515"/>
    <w:rsid w:val="00432964"/>
    <w:rsid w:val="00432BAF"/>
    <w:rsid w:val="00433B91"/>
    <w:rsid w:val="00433C4C"/>
    <w:rsid w:val="00434D83"/>
    <w:rsid w:val="00434DA4"/>
    <w:rsid w:val="00435BE5"/>
    <w:rsid w:val="00435F55"/>
    <w:rsid w:val="00436570"/>
    <w:rsid w:val="00436E30"/>
    <w:rsid w:val="00437655"/>
    <w:rsid w:val="004405D3"/>
    <w:rsid w:val="00441E8E"/>
    <w:rsid w:val="00441ECB"/>
    <w:rsid w:val="004420A1"/>
    <w:rsid w:val="00442F73"/>
    <w:rsid w:val="00444E69"/>
    <w:rsid w:val="004453D2"/>
    <w:rsid w:val="00445D4B"/>
    <w:rsid w:val="004466D0"/>
    <w:rsid w:val="004514C0"/>
    <w:rsid w:val="00451E47"/>
    <w:rsid w:val="00453C2C"/>
    <w:rsid w:val="00454A61"/>
    <w:rsid w:val="0045550A"/>
    <w:rsid w:val="0045647B"/>
    <w:rsid w:val="004573BD"/>
    <w:rsid w:val="004574B0"/>
    <w:rsid w:val="00457AEC"/>
    <w:rsid w:val="00460064"/>
    <w:rsid w:val="0046035D"/>
    <w:rsid w:val="00460A2C"/>
    <w:rsid w:val="004623B0"/>
    <w:rsid w:val="00462C0F"/>
    <w:rsid w:val="004657EC"/>
    <w:rsid w:val="00465843"/>
    <w:rsid w:val="00466819"/>
    <w:rsid w:val="00466A7E"/>
    <w:rsid w:val="00466E61"/>
    <w:rsid w:val="0046749F"/>
    <w:rsid w:val="00467B7E"/>
    <w:rsid w:val="00467D73"/>
    <w:rsid w:val="0047010B"/>
    <w:rsid w:val="004711AD"/>
    <w:rsid w:val="004713B2"/>
    <w:rsid w:val="00471618"/>
    <w:rsid w:val="00471A5E"/>
    <w:rsid w:val="0047291C"/>
    <w:rsid w:val="00472B68"/>
    <w:rsid w:val="00474DAF"/>
    <w:rsid w:val="0047526A"/>
    <w:rsid w:val="004755F6"/>
    <w:rsid w:val="0047577F"/>
    <w:rsid w:val="00476EE0"/>
    <w:rsid w:val="00477592"/>
    <w:rsid w:val="00477B9B"/>
    <w:rsid w:val="0048062F"/>
    <w:rsid w:val="004817A3"/>
    <w:rsid w:val="0048203B"/>
    <w:rsid w:val="00482288"/>
    <w:rsid w:val="00482EC8"/>
    <w:rsid w:val="00483513"/>
    <w:rsid w:val="0048362D"/>
    <w:rsid w:val="00484AB4"/>
    <w:rsid w:val="0048560E"/>
    <w:rsid w:val="00486F1C"/>
    <w:rsid w:val="004872FE"/>
    <w:rsid w:val="00490494"/>
    <w:rsid w:val="00491710"/>
    <w:rsid w:val="004927F2"/>
    <w:rsid w:val="00492AE8"/>
    <w:rsid w:val="004936A9"/>
    <w:rsid w:val="00493CBF"/>
    <w:rsid w:val="0049419D"/>
    <w:rsid w:val="00495CB1"/>
    <w:rsid w:val="00496604"/>
    <w:rsid w:val="00496E03"/>
    <w:rsid w:val="004A0D15"/>
    <w:rsid w:val="004A146C"/>
    <w:rsid w:val="004A1990"/>
    <w:rsid w:val="004A3AA1"/>
    <w:rsid w:val="004A3D4F"/>
    <w:rsid w:val="004A5186"/>
    <w:rsid w:val="004A530F"/>
    <w:rsid w:val="004A6951"/>
    <w:rsid w:val="004A696A"/>
    <w:rsid w:val="004A6A8B"/>
    <w:rsid w:val="004A7F6E"/>
    <w:rsid w:val="004B03E6"/>
    <w:rsid w:val="004B16C3"/>
    <w:rsid w:val="004B1819"/>
    <w:rsid w:val="004B28A0"/>
    <w:rsid w:val="004B2E49"/>
    <w:rsid w:val="004B457D"/>
    <w:rsid w:val="004B4B5E"/>
    <w:rsid w:val="004B5223"/>
    <w:rsid w:val="004B545D"/>
    <w:rsid w:val="004B5991"/>
    <w:rsid w:val="004B6C49"/>
    <w:rsid w:val="004B70BB"/>
    <w:rsid w:val="004C0DB0"/>
    <w:rsid w:val="004C17DC"/>
    <w:rsid w:val="004C1C07"/>
    <w:rsid w:val="004C1CAB"/>
    <w:rsid w:val="004C20D2"/>
    <w:rsid w:val="004C2477"/>
    <w:rsid w:val="004C2B9A"/>
    <w:rsid w:val="004C3C03"/>
    <w:rsid w:val="004C4B62"/>
    <w:rsid w:val="004C5063"/>
    <w:rsid w:val="004C54C9"/>
    <w:rsid w:val="004C6F02"/>
    <w:rsid w:val="004C73DD"/>
    <w:rsid w:val="004C790D"/>
    <w:rsid w:val="004C7C22"/>
    <w:rsid w:val="004D0EB1"/>
    <w:rsid w:val="004D14AD"/>
    <w:rsid w:val="004D195F"/>
    <w:rsid w:val="004D2437"/>
    <w:rsid w:val="004D2720"/>
    <w:rsid w:val="004D2C0C"/>
    <w:rsid w:val="004D2CE9"/>
    <w:rsid w:val="004D35EB"/>
    <w:rsid w:val="004D4788"/>
    <w:rsid w:val="004D4F15"/>
    <w:rsid w:val="004D50BF"/>
    <w:rsid w:val="004D6025"/>
    <w:rsid w:val="004D634E"/>
    <w:rsid w:val="004D6618"/>
    <w:rsid w:val="004D6CC4"/>
    <w:rsid w:val="004D6F70"/>
    <w:rsid w:val="004D7791"/>
    <w:rsid w:val="004E13C2"/>
    <w:rsid w:val="004E165B"/>
    <w:rsid w:val="004E2649"/>
    <w:rsid w:val="004E3046"/>
    <w:rsid w:val="004E5FB0"/>
    <w:rsid w:val="004E6F1D"/>
    <w:rsid w:val="004F0360"/>
    <w:rsid w:val="004F0449"/>
    <w:rsid w:val="004F0CF7"/>
    <w:rsid w:val="004F34AE"/>
    <w:rsid w:val="004F41EF"/>
    <w:rsid w:val="004F47A6"/>
    <w:rsid w:val="004F520C"/>
    <w:rsid w:val="004F5719"/>
    <w:rsid w:val="004F627D"/>
    <w:rsid w:val="004F6366"/>
    <w:rsid w:val="004F6C5C"/>
    <w:rsid w:val="004F73BD"/>
    <w:rsid w:val="004F79E5"/>
    <w:rsid w:val="00500B94"/>
    <w:rsid w:val="00501399"/>
    <w:rsid w:val="005014D4"/>
    <w:rsid w:val="00501577"/>
    <w:rsid w:val="00501AA9"/>
    <w:rsid w:val="00501F4C"/>
    <w:rsid w:val="005021D0"/>
    <w:rsid w:val="005032BD"/>
    <w:rsid w:val="005050A9"/>
    <w:rsid w:val="0050521B"/>
    <w:rsid w:val="00506073"/>
    <w:rsid w:val="00506323"/>
    <w:rsid w:val="0050633D"/>
    <w:rsid w:val="00506575"/>
    <w:rsid w:val="00507171"/>
    <w:rsid w:val="00507BC4"/>
    <w:rsid w:val="005102B8"/>
    <w:rsid w:val="0051063A"/>
    <w:rsid w:val="005128E4"/>
    <w:rsid w:val="005133DB"/>
    <w:rsid w:val="00513D84"/>
    <w:rsid w:val="00514D38"/>
    <w:rsid w:val="00516079"/>
    <w:rsid w:val="00516521"/>
    <w:rsid w:val="0051697A"/>
    <w:rsid w:val="00520DCD"/>
    <w:rsid w:val="00522169"/>
    <w:rsid w:val="00522A58"/>
    <w:rsid w:val="00523632"/>
    <w:rsid w:val="005243B2"/>
    <w:rsid w:val="005247D6"/>
    <w:rsid w:val="00524C31"/>
    <w:rsid w:val="00525560"/>
    <w:rsid w:val="00526D00"/>
    <w:rsid w:val="00526D89"/>
    <w:rsid w:val="00527675"/>
    <w:rsid w:val="00527E08"/>
    <w:rsid w:val="005300A3"/>
    <w:rsid w:val="005324B1"/>
    <w:rsid w:val="005346EF"/>
    <w:rsid w:val="00535212"/>
    <w:rsid w:val="005354F3"/>
    <w:rsid w:val="0053572B"/>
    <w:rsid w:val="00535B49"/>
    <w:rsid w:val="0053648D"/>
    <w:rsid w:val="00536923"/>
    <w:rsid w:val="00537241"/>
    <w:rsid w:val="00540BCE"/>
    <w:rsid w:val="00540DCD"/>
    <w:rsid w:val="00542D94"/>
    <w:rsid w:val="005430CE"/>
    <w:rsid w:val="00544C49"/>
    <w:rsid w:val="00545BCF"/>
    <w:rsid w:val="00547184"/>
    <w:rsid w:val="005504F4"/>
    <w:rsid w:val="00550C72"/>
    <w:rsid w:val="005516A1"/>
    <w:rsid w:val="00553064"/>
    <w:rsid w:val="00553262"/>
    <w:rsid w:val="00553C5E"/>
    <w:rsid w:val="00555082"/>
    <w:rsid w:val="00556C50"/>
    <w:rsid w:val="00557B97"/>
    <w:rsid w:val="005605E2"/>
    <w:rsid w:val="00563625"/>
    <w:rsid w:val="00563F2E"/>
    <w:rsid w:val="0056423D"/>
    <w:rsid w:val="00565104"/>
    <w:rsid w:val="00565744"/>
    <w:rsid w:val="00566535"/>
    <w:rsid w:val="00566A44"/>
    <w:rsid w:val="0056774D"/>
    <w:rsid w:val="0057011C"/>
    <w:rsid w:val="00570949"/>
    <w:rsid w:val="00570962"/>
    <w:rsid w:val="005709A4"/>
    <w:rsid w:val="00570AD5"/>
    <w:rsid w:val="005725B2"/>
    <w:rsid w:val="0057365F"/>
    <w:rsid w:val="0057402A"/>
    <w:rsid w:val="00574E2C"/>
    <w:rsid w:val="00576266"/>
    <w:rsid w:val="00576F19"/>
    <w:rsid w:val="005771D0"/>
    <w:rsid w:val="0057762E"/>
    <w:rsid w:val="00580B2D"/>
    <w:rsid w:val="005832E2"/>
    <w:rsid w:val="0058449C"/>
    <w:rsid w:val="00585393"/>
    <w:rsid w:val="00585484"/>
    <w:rsid w:val="00585515"/>
    <w:rsid w:val="00586AD2"/>
    <w:rsid w:val="005876F0"/>
    <w:rsid w:val="00590B5F"/>
    <w:rsid w:val="0059191A"/>
    <w:rsid w:val="005921FF"/>
    <w:rsid w:val="0059253B"/>
    <w:rsid w:val="005937F1"/>
    <w:rsid w:val="00595125"/>
    <w:rsid w:val="00595C1D"/>
    <w:rsid w:val="005972C7"/>
    <w:rsid w:val="00597523"/>
    <w:rsid w:val="005A2700"/>
    <w:rsid w:val="005A4472"/>
    <w:rsid w:val="005A46E5"/>
    <w:rsid w:val="005A473A"/>
    <w:rsid w:val="005A4F44"/>
    <w:rsid w:val="005A5070"/>
    <w:rsid w:val="005A5283"/>
    <w:rsid w:val="005A5D82"/>
    <w:rsid w:val="005A6D0E"/>
    <w:rsid w:val="005A6F19"/>
    <w:rsid w:val="005A71D3"/>
    <w:rsid w:val="005A72AE"/>
    <w:rsid w:val="005A78EE"/>
    <w:rsid w:val="005B0F68"/>
    <w:rsid w:val="005B1F83"/>
    <w:rsid w:val="005B239D"/>
    <w:rsid w:val="005B50E0"/>
    <w:rsid w:val="005B52B0"/>
    <w:rsid w:val="005B5643"/>
    <w:rsid w:val="005B5A35"/>
    <w:rsid w:val="005B6806"/>
    <w:rsid w:val="005B7964"/>
    <w:rsid w:val="005B7AB2"/>
    <w:rsid w:val="005B7C8F"/>
    <w:rsid w:val="005C0CB2"/>
    <w:rsid w:val="005C1938"/>
    <w:rsid w:val="005C1942"/>
    <w:rsid w:val="005C2304"/>
    <w:rsid w:val="005C357E"/>
    <w:rsid w:val="005C4225"/>
    <w:rsid w:val="005C4CA5"/>
    <w:rsid w:val="005C5C9B"/>
    <w:rsid w:val="005C6DBE"/>
    <w:rsid w:val="005C7F72"/>
    <w:rsid w:val="005D0DB1"/>
    <w:rsid w:val="005D234F"/>
    <w:rsid w:val="005D24AC"/>
    <w:rsid w:val="005D3DE1"/>
    <w:rsid w:val="005D4F52"/>
    <w:rsid w:val="005D6227"/>
    <w:rsid w:val="005E1459"/>
    <w:rsid w:val="005E2960"/>
    <w:rsid w:val="005E2A02"/>
    <w:rsid w:val="005E3BA2"/>
    <w:rsid w:val="005E460E"/>
    <w:rsid w:val="005E57A9"/>
    <w:rsid w:val="005E589E"/>
    <w:rsid w:val="005E58CF"/>
    <w:rsid w:val="005E592A"/>
    <w:rsid w:val="005E59FF"/>
    <w:rsid w:val="005E7A54"/>
    <w:rsid w:val="005E7CD1"/>
    <w:rsid w:val="005E7CF5"/>
    <w:rsid w:val="005F025B"/>
    <w:rsid w:val="005F0DAD"/>
    <w:rsid w:val="005F0F33"/>
    <w:rsid w:val="005F2D44"/>
    <w:rsid w:val="005F309E"/>
    <w:rsid w:val="005F3160"/>
    <w:rsid w:val="005F3D64"/>
    <w:rsid w:val="005F46C8"/>
    <w:rsid w:val="005F46DF"/>
    <w:rsid w:val="005F659B"/>
    <w:rsid w:val="005F67BD"/>
    <w:rsid w:val="005F79D9"/>
    <w:rsid w:val="00600692"/>
    <w:rsid w:val="0060077E"/>
    <w:rsid w:val="00600DEB"/>
    <w:rsid w:val="006017D8"/>
    <w:rsid w:val="0060256A"/>
    <w:rsid w:val="00602751"/>
    <w:rsid w:val="00603A05"/>
    <w:rsid w:val="00606C21"/>
    <w:rsid w:val="0061034E"/>
    <w:rsid w:val="006104B0"/>
    <w:rsid w:val="00612431"/>
    <w:rsid w:val="006125C3"/>
    <w:rsid w:val="006130E1"/>
    <w:rsid w:val="00613DAD"/>
    <w:rsid w:val="0061577F"/>
    <w:rsid w:val="006159F8"/>
    <w:rsid w:val="00615FBF"/>
    <w:rsid w:val="00616C25"/>
    <w:rsid w:val="00621451"/>
    <w:rsid w:val="00621AA4"/>
    <w:rsid w:val="00622105"/>
    <w:rsid w:val="00622C92"/>
    <w:rsid w:val="00623729"/>
    <w:rsid w:val="00623E59"/>
    <w:rsid w:val="006243D8"/>
    <w:rsid w:val="00624DD2"/>
    <w:rsid w:val="00625B1C"/>
    <w:rsid w:val="0062721A"/>
    <w:rsid w:val="00627BE5"/>
    <w:rsid w:val="00627C9F"/>
    <w:rsid w:val="006311E9"/>
    <w:rsid w:val="00632354"/>
    <w:rsid w:val="00632F9E"/>
    <w:rsid w:val="00634839"/>
    <w:rsid w:val="00634C47"/>
    <w:rsid w:val="006351E1"/>
    <w:rsid w:val="006351ED"/>
    <w:rsid w:val="006353B9"/>
    <w:rsid w:val="00635DF5"/>
    <w:rsid w:val="00636377"/>
    <w:rsid w:val="006373E0"/>
    <w:rsid w:val="00637B6A"/>
    <w:rsid w:val="0064044A"/>
    <w:rsid w:val="00640AEC"/>
    <w:rsid w:val="00641279"/>
    <w:rsid w:val="0064140F"/>
    <w:rsid w:val="00641BDF"/>
    <w:rsid w:val="00642810"/>
    <w:rsid w:val="0064303A"/>
    <w:rsid w:val="00643722"/>
    <w:rsid w:val="00644A53"/>
    <w:rsid w:val="00645038"/>
    <w:rsid w:val="00645117"/>
    <w:rsid w:val="00645348"/>
    <w:rsid w:val="0064637C"/>
    <w:rsid w:val="00646F40"/>
    <w:rsid w:val="00650776"/>
    <w:rsid w:val="00652333"/>
    <w:rsid w:val="00652725"/>
    <w:rsid w:val="006549DA"/>
    <w:rsid w:val="0065504C"/>
    <w:rsid w:val="00655315"/>
    <w:rsid w:val="00655B8E"/>
    <w:rsid w:val="006571E6"/>
    <w:rsid w:val="00657D92"/>
    <w:rsid w:val="006600BE"/>
    <w:rsid w:val="00660D33"/>
    <w:rsid w:val="006618B7"/>
    <w:rsid w:val="00661932"/>
    <w:rsid w:val="006635F2"/>
    <w:rsid w:val="0066367B"/>
    <w:rsid w:val="00663C75"/>
    <w:rsid w:val="00663F58"/>
    <w:rsid w:val="0066584F"/>
    <w:rsid w:val="00665A43"/>
    <w:rsid w:val="006672CE"/>
    <w:rsid w:val="0067019D"/>
    <w:rsid w:val="006703BE"/>
    <w:rsid w:val="0067162C"/>
    <w:rsid w:val="00673128"/>
    <w:rsid w:val="006738E6"/>
    <w:rsid w:val="00673D26"/>
    <w:rsid w:val="006754EF"/>
    <w:rsid w:val="0067574D"/>
    <w:rsid w:val="00676CAC"/>
    <w:rsid w:val="0068009E"/>
    <w:rsid w:val="006812BF"/>
    <w:rsid w:val="00681AF8"/>
    <w:rsid w:val="00681BE8"/>
    <w:rsid w:val="00682381"/>
    <w:rsid w:val="006853E2"/>
    <w:rsid w:val="00686CB9"/>
    <w:rsid w:val="00687B20"/>
    <w:rsid w:val="00691EA3"/>
    <w:rsid w:val="00692219"/>
    <w:rsid w:val="00693549"/>
    <w:rsid w:val="00694F62"/>
    <w:rsid w:val="00695096"/>
    <w:rsid w:val="006956AB"/>
    <w:rsid w:val="006960FE"/>
    <w:rsid w:val="006970F2"/>
    <w:rsid w:val="00697E34"/>
    <w:rsid w:val="006A0C89"/>
    <w:rsid w:val="006A17D2"/>
    <w:rsid w:val="006A2CAF"/>
    <w:rsid w:val="006A3357"/>
    <w:rsid w:val="006A4B39"/>
    <w:rsid w:val="006A5414"/>
    <w:rsid w:val="006A548C"/>
    <w:rsid w:val="006A6404"/>
    <w:rsid w:val="006A73E6"/>
    <w:rsid w:val="006A7FA0"/>
    <w:rsid w:val="006B011A"/>
    <w:rsid w:val="006B0835"/>
    <w:rsid w:val="006B1635"/>
    <w:rsid w:val="006B2D5C"/>
    <w:rsid w:val="006B3692"/>
    <w:rsid w:val="006B48F5"/>
    <w:rsid w:val="006B4D40"/>
    <w:rsid w:val="006B5E2F"/>
    <w:rsid w:val="006B603C"/>
    <w:rsid w:val="006C0FEF"/>
    <w:rsid w:val="006C10DF"/>
    <w:rsid w:val="006C1A20"/>
    <w:rsid w:val="006C1AE7"/>
    <w:rsid w:val="006C286F"/>
    <w:rsid w:val="006C3717"/>
    <w:rsid w:val="006C3831"/>
    <w:rsid w:val="006C39C0"/>
    <w:rsid w:val="006C458E"/>
    <w:rsid w:val="006C4EB1"/>
    <w:rsid w:val="006C571F"/>
    <w:rsid w:val="006C589D"/>
    <w:rsid w:val="006C5C33"/>
    <w:rsid w:val="006C63E1"/>
    <w:rsid w:val="006C68F3"/>
    <w:rsid w:val="006C7E76"/>
    <w:rsid w:val="006D2DF8"/>
    <w:rsid w:val="006D31A6"/>
    <w:rsid w:val="006D3E4E"/>
    <w:rsid w:val="006D54A1"/>
    <w:rsid w:val="006D7862"/>
    <w:rsid w:val="006D7B59"/>
    <w:rsid w:val="006E0166"/>
    <w:rsid w:val="006E047A"/>
    <w:rsid w:val="006E064B"/>
    <w:rsid w:val="006E0B0C"/>
    <w:rsid w:val="006E0FD4"/>
    <w:rsid w:val="006E3350"/>
    <w:rsid w:val="006E5307"/>
    <w:rsid w:val="006E5F56"/>
    <w:rsid w:val="006E627F"/>
    <w:rsid w:val="006E65DD"/>
    <w:rsid w:val="006E6AF1"/>
    <w:rsid w:val="006E6C2D"/>
    <w:rsid w:val="006E7B34"/>
    <w:rsid w:val="006E7BF7"/>
    <w:rsid w:val="006E7FA3"/>
    <w:rsid w:val="006F1651"/>
    <w:rsid w:val="006F2A76"/>
    <w:rsid w:val="006F42CD"/>
    <w:rsid w:val="006F46CB"/>
    <w:rsid w:val="006F679D"/>
    <w:rsid w:val="006F75F8"/>
    <w:rsid w:val="007006E3"/>
    <w:rsid w:val="007014EC"/>
    <w:rsid w:val="007021AD"/>
    <w:rsid w:val="00702A36"/>
    <w:rsid w:val="0070465B"/>
    <w:rsid w:val="0070685A"/>
    <w:rsid w:val="00706870"/>
    <w:rsid w:val="0070697F"/>
    <w:rsid w:val="00706B2F"/>
    <w:rsid w:val="00707226"/>
    <w:rsid w:val="007133C6"/>
    <w:rsid w:val="00713544"/>
    <w:rsid w:val="007139D5"/>
    <w:rsid w:val="00713B22"/>
    <w:rsid w:val="00715F91"/>
    <w:rsid w:val="007173E4"/>
    <w:rsid w:val="00717ED3"/>
    <w:rsid w:val="007218BC"/>
    <w:rsid w:val="0072199C"/>
    <w:rsid w:val="00722C9F"/>
    <w:rsid w:val="0072348E"/>
    <w:rsid w:val="0072443C"/>
    <w:rsid w:val="00724BDD"/>
    <w:rsid w:val="007253B8"/>
    <w:rsid w:val="0072640D"/>
    <w:rsid w:val="00726B29"/>
    <w:rsid w:val="0073016D"/>
    <w:rsid w:val="0073083E"/>
    <w:rsid w:val="0073087D"/>
    <w:rsid w:val="007308D6"/>
    <w:rsid w:val="00733500"/>
    <w:rsid w:val="00733977"/>
    <w:rsid w:val="00735D83"/>
    <w:rsid w:val="0073631B"/>
    <w:rsid w:val="0073741F"/>
    <w:rsid w:val="0074176E"/>
    <w:rsid w:val="00741872"/>
    <w:rsid w:val="00742FB6"/>
    <w:rsid w:val="0074764E"/>
    <w:rsid w:val="00751020"/>
    <w:rsid w:val="0075138C"/>
    <w:rsid w:val="007517A3"/>
    <w:rsid w:val="00751C6A"/>
    <w:rsid w:val="007521E0"/>
    <w:rsid w:val="007533EA"/>
    <w:rsid w:val="00754B02"/>
    <w:rsid w:val="00754DEF"/>
    <w:rsid w:val="00755E42"/>
    <w:rsid w:val="00756566"/>
    <w:rsid w:val="0076136B"/>
    <w:rsid w:val="00762BD6"/>
    <w:rsid w:val="00762FD4"/>
    <w:rsid w:val="00763F55"/>
    <w:rsid w:val="00765217"/>
    <w:rsid w:val="007656C5"/>
    <w:rsid w:val="00765EAD"/>
    <w:rsid w:val="00766285"/>
    <w:rsid w:val="0076643F"/>
    <w:rsid w:val="00766FA0"/>
    <w:rsid w:val="0076737B"/>
    <w:rsid w:val="00767565"/>
    <w:rsid w:val="00767A63"/>
    <w:rsid w:val="00770B32"/>
    <w:rsid w:val="00770C45"/>
    <w:rsid w:val="00771834"/>
    <w:rsid w:val="00771A6A"/>
    <w:rsid w:val="00772101"/>
    <w:rsid w:val="00773B49"/>
    <w:rsid w:val="00774416"/>
    <w:rsid w:val="0077490C"/>
    <w:rsid w:val="00776434"/>
    <w:rsid w:val="007764C8"/>
    <w:rsid w:val="00776D8A"/>
    <w:rsid w:val="00777521"/>
    <w:rsid w:val="00777795"/>
    <w:rsid w:val="00777F63"/>
    <w:rsid w:val="00780168"/>
    <w:rsid w:val="0078045D"/>
    <w:rsid w:val="00782E4E"/>
    <w:rsid w:val="00782F35"/>
    <w:rsid w:val="0078687F"/>
    <w:rsid w:val="0078786C"/>
    <w:rsid w:val="007911EE"/>
    <w:rsid w:val="00791246"/>
    <w:rsid w:val="007932D9"/>
    <w:rsid w:val="00794D73"/>
    <w:rsid w:val="0079687A"/>
    <w:rsid w:val="0079704C"/>
    <w:rsid w:val="007970D6"/>
    <w:rsid w:val="007976A0"/>
    <w:rsid w:val="007A29FD"/>
    <w:rsid w:val="007A5817"/>
    <w:rsid w:val="007B1196"/>
    <w:rsid w:val="007B1211"/>
    <w:rsid w:val="007B136F"/>
    <w:rsid w:val="007B16D4"/>
    <w:rsid w:val="007B1FB7"/>
    <w:rsid w:val="007B312A"/>
    <w:rsid w:val="007B328D"/>
    <w:rsid w:val="007B4C02"/>
    <w:rsid w:val="007B54C9"/>
    <w:rsid w:val="007B60E9"/>
    <w:rsid w:val="007B64A5"/>
    <w:rsid w:val="007B690F"/>
    <w:rsid w:val="007B6CC3"/>
    <w:rsid w:val="007C251C"/>
    <w:rsid w:val="007C2A3A"/>
    <w:rsid w:val="007C3334"/>
    <w:rsid w:val="007C3EB1"/>
    <w:rsid w:val="007C4858"/>
    <w:rsid w:val="007C48E4"/>
    <w:rsid w:val="007C53C1"/>
    <w:rsid w:val="007C6AC2"/>
    <w:rsid w:val="007C6B47"/>
    <w:rsid w:val="007C756A"/>
    <w:rsid w:val="007D0253"/>
    <w:rsid w:val="007D0DED"/>
    <w:rsid w:val="007D1552"/>
    <w:rsid w:val="007D2B98"/>
    <w:rsid w:val="007D3ACB"/>
    <w:rsid w:val="007D4074"/>
    <w:rsid w:val="007D4295"/>
    <w:rsid w:val="007D455B"/>
    <w:rsid w:val="007D538F"/>
    <w:rsid w:val="007D5DC6"/>
    <w:rsid w:val="007E21BC"/>
    <w:rsid w:val="007E2605"/>
    <w:rsid w:val="007E3084"/>
    <w:rsid w:val="007E3653"/>
    <w:rsid w:val="007E4B27"/>
    <w:rsid w:val="007E5490"/>
    <w:rsid w:val="007F005C"/>
    <w:rsid w:val="007F1426"/>
    <w:rsid w:val="007F158D"/>
    <w:rsid w:val="007F1D3D"/>
    <w:rsid w:val="007F212F"/>
    <w:rsid w:val="007F26C0"/>
    <w:rsid w:val="007F2ACE"/>
    <w:rsid w:val="007F2C26"/>
    <w:rsid w:val="007F3AD0"/>
    <w:rsid w:val="007F4F54"/>
    <w:rsid w:val="007F4FAC"/>
    <w:rsid w:val="007F790B"/>
    <w:rsid w:val="007F7E9A"/>
    <w:rsid w:val="00800C74"/>
    <w:rsid w:val="008012CA"/>
    <w:rsid w:val="00801AAE"/>
    <w:rsid w:val="00803F1C"/>
    <w:rsid w:val="008048C5"/>
    <w:rsid w:val="0080539A"/>
    <w:rsid w:val="008056AC"/>
    <w:rsid w:val="0080600E"/>
    <w:rsid w:val="00811BA7"/>
    <w:rsid w:val="00812B9A"/>
    <w:rsid w:val="00813285"/>
    <w:rsid w:val="00815021"/>
    <w:rsid w:val="008163CF"/>
    <w:rsid w:val="008167E0"/>
    <w:rsid w:val="008173CE"/>
    <w:rsid w:val="00817612"/>
    <w:rsid w:val="00820B4D"/>
    <w:rsid w:val="008217E6"/>
    <w:rsid w:val="008223A6"/>
    <w:rsid w:val="008231C1"/>
    <w:rsid w:val="00824696"/>
    <w:rsid w:val="00824DBB"/>
    <w:rsid w:val="0082505D"/>
    <w:rsid w:val="008266A7"/>
    <w:rsid w:val="00827647"/>
    <w:rsid w:val="00827831"/>
    <w:rsid w:val="00831D2B"/>
    <w:rsid w:val="00831E8F"/>
    <w:rsid w:val="008338A4"/>
    <w:rsid w:val="00837C45"/>
    <w:rsid w:val="008401DE"/>
    <w:rsid w:val="008427AF"/>
    <w:rsid w:val="00842977"/>
    <w:rsid w:val="00844730"/>
    <w:rsid w:val="00845263"/>
    <w:rsid w:val="008457C2"/>
    <w:rsid w:val="00846808"/>
    <w:rsid w:val="00846FD4"/>
    <w:rsid w:val="00847A34"/>
    <w:rsid w:val="0085064C"/>
    <w:rsid w:val="00851E5D"/>
    <w:rsid w:val="00854423"/>
    <w:rsid w:val="00857A82"/>
    <w:rsid w:val="00860526"/>
    <w:rsid w:val="008605B3"/>
    <w:rsid w:val="00861D76"/>
    <w:rsid w:val="00861E23"/>
    <w:rsid w:val="00861E43"/>
    <w:rsid w:val="008622A6"/>
    <w:rsid w:val="00863A43"/>
    <w:rsid w:val="008650C8"/>
    <w:rsid w:val="00865679"/>
    <w:rsid w:val="00865B82"/>
    <w:rsid w:val="008714CF"/>
    <w:rsid w:val="00872E7E"/>
    <w:rsid w:val="00873594"/>
    <w:rsid w:val="00873836"/>
    <w:rsid w:val="008757BE"/>
    <w:rsid w:val="00875D87"/>
    <w:rsid w:val="0087651B"/>
    <w:rsid w:val="008772C6"/>
    <w:rsid w:val="008822D9"/>
    <w:rsid w:val="00882744"/>
    <w:rsid w:val="00883ACE"/>
    <w:rsid w:val="00884D49"/>
    <w:rsid w:val="0088538F"/>
    <w:rsid w:val="00885737"/>
    <w:rsid w:val="008875AC"/>
    <w:rsid w:val="00887C05"/>
    <w:rsid w:val="00887D63"/>
    <w:rsid w:val="00890650"/>
    <w:rsid w:val="00890CF7"/>
    <w:rsid w:val="00891F97"/>
    <w:rsid w:val="008946B2"/>
    <w:rsid w:val="00894D28"/>
    <w:rsid w:val="00894DFB"/>
    <w:rsid w:val="0089582B"/>
    <w:rsid w:val="00896B78"/>
    <w:rsid w:val="008971BF"/>
    <w:rsid w:val="00897E12"/>
    <w:rsid w:val="008A078F"/>
    <w:rsid w:val="008A0C11"/>
    <w:rsid w:val="008A1689"/>
    <w:rsid w:val="008A2BE1"/>
    <w:rsid w:val="008A406A"/>
    <w:rsid w:val="008A5DE2"/>
    <w:rsid w:val="008A7E0F"/>
    <w:rsid w:val="008B0F96"/>
    <w:rsid w:val="008B12F5"/>
    <w:rsid w:val="008B198F"/>
    <w:rsid w:val="008B729C"/>
    <w:rsid w:val="008B7B8D"/>
    <w:rsid w:val="008C1594"/>
    <w:rsid w:val="008C3098"/>
    <w:rsid w:val="008C3521"/>
    <w:rsid w:val="008C3CBD"/>
    <w:rsid w:val="008C7E1A"/>
    <w:rsid w:val="008D1768"/>
    <w:rsid w:val="008D2E5F"/>
    <w:rsid w:val="008D311C"/>
    <w:rsid w:val="008D4314"/>
    <w:rsid w:val="008D4E4E"/>
    <w:rsid w:val="008D5727"/>
    <w:rsid w:val="008D6705"/>
    <w:rsid w:val="008D768D"/>
    <w:rsid w:val="008E0BE7"/>
    <w:rsid w:val="008E2577"/>
    <w:rsid w:val="008E3759"/>
    <w:rsid w:val="008E3BC2"/>
    <w:rsid w:val="008E49A9"/>
    <w:rsid w:val="008E654D"/>
    <w:rsid w:val="008E6D7A"/>
    <w:rsid w:val="008E6DE2"/>
    <w:rsid w:val="008F1670"/>
    <w:rsid w:val="008F1912"/>
    <w:rsid w:val="008F1B28"/>
    <w:rsid w:val="008F2947"/>
    <w:rsid w:val="008F2DC9"/>
    <w:rsid w:val="008F3894"/>
    <w:rsid w:val="008F5A71"/>
    <w:rsid w:val="008F604B"/>
    <w:rsid w:val="008F6598"/>
    <w:rsid w:val="008F6CE1"/>
    <w:rsid w:val="009011F2"/>
    <w:rsid w:val="0090134E"/>
    <w:rsid w:val="009014A4"/>
    <w:rsid w:val="009018CF"/>
    <w:rsid w:val="0090270B"/>
    <w:rsid w:val="00902D94"/>
    <w:rsid w:val="009041DC"/>
    <w:rsid w:val="0091078E"/>
    <w:rsid w:val="00910791"/>
    <w:rsid w:val="00910C1D"/>
    <w:rsid w:val="00912868"/>
    <w:rsid w:val="00913885"/>
    <w:rsid w:val="009147F5"/>
    <w:rsid w:val="00914BEB"/>
    <w:rsid w:val="00917B5A"/>
    <w:rsid w:val="00920A58"/>
    <w:rsid w:val="00920A8C"/>
    <w:rsid w:val="0092111F"/>
    <w:rsid w:val="009225C8"/>
    <w:rsid w:val="00923EF8"/>
    <w:rsid w:val="0092529A"/>
    <w:rsid w:val="009273D8"/>
    <w:rsid w:val="00930E6E"/>
    <w:rsid w:val="00933B8C"/>
    <w:rsid w:val="00933DE4"/>
    <w:rsid w:val="00934A2C"/>
    <w:rsid w:val="00934E46"/>
    <w:rsid w:val="009355EE"/>
    <w:rsid w:val="0093689E"/>
    <w:rsid w:val="009376FC"/>
    <w:rsid w:val="009410C0"/>
    <w:rsid w:val="00941C6B"/>
    <w:rsid w:val="00941DDC"/>
    <w:rsid w:val="00941E39"/>
    <w:rsid w:val="009434B1"/>
    <w:rsid w:val="009437C2"/>
    <w:rsid w:val="009447BD"/>
    <w:rsid w:val="0094648E"/>
    <w:rsid w:val="0094784F"/>
    <w:rsid w:val="00950994"/>
    <w:rsid w:val="00951CBC"/>
    <w:rsid w:val="00952BB6"/>
    <w:rsid w:val="00952E6A"/>
    <w:rsid w:val="009530A1"/>
    <w:rsid w:val="00953D0F"/>
    <w:rsid w:val="00955152"/>
    <w:rsid w:val="00955C6A"/>
    <w:rsid w:val="00955C6C"/>
    <w:rsid w:val="00955FDF"/>
    <w:rsid w:val="009568E7"/>
    <w:rsid w:val="00957C51"/>
    <w:rsid w:val="00960286"/>
    <w:rsid w:val="009609E8"/>
    <w:rsid w:val="00962BF7"/>
    <w:rsid w:val="00963746"/>
    <w:rsid w:val="009643DC"/>
    <w:rsid w:val="00965797"/>
    <w:rsid w:val="00965970"/>
    <w:rsid w:val="00965DDD"/>
    <w:rsid w:val="00965F76"/>
    <w:rsid w:val="00965FE0"/>
    <w:rsid w:val="009669D6"/>
    <w:rsid w:val="0096706E"/>
    <w:rsid w:val="00967A5A"/>
    <w:rsid w:val="009704CC"/>
    <w:rsid w:val="009729C3"/>
    <w:rsid w:val="0097354D"/>
    <w:rsid w:val="00975C4E"/>
    <w:rsid w:val="00976227"/>
    <w:rsid w:val="00977833"/>
    <w:rsid w:val="00977B30"/>
    <w:rsid w:val="00981E6A"/>
    <w:rsid w:val="00981FBA"/>
    <w:rsid w:val="00982431"/>
    <w:rsid w:val="009833F8"/>
    <w:rsid w:val="00985AA4"/>
    <w:rsid w:val="00985BBF"/>
    <w:rsid w:val="009866C8"/>
    <w:rsid w:val="00993720"/>
    <w:rsid w:val="00993E67"/>
    <w:rsid w:val="009942DE"/>
    <w:rsid w:val="009943C0"/>
    <w:rsid w:val="00994F8D"/>
    <w:rsid w:val="0099661E"/>
    <w:rsid w:val="00997BC5"/>
    <w:rsid w:val="009A0BE3"/>
    <w:rsid w:val="009A269B"/>
    <w:rsid w:val="009A4F41"/>
    <w:rsid w:val="009A5138"/>
    <w:rsid w:val="009A6711"/>
    <w:rsid w:val="009B0504"/>
    <w:rsid w:val="009B1E82"/>
    <w:rsid w:val="009B28CF"/>
    <w:rsid w:val="009B34EC"/>
    <w:rsid w:val="009B34F4"/>
    <w:rsid w:val="009B381B"/>
    <w:rsid w:val="009B3A0C"/>
    <w:rsid w:val="009B4D16"/>
    <w:rsid w:val="009B56A1"/>
    <w:rsid w:val="009B5BDC"/>
    <w:rsid w:val="009B5C50"/>
    <w:rsid w:val="009B6DF1"/>
    <w:rsid w:val="009C09CA"/>
    <w:rsid w:val="009C1308"/>
    <w:rsid w:val="009C2416"/>
    <w:rsid w:val="009C265B"/>
    <w:rsid w:val="009C3434"/>
    <w:rsid w:val="009C4EAA"/>
    <w:rsid w:val="009C502D"/>
    <w:rsid w:val="009C50A4"/>
    <w:rsid w:val="009C6BFB"/>
    <w:rsid w:val="009D0D09"/>
    <w:rsid w:val="009D1378"/>
    <w:rsid w:val="009D1753"/>
    <w:rsid w:val="009D420F"/>
    <w:rsid w:val="009D42BD"/>
    <w:rsid w:val="009D44B5"/>
    <w:rsid w:val="009D6B3F"/>
    <w:rsid w:val="009D7611"/>
    <w:rsid w:val="009D76BD"/>
    <w:rsid w:val="009D7D0B"/>
    <w:rsid w:val="009E05A6"/>
    <w:rsid w:val="009E0B61"/>
    <w:rsid w:val="009E0F8D"/>
    <w:rsid w:val="009E1AC5"/>
    <w:rsid w:val="009E3433"/>
    <w:rsid w:val="009E53DE"/>
    <w:rsid w:val="009E6A9E"/>
    <w:rsid w:val="009E70B6"/>
    <w:rsid w:val="009E7197"/>
    <w:rsid w:val="009F2459"/>
    <w:rsid w:val="009F2714"/>
    <w:rsid w:val="009F2A2F"/>
    <w:rsid w:val="009F2E61"/>
    <w:rsid w:val="009F4B8D"/>
    <w:rsid w:val="009F50A0"/>
    <w:rsid w:val="009F5E04"/>
    <w:rsid w:val="009F7182"/>
    <w:rsid w:val="009F7798"/>
    <w:rsid w:val="00A001AC"/>
    <w:rsid w:val="00A002CB"/>
    <w:rsid w:val="00A0374C"/>
    <w:rsid w:val="00A03A30"/>
    <w:rsid w:val="00A04245"/>
    <w:rsid w:val="00A0436E"/>
    <w:rsid w:val="00A043BA"/>
    <w:rsid w:val="00A064F7"/>
    <w:rsid w:val="00A0744F"/>
    <w:rsid w:val="00A10248"/>
    <w:rsid w:val="00A10466"/>
    <w:rsid w:val="00A117B8"/>
    <w:rsid w:val="00A119C4"/>
    <w:rsid w:val="00A13668"/>
    <w:rsid w:val="00A14323"/>
    <w:rsid w:val="00A14EE4"/>
    <w:rsid w:val="00A15AA4"/>
    <w:rsid w:val="00A15AC3"/>
    <w:rsid w:val="00A200A8"/>
    <w:rsid w:val="00A20587"/>
    <w:rsid w:val="00A21B05"/>
    <w:rsid w:val="00A2323F"/>
    <w:rsid w:val="00A236E6"/>
    <w:rsid w:val="00A23BD2"/>
    <w:rsid w:val="00A24040"/>
    <w:rsid w:val="00A24C82"/>
    <w:rsid w:val="00A2598E"/>
    <w:rsid w:val="00A26037"/>
    <w:rsid w:val="00A26AE4"/>
    <w:rsid w:val="00A2752D"/>
    <w:rsid w:val="00A31856"/>
    <w:rsid w:val="00A328B3"/>
    <w:rsid w:val="00A32EA9"/>
    <w:rsid w:val="00A33B1E"/>
    <w:rsid w:val="00A341B4"/>
    <w:rsid w:val="00A34AE4"/>
    <w:rsid w:val="00A36E7D"/>
    <w:rsid w:val="00A37066"/>
    <w:rsid w:val="00A3718A"/>
    <w:rsid w:val="00A4161D"/>
    <w:rsid w:val="00A423BE"/>
    <w:rsid w:val="00A430FE"/>
    <w:rsid w:val="00A4478F"/>
    <w:rsid w:val="00A4769C"/>
    <w:rsid w:val="00A50239"/>
    <w:rsid w:val="00A502D6"/>
    <w:rsid w:val="00A506AE"/>
    <w:rsid w:val="00A50FCF"/>
    <w:rsid w:val="00A511DD"/>
    <w:rsid w:val="00A51261"/>
    <w:rsid w:val="00A52446"/>
    <w:rsid w:val="00A528D1"/>
    <w:rsid w:val="00A52D64"/>
    <w:rsid w:val="00A5312D"/>
    <w:rsid w:val="00A542FF"/>
    <w:rsid w:val="00A56290"/>
    <w:rsid w:val="00A56F26"/>
    <w:rsid w:val="00A57382"/>
    <w:rsid w:val="00A5769E"/>
    <w:rsid w:val="00A5780C"/>
    <w:rsid w:val="00A578D1"/>
    <w:rsid w:val="00A57A90"/>
    <w:rsid w:val="00A610CD"/>
    <w:rsid w:val="00A613D7"/>
    <w:rsid w:val="00A61AA2"/>
    <w:rsid w:val="00A633B5"/>
    <w:rsid w:val="00A64128"/>
    <w:rsid w:val="00A648CF"/>
    <w:rsid w:val="00A65251"/>
    <w:rsid w:val="00A65B75"/>
    <w:rsid w:val="00A66293"/>
    <w:rsid w:val="00A67E8C"/>
    <w:rsid w:val="00A70E16"/>
    <w:rsid w:val="00A710FA"/>
    <w:rsid w:val="00A7212D"/>
    <w:rsid w:val="00A727B8"/>
    <w:rsid w:val="00A727FB"/>
    <w:rsid w:val="00A72B52"/>
    <w:rsid w:val="00A72DE3"/>
    <w:rsid w:val="00A74E57"/>
    <w:rsid w:val="00A74FB0"/>
    <w:rsid w:val="00A75E63"/>
    <w:rsid w:val="00A772DE"/>
    <w:rsid w:val="00A7759C"/>
    <w:rsid w:val="00A77CC4"/>
    <w:rsid w:val="00A80FC8"/>
    <w:rsid w:val="00A814FA"/>
    <w:rsid w:val="00A867FA"/>
    <w:rsid w:val="00A928B2"/>
    <w:rsid w:val="00A92978"/>
    <w:rsid w:val="00A94D87"/>
    <w:rsid w:val="00A95266"/>
    <w:rsid w:val="00A95767"/>
    <w:rsid w:val="00A9586B"/>
    <w:rsid w:val="00A9671D"/>
    <w:rsid w:val="00A97039"/>
    <w:rsid w:val="00A97286"/>
    <w:rsid w:val="00A97656"/>
    <w:rsid w:val="00AA09A2"/>
    <w:rsid w:val="00AA0D6A"/>
    <w:rsid w:val="00AA139B"/>
    <w:rsid w:val="00AA1FF6"/>
    <w:rsid w:val="00AA211C"/>
    <w:rsid w:val="00AA409C"/>
    <w:rsid w:val="00AA40C8"/>
    <w:rsid w:val="00AA617B"/>
    <w:rsid w:val="00AA63BE"/>
    <w:rsid w:val="00AA73BD"/>
    <w:rsid w:val="00AA7996"/>
    <w:rsid w:val="00AA7CAD"/>
    <w:rsid w:val="00AB4066"/>
    <w:rsid w:val="00AC000B"/>
    <w:rsid w:val="00AC19CB"/>
    <w:rsid w:val="00AC1FA5"/>
    <w:rsid w:val="00AC2C9E"/>
    <w:rsid w:val="00AC30F9"/>
    <w:rsid w:val="00AC4A6D"/>
    <w:rsid w:val="00AC4F0A"/>
    <w:rsid w:val="00AC532C"/>
    <w:rsid w:val="00AC55D4"/>
    <w:rsid w:val="00AC7DCD"/>
    <w:rsid w:val="00AD0041"/>
    <w:rsid w:val="00AD077C"/>
    <w:rsid w:val="00AD2855"/>
    <w:rsid w:val="00AD28E6"/>
    <w:rsid w:val="00AD5CC9"/>
    <w:rsid w:val="00AD6004"/>
    <w:rsid w:val="00AD68B1"/>
    <w:rsid w:val="00AE0967"/>
    <w:rsid w:val="00AE0C42"/>
    <w:rsid w:val="00AE0F33"/>
    <w:rsid w:val="00AE1ECB"/>
    <w:rsid w:val="00AE258E"/>
    <w:rsid w:val="00AE40C2"/>
    <w:rsid w:val="00AE45DA"/>
    <w:rsid w:val="00AE5488"/>
    <w:rsid w:val="00AE6F91"/>
    <w:rsid w:val="00AE7353"/>
    <w:rsid w:val="00AF2987"/>
    <w:rsid w:val="00AF2F7C"/>
    <w:rsid w:val="00AF3E35"/>
    <w:rsid w:val="00AF5571"/>
    <w:rsid w:val="00AF5B30"/>
    <w:rsid w:val="00AF5B87"/>
    <w:rsid w:val="00AF5EB3"/>
    <w:rsid w:val="00AF6038"/>
    <w:rsid w:val="00AF793E"/>
    <w:rsid w:val="00AF7988"/>
    <w:rsid w:val="00B0027B"/>
    <w:rsid w:val="00B0179B"/>
    <w:rsid w:val="00B02A92"/>
    <w:rsid w:val="00B03D8F"/>
    <w:rsid w:val="00B03FB3"/>
    <w:rsid w:val="00B045DE"/>
    <w:rsid w:val="00B0502B"/>
    <w:rsid w:val="00B05650"/>
    <w:rsid w:val="00B06AA2"/>
    <w:rsid w:val="00B07184"/>
    <w:rsid w:val="00B07341"/>
    <w:rsid w:val="00B10F6E"/>
    <w:rsid w:val="00B122A1"/>
    <w:rsid w:val="00B15283"/>
    <w:rsid w:val="00B15B2C"/>
    <w:rsid w:val="00B1671F"/>
    <w:rsid w:val="00B16BE9"/>
    <w:rsid w:val="00B17C73"/>
    <w:rsid w:val="00B17E1F"/>
    <w:rsid w:val="00B20A26"/>
    <w:rsid w:val="00B21762"/>
    <w:rsid w:val="00B222C9"/>
    <w:rsid w:val="00B229B4"/>
    <w:rsid w:val="00B23472"/>
    <w:rsid w:val="00B2402C"/>
    <w:rsid w:val="00B2409D"/>
    <w:rsid w:val="00B256A5"/>
    <w:rsid w:val="00B25DB9"/>
    <w:rsid w:val="00B266B7"/>
    <w:rsid w:val="00B26F78"/>
    <w:rsid w:val="00B303AF"/>
    <w:rsid w:val="00B30539"/>
    <w:rsid w:val="00B314DB"/>
    <w:rsid w:val="00B320F4"/>
    <w:rsid w:val="00B32F16"/>
    <w:rsid w:val="00B33B99"/>
    <w:rsid w:val="00B34CE7"/>
    <w:rsid w:val="00B35424"/>
    <w:rsid w:val="00B361F2"/>
    <w:rsid w:val="00B36BCE"/>
    <w:rsid w:val="00B3718B"/>
    <w:rsid w:val="00B3721F"/>
    <w:rsid w:val="00B405AB"/>
    <w:rsid w:val="00B40896"/>
    <w:rsid w:val="00B40BD0"/>
    <w:rsid w:val="00B42A18"/>
    <w:rsid w:val="00B42E7A"/>
    <w:rsid w:val="00B4632A"/>
    <w:rsid w:val="00B46E29"/>
    <w:rsid w:val="00B46F1C"/>
    <w:rsid w:val="00B50984"/>
    <w:rsid w:val="00B513B1"/>
    <w:rsid w:val="00B52C05"/>
    <w:rsid w:val="00B52D9C"/>
    <w:rsid w:val="00B530F1"/>
    <w:rsid w:val="00B53D21"/>
    <w:rsid w:val="00B54A0C"/>
    <w:rsid w:val="00B54C2F"/>
    <w:rsid w:val="00B54CA3"/>
    <w:rsid w:val="00B5500A"/>
    <w:rsid w:val="00B55098"/>
    <w:rsid w:val="00B55AFC"/>
    <w:rsid w:val="00B55EEE"/>
    <w:rsid w:val="00B56DDB"/>
    <w:rsid w:val="00B60253"/>
    <w:rsid w:val="00B632D6"/>
    <w:rsid w:val="00B6374A"/>
    <w:rsid w:val="00B650D1"/>
    <w:rsid w:val="00B66AB5"/>
    <w:rsid w:val="00B67999"/>
    <w:rsid w:val="00B704EE"/>
    <w:rsid w:val="00B70D71"/>
    <w:rsid w:val="00B71451"/>
    <w:rsid w:val="00B7178E"/>
    <w:rsid w:val="00B76F12"/>
    <w:rsid w:val="00B77980"/>
    <w:rsid w:val="00B80BF8"/>
    <w:rsid w:val="00B81D9F"/>
    <w:rsid w:val="00B821DC"/>
    <w:rsid w:val="00B82FA7"/>
    <w:rsid w:val="00B83136"/>
    <w:rsid w:val="00B8327E"/>
    <w:rsid w:val="00B85700"/>
    <w:rsid w:val="00B86162"/>
    <w:rsid w:val="00B863CD"/>
    <w:rsid w:val="00B8668E"/>
    <w:rsid w:val="00B8752A"/>
    <w:rsid w:val="00B87CF5"/>
    <w:rsid w:val="00B910A6"/>
    <w:rsid w:val="00B91DB8"/>
    <w:rsid w:val="00B921B1"/>
    <w:rsid w:val="00B92BFD"/>
    <w:rsid w:val="00B92E13"/>
    <w:rsid w:val="00B94F55"/>
    <w:rsid w:val="00B9549A"/>
    <w:rsid w:val="00B9607E"/>
    <w:rsid w:val="00B976DF"/>
    <w:rsid w:val="00B97C02"/>
    <w:rsid w:val="00BA160D"/>
    <w:rsid w:val="00BA1E76"/>
    <w:rsid w:val="00BA276C"/>
    <w:rsid w:val="00BA30BC"/>
    <w:rsid w:val="00BA461E"/>
    <w:rsid w:val="00BA47FF"/>
    <w:rsid w:val="00BA5AB9"/>
    <w:rsid w:val="00BA6C57"/>
    <w:rsid w:val="00BA71CB"/>
    <w:rsid w:val="00BB103F"/>
    <w:rsid w:val="00BB13C6"/>
    <w:rsid w:val="00BB2264"/>
    <w:rsid w:val="00BB306F"/>
    <w:rsid w:val="00BB3ABE"/>
    <w:rsid w:val="00BB5381"/>
    <w:rsid w:val="00BB5D00"/>
    <w:rsid w:val="00BB6487"/>
    <w:rsid w:val="00BB75FA"/>
    <w:rsid w:val="00BC0DFD"/>
    <w:rsid w:val="00BC1180"/>
    <w:rsid w:val="00BC11E7"/>
    <w:rsid w:val="00BC4303"/>
    <w:rsid w:val="00BC504F"/>
    <w:rsid w:val="00BC5854"/>
    <w:rsid w:val="00BC5F7D"/>
    <w:rsid w:val="00BC773E"/>
    <w:rsid w:val="00BD0810"/>
    <w:rsid w:val="00BD0A7E"/>
    <w:rsid w:val="00BD2561"/>
    <w:rsid w:val="00BD2F46"/>
    <w:rsid w:val="00BD31F6"/>
    <w:rsid w:val="00BD400B"/>
    <w:rsid w:val="00BD4B89"/>
    <w:rsid w:val="00BD5103"/>
    <w:rsid w:val="00BD5DDF"/>
    <w:rsid w:val="00BD620F"/>
    <w:rsid w:val="00BE3555"/>
    <w:rsid w:val="00BE368D"/>
    <w:rsid w:val="00BE386F"/>
    <w:rsid w:val="00BE5B4A"/>
    <w:rsid w:val="00BE70C3"/>
    <w:rsid w:val="00BE7CEE"/>
    <w:rsid w:val="00BF02CB"/>
    <w:rsid w:val="00BF11D3"/>
    <w:rsid w:val="00BF1664"/>
    <w:rsid w:val="00BF2F79"/>
    <w:rsid w:val="00BF3092"/>
    <w:rsid w:val="00BF40F7"/>
    <w:rsid w:val="00BF43DA"/>
    <w:rsid w:val="00BF5C21"/>
    <w:rsid w:val="00BF6FD8"/>
    <w:rsid w:val="00C00BEB"/>
    <w:rsid w:val="00C00DE5"/>
    <w:rsid w:val="00C01977"/>
    <w:rsid w:val="00C03680"/>
    <w:rsid w:val="00C03863"/>
    <w:rsid w:val="00C04B2D"/>
    <w:rsid w:val="00C04F51"/>
    <w:rsid w:val="00C05161"/>
    <w:rsid w:val="00C054DF"/>
    <w:rsid w:val="00C05A45"/>
    <w:rsid w:val="00C06456"/>
    <w:rsid w:val="00C06EC9"/>
    <w:rsid w:val="00C07AA0"/>
    <w:rsid w:val="00C11DC1"/>
    <w:rsid w:val="00C13BDA"/>
    <w:rsid w:val="00C146AF"/>
    <w:rsid w:val="00C14BB5"/>
    <w:rsid w:val="00C152E5"/>
    <w:rsid w:val="00C17F8E"/>
    <w:rsid w:val="00C20581"/>
    <w:rsid w:val="00C213EE"/>
    <w:rsid w:val="00C214AE"/>
    <w:rsid w:val="00C21762"/>
    <w:rsid w:val="00C21BAD"/>
    <w:rsid w:val="00C22BCC"/>
    <w:rsid w:val="00C23E1E"/>
    <w:rsid w:val="00C24543"/>
    <w:rsid w:val="00C25459"/>
    <w:rsid w:val="00C256A2"/>
    <w:rsid w:val="00C2712E"/>
    <w:rsid w:val="00C307E6"/>
    <w:rsid w:val="00C30A8C"/>
    <w:rsid w:val="00C318CC"/>
    <w:rsid w:val="00C3379D"/>
    <w:rsid w:val="00C343A6"/>
    <w:rsid w:val="00C34D2D"/>
    <w:rsid w:val="00C36479"/>
    <w:rsid w:val="00C36798"/>
    <w:rsid w:val="00C36F4F"/>
    <w:rsid w:val="00C3709E"/>
    <w:rsid w:val="00C40789"/>
    <w:rsid w:val="00C4084A"/>
    <w:rsid w:val="00C40C7C"/>
    <w:rsid w:val="00C43429"/>
    <w:rsid w:val="00C446B9"/>
    <w:rsid w:val="00C450AB"/>
    <w:rsid w:val="00C46141"/>
    <w:rsid w:val="00C462F4"/>
    <w:rsid w:val="00C46EE5"/>
    <w:rsid w:val="00C4795D"/>
    <w:rsid w:val="00C50D09"/>
    <w:rsid w:val="00C51515"/>
    <w:rsid w:val="00C51BB3"/>
    <w:rsid w:val="00C55B05"/>
    <w:rsid w:val="00C55B96"/>
    <w:rsid w:val="00C5660B"/>
    <w:rsid w:val="00C57E86"/>
    <w:rsid w:val="00C60624"/>
    <w:rsid w:val="00C606D1"/>
    <w:rsid w:val="00C6109F"/>
    <w:rsid w:val="00C61516"/>
    <w:rsid w:val="00C62A75"/>
    <w:rsid w:val="00C6315D"/>
    <w:rsid w:val="00C63ED6"/>
    <w:rsid w:val="00C64234"/>
    <w:rsid w:val="00C656E1"/>
    <w:rsid w:val="00C66B72"/>
    <w:rsid w:val="00C66E28"/>
    <w:rsid w:val="00C672D8"/>
    <w:rsid w:val="00C67768"/>
    <w:rsid w:val="00C67C81"/>
    <w:rsid w:val="00C70B4D"/>
    <w:rsid w:val="00C73C9D"/>
    <w:rsid w:val="00C75282"/>
    <w:rsid w:val="00C762A4"/>
    <w:rsid w:val="00C777DD"/>
    <w:rsid w:val="00C810D8"/>
    <w:rsid w:val="00C82428"/>
    <w:rsid w:val="00C82B97"/>
    <w:rsid w:val="00C83F14"/>
    <w:rsid w:val="00C8474C"/>
    <w:rsid w:val="00C85ABB"/>
    <w:rsid w:val="00C85AE6"/>
    <w:rsid w:val="00C85BFD"/>
    <w:rsid w:val="00C86F13"/>
    <w:rsid w:val="00C90535"/>
    <w:rsid w:val="00C9063D"/>
    <w:rsid w:val="00C910CE"/>
    <w:rsid w:val="00C9211F"/>
    <w:rsid w:val="00C92CA3"/>
    <w:rsid w:val="00C955D3"/>
    <w:rsid w:val="00C9567A"/>
    <w:rsid w:val="00C95A8A"/>
    <w:rsid w:val="00C97129"/>
    <w:rsid w:val="00CA13C7"/>
    <w:rsid w:val="00CA4801"/>
    <w:rsid w:val="00CA5AC0"/>
    <w:rsid w:val="00CA6701"/>
    <w:rsid w:val="00CA769D"/>
    <w:rsid w:val="00CB0F6D"/>
    <w:rsid w:val="00CB1009"/>
    <w:rsid w:val="00CB212D"/>
    <w:rsid w:val="00CB244D"/>
    <w:rsid w:val="00CB2583"/>
    <w:rsid w:val="00CB2660"/>
    <w:rsid w:val="00CB4115"/>
    <w:rsid w:val="00CB66F8"/>
    <w:rsid w:val="00CB7B1A"/>
    <w:rsid w:val="00CC08E2"/>
    <w:rsid w:val="00CC47BB"/>
    <w:rsid w:val="00CC4B48"/>
    <w:rsid w:val="00CC573A"/>
    <w:rsid w:val="00CC5E90"/>
    <w:rsid w:val="00CC6049"/>
    <w:rsid w:val="00CC63CF"/>
    <w:rsid w:val="00CC6C2B"/>
    <w:rsid w:val="00CC7216"/>
    <w:rsid w:val="00CD046C"/>
    <w:rsid w:val="00CD05AD"/>
    <w:rsid w:val="00CD0A38"/>
    <w:rsid w:val="00CD2F3B"/>
    <w:rsid w:val="00CD37F2"/>
    <w:rsid w:val="00CD3F78"/>
    <w:rsid w:val="00CD4B36"/>
    <w:rsid w:val="00CD5B28"/>
    <w:rsid w:val="00CD7B9A"/>
    <w:rsid w:val="00CE076C"/>
    <w:rsid w:val="00CE0BAF"/>
    <w:rsid w:val="00CE17FF"/>
    <w:rsid w:val="00CE1D1D"/>
    <w:rsid w:val="00CE215C"/>
    <w:rsid w:val="00CE301A"/>
    <w:rsid w:val="00CE3A34"/>
    <w:rsid w:val="00CE5199"/>
    <w:rsid w:val="00CE66D5"/>
    <w:rsid w:val="00CE688F"/>
    <w:rsid w:val="00CE6E6A"/>
    <w:rsid w:val="00CE73B2"/>
    <w:rsid w:val="00CF1588"/>
    <w:rsid w:val="00CF282D"/>
    <w:rsid w:val="00CF3ADA"/>
    <w:rsid w:val="00CF3EFF"/>
    <w:rsid w:val="00CF637A"/>
    <w:rsid w:val="00CF66C3"/>
    <w:rsid w:val="00D0032F"/>
    <w:rsid w:val="00D00C4D"/>
    <w:rsid w:val="00D0187E"/>
    <w:rsid w:val="00D021E0"/>
    <w:rsid w:val="00D03315"/>
    <w:rsid w:val="00D04CA5"/>
    <w:rsid w:val="00D059DE"/>
    <w:rsid w:val="00D06FA4"/>
    <w:rsid w:val="00D07806"/>
    <w:rsid w:val="00D1086E"/>
    <w:rsid w:val="00D1181E"/>
    <w:rsid w:val="00D12193"/>
    <w:rsid w:val="00D12278"/>
    <w:rsid w:val="00D124D6"/>
    <w:rsid w:val="00D138D2"/>
    <w:rsid w:val="00D13FCE"/>
    <w:rsid w:val="00D14368"/>
    <w:rsid w:val="00D15884"/>
    <w:rsid w:val="00D16405"/>
    <w:rsid w:val="00D16950"/>
    <w:rsid w:val="00D17096"/>
    <w:rsid w:val="00D173FB"/>
    <w:rsid w:val="00D17B40"/>
    <w:rsid w:val="00D17C42"/>
    <w:rsid w:val="00D2191C"/>
    <w:rsid w:val="00D21A4E"/>
    <w:rsid w:val="00D22066"/>
    <w:rsid w:val="00D229E4"/>
    <w:rsid w:val="00D2310E"/>
    <w:rsid w:val="00D23AD2"/>
    <w:rsid w:val="00D24B55"/>
    <w:rsid w:val="00D254B3"/>
    <w:rsid w:val="00D255E8"/>
    <w:rsid w:val="00D25C04"/>
    <w:rsid w:val="00D25C77"/>
    <w:rsid w:val="00D25E90"/>
    <w:rsid w:val="00D25FC6"/>
    <w:rsid w:val="00D27DB2"/>
    <w:rsid w:val="00D306D1"/>
    <w:rsid w:val="00D32343"/>
    <w:rsid w:val="00D327BE"/>
    <w:rsid w:val="00D32D92"/>
    <w:rsid w:val="00D330D5"/>
    <w:rsid w:val="00D34440"/>
    <w:rsid w:val="00D34786"/>
    <w:rsid w:val="00D35279"/>
    <w:rsid w:val="00D36273"/>
    <w:rsid w:val="00D36E9B"/>
    <w:rsid w:val="00D37BFC"/>
    <w:rsid w:val="00D37D8B"/>
    <w:rsid w:val="00D40305"/>
    <w:rsid w:val="00D40E61"/>
    <w:rsid w:val="00D40EA9"/>
    <w:rsid w:val="00D41094"/>
    <w:rsid w:val="00D41D77"/>
    <w:rsid w:val="00D41E25"/>
    <w:rsid w:val="00D43440"/>
    <w:rsid w:val="00D44314"/>
    <w:rsid w:val="00D45625"/>
    <w:rsid w:val="00D457A0"/>
    <w:rsid w:val="00D46B4E"/>
    <w:rsid w:val="00D46BCC"/>
    <w:rsid w:val="00D47A8E"/>
    <w:rsid w:val="00D500B0"/>
    <w:rsid w:val="00D52D14"/>
    <w:rsid w:val="00D531BB"/>
    <w:rsid w:val="00D53A31"/>
    <w:rsid w:val="00D57E43"/>
    <w:rsid w:val="00D61B8C"/>
    <w:rsid w:val="00D6411C"/>
    <w:rsid w:val="00D64DC2"/>
    <w:rsid w:val="00D6649A"/>
    <w:rsid w:val="00D6702C"/>
    <w:rsid w:val="00D67151"/>
    <w:rsid w:val="00D67217"/>
    <w:rsid w:val="00D674F3"/>
    <w:rsid w:val="00D6752C"/>
    <w:rsid w:val="00D679C8"/>
    <w:rsid w:val="00D67E04"/>
    <w:rsid w:val="00D67FDA"/>
    <w:rsid w:val="00D70C0A"/>
    <w:rsid w:val="00D712D3"/>
    <w:rsid w:val="00D71422"/>
    <w:rsid w:val="00D728F6"/>
    <w:rsid w:val="00D72DC6"/>
    <w:rsid w:val="00D7393F"/>
    <w:rsid w:val="00D73CDD"/>
    <w:rsid w:val="00D7457D"/>
    <w:rsid w:val="00D74720"/>
    <w:rsid w:val="00D7474D"/>
    <w:rsid w:val="00D74EC5"/>
    <w:rsid w:val="00D74F15"/>
    <w:rsid w:val="00D7558D"/>
    <w:rsid w:val="00D757C2"/>
    <w:rsid w:val="00D75AED"/>
    <w:rsid w:val="00D75FEC"/>
    <w:rsid w:val="00D7716D"/>
    <w:rsid w:val="00D777D1"/>
    <w:rsid w:val="00D80033"/>
    <w:rsid w:val="00D8093E"/>
    <w:rsid w:val="00D80C64"/>
    <w:rsid w:val="00D80DFF"/>
    <w:rsid w:val="00D812CF"/>
    <w:rsid w:val="00D81D92"/>
    <w:rsid w:val="00D81E20"/>
    <w:rsid w:val="00D81E28"/>
    <w:rsid w:val="00D830D7"/>
    <w:rsid w:val="00D83D73"/>
    <w:rsid w:val="00D8561C"/>
    <w:rsid w:val="00D85E20"/>
    <w:rsid w:val="00D9070F"/>
    <w:rsid w:val="00D90A6F"/>
    <w:rsid w:val="00D91A92"/>
    <w:rsid w:val="00D92B96"/>
    <w:rsid w:val="00D92EB5"/>
    <w:rsid w:val="00D932AD"/>
    <w:rsid w:val="00D94635"/>
    <w:rsid w:val="00D96E66"/>
    <w:rsid w:val="00D96ECC"/>
    <w:rsid w:val="00D97489"/>
    <w:rsid w:val="00DA0A50"/>
    <w:rsid w:val="00DA0D1B"/>
    <w:rsid w:val="00DA0DAC"/>
    <w:rsid w:val="00DA5038"/>
    <w:rsid w:val="00DA64F6"/>
    <w:rsid w:val="00DA6FCF"/>
    <w:rsid w:val="00DA71B8"/>
    <w:rsid w:val="00DA7B5F"/>
    <w:rsid w:val="00DB0E0E"/>
    <w:rsid w:val="00DB1B0D"/>
    <w:rsid w:val="00DB1FFE"/>
    <w:rsid w:val="00DB3681"/>
    <w:rsid w:val="00DB3968"/>
    <w:rsid w:val="00DB3B0E"/>
    <w:rsid w:val="00DB48F8"/>
    <w:rsid w:val="00DB70FC"/>
    <w:rsid w:val="00DC0663"/>
    <w:rsid w:val="00DC11E7"/>
    <w:rsid w:val="00DC205B"/>
    <w:rsid w:val="00DC42C1"/>
    <w:rsid w:val="00DC667A"/>
    <w:rsid w:val="00DC6F35"/>
    <w:rsid w:val="00DC7023"/>
    <w:rsid w:val="00DC769A"/>
    <w:rsid w:val="00DD0F1A"/>
    <w:rsid w:val="00DD2930"/>
    <w:rsid w:val="00DD302D"/>
    <w:rsid w:val="00DD37E3"/>
    <w:rsid w:val="00DD3D86"/>
    <w:rsid w:val="00DD3FE1"/>
    <w:rsid w:val="00DD5AA6"/>
    <w:rsid w:val="00DD6387"/>
    <w:rsid w:val="00DD6C24"/>
    <w:rsid w:val="00DD791A"/>
    <w:rsid w:val="00DE1318"/>
    <w:rsid w:val="00DE2927"/>
    <w:rsid w:val="00DE2B3D"/>
    <w:rsid w:val="00DE4662"/>
    <w:rsid w:val="00DE4700"/>
    <w:rsid w:val="00DE51A3"/>
    <w:rsid w:val="00DE7D3D"/>
    <w:rsid w:val="00DF0506"/>
    <w:rsid w:val="00DF1EC4"/>
    <w:rsid w:val="00DF20E5"/>
    <w:rsid w:val="00DF28A1"/>
    <w:rsid w:val="00DF35D4"/>
    <w:rsid w:val="00DF47DE"/>
    <w:rsid w:val="00DF48B9"/>
    <w:rsid w:val="00DF4CDF"/>
    <w:rsid w:val="00DF6D91"/>
    <w:rsid w:val="00E00188"/>
    <w:rsid w:val="00E0059D"/>
    <w:rsid w:val="00E017D2"/>
    <w:rsid w:val="00E01887"/>
    <w:rsid w:val="00E01A94"/>
    <w:rsid w:val="00E01D2E"/>
    <w:rsid w:val="00E021C1"/>
    <w:rsid w:val="00E0340B"/>
    <w:rsid w:val="00E0362E"/>
    <w:rsid w:val="00E039AB"/>
    <w:rsid w:val="00E04A90"/>
    <w:rsid w:val="00E04B89"/>
    <w:rsid w:val="00E07F4D"/>
    <w:rsid w:val="00E11125"/>
    <w:rsid w:val="00E125F9"/>
    <w:rsid w:val="00E126B7"/>
    <w:rsid w:val="00E130E2"/>
    <w:rsid w:val="00E13A5F"/>
    <w:rsid w:val="00E1459B"/>
    <w:rsid w:val="00E14F7A"/>
    <w:rsid w:val="00E1570D"/>
    <w:rsid w:val="00E161CD"/>
    <w:rsid w:val="00E1639A"/>
    <w:rsid w:val="00E163CA"/>
    <w:rsid w:val="00E174F7"/>
    <w:rsid w:val="00E219C7"/>
    <w:rsid w:val="00E22A73"/>
    <w:rsid w:val="00E22F35"/>
    <w:rsid w:val="00E234F2"/>
    <w:rsid w:val="00E23E4F"/>
    <w:rsid w:val="00E24E28"/>
    <w:rsid w:val="00E253EE"/>
    <w:rsid w:val="00E303E8"/>
    <w:rsid w:val="00E3322C"/>
    <w:rsid w:val="00E3344F"/>
    <w:rsid w:val="00E35A9C"/>
    <w:rsid w:val="00E37128"/>
    <w:rsid w:val="00E37F67"/>
    <w:rsid w:val="00E41A96"/>
    <w:rsid w:val="00E43099"/>
    <w:rsid w:val="00E43157"/>
    <w:rsid w:val="00E461CE"/>
    <w:rsid w:val="00E467A3"/>
    <w:rsid w:val="00E50911"/>
    <w:rsid w:val="00E50B1D"/>
    <w:rsid w:val="00E517B6"/>
    <w:rsid w:val="00E5217F"/>
    <w:rsid w:val="00E52296"/>
    <w:rsid w:val="00E534DC"/>
    <w:rsid w:val="00E5488D"/>
    <w:rsid w:val="00E54EF4"/>
    <w:rsid w:val="00E561F8"/>
    <w:rsid w:val="00E5635D"/>
    <w:rsid w:val="00E56EE0"/>
    <w:rsid w:val="00E61698"/>
    <w:rsid w:val="00E62912"/>
    <w:rsid w:val="00E62C3A"/>
    <w:rsid w:val="00E63266"/>
    <w:rsid w:val="00E64BDE"/>
    <w:rsid w:val="00E65588"/>
    <w:rsid w:val="00E657BC"/>
    <w:rsid w:val="00E65925"/>
    <w:rsid w:val="00E660F4"/>
    <w:rsid w:val="00E67941"/>
    <w:rsid w:val="00E67C37"/>
    <w:rsid w:val="00E7064B"/>
    <w:rsid w:val="00E720CA"/>
    <w:rsid w:val="00E72420"/>
    <w:rsid w:val="00E74D70"/>
    <w:rsid w:val="00E769CC"/>
    <w:rsid w:val="00E76F15"/>
    <w:rsid w:val="00E770DA"/>
    <w:rsid w:val="00E7725D"/>
    <w:rsid w:val="00E807EA"/>
    <w:rsid w:val="00E810C3"/>
    <w:rsid w:val="00E81D73"/>
    <w:rsid w:val="00E81D85"/>
    <w:rsid w:val="00E8380A"/>
    <w:rsid w:val="00E84BDE"/>
    <w:rsid w:val="00E84EB5"/>
    <w:rsid w:val="00E850D2"/>
    <w:rsid w:val="00E85662"/>
    <w:rsid w:val="00E856A9"/>
    <w:rsid w:val="00E85B71"/>
    <w:rsid w:val="00E85BC3"/>
    <w:rsid w:val="00E861EA"/>
    <w:rsid w:val="00E86420"/>
    <w:rsid w:val="00E8789F"/>
    <w:rsid w:val="00E900C3"/>
    <w:rsid w:val="00E909AA"/>
    <w:rsid w:val="00E90B0D"/>
    <w:rsid w:val="00E91B40"/>
    <w:rsid w:val="00E91EAE"/>
    <w:rsid w:val="00E95613"/>
    <w:rsid w:val="00E95A08"/>
    <w:rsid w:val="00E95A11"/>
    <w:rsid w:val="00E9627C"/>
    <w:rsid w:val="00E97B71"/>
    <w:rsid w:val="00EA1836"/>
    <w:rsid w:val="00EA375B"/>
    <w:rsid w:val="00EA3CA2"/>
    <w:rsid w:val="00EA3D34"/>
    <w:rsid w:val="00EA3E9E"/>
    <w:rsid w:val="00EA409F"/>
    <w:rsid w:val="00EA5466"/>
    <w:rsid w:val="00EA6831"/>
    <w:rsid w:val="00EA7418"/>
    <w:rsid w:val="00EB061A"/>
    <w:rsid w:val="00EB2292"/>
    <w:rsid w:val="00EB3272"/>
    <w:rsid w:val="00EB3FAD"/>
    <w:rsid w:val="00EB4315"/>
    <w:rsid w:val="00EB454D"/>
    <w:rsid w:val="00EB516A"/>
    <w:rsid w:val="00EB53F1"/>
    <w:rsid w:val="00EB640E"/>
    <w:rsid w:val="00EC033F"/>
    <w:rsid w:val="00EC1EC8"/>
    <w:rsid w:val="00EC283E"/>
    <w:rsid w:val="00EC29AD"/>
    <w:rsid w:val="00EC3B47"/>
    <w:rsid w:val="00EC417B"/>
    <w:rsid w:val="00EC501F"/>
    <w:rsid w:val="00EC5258"/>
    <w:rsid w:val="00EC79A3"/>
    <w:rsid w:val="00ED0302"/>
    <w:rsid w:val="00ED0951"/>
    <w:rsid w:val="00ED3664"/>
    <w:rsid w:val="00ED39A8"/>
    <w:rsid w:val="00ED3B1E"/>
    <w:rsid w:val="00ED465E"/>
    <w:rsid w:val="00ED53A9"/>
    <w:rsid w:val="00ED7264"/>
    <w:rsid w:val="00ED7505"/>
    <w:rsid w:val="00ED76BE"/>
    <w:rsid w:val="00EE0840"/>
    <w:rsid w:val="00EE0A0D"/>
    <w:rsid w:val="00EE15D6"/>
    <w:rsid w:val="00EE21F5"/>
    <w:rsid w:val="00EE2B43"/>
    <w:rsid w:val="00EE4850"/>
    <w:rsid w:val="00EE4C8F"/>
    <w:rsid w:val="00EE5290"/>
    <w:rsid w:val="00EE5377"/>
    <w:rsid w:val="00EE5A2C"/>
    <w:rsid w:val="00EE5D3F"/>
    <w:rsid w:val="00EE5FF2"/>
    <w:rsid w:val="00EE62FF"/>
    <w:rsid w:val="00EE658F"/>
    <w:rsid w:val="00EE7A86"/>
    <w:rsid w:val="00EF240C"/>
    <w:rsid w:val="00EF2A0E"/>
    <w:rsid w:val="00EF50D7"/>
    <w:rsid w:val="00EF52FB"/>
    <w:rsid w:val="00EF619B"/>
    <w:rsid w:val="00EF6BA7"/>
    <w:rsid w:val="00EF73DC"/>
    <w:rsid w:val="00EF74E4"/>
    <w:rsid w:val="00EF7A8F"/>
    <w:rsid w:val="00F00B55"/>
    <w:rsid w:val="00F01CFE"/>
    <w:rsid w:val="00F02AD1"/>
    <w:rsid w:val="00F02FF5"/>
    <w:rsid w:val="00F0467D"/>
    <w:rsid w:val="00F04865"/>
    <w:rsid w:val="00F05CC0"/>
    <w:rsid w:val="00F06A7C"/>
    <w:rsid w:val="00F07CE3"/>
    <w:rsid w:val="00F13369"/>
    <w:rsid w:val="00F137AC"/>
    <w:rsid w:val="00F1453D"/>
    <w:rsid w:val="00F14B34"/>
    <w:rsid w:val="00F14EBD"/>
    <w:rsid w:val="00F1591B"/>
    <w:rsid w:val="00F17533"/>
    <w:rsid w:val="00F17642"/>
    <w:rsid w:val="00F2184B"/>
    <w:rsid w:val="00F221FC"/>
    <w:rsid w:val="00F22D06"/>
    <w:rsid w:val="00F253CC"/>
    <w:rsid w:val="00F25B60"/>
    <w:rsid w:val="00F25C37"/>
    <w:rsid w:val="00F31041"/>
    <w:rsid w:val="00F31BC4"/>
    <w:rsid w:val="00F32133"/>
    <w:rsid w:val="00F32943"/>
    <w:rsid w:val="00F331A6"/>
    <w:rsid w:val="00F339CD"/>
    <w:rsid w:val="00F33FF7"/>
    <w:rsid w:val="00F34338"/>
    <w:rsid w:val="00F35781"/>
    <w:rsid w:val="00F36D2C"/>
    <w:rsid w:val="00F37106"/>
    <w:rsid w:val="00F416F6"/>
    <w:rsid w:val="00F41F56"/>
    <w:rsid w:val="00F42983"/>
    <w:rsid w:val="00F44355"/>
    <w:rsid w:val="00F44367"/>
    <w:rsid w:val="00F44424"/>
    <w:rsid w:val="00F47B76"/>
    <w:rsid w:val="00F502FF"/>
    <w:rsid w:val="00F50B8C"/>
    <w:rsid w:val="00F519CF"/>
    <w:rsid w:val="00F51A37"/>
    <w:rsid w:val="00F51DC1"/>
    <w:rsid w:val="00F52A11"/>
    <w:rsid w:val="00F537A2"/>
    <w:rsid w:val="00F53E62"/>
    <w:rsid w:val="00F56082"/>
    <w:rsid w:val="00F56BA5"/>
    <w:rsid w:val="00F57DDC"/>
    <w:rsid w:val="00F60E22"/>
    <w:rsid w:val="00F614F9"/>
    <w:rsid w:val="00F62781"/>
    <w:rsid w:val="00F62A9F"/>
    <w:rsid w:val="00F657EC"/>
    <w:rsid w:val="00F67DA2"/>
    <w:rsid w:val="00F703A1"/>
    <w:rsid w:val="00F70D1B"/>
    <w:rsid w:val="00F7120F"/>
    <w:rsid w:val="00F715FF"/>
    <w:rsid w:val="00F71A22"/>
    <w:rsid w:val="00F722D9"/>
    <w:rsid w:val="00F72492"/>
    <w:rsid w:val="00F73104"/>
    <w:rsid w:val="00F739B9"/>
    <w:rsid w:val="00F749FA"/>
    <w:rsid w:val="00F7605E"/>
    <w:rsid w:val="00F762DF"/>
    <w:rsid w:val="00F805FB"/>
    <w:rsid w:val="00F8075A"/>
    <w:rsid w:val="00F81395"/>
    <w:rsid w:val="00F813B1"/>
    <w:rsid w:val="00F81FFD"/>
    <w:rsid w:val="00F82323"/>
    <w:rsid w:val="00F82433"/>
    <w:rsid w:val="00F82669"/>
    <w:rsid w:val="00F83586"/>
    <w:rsid w:val="00F84881"/>
    <w:rsid w:val="00F85C8B"/>
    <w:rsid w:val="00F865DF"/>
    <w:rsid w:val="00F87309"/>
    <w:rsid w:val="00F879A7"/>
    <w:rsid w:val="00F87F8B"/>
    <w:rsid w:val="00F902EB"/>
    <w:rsid w:val="00F90561"/>
    <w:rsid w:val="00F90B38"/>
    <w:rsid w:val="00F911AF"/>
    <w:rsid w:val="00F9134F"/>
    <w:rsid w:val="00F917D1"/>
    <w:rsid w:val="00F9221B"/>
    <w:rsid w:val="00F925B4"/>
    <w:rsid w:val="00F9322F"/>
    <w:rsid w:val="00F932BE"/>
    <w:rsid w:val="00F9409C"/>
    <w:rsid w:val="00F961A0"/>
    <w:rsid w:val="00F96300"/>
    <w:rsid w:val="00F9653B"/>
    <w:rsid w:val="00F965A5"/>
    <w:rsid w:val="00FA14E8"/>
    <w:rsid w:val="00FA2691"/>
    <w:rsid w:val="00FA2D7F"/>
    <w:rsid w:val="00FA4E4C"/>
    <w:rsid w:val="00FB05F3"/>
    <w:rsid w:val="00FB0D44"/>
    <w:rsid w:val="00FB13C3"/>
    <w:rsid w:val="00FB1978"/>
    <w:rsid w:val="00FB1F25"/>
    <w:rsid w:val="00FB21D4"/>
    <w:rsid w:val="00FB3DFD"/>
    <w:rsid w:val="00FB5224"/>
    <w:rsid w:val="00FB5D6B"/>
    <w:rsid w:val="00FB62CF"/>
    <w:rsid w:val="00FB6462"/>
    <w:rsid w:val="00FB7CB6"/>
    <w:rsid w:val="00FB7ED1"/>
    <w:rsid w:val="00FC08B3"/>
    <w:rsid w:val="00FC08BE"/>
    <w:rsid w:val="00FC0A6D"/>
    <w:rsid w:val="00FC16DC"/>
    <w:rsid w:val="00FC6D5C"/>
    <w:rsid w:val="00FC7993"/>
    <w:rsid w:val="00FD0011"/>
    <w:rsid w:val="00FD0562"/>
    <w:rsid w:val="00FD1EC3"/>
    <w:rsid w:val="00FD2B4C"/>
    <w:rsid w:val="00FD3978"/>
    <w:rsid w:val="00FD3C3B"/>
    <w:rsid w:val="00FD5A99"/>
    <w:rsid w:val="00FD6354"/>
    <w:rsid w:val="00FD6954"/>
    <w:rsid w:val="00FD6A16"/>
    <w:rsid w:val="00FD7018"/>
    <w:rsid w:val="00FE07DD"/>
    <w:rsid w:val="00FE252B"/>
    <w:rsid w:val="00FE27F0"/>
    <w:rsid w:val="00FE3967"/>
    <w:rsid w:val="00FE3DEC"/>
    <w:rsid w:val="00FE596B"/>
    <w:rsid w:val="00FE65D3"/>
    <w:rsid w:val="00FE6ABD"/>
    <w:rsid w:val="00FE6B45"/>
    <w:rsid w:val="00FE788E"/>
    <w:rsid w:val="00FE7F97"/>
    <w:rsid w:val="00FF1758"/>
    <w:rsid w:val="00FF18D1"/>
    <w:rsid w:val="00FF1F17"/>
    <w:rsid w:val="00FF269E"/>
    <w:rsid w:val="00FF2FE2"/>
    <w:rsid w:val="00FF4034"/>
    <w:rsid w:val="00FF55F3"/>
    <w:rsid w:val="00FF577C"/>
    <w:rsid w:val="00FF5851"/>
    <w:rsid w:val="00FF590A"/>
    <w:rsid w:val="00FF6A6A"/>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7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uiPriority w:val="9"/>
    <w:qFormat/>
    <w:rsid w:val="00314D74"/>
    <w:pPr>
      <w:numPr>
        <w:numId w:val="54"/>
      </w:numPr>
      <w:suppressAutoHyphens/>
      <w:outlineLvl w:val="0"/>
    </w:pPr>
    <w:rPr>
      <w:rFonts w:asciiTheme="majorHAnsi" w:hAnsiTheme="majorHAnsi"/>
      <w:b/>
      <w:szCs w:val="20"/>
      <w:lang w:val="es-ES_tradnl"/>
    </w:rPr>
  </w:style>
  <w:style w:type="paragraph" w:styleId="Heading2">
    <w:name w:val="heading 2"/>
    <w:basedOn w:val="Normal"/>
    <w:next w:val="Normal"/>
    <w:link w:val="Heading2Char"/>
    <w:qFormat/>
    <w:rsid w:val="00314D74"/>
    <w:pPr>
      <w:keepNext/>
      <w:numPr>
        <w:numId w:val="57"/>
      </w:numPr>
      <w:outlineLvl w:val="1"/>
    </w:pPr>
    <w:rPr>
      <w:rFonts w:ascii="Cambria" w:hAnsi="Cambria" w:cs="Arial"/>
      <w:b/>
      <w:bCs/>
      <w:iCs/>
      <w:sz w:val="20"/>
      <w:szCs w:val="28"/>
    </w:rPr>
  </w:style>
  <w:style w:type="paragraph" w:styleId="Heading3">
    <w:name w:val="heading 3"/>
    <w:basedOn w:val="Normal"/>
    <w:next w:val="Normal"/>
    <w:link w:val="Heading3Char"/>
    <w:qFormat/>
    <w:rsid w:val="000A7746"/>
    <w:pPr>
      <w:keepNext/>
      <w:numPr>
        <w:numId w:val="58"/>
      </w:numPr>
      <w:outlineLvl w:val="2"/>
    </w:pPr>
    <w:rPr>
      <w:rFonts w:ascii="Cambria" w:hAnsi="Cambri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link w:val="ListParagraphChar"/>
    <w:qFormat/>
    <w:rsid w:val="00C55B05"/>
    <w:pPr>
      <w:numPr>
        <w:numId w:val="56"/>
      </w:numPr>
      <w:ind w:left="0" w:firstLine="0"/>
      <w:jc w:val="both"/>
    </w:pPr>
    <w:rPr>
      <w:rFonts w:ascii="Cambria" w:eastAsia="Cambria" w:hAnsi="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D85E2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14D74"/>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D85E2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314D74"/>
    <w:rPr>
      <w:rFonts w:ascii="Cambria" w:eastAsia="Times New Roman" w:hAnsi="Cambria" w:cs="Arial"/>
      <w:b/>
      <w:bCs/>
      <w:iCs/>
      <w:szCs w:val="28"/>
      <w:bdr w:val="none" w:sz="0" w:space="0" w:color="auto"/>
      <w:lang w:val="en-US" w:eastAsia="en-US"/>
    </w:rPr>
  </w:style>
  <w:style w:type="character" w:customStyle="1" w:styleId="Heading3Char">
    <w:name w:val="Heading 3 Char"/>
    <w:basedOn w:val="DefaultParagraphFont"/>
    <w:link w:val="Heading3"/>
    <w:rsid w:val="000A7746"/>
    <w:rPr>
      <w:rFonts w:ascii="Cambria" w:eastAsia="Times New Roman" w:hAnsi="Cambria"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
    <w:link w:val="ListParagraph"/>
    <w:locked/>
    <w:rsid w:val="00C55B05"/>
    <w:rPr>
      <w:rFonts w:ascii="Cambria" w:eastAsia="Cambria" w:hAnsi="Cambria" w:cs="Cambria"/>
      <w:color w:val="000000"/>
      <w:szCs w:val="24"/>
      <w:u w:color="000000"/>
      <w:lang w:val="en-US"/>
    </w:rPr>
  </w:style>
  <w:style w:type="paragraph" w:styleId="Quote">
    <w:name w:val="Quote"/>
    <w:basedOn w:val="Normal"/>
    <w:next w:val="Normal"/>
    <w:link w:val="QuoteChar"/>
    <w:uiPriority w:val="29"/>
    <w:qFormat/>
    <w:rsid w:val="009F2714"/>
    <w:pPr>
      <w:ind w:left="360" w:right="360"/>
      <w:jc w:val="both"/>
    </w:pPr>
    <w:rPr>
      <w:rFonts w:ascii="Cambria" w:hAnsi="Cambria"/>
      <w:iCs/>
      <w:sz w:val="18"/>
    </w:rPr>
  </w:style>
  <w:style w:type="character" w:customStyle="1" w:styleId="QuoteChar">
    <w:name w:val="Quote Char"/>
    <w:basedOn w:val="DefaultParagraphFont"/>
    <w:link w:val="Quote"/>
    <w:uiPriority w:val="29"/>
    <w:rsid w:val="009F2714"/>
    <w:rPr>
      <w:rFonts w:ascii="Cambria" w:eastAsia="Times New Roman" w:hAnsi="Cambria"/>
      <w:iCs/>
      <w:sz w:val="18"/>
      <w:szCs w:val="24"/>
      <w:bdr w:val="none" w:sz="0" w:space="0" w:color="auto"/>
      <w:lang w:val="en-US" w:eastAsia="en-US"/>
    </w:rPr>
  </w:style>
  <w:style w:type="character" w:styleId="Strong">
    <w:name w:val="Strong"/>
    <w:basedOn w:val="DefaultParagraphFont"/>
    <w:uiPriority w:val="22"/>
    <w:qFormat/>
    <w:rsid w:val="00513D84"/>
    <w:rPr>
      <w:b/>
      <w:bCs/>
    </w:rPr>
  </w:style>
  <w:style w:type="paragraph" w:styleId="NormalWeb">
    <w:name w:val="Normal (Web)"/>
    <w:basedOn w:val="Normal"/>
    <w:uiPriority w:val="99"/>
    <w:semiHidden/>
    <w:unhideWhenUsed/>
    <w:rsid w:val="0034633E"/>
  </w:style>
  <w:style w:type="character" w:customStyle="1" w:styleId="BodyTextIndentChar">
    <w:name w:val="Body Text Indent Char"/>
    <w:basedOn w:val="DefaultParagraphFont"/>
    <w:link w:val="BodyTextIndent"/>
    <w:rsid w:val="00500B94"/>
    <w:rPr>
      <w:rFonts w:eastAsia="Times New Roman"/>
      <w:color w:val="000000"/>
      <w:sz w:val="24"/>
      <w:szCs w:val="24"/>
      <w:u w:color="000000"/>
      <w:lang w:val="es-ES_tradnl"/>
    </w:rPr>
  </w:style>
  <w:style w:type="character" w:styleId="CommentReference">
    <w:name w:val="annotation reference"/>
    <w:basedOn w:val="DefaultParagraphFont"/>
    <w:uiPriority w:val="99"/>
    <w:semiHidden/>
    <w:unhideWhenUsed/>
    <w:rsid w:val="00B66AB5"/>
    <w:rPr>
      <w:sz w:val="16"/>
      <w:szCs w:val="16"/>
    </w:rPr>
  </w:style>
  <w:style w:type="paragraph" w:styleId="CommentText">
    <w:name w:val="annotation text"/>
    <w:basedOn w:val="Normal"/>
    <w:link w:val="CommentTextChar"/>
    <w:uiPriority w:val="99"/>
    <w:semiHidden/>
    <w:unhideWhenUsed/>
    <w:rsid w:val="00B66AB5"/>
    <w:rPr>
      <w:sz w:val="20"/>
      <w:szCs w:val="20"/>
    </w:rPr>
  </w:style>
  <w:style w:type="character" w:customStyle="1" w:styleId="CommentTextChar">
    <w:name w:val="Comment Text Char"/>
    <w:basedOn w:val="DefaultParagraphFont"/>
    <w:link w:val="CommentText"/>
    <w:uiPriority w:val="99"/>
    <w:semiHidden/>
    <w:rsid w:val="00B66AB5"/>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66AB5"/>
    <w:rPr>
      <w:b/>
      <w:bCs/>
    </w:rPr>
  </w:style>
  <w:style w:type="character" w:customStyle="1" w:styleId="CommentSubjectChar">
    <w:name w:val="Comment Subject Char"/>
    <w:basedOn w:val="CommentTextChar"/>
    <w:link w:val="CommentSubject"/>
    <w:uiPriority w:val="99"/>
    <w:semiHidden/>
    <w:rsid w:val="00B66AB5"/>
    <w:rPr>
      <w:rFonts w:eastAsia="Times New Roman"/>
      <w:b/>
      <w:bCs/>
      <w:bdr w:val="none" w:sz="0" w:space="0" w:color="auto"/>
      <w:lang w:val="en-US" w:eastAsia="en-US"/>
    </w:rPr>
  </w:style>
  <w:style w:type="paragraph" w:styleId="Revision">
    <w:name w:val="Revision"/>
    <w:hidden/>
    <w:uiPriority w:val="99"/>
    <w:semiHidden/>
    <w:rsid w:val="009D7D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customStyle="1" w:styleId="parrafos">
    <w:name w:val="parrafos"/>
    <w:basedOn w:val="Normal"/>
    <w:qFormat/>
    <w:rsid w:val="00F1453D"/>
    <w:pPr>
      <w:tabs>
        <w:tab w:val="left" w:pos="360"/>
      </w:tabs>
      <w:ind w:left="360" w:hanging="360"/>
      <w:jc w:val="both"/>
    </w:pPr>
    <w:rPr>
      <w:rFonts w:asciiTheme="majorHAnsi" w:eastAsia="Arial Unicode MS" w:hAnsiTheme="majorHAnsi"/>
      <w:color w:val="000000" w:themeColor="text1"/>
      <w:szCs w:val="20"/>
      <w:bdr w:val="nil"/>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4162">
      <w:bodyDiv w:val="1"/>
      <w:marLeft w:val="0"/>
      <w:marRight w:val="0"/>
      <w:marTop w:val="0"/>
      <w:marBottom w:val="0"/>
      <w:divBdr>
        <w:top w:val="none" w:sz="0" w:space="0" w:color="auto"/>
        <w:left w:val="none" w:sz="0" w:space="0" w:color="auto"/>
        <w:bottom w:val="none" w:sz="0" w:space="0" w:color="auto"/>
        <w:right w:val="none" w:sz="0" w:space="0" w:color="auto"/>
      </w:divBdr>
    </w:div>
    <w:div w:id="122697461">
      <w:bodyDiv w:val="1"/>
      <w:marLeft w:val="0"/>
      <w:marRight w:val="0"/>
      <w:marTop w:val="0"/>
      <w:marBottom w:val="0"/>
      <w:divBdr>
        <w:top w:val="none" w:sz="0" w:space="0" w:color="auto"/>
        <w:left w:val="none" w:sz="0" w:space="0" w:color="auto"/>
        <w:bottom w:val="none" w:sz="0" w:space="0" w:color="auto"/>
        <w:right w:val="none" w:sz="0" w:space="0" w:color="auto"/>
      </w:divBdr>
    </w:div>
    <w:div w:id="135726993">
      <w:bodyDiv w:val="1"/>
      <w:marLeft w:val="0"/>
      <w:marRight w:val="0"/>
      <w:marTop w:val="0"/>
      <w:marBottom w:val="0"/>
      <w:divBdr>
        <w:top w:val="none" w:sz="0" w:space="0" w:color="auto"/>
        <w:left w:val="none" w:sz="0" w:space="0" w:color="auto"/>
        <w:bottom w:val="none" w:sz="0" w:space="0" w:color="auto"/>
        <w:right w:val="none" w:sz="0" w:space="0" w:color="auto"/>
      </w:divBdr>
    </w:div>
    <w:div w:id="161699800">
      <w:bodyDiv w:val="1"/>
      <w:marLeft w:val="0"/>
      <w:marRight w:val="0"/>
      <w:marTop w:val="0"/>
      <w:marBottom w:val="0"/>
      <w:divBdr>
        <w:top w:val="none" w:sz="0" w:space="0" w:color="auto"/>
        <w:left w:val="none" w:sz="0" w:space="0" w:color="auto"/>
        <w:bottom w:val="none" w:sz="0" w:space="0" w:color="auto"/>
        <w:right w:val="none" w:sz="0" w:space="0" w:color="auto"/>
      </w:divBdr>
    </w:div>
    <w:div w:id="216285644">
      <w:bodyDiv w:val="1"/>
      <w:marLeft w:val="0"/>
      <w:marRight w:val="0"/>
      <w:marTop w:val="0"/>
      <w:marBottom w:val="0"/>
      <w:divBdr>
        <w:top w:val="none" w:sz="0" w:space="0" w:color="auto"/>
        <w:left w:val="none" w:sz="0" w:space="0" w:color="auto"/>
        <w:bottom w:val="none" w:sz="0" w:space="0" w:color="auto"/>
        <w:right w:val="none" w:sz="0" w:space="0" w:color="auto"/>
      </w:divBdr>
    </w:div>
    <w:div w:id="335809216">
      <w:bodyDiv w:val="1"/>
      <w:marLeft w:val="0"/>
      <w:marRight w:val="0"/>
      <w:marTop w:val="0"/>
      <w:marBottom w:val="0"/>
      <w:divBdr>
        <w:top w:val="none" w:sz="0" w:space="0" w:color="auto"/>
        <w:left w:val="none" w:sz="0" w:space="0" w:color="auto"/>
        <w:bottom w:val="none" w:sz="0" w:space="0" w:color="auto"/>
        <w:right w:val="none" w:sz="0" w:space="0" w:color="auto"/>
      </w:divBdr>
    </w:div>
    <w:div w:id="373772720">
      <w:bodyDiv w:val="1"/>
      <w:marLeft w:val="0"/>
      <w:marRight w:val="0"/>
      <w:marTop w:val="0"/>
      <w:marBottom w:val="0"/>
      <w:divBdr>
        <w:top w:val="none" w:sz="0" w:space="0" w:color="auto"/>
        <w:left w:val="none" w:sz="0" w:space="0" w:color="auto"/>
        <w:bottom w:val="none" w:sz="0" w:space="0" w:color="auto"/>
        <w:right w:val="none" w:sz="0" w:space="0" w:color="auto"/>
      </w:divBdr>
    </w:div>
    <w:div w:id="439571371">
      <w:bodyDiv w:val="1"/>
      <w:marLeft w:val="0"/>
      <w:marRight w:val="0"/>
      <w:marTop w:val="0"/>
      <w:marBottom w:val="0"/>
      <w:divBdr>
        <w:top w:val="none" w:sz="0" w:space="0" w:color="auto"/>
        <w:left w:val="none" w:sz="0" w:space="0" w:color="auto"/>
        <w:bottom w:val="none" w:sz="0" w:space="0" w:color="auto"/>
        <w:right w:val="none" w:sz="0" w:space="0" w:color="auto"/>
      </w:divBdr>
    </w:div>
    <w:div w:id="464278730">
      <w:bodyDiv w:val="1"/>
      <w:marLeft w:val="0"/>
      <w:marRight w:val="0"/>
      <w:marTop w:val="0"/>
      <w:marBottom w:val="0"/>
      <w:divBdr>
        <w:top w:val="none" w:sz="0" w:space="0" w:color="auto"/>
        <w:left w:val="none" w:sz="0" w:space="0" w:color="auto"/>
        <w:bottom w:val="none" w:sz="0" w:space="0" w:color="auto"/>
        <w:right w:val="none" w:sz="0" w:space="0" w:color="auto"/>
      </w:divBdr>
    </w:div>
    <w:div w:id="546916731">
      <w:bodyDiv w:val="1"/>
      <w:marLeft w:val="0"/>
      <w:marRight w:val="0"/>
      <w:marTop w:val="0"/>
      <w:marBottom w:val="0"/>
      <w:divBdr>
        <w:top w:val="none" w:sz="0" w:space="0" w:color="auto"/>
        <w:left w:val="none" w:sz="0" w:space="0" w:color="auto"/>
        <w:bottom w:val="none" w:sz="0" w:space="0" w:color="auto"/>
        <w:right w:val="none" w:sz="0" w:space="0" w:color="auto"/>
      </w:divBdr>
    </w:div>
    <w:div w:id="547569904">
      <w:bodyDiv w:val="1"/>
      <w:marLeft w:val="0"/>
      <w:marRight w:val="0"/>
      <w:marTop w:val="0"/>
      <w:marBottom w:val="0"/>
      <w:divBdr>
        <w:top w:val="none" w:sz="0" w:space="0" w:color="auto"/>
        <w:left w:val="none" w:sz="0" w:space="0" w:color="auto"/>
        <w:bottom w:val="none" w:sz="0" w:space="0" w:color="auto"/>
        <w:right w:val="none" w:sz="0" w:space="0" w:color="auto"/>
      </w:divBdr>
    </w:div>
    <w:div w:id="610284828">
      <w:bodyDiv w:val="1"/>
      <w:marLeft w:val="0"/>
      <w:marRight w:val="0"/>
      <w:marTop w:val="0"/>
      <w:marBottom w:val="0"/>
      <w:divBdr>
        <w:top w:val="none" w:sz="0" w:space="0" w:color="auto"/>
        <w:left w:val="none" w:sz="0" w:space="0" w:color="auto"/>
        <w:bottom w:val="none" w:sz="0" w:space="0" w:color="auto"/>
        <w:right w:val="none" w:sz="0" w:space="0" w:color="auto"/>
      </w:divBdr>
    </w:div>
    <w:div w:id="690306415">
      <w:bodyDiv w:val="1"/>
      <w:marLeft w:val="0"/>
      <w:marRight w:val="0"/>
      <w:marTop w:val="0"/>
      <w:marBottom w:val="0"/>
      <w:divBdr>
        <w:top w:val="none" w:sz="0" w:space="0" w:color="auto"/>
        <w:left w:val="none" w:sz="0" w:space="0" w:color="auto"/>
        <w:bottom w:val="none" w:sz="0" w:space="0" w:color="auto"/>
        <w:right w:val="none" w:sz="0" w:space="0" w:color="auto"/>
      </w:divBdr>
    </w:div>
    <w:div w:id="704255512">
      <w:bodyDiv w:val="1"/>
      <w:marLeft w:val="0"/>
      <w:marRight w:val="0"/>
      <w:marTop w:val="0"/>
      <w:marBottom w:val="0"/>
      <w:divBdr>
        <w:top w:val="none" w:sz="0" w:space="0" w:color="auto"/>
        <w:left w:val="none" w:sz="0" w:space="0" w:color="auto"/>
        <w:bottom w:val="none" w:sz="0" w:space="0" w:color="auto"/>
        <w:right w:val="none" w:sz="0" w:space="0" w:color="auto"/>
      </w:divBdr>
    </w:div>
    <w:div w:id="907811258">
      <w:bodyDiv w:val="1"/>
      <w:marLeft w:val="0"/>
      <w:marRight w:val="0"/>
      <w:marTop w:val="0"/>
      <w:marBottom w:val="0"/>
      <w:divBdr>
        <w:top w:val="none" w:sz="0" w:space="0" w:color="auto"/>
        <w:left w:val="none" w:sz="0" w:space="0" w:color="auto"/>
        <w:bottom w:val="none" w:sz="0" w:space="0" w:color="auto"/>
        <w:right w:val="none" w:sz="0" w:space="0" w:color="auto"/>
      </w:divBdr>
    </w:div>
    <w:div w:id="980236894">
      <w:bodyDiv w:val="1"/>
      <w:marLeft w:val="0"/>
      <w:marRight w:val="0"/>
      <w:marTop w:val="0"/>
      <w:marBottom w:val="0"/>
      <w:divBdr>
        <w:top w:val="none" w:sz="0" w:space="0" w:color="auto"/>
        <w:left w:val="none" w:sz="0" w:space="0" w:color="auto"/>
        <w:bottom w:val="none" w:sz="0" w:space="0" w:color="auto"/>
        <w:right w:val="none" w:sz="0" w:space="0" w:color="auto"/>
      </w:divBdr>
    </w:div>
    <w:div w:id="999577467">
      <w:bodyDiv w:val="1"/>
      <w:marLeft w:val="0"/>
      <w:marRight w:val="0"/>
      <w:marTop w:val="0"/>
      <w:marBottom w:val="0"/>
      <w:divBdr>
        <w:top w:val="none" w:sz="0" w:space="0" w:color="auto"/>
        <w:left w:val="none" w:sz="0" w:space="0" w:color="auto"/>
        <w:bottom w:val="none" w:sz="0" w:space="0" w:color="auto"/>
        <w:right w:val="none" w:sz="0" w:space="0" w:color="auto"/>
      </w:divBdr>
    </w:div>
    <w:div w:id="1027410331">
      <w:bodyDiv w:val="1"/>
      <w:marLeft w:val="0"/>
      <w:marRight w:val="0"/>
      <w:marTop w:val="0"/>
      <w:marBottom w:val="0"/>
      <w:divBdr>
        <w:top w:val="none" w:sz="0" w:space="0" w:color="auto"/>
        <w:left w:val="none" w:sz="0" w:space="0" w:color="auto"/>
        <w:bottom w:val="none" w:sz="0" w:space="0" w:color="auto"/>
        <w:right w:val="none" w:sz="0" w:space="0" w:color="auto"/>
      </w:divBdr>
    </w:div>
    <w:div w:id="1035891257">
      <w:bodyDiv w:val="1"/>
      <w:marLeft w:val="0"/>
      <w:marRight w:val="0"/>
      <w:marTop w:val="0"/>
      <w:marBottom w:val="0"/>
      <w:divBdr>
        <w:top w:val="none" w:sz="0" w:space="0" w:color="auto"/>
        <w:left w:val="none" w:sz="0" w:space="0" w:color="auto"/>
        <w:bottom w:val="none" w:sz="0" w:space="0" w:color="auto"/>
        <w:right w:val="none" w:sz="0" w:space="0" w:color="auto"/>
      </w:divBdr>
    </w:div>
    <w:div w:id="1058816904">
      <w:bodyDiv w:val="1"/>
      <w:marLeft w:val="0"/>
      <w:marRight w:val="0"/>
      <w:marTop w:val="0"/>
      <w:marBottom w:val="0"/>
      <w:divBdr>
        <w:top w:val="none" w:sz="0" w:space="0" w:color="auto"/>
        <w:left w:val="none" w:sz="0" w:space="0" w:color="auto"/>
        <w:bottom w:val="none" w:sz="0" w:space="0" w:color="auto"/>
        <w:right w:val="none" w:sz="0" w:space="0" w:color="auto"/>
      </w:divBdr>
    </w:div>
    <w:div w:id="1059860746">
      <w:bodyDiv w:val="1"/>
      <w:marLeft w:val="0"/>
      <w:marRight w:val="0"/>
      <w:marTop w:val="0"/>
      <w:marBottom w:val="0"/>
      <w:divBdr>
        <w:top w:val="none" w:sz="0" w:space="0" w:color="auto"/>
        <w:left w:val="none" w:sz="0" w:space="0" w:color="auto"/>
        <w:bottom w:val="none" w:sz="0" w:space="0" w:color="auto"/>
        <w:right w:val="none" w:sz="0" w:space="0" w:color="auto"/>
      </w:divBdr>
    </w:div>
    <w:div w:id="1094278381">
      <w:bodyDiv w:val="1"/>
      <w:marLeft w:val="0"/>
      <w:marRight w:val="0"/>
      <w:marTop w:val="0"/>
      <w:marBottom w:val="0"/>
      <w:divBdr>
        <w:top w:val="none" w:sz="0" w:space="0" w:color="auto"/>
        <w:left w:val="none" w:sz="0" w:space="0" w:color="auto"/>
        <w:bottom w:val="none" w:sz="0" w:space="0" w:color="auto"/>
        <w:right w:val="none" w:sz="0" w:space="0" w:color="auto"/>
      </w:divBdr>
    </w:div>
    <w:div w:id="1132215452">
      <w:bodyDiv w:val="1"/>
      <w:marLeft w:val="0"/>
      <w:marRight w:val="0"/>
      <w:marTop w:val="0"/>
      <w:marBottom w:val="0"/>
      <w:divBdr>
        <w:top w:val="none" w:sz="0" w:space="0" w:color="auto"/>
        <w:left w:val="none" w:sz="0" w:space="0" w:color="auto"/>
        <w:bottom w:val="none" w:sz="0" w:space="0" w:color="auto"/>
        <w:right w:val="none" w:sz="0" w:space="0" w:color="auto"/>
      </w:divBdr>
    </w:div>
    <w:div w:id="1136684914">
      <w:bodyDiv w:val="1"/>
      <w:marLeft w:val="0"/>
      <w:marRight w:val="0"/>
      <w:marTop w:val="0"/>
      <w:marBottom w:val="0"/>
      <w:divBdr>
        <w:top w:val="none" w:sz="0" w:space="0" w:color="auto"/>
        <w:left w:val="none" w:sz="0" w:space="0" w:color="auto"/>
        <w:bottom w:val="none" w:sz="0" w:space="0" w:color="auto"/>
        <w:right w:val="none" w:sz="0" w:space="0" w:color="auto"/>
      </w:divBdr>
    </w:div>
    <w:div w:id="1145121876">
      <w:bodyDiv w:val="1"/>
      <w:marLeft w:val="0"/>
      <w:marRight w:val="0"/>
      <w:marTop w:val="0"/>
      <w:marBottom w:val="0"/>
      <w:divBdr>
        <w:top w:val="none" w:sz="0" w:space="0" w:color="auto"/>
        <w:left w:val="none" w:sz="0" w:space="0" w:color="auto"/>
        <w:bottom w:val="none" w:sz="0" w:space="0" w:color="auto"/>
        <w:right w:val="none" w:sz="0" w:space="0" w:color="auto"/>
      </w:divBdr>
    </w:div>
    <w:div w:id="1220938084">
      <w:bodyDiv w:val="1"/>
      <w:marLeft w:val="0"/>
      <w:marRight w:val="0"/>
      <w:marTop w:val="0"/>
      <w:marBottom w:val="0"/>
      <w:divBdr>
        <w:top w:val="none" w:sz="0" w:space="0" w:color="auto"/>
        <w:left w:val="none" w:sz="0" w:space="0" w:color="auto"/>
        <w:bottom w:val="none" w:sz="0" w:space="0" w:color="auto"/>
        <w:right w:val="none" w:sz="0" w:space="0" w:color="auto"/>
      </w:divBdr>
    </w:div>
    <w:div w:id="1237976013">
      <w:bodyDiv w:val="1"/>
      <w:marLeft w:val="0"/>
      <w:marRight w:val="0"/>
      <w:marTop w:val="0"/>
      <w:marBottom w:val="0"/>
      <w:divBdr>
        <w:top w:val="none" w:sz="0" w:space="0" w:color="auto"/>
        <w:left w:val="none" w:sz="0" w:space="0" w:color="auto"/>
        <w:bottom w:val="none" w:sz="0" w:space="0" w:color="auto"/>
        <w:right w:val="none" w:sz="0" w:space="0" w:color="auto"/>
      </w:divBdr>
    </w:div>
    <w:div w:id="1239755144">
      <w:bodyDiv w:val="1"/>
      <w:marLeft w:val="0"/>
      <w:marRight w:val="0"/>
      <w:marTop w:val="0"/>
      <w:marBottom w:val="0"/>
      <w:divBdr>
        <w:top w:val="none" w:sz="0" w:space="0" w:color="auto"/>
        <w:left w:val="none" w:sz="0" w:space="0" w:color="auto"/>
        <w:bottom w:val="none" w:sz="0" w:space="0" w:color="auto"/>
        <w:right w:val="none" w:sz="0" w:space="0" w:color="auto"/>
      </w:divBdr>
    </w:div>
    <w:div w:id="1252816693">
      <w:bodyDiv w:val="1"/>
      <w:marLeft w:val="0"/>
      <w:marRight w:val="0"/>
      <w:marTop w:val="0"/>
      <w:marBottom w:val="0"/>
      <w:divBdr>
        <w:top w:val="none" w:sz="0" w:space="0" w:color="auto"/>
        <w:left w:val="none" w:sz="0" w:space="0" w:color="auto"/>
        <w:bottom w:val="none" w:sz="0" w:space="0" w:color="auto"/>
        <w:right w:val="none" w:sz="0" w:space="0" w:color="auto"/>
      </w:divBdr>
    </w:div>
    <w:div w:id="1264262633">
      <w:bodyDiv w:val="1"/>
      <w:marLeft w:val="0"/>
      <w:marRight w:val="0"/>
      <w:marTop w:val="0"/>
      <w:marBottom w:val="0"/>
      <w:divBdr>
        <w:top w:val="none" w:sz="0" w:space="0" w:color="auto"/>
        <w:left w:val="none" w:sz="0" w:space="0" w:color="auto"/>
        <w:bottom w:val="none" w:sz="0" w:space="0" w:color="auto"/>
        <w:right w:val="none" w:sz="0" w:space="0" w:color="auto"/>
      </w:divBdr>
    </w:div>
    <w:div w:id="1350059171">
      <w:bodyDiv w:val="1"/>
      <w:marLeft w:val="0"/>
      <w:marRight w:val="0"/>
      <w:marTop w:val="0"/>
      <w:marBottom w:val="0"/>
      <w:divBdr>
        <w:top w:val="none" w:sz="0" w:space="0" w:color="auto"/>
        <w:left w:val="none" w:sz="0" w:space="0" w:color="auto"/>
        <w:bottom w:val="none" w:sz="0" w:space="0" w:color="auto"/>
        <w:right w:val="none" w:sz="0" w:space="0" w:color="auto"/>
      </w:divBdr>
    </w:div>
    <w:div w:id="1359505983">
      <w:bodyDiv w:val="1"/>
      <w:marLeft w:val="0"/>
      <w:marRight w:val="0"/>
      <w:marTop w:val="0"/>
      <w:marBottom w:val="0"/>
      <w:divBdr>
        <w:top w:val="none" w:sz="0" w:space="0" w:color="auto"/>
        <w:left w:val="none" w:sz="0" w:space="0" w:color="auto"/>
        <w:bottom w:val="none" w:sz="0" w:space="0" w:color="auto"/>
        <w:right w:val="none" w:sz="0" w:space="0" w:color="auto"/>
      </w:divBdr>
    </w:div>
    <w:div w:id="1396927392">
      <w:bodyDiv w:val="1"/>
      <w:marLeft w:val="0"/>
      <w:marRight w:val="0"/>
      <w:marTop w:val="0"/>
      <w:marBottom w:val="0"/>
      <w:divBdr>
        <w:top w:val="none" w:sz="0" w:space="0" w:color="auto"/>
        <w:left w:val="none" w:sz="0" w:space="0" w:color="auto"/>
        <w:bottom w:val="none" w:sz="0" w:space="0" w:color="auto"/>
        <w:right w:val="none" w:sz="0" w:space="0" w:color="auto"/>
      </w:divBdr>
    </w:div>
    <w:div w:id="1402558776">
      <w:bodyDiv w:val="1"/>
      <w:marLeft w:val="0"/>
      <w:marRight w:val="0"/>
      <w:marTop w:val="0"/>
      <w:marBottom w:val="0"/>
      <w:divBdr>
        <w:top w:val="none" w:sz="0" w:space="0" w:color="auto"/>
        <w:left w:val="none" w:sz="0" w:space="0" w:color="auto"/>
        <w:bottom w:val="none" w:sz="0" w:space="0" w:color="auto"/>
        <w:right w:val="none" w:sz="0" w:space="0" w:color="auto"/>
      </w:divBdr>
    </w:div>
    <w:div w:id="1406026302">
      <w:bodyDiv w:val="1"/>
      <w:marLeft w:val="0"/>
      <w:marRight w:val="0"/>
      <w:marTop w:val="0"/>
      <w:marBottom w:val="0"/>
      <w:divBdr>
        <w:top w:val="none" w:sz="0" w:space="0" w:color="auto"/>
        <w:left w:val="none" w:sz="0" w:space="0" w:color="auto"/>
        <w:bottom w:val="none" w:sz="0" w:space="0" w:color="auto"/>
        <w:right w:val="none" w:sz="0" w:space="0" w:color="auto"/>
      </w:divBdr>
    </w:div>
    <w:div w:id="1444110309">
      <w:bodyDiv w:val="1"/>
      <w:marLeft w:val="0"/>
      <w:marRight w:val="0"/>
      <w:marTop w:val="0"/>
      <w:marBottom w:val="0"/>
      <w:divBdr>
        <w:top w:val="none" w:sz="0" w:space="0" w:color="auto"/>
        <w:left w:val="none" w:sz="0" w:space="0" w:color="auto"/>
        <w:bottom w:val="none" w:sz="0" w:space="0" w:color="auto"/>
        <w:right w:val="none" w:sz="0" w:space="0" w:color="auto"/>
      </w:divBdr>
    </w:div>
    <w:div w:id="1487668440">
      <w:bodyDiv w:val="1"/>
      <w:marLeft w:val="0"/>
      <w:marRight w:val="0"/>
      <w:marTop w:val="0"/>
      <w:marBottom w:val="0"/>
      <w:divBdr>
        <w:top w:val="none" w:sz="0" w:space="0" w:color="auto"/>
        <w:left w:val="none" w:sz="0" w:space="0" w:color="auto"/>
        <w:bottom w:val="none" w:sz="0" w:space="0" w:color="auto"/>
        <w:right w:val="none" w:sz="0" w:space="0" w:color="auto"/>
      </w:divBdr>
    </w:div>
    <w:div w:id="1493107778">
      <w:bodyDiv w:val="1"/>
      <w:marLeft w:val="0"/>
      <w:marRight w:val="0"/>
      <w:marTop w:val="0"/>
      <w:marBottom w:val="0"/>
      <w:divBdr>
        <w:top w:val="none" w:sz="0" w:space="0" w:color="auto"/>
        <w:left w:val="none" w:sz="0" w:space="0" w:color="auto"/>
        <w:bottom w:val="none" w:sz="0" w:space="0" w:color="auto"/>
        <w:right w:val="none" w:sz="0" w:space="0" w:color="auto"/>
      </w:divBdr>
    </w:div>
    <w:div w:id="1541166572">
      <w:bodyDiv w:val="1"/>
      <w:marLeft w:val="0"/>
      <w:marRight w:val="0"/>
      <w:marTop w:val="0"/>
      <w:marBottom w:val="0"/>
      <w:divBdr>
        <w:top w:val="none" w:sz="0" w:space="0" w:color="auto"/>
        <w:left w:val="none" w:sz="0" w:space="0" w:color="auto"/>
        <w:bottom w:val="none" w:sz="0" w:space="0" w:color="auto"/>
        <w:right w:val="none" w:sz="0" w:space="0" w:color="auto"/>
      </w:divBdr>
    </w:div>
    <w:div w:id="1547257260">
      <w:bodyDiv w:val="1"/>
      <w:marLeft w:val="0"/>
      <w:marRight w:val="0"/>
      <w:marTop w:val="0"/>
      <w:marBottom w:val="0"/>
      <w:divBdr>
        <w:top w:val="none" w:sz="0" w:space="0" w:color="auto"/>
        <w:left w:val="none" w:sz="0" w:space="0" w:color="auto"/>
        <w:bottom w:val="none" w:sz="0" w:space="0" w:color="auto"/>
        <w:right w:val="none" w:sz="0" w:space="0" w:color="auto"/>
      </w:divBdr>
    </w:div>
    <w:div w:id="1573927406">
      <w:bodyDiv w:val="1"/>
      <w:marLeft w:val="0"/>
      <w:marRight w:val="0"/>
      <w:marTop w:val="0"/>
      <w:marBottom w:val="0"/>
      <w:divBdr>
        <w:top w:val="none" w:sz="0" w:space="0" w:color="auto"/>
        <w:left w:val="none" w:sz="0" w:space="0" w:color="auto"/>
        <w:bottom w:val="none" w:sz="0" w:space="0" w:color="auto"/>
        <w:right w:val="none" w:sz="0" w:space="0" w:color="auto"/>
      </w:divBdr>
    </w:div>
    <w:div w:id="1587808513">
      <w:bodyDiv w:val="1"/>
      <w:marLeft w:val="0"/>
      <w:marRight w:val="0"/>
      <w:marTop w:val="0"/>
      <w:marBottom w:val="0"/>
      <w:divBdr>
        <w:top w:val="none" w:sz="0" w:space="0" w:color="auto"/>
        <w:left w:val="none" w:sz="0" w:space="0" w:color="auto"/>
        <w:bottom w:val="none" w:sz="0" w:space="0" w:color="auto"/>
        <w:right w:val="none" w:sz="0" w:space="0" w:color="auto"/>
      </w:divBdr>
    </w:div>
    <w:div w:id="1650011372">
      <w:bodyDiv w:val="1"/>
      <w:marLeft w:val="0"/>
      <w:marRight w:val="0"/>
      <w:marTop w:val="0"/>
      <w:marBottom w:val="0"/>
      <w:divBdr>
        <w:top w:val="none" w:sz="0" w:space="0" w:color="auto"/>
        <w:left w:val="none" w:sz="0" w:space="0" w:color="auto"/>
        <w:bottom w:val="none" w:sz="0" w:space="0" w:color="auto"/>
        <w:right w:val="none" w:sz="0" w:space="0" w:color="auto"/>
      </w:divBdr>
    </w:div>
    <w:div w:id="1684433441">
      <w:bodyDiv w:val="1"/>
      <w:marLeft w:val="0"/>
      <w:marRight w:val="0"/>
      <w:marTop w:val="0"/>
      <w:marBottom w:val="0"/>
      <w:divBdr>
        <w:top w:val="none" w:sz="0" w:space="0" w:color="auto"/>
        <w:left w:val="none" w:sz="0" w:space="0" w:color="auto"/>
        <w:bottom w:val="none" w:sz="0" w:space="0" w:color="auto"/>
        <w:right w:val="none" w:sz="0" w:space="0" w:color="auto"/>
      </w:divBdr>
    </w:div>
    <w:div w:id="1702852672">
      <w:bodyDiv w:val="1"/>
      <w:marLeft w:val="0"/>
      <w:marRight w:val="0"/>
      <w:marTop w:val="0"/>
      <w:marBottom w:val="0"/>
      <w:divBdr>
        <w:top w:val="none" w:sz="0" w:space="0" w:color="auto"/>
        <w:left w:val="none" w:sz="0" w:space="0" w:color="auto"/>
        <w:bottom w:val="none" w:sz="0" w:space="0" w:color="auto"/>
        <w:right w:val="none" w:sz="0" w:space="0" w:color="auto"/>
      </w:divBdr>
    </w:div>
    <w:div w:id="1703433972">
      <w:bodyDiv w:val="1"/>
      <w:marLeft w:val="0"/>
      <w:marRight w:val="0"/>
      <w:marTop w:val="0"/>
      <w:marBottom w:val="0"/>
      <w:divBdr>
        <w:top w:val="none" w:sz="0" w:space="0" w:color="auto"/>
        <w:left w:val="none" w:sz="0" w:space="0" w:color="auto"/>
        <w:bottom w:val="none" w:sz="0" w:space="0" w:color="auto"/>
        <w:right w:val="none" w:sz="0" w:space="0" w:color="auto"/>
      </w:divBdr>
    </w:div>
    <w:div w:id="17795674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339649">
      <w:bodyDiv w:val="1"/>
      <w:marLeft w:val="0"/>
      <w:marRight w:val="0"/>
      <w:marTop w:val="0"/>
      <w:marBottom w:val="0"/>
      <w:divBdr>
        <w:top w:val="none" w:sz="0" w:space="0" w:color="auto"/>
        <w:left w:val="none" w:sz="0" w:space="0" w:color="auto"/>
        <w:bottom w:val="none" w:sz="0" w:space="0" w:color="auto"/>
        <w:right w:val="none" w:sz="0" w:space="0" w:color="auto"/>
      </w:divBdr>
    </w:div>
    <w:div w:id="1805195177">
      <w:bodyDiv w:val="1"/>
      <w:marLeft w:val="0"/>
      <w:marRight w:val="0"/>
      <w:marTop w:val="0"/>
      <w:marBottom w:val="0"/>
      <w:divBdr>
        <w:top w:val="none" w:sz="0" w:space="0" w:color="auto"/>
        <w:left w:val="none" w:sz="0" w:space="0" w:color="auto"/>
        <w:bottom w:val="none" w:sz="0" w:space="0" w:color="auto"/>
        <w:right w:val="none" w:sz="0" w:space="0" w:color="auto"/>
      </w:divBdr>
    </w:div>
    <w:div w:id="1809204489">
      <w:bodyDiv w:val="1"/>
      <w:marLeft w:val="0"/>
      <w:marRight w:val="0"/>
      <w:marTop w:val="0"/>
      <w:marBottom w:val="0"/>
      <w:divBdr>
        <w:top w:val="none" w:sz="0" w:space="0" w:color="auto"/>
        <w:left w:val="none" w:sz="0" w:space="0" w:color="auto"/>
        <w:bottom w:val="none" w:sz="0" w:space="0" w:color="auto"/>
        <w:right w:val="none" w:sz="0" w:space="0" w:color="auto"/>
      </w:divBdr>
    </w:div>
    <w:div w:id="1839080660">
      <w:bodyDiv w:val="1"/>
      <w:marLeft w:val="0"/>
      <w:marRight w:val="0"/>
      <w:marTop w:val="0"/>
      <w:marBottom w:val="0"/>
      <w:divBdr>
        <w:top w:val="none" w:sz="0" w:space="0" w:color="auto"/>
        <w:left w:val="none" w:sz="0" w:space="0" w:color="auto"/>
        <w:bottom w:val="none" w:sz="0" w:space="0" w:color="auto"/>
        <w:right w:val="none" w:sz="0" w:space="0" w:color="auto"/>
      </w:divBdr>
    </w:div>
    <w:div w:id="1851068988">
      <w:bodyDiv w:val="1"/>
      <w:marLeft w:val="0"/>
      <w:marRight w:val="0"/>
      <w:marTop w:val="0"/>
      <w:marBottom w:val="0"/>
      <w:divBdr>
        <w:top w:val="none" w:sz="0" w:space="0" w:color="auto"/>
        <w:left w:val="none" w:sz="0" w:space="0" w:color="auto"/>
        <w:bottom w:val="none" w:sz="0" w:space="0" w:color="auto"/>
        <w:right w:val="none" w:sz="0" w:space="0" w:color="auto"/>
      </w:divBdr>
    </w:div>
    <w:div w:id="2021615241">
      <w:bodyDiv w:val="1"/>
      <w:marLeft w:val="0"/>
      <w:marRight w:val="0"/>
      <w:marTop w:val="0"/>
      <w:marBottom w:val="0"/>
      <w:divBdr>
        <w:top w:val="none" w:sz="0" w:space="0" w:color="auto"/>
        <w:left w:val="none" w:sz="0" w:space="0" w:color="auto"/>
        <w:bottom w:val="none" w:sz="0" w:space="0" w:color="auto"/>
        <w:right w:val="none" w:sz="0" w:space="0" w:color="auto"/>
      </w:divBdr>
    </w:div>
    <w:div w:id="2062748140">
      <w:bodyDiv w:val="1"/>
      <w:marLeft w:val="0"/>
      <w:marRight w:val="0"/>
      <w:marTop w:val="0"/>
      <w:marBottom w:val="0"/>
      <w:divBdr>
        <w:top w:val="none" w:sz="0" w:space="0" w:color="auto"/>
        <w:left w:val="none" w:sz="0" w:space="0" w:color="auto"/>
        <w:bottom w:val="none" w:sz="0" w:space="0" w:color="auto"/>
        <w:right w:val="none" w:sz="0" w:space="0" w:color="auto"/>
      </w:divBdr>
    </w:div>
    <w:div w:id="2111192283">
      <w:bodyDiv w:val="1"/>
      <w:marLeft w:val="0"/>
      <w:marRight w:val="0"/>
      <w:marTop w:val="0"/>
      <w:marBottom w:val="0"/>
      <w:divBdr>
        <w:top w:val="none" w:sz="0" w:space="0" w:color="auto"/>
        <w:left w:val="none" w:sz="0" w:space="0" w:color="auto"/>
        <w:bottom w:val="none" w:sz="0" w:space="0" w:color="auto"/>
        <w:right w:val="none" w:sz="0" w:space="0" w:color="auto"/>
      </w:divBdr>
    </w:div>
    <w:div w:id="2112780458">
      <w:bodyDiv w:val="1"/>
      <w:marLeft w:val="0"/>
      <w:marRight w:val="0"/>
      <w:marTop w:val="0"/>
      <w:marBottom w:val="0"/>
      <w:divBdr>
        <w:top w:val="none" w:sz="0" w:space="0" w:color="auto"/>
        <w:left w:val="none" w:sz="0" w:space="0" w:color="auto"/>
        <w:bottom w:val="none" w:sz="0" w:space="0" w:color="auto"/>
        <w:right w:val="none" w:sz="0" w:space="0" w:color="auto"/>
      </w:divBdr>
    </w:div>
    <w:div w:id="211871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D813-F4C9-4499-8EDD-D7EF36CF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7158</Words>
  <Characters>40804</Characters>
  <Application>Microsoft Office Word</Application>
  <DocSecurity>0</DocSecurity>
  <Lines>340</Lines>
  <Paragraphs>95</Paragraphs>
  <ScaleCrop>false</ScaleCrop>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2020-11-03T16:18:00Z</dcterms:created>
  <dcterms:modified xsi:type="dcterms:W3CDTF">2020-11-03T16:18:00Z</dcterms:modified>
</cp:coreProperties>
</file>